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5508"/>
        <w:gridCol w:w="342"/>
      </w:tblGrid>
      <w:tr w:rsidR="00D92BBB" w:rsidRPr="00D92BBB" w:rsidTr="00B91F45">
        <w:tc>
          <w:tcPr>
            <w:tcW w:w="3348" w:type="dxa"/>
            <w:tcMar>
              <w:top w:w="0" w:type="dxa"/>
              <w:left w:w="108" w:type="dxa"/>
              <w:bottom w:w="0" w:type="dxa"/>
              <w:right w:w="108" w:type="dxa"/>
            </w:tcMar>
            <w:hideMark/>
          </w:tcPr>
          <w:p w:rsidR="00D92BBB" w:rsidRPr="00B91F45" w:rsidRDefault="00D92BBB" w:rsidP="004D3F32">
            <w:pPr>
              <w:pStyle w:val="NormalWeb"/>
              <w:spacing w:before="0" w:beforeAutospacing="0" w:after="0" w:afterAutospacing="0"/>
              <w:jc w:val="center"/>
              <w:rPr>
                <w:sz w:val="26"/>
                <w:szCs w:val="26"/>
              </w:rPr>
            </w:pPr>
            <w:r w:rsidRPr="00B91F45">
              <w:rPr>
                <w:b/>
                <w:bCs/>
                <w:sz w:val="26"/>
                <w:szCs w:val="26"/>
              </w:rPr>
              <w:t xml:space="preserve">UỶ BAN NHÂN DÂN </w:t>
            </w:r>
            <w:r w:rsidRPr="00B91F45">
              <w:rPr>
                <w:b/>
                <w:bCs/>
                <w:sz w:val="26"/>
                <w:szCs w:val="26"/>
              </w:rPr>
              <w:br/>
              <w:t>TỈNH PHÚ THỌ</w:t>
            </w:r>
            <w:r w:rsidRPr="00B91F45">
              <w:rPr>
                <w:b/>
                <w:bCs/>
                <w:sz w:val="26"/>
                <w:szCs w:val="26"/>
              </w:rPr>
              <w:br/>
              <w:t>--------</w:t>
            </w:r>
          </w:p>
        </w:tc>
        <w:tc>
          <w:tcPr>
            <w:tcW w:w="5850" w:type="dxa"/>
            <w:gridSpan w:val="2"/>
            <w:tcMar>
              <w:top w:w="0" w:type="dxa"/>
              <w:left w:w="108" w:type="dxa"/>
              <w:bottom w:w="0" w:type="dxa"/>
              <w:right w:w="108" w:type="dxa"/>
            </w:tcMar>
            <w:hideMark/>
          </w:tcPr>
          <w:p w:rsidR="00D92BBB" w:rsidRPr="00B91F45" w:rsidRDefault="00D92BBB" w:rsidP="004D3F32">
            <w:pPr>
              <w:pStyle w:val="NormalWeb"/>
              <w:spacing w:before="0" w:beforeAutospacing="0" w:after="0" w:afterAutospacing="0"/>
              <w:jc w:val="center"/>
              <w:rPr>
                <w:sz w:val="26"/>
                <w:szCs w:val="26"/>
              </w:rPr>
            </w:pPr>
            <w:r w:rsidRPr="00B91F45">
              <w:rPr>
                <w:b/>
                <w:bCs/>
                <w:sz w:val="26"/>
                <w:szCs w:val="26"/>
              </w:rPr>
              <w:t>CỘNG HÒA XÃ HỘI CHỦ NGHĨA VIỆT NAM</w:t>
            </w:r>
            <w:r w:rsidRPr="00B91F45">
              <w:rPr>
                <w:b/>
                <w:bCs/>
                <w:sz w:val="26"/>
                <w:szCs w:val="26"/>
              </w:rPr>
              <w:br/>
              <w:t xml:space="preserve">Độc lập - Tự do - Hạnh phúc </w:t>
            </w:r>
            <w:r w:rsidRPr="00B91F45">
              <w:rPr>
                <w:b/>
                <w:bCs/>
                <w:sz w:val="26"/>
                <w:szCs w:val="26"/>
              </w:rPr>
              <w:br/>
              <w:t>---------------</w:t>
            </w:r>
          </w:p>
        </w:tc>
      </w:tr>
      <w:tr w:rsidR="00D92BBB" w:rsidRPr="00D92BBB" w:rsidTr="00A96A53">
        <w:trPr>
          <w:gridAfter w:val="1"/>
          <w:wAfter w:w="342" w:type="dxa"/>
        </w:trPr>
        <w:tc>
          <w:tcPr>
            <w:tcW w:w="3348" w:type="dxa"/>
            <w:tcMar>
              <w:top w:w="0" w:type="dxa"/>
              <w:left w:w="108" w:type="dxa"/>
              <w:bottom w:w="0" w:type="dxa"/>
              <w:right w:w="108" w:type="dxa"/>
            </w:tcMar>
            <w:hideMark/>
          </w:tcPr>
          <w:p w:rsidR="00D92BBB" w:rsidRPr="00D92BBB" w:rsidRDefault="00D92BBB" w:rsidP="004D3F32">
            <w:pPr>
              <w:pStyle w:val="NormalWeb"/>
              <w:spacing w:before="0" w:beforeAutospacing="0" w:after="0" w:afterAutospacing="0"/>
              <w:jc w:val="center"/>
              <w:rPr>
                <w:sz w:val="28"/>
                <w:szCs w:val="28"/>
              </w:rPr>
            </w:pPr>
            <w:r w:rsidRPr="00D92BBB">
              <w:rPr>
                <w:sz w:val="28"/>
                <w:szCs w:val="28"/>
              </w:rPr>
              <w:t>Số: 23/2012/QĐ-UBND</w:t>
            </w:r>
          </w:p>
        </w:tc>
        <w:tc>
          <w:tcPr>
            <w:tcW w:w="5508" w:type="dxa"/>
            <w:tcMar>
              <w:top w:w="0" w:type="dxa"/>
              <w:left w:w="108" w:type="dxa"/>
              <w:bottom w:w="0" w:type="dxa"/>
              <w:right w:w="108" w:type="dxa"/>
            </w:tcMar>
            <w:hideMark/>
          </w:tcPr>
          <w:p w:rsidR="00D92BBB" w:rsidRPr="00D92BBB" w:rsidRDefault="00D92BBB" w:rsidP="004D3F32">
            <w:pPr>
              <w:pStyle w:val="NormalWeb"/>
              <w:spacing w:before="0" w:beforeAutospacing="0" w:after="0" w:afterAutospacing="0"/>
              <w:jc w:val="center"/>
              <w:rPr>
                <w:sz w:val="28"/>
                <w:szCs w:val="28"/>
              </w:rPr>
            </w:pPr>
            <w:r w:rsidRPr="00D92BBB">
              <w:rPr>
                <w:i/>
                <w:iCs/>
                <w:sz w:val="28"/>
                <w:szCs w:val="28"/>
              </w:rPr>
              <w:t>Phú Thọ, ngày 14 tháng 12 năm 2012</w:t>
            </w:r>
          </w:p>
        </w:tc>
      </w:tr>
    </w:tbl>
    <w:p w:rsidR="00D92BBB" w:rsidRPr="00D92BBB" w:rsidRDefault="00D92BBB" w:rsidP="004D3F32">
      <w:pPr>
        <w:pStyle w:val="NormalWeb"/>
        <w:spacing w:before="0" w:beforeAutospacing="0" w:after="0" w:afterAutospacing="0"/>
        <w:rPr>
          <w:sz w:val="28"/>
          <w:szCs w:val="28"/>
        </w:rPr>
      </w:pPr>
      <w:r w:rsidRPr="00D92BBB">
        <w:rPr>
          <w:sz w:val="28"/>
          <w:szCs w:val="28"/>
        </w:rPr>
        <w:t> </w:t>
      </w:r>
    </w:p>
    <w:p w:rsidR="00D92BBB" w:rsidRDefault="00D92BBB" w:rsidP="004D3F32">
      <w:pPr>
        <w:pStyle w:val="NormalWeb"/>
        <w:spacing w:before="0" w:beforeAutospacing="0" w:after="0" w:afterAutospacing="0"/>
        <w:jc w:val="center"/>
        <w:rPr>
          <w:b/>
          <w:bCs/>
          <w:sz w:val="28"/>
          <w:szCs w:val="28"/>
        </w:rPr>
      </w:pPr>
      <w:r w:rsidRPr="00D92BBB">
        <w:rPr>
          <w:b/>
          <w:bCs/>
          <w:sz w:val="28"/>
          <w:szCs w:val="28"/>
        </w:rPr>
        <w:t>QUYẾT ĐỊNH</w:t>
      </w:r>
    </w:p>
    <w:p w:rsidR="00350045" w:rsidRPr="00D92BBB" w:rsidRDefault="00350045" w:rsidP="004D3F32">
      <w:pPr>
        <w:pStyle w:val="NormalWeb"/>
        <w:spacing w:before="0" w:beforeAutospacing="0" w:after="0" w:afterAutospacing="0"/>
        <w:jc w:val="center"/>
        <w:rPr>
          <w:sz w:val="28"/>
          <w:szCs w:val="28"/>
        </w:rPr>
      </w:pPr>
      <w:r>
        <w:rPr>
          <w:b/>
          <w:bCs/>
          <w:sz w:val="28"/>
          <w:szCs w:val="28"/>
        </w:rPr>
        <w:t>Về việc quy định tỷ lệ (%) phân chia các nguồn thu giữa các cấp ngân sách trên địa bàn tỉnh Phú Thọ năm 2013, thời kỳ ổn định 2011-2015</w:t>
      </w:r>
    </w:p>
    <w:p w:rsidR="00D92BBB" w:rsidRPr="00D92BBB" w:rsidRDefault="00350045" w:rsidP="004D3F32">
      <w:pPr>
        <w:pStyle w:val="NormalWeb"/>
        <w:spacing w:before="0" w:beforeAutospacing="0" w:after="0" w:afterAutospacing="0"/>
        <w:jc w:val="center"/>
        <w:rPr>
          <w:sz w:val="28"/>
          <w:szCs w:val="28"/>
        </w:rPr>
      </w:pPr>
      <w:r>
        <w:rPr>
          <w:sz w:val="28"/>
          <w:szCs w:val="28"/>
        </w:rPr>
        <w:t>___________________</w:t>
      </w:r>
    </w:p>
    <w:p w:rsidR="004D3F32" w:rsidRDefault="004D3F32" w:rsidP="004D3F32">
      <w:pPr>
        <w:pStyle w:val="NormalWeb"/>
        <w:spacing w:before="0" w:beforeAutospacing="0" w:after="0" w:afterAutospacing="0"/>
        <w:jc w:val="center"/>
        <w:rPr>
          <w:b/>
          <w:bCs/>
          <w:sz w:val="28"/>
          <w:szCs w:val="28"/>
        </w:rPr>
      </w:pPr>
    </w:p>
    <w:p w:rsidR="00D92BBB" w:rsidRPr="00D92BBB" w:rsidRDefault="00D92BBB" w:rsidP="004D3F32">
      <w:pPr>
        <w:pStyle w:val="NormalWeb"/>
        <w:spacing w:before="0" w:beforeAutospacing="0" w:after="0" w:afterAutospacing="0"/>
        <w:jc w:val="center"/>
        <w:rPr>
          <w:sz w:val="28"/>
          <w:szCs w:val="28"/>
        </w:rPr>
      </w:pPr>
      <w:r w:rsidRPr="00D92BBB">
        <w:rPr>
          <w:b/>
          <w:bCs/>
          <w:sz w:val="28"/>
          <w:szCs w:val="28"/>
        </w:rPr>
        <w:t>UỶ BAN NHÂN DÂN TỈNH PHÚ THỌ</w:t>
      </w:r>
    </w:p>
    <w:p w:rsidR="00D92BBB" w:rsidRPr="004D3F32" w:rsidRDefault="00D92BBB" w:rsidP="004D3F32">
      <w:pPr>
        <w:pStyle w:val="NormalWeb"/>
        <w:spacing w:before="120" w:beforeAutospacing="0" w:after="0" w:afterAutospacing="0"/>
        <w:ind w:firstLine="720"/>
        <w:jc w:val="both"/>
        <w:rPr>
          <w:sz w:val="28"/>
          <w:szCs w:val="28"/>
        </w:rPr>
      </w:pPr>
      <w:r w:rsidRPr="004D3F32">
        <w:rPr>
          <w:iCs/>
          <w:sz w:val="28"/>
          <w:szCs w:val="28"/>
        </w:rPr>
        <w:t>Căn cứ Luật Tổ chức HĐND và UBND ngày 26/11/2003;</w:t>
      </w:r>
    </w:p>
    <w:p w:rsidR="00D92BBB" w:rsidRPr="004D3F32" w:rsidRDefault="00D92BBB" w:rsidP="004D3F32">
      <w:pPr>
        <w:pStyle w:val="NormalWeb"/>
        <w:spacing w:before="120" w:beforeAutospacing="0" w:after="0" w:afterAutospacing="0"/>
        <w:ind w:firstLine="720"/>
        <w:jc w:val="both"/>
        <w:rPr>
          <w:sz w:val="28"/>
          <w:szCs w:val="28"/>
        </w:rPr>
      </w:pPr>
      <w:r w:rsidRPr="004D3F32">
        <w:rPr>
          <w:iCs/>
          <w:sz w:val="28"/>
          <w:szCs w:val="28"/>
        </w:rPr>
        <w:t>Căn cứ Nghị định 60/2003/NĐ-CP ngày 6/6/2003 của Chính phủ về việc hướng dẫn thực hiện Luật NSNN;</w:t>
      </w:r>
    </w:p>
    <w:p w:rsidR="00D92BBB" w:rsidRPr="004D3F32" w:rsidRDefault="00D92BBB" w:rsidP="004D3F32">
      <w:pPr>
        <w:pStyle w:val="NormalWeb"/>
        <w:spacing w:before="120" w:beforeAutospacing="0" w:after="0" w:afterAutospacing="0"/>
        <w:ind w:firstLine="720"/>
        <w:jc w:val="both"/>
        <w:rPr>
          <w:sz w:val="28"/>
          <w:szCs w:val="28"/>
        </w:rPr>
      </w:pPr>
      <w:r w:rsidRPr="004D3F32">
        <w:rPr>
          <w:iCs/>
          <w:sz w:val="28"/>
          <w:szCs w:val="28"/>
        </w:rPr>
        <w:t>Căn cứ Nghị quyết số 224/2010/NQ-HĐND ngày 14/12/2010; Nghị quyết số 26/2011/NQ-HĐND ngày 12/12/2011; Nghị quyết số 20/2012/NQ-HĐND ngày 14/12/2012 của Hội đồng nhân dân tỉnh Phú Thọ;</w:t>
      </w:r>
    </w:p>
    <w:p w:rsidR="00D92BBB" w:rsidRPr="004D3F32" w:rsidRDefault="00D92BBB" w:rsidP="004D3F32">
      <w:pPr>
        <w:pStyle w:val="NormalWeb"/>
        <w:spacing w:before="120" w:beforeAutospacing="0" w:after="0" w:afterAutospacing="0"/>
        <w:ind w:firstLine="720"/>
        <w:jc w:val="both"/>
        <w:rPr>
          <w:sz w:val="28"/>
          <w:szCs w:val="28"/>
        </w:rPr>
      </w:pPr>
      <w:r w:rsidRPr="004D3F32">
        <w:rPr>
          <w:iCs/>
          <w:sz w:val="28"/>
          <w:szCs w:val="28"/>
        </w:rPr>
        <w:t>Xét đề nghị của Giám đốc Sở Tài chính,</w:t>
      </w:r>
    </w:p>
    <w:p w:rsidR="00D92BBB" w:rsidRPr="00D92BBB" w:rsidRDefault="00D92BBB" w:rsidP="00B91F45">
      <w:pPr>
        <w:pStyle w:val="NormalWeb"/>
        <w:spacing w:before="120" w:beforeAutospacing="0" w:after="0" w:afterAutospacing="0"/>
        <w:jc w:val="center"/>
        <w:rPr>
          <w:sz w:val="28"/>
          <w:szCs w:val="28"/>
        </w:rPr>
      </w:pPr>
      <w:r w:rsidRPr="00D92BBB">
        <w:rPr>
          <w:b/>
          <w:bCs/>
          <w:sz w:val="28"/>
          <w:szCs w:val="28"/>
        </w:rPr>
        <w:t>QUYẾT ĐỊNH:</w:t>
      </w:r>
    </w:p>
    <w:p w:rsidR="00D92BBB" w:rsidRPr="00D92BBB" w:rsidRDefault="00D92BBB" w:rsidP="004D3F32">
      <w:pPr>
        <w:pStyle w:val="NormalWeb"/>
        <w:spacing w:before="120" w:beforeAutospacing="0" w:after="0" w:afterAutospacing="0"/>
        <w:ind w:firstLine="720"/>
        <w:jc w:val="both"/>
        <w:rPr>
          <w:sz w:val="28"/>
          <w:szCs w:val="28"/>
        </w:rPr>
      </w:pPr>
      <w:r w:rsidRPr="00D92BBB">
        <w:rPr>
          <w:b/>
          <w:bCs/>
          <w:sz w:val="28"/>
          <w:szCs w:val="28"/>
        </w:rPr>
        <w:t>Điều 1.</w:t>
      </w:r>
      <w:r w:rsidRPr="00D92BBB">
        <w:rPr>
          <w:sz w:val="28"/>
          <w:szCs w:val="28"/>
        </w:rPr>
        <w:t xml:space="preserve"> Quy định tỷ lệ (%) phân chia các nguồn thu giữa các cấp ngân sách trên địa bàn tỉnh Phú Thọ năm 2013, thời kỳ ổn định 2011-2015 như Phụ biểu đính kèm.</w:t>
      </w:r>
    </w:p>
    <w:p w:rsidR="00D92BBB" w:rsidRPr="00D92BBB" w:rsidRDefault="00D92BBB" w:rsidP="004D3F32">
      <w:pPr>
        <w:pStyle w:val="NormalWeb"/>
        <w:spacing w:before="120" w:beforeAutospacing="0" w:after="0" w:afterAutospacing="0"/>
        <w:ind w:firstLine="720"/>
        <w:jc w:val="both"/>
        <w:rPr>
          <w:sz w:val="28"/>
          <w:szCs w:val="28"/>
        </w:rPr>
      </w:pPr>
      <w:r w:rsidRPr="00D92BBB">
        <w:rPr>
          <w:b/>
          <w:bCs/>
          <w:sz w:val="28"/>
          <w:szCs w:val="28"/>
        </w:rPr>
        <w:t>Điều 2.</w:t>
      </w:r>
      <w:r w:rsidRPr="00D92BBB">
        <w:rPr>
          <w:sz w:val="28"/>
          <w:szCs w:val="28"/>
        </w:rPr>
        <w:t xml:space="preserve"> Quyết định này có hiệu lực kể từ ngày 01/01/2013 và thay thế Quyết định số 28/2011/QĐ-UBND ngày 28/12/2011 của UBND tỉnh Phú Thọ;</w:t>
      </w:r>
    </w:p>
    <w:p w:rsidR="00D92BBB" w:rsidRPr="00D92BBB" w:rsidRDefault="00D92BBB" w:rsidP="004D3F32">
      <w:pPr>
        <w:pStyle w:val="NormalWeb"/>
        <w:spacing w:before="120" w:beforeAutospacing="0" w:after="0" w:afterAutospacing="0"/>
        <w:ind w:firstLine="720"/>
        <w:jc w:val="both"/>
        <w:rPr>
          <w:sz w:val="28"/>
          <w:szCs w:val="28"/>
        </w:rPr>
      </w:pPr>
      <w:r w:rsidRPr="00D92BBB">
        <w:rPr>
          <w:sz w:val="28"/>
          <w:szCs w:val="28"/>
        </w:rPr>
        <w:t>Chánh Văn phòng UBND tỉnh, Thủ trưởng các cơ quan: Sở Kế hoạch và Đầu tư, Sở Tài chính, Cục Thuế tỉnh, Kho bạc Nhà nước tỉnh; Chủ tịch UBND các huyện, thành, thị và đơn vị có liên quan căn cứ Quyết định thực hiện./.</w:t>
      </w:r>
    </w:p>
    <w:p w:rsidR="004D3F32" w:rsidRPr="00D92BBB" w:rsidRDefault="00D92BBB" w:rsidP="004D3F32">
      <w:pPr>
        <w:pStyle w:val="NormalWeb"/>
        <w:spacing w:before="120" w:beforeAutospacing="0" w:after="0" w:afterAutospacing="0"/>
        <w:ind w:firstLine="720"/>
        <w:jc w:val="both"/>
        <w:rPr>
          <w:sz w:val="28"/>
          <w:szCs w:val="28"/>
        </w:rPr>
      </w:pPr>
      <w:r w:rsidRPr="00D92BBB">
        <w:rPr>
          <w:sz w:val="28"/>
          <w:szCs w:val="28"/>
        </w:rPr>
        <w:t> </w:t>
      </w:r>
    </w:p>
    <w:tbl>
      <w:tblPr>
        <w:tblW w:w="9936" w:type="dxa"/>
        <w:tblCellMar>
          <w:left w:w="0" w:type="dxa"/>
          <w:right w:w="0" w:type="dxa"/>
        </w:tblCellMar>
        <w:tblLook w:val="0000"/>
      </w:tblPr>
      <w:tblGrid>
        <w:gridCol w:w="4428"/>
        <w:gridCol w:w="5508"/>
      </w:tblGrid>
      <w:tr w:rsidR="004D3F32" w:rsidRPr="00783034" w:rsidTr="00A96A53">
        <w:tc>
          <w:tcPr>
            <w:tcW w:w="4428" w:type="dxa"/>
            <w:tcMar>
              <w:top w:w="0" w:type="dxa"/>
              <w:left w:w="108" w:type="dxa"/>
              <w:bottom w:w="0" w:type="dxa"/>
              <w:right w:w="108" w:type="dxa"/>
            </w:tcMar>
          </w:tcPr>
          <w:p w:rsidR="004D3F32" w:rsidRDefault="004D3F32" w:rsidP="00A96A53">
            <w:pPr>
              <w:pStyle w:val="NormalWeb"/>
              <w:spacing w:before="0" w:beforeAutospacing="0" w:after="0" w:afterAutospacing="0"/>
              <w:rPr>
                <w:rFonts w:eastAsia="Times New Roman"/>
              </w:rPr>
            </w:pPr>
            <w:r w:rsidRPr="00783034">
              <w:rPr>
                <w:rFonts w:eastAsia="Times New Roman"/>
                <w:b/>
                <w:bCs/>
                <w:sz w:val="28"/>
                <w:szCs w:val="28"/>
              </w:rPr>
              <w:t> </w:t>
            </w:r>
            <w:r w:rsidRPr="005C7AA5">
              <w:rPr>
                <w:rFonts w:eastAsia="Times New Roman"/>
                <w:b/>
                <w:bCs/>
                <w:i/>
                <w:iCs/>
                <w:sz w:val="22"/>
                <w:szCs w:val="22"/>
                <w:lang w:val="vi-VN"/>
              </w:rPr>
              <w:t>Nơi nhận:</w:t>
            </w:r>
            <w:r w:rsidRPr="005C7AA5">
              <w:rPr>
                <w:rFonts w:eastAsia="Times New Roman"/>
                <w:b/>
                <w:bCs/>
                <w:i/>
                <w:iCs/>
                <w:sz w:val="22"/>
                <w:szCs w:val="22"/>
                <w:lang w:val="vi-VN"/>
              </w:rPr>
              <w:br/>
            </w:r>
            <w:r w:rsidRPr="005C7AA5">
              <w:rPr>
                <w:rFonts w:eastAsia="Times New Roman"/>
                <w:sz w:val="22"/>
                <w:szCs w:val="22"/>
              </w:rPr>
              <w:t xml:space="preserve">- </w:t>
            </w:r>
            <w:r w:rsidRPr="005C7AA5">
              <w:rPr>
                <w:rFonts w:eastAsia="Times New Roman"/>
                <w:sz w:val="22"/>
                <w:szCs w:val="22"/>
                <w:lang w:val="vi-VN"/>
              </w:rPr>
              <w:t xml:space="preserve">Như Điều </w:t>
            </w:r>
            <w:r>
              <w:rPr>
                <w:rFonts w:eastAsia="Times New Roman"/>
                <w:sz w:val="22"/>
                <w:szCs w:val="22"/>
              </w:rPr>
              <w:t>2</w:t>
            </w:r>
            <w:r w:rsidRPr="005C7AA5">
              <w:rPr>
                <w:rFonts w:eastAsia="Times New Roman"/>
                <w:sz w:val="22"/>
                <w:szCs w:val="22"/>
                <w:lang w:val="vi-VN"/>
              </w:rPr>
              <w:t>;</w:t>
            </w:r>
          </w:p>
          <w:p w:rsidR="00636DD8" w:rsidRDefault="004D3F32" w:rsidP="00413DB1">
            <w:pPr>
              <w:pStyle w:val="NormalWeb"/>
              <w:spacing w:before="0" w:beforeAutospacing="0" w:after="0" w:afterAutospacing="0"/>
              <w:rPr>
                <w:rFonts w:eastAsia="Times New Roman"/>
              </w:rPr>
            </w:pPr>
            <w:r>
              <w:rPr>
                <w:rFonts w:eastAsia="Times New Roman"/>
                <w:sz w:val="22"/>
                <w:szCs w:val="22"/>
              </w:rPr>
              <w:t xml:space="preserve">- </w:t>
            </w:r>
            <w:r w:rsidR="00413DB1">
              <w:rPr>
                <w:rFonts w:eastAsia="Times New Roman"/>
                <w:sz w:val="22"/>
                <w:szCs w:val="22"/>
              </w:rPr>
              <w:t>Bộ Tài chính, Bộ TP</w:t>
            </w:r>
            <w:r>
              <w:rPr>
                <w:rFonts w:eastAsia="Times New Roman"/>
                <w:sz w:val="22"/>
                <w:szCs w:val="22"/>
              </w:rPr>
              <w:t>;</w:t>
            </w:r>
            <w:r w:rsidRPr="005C7AA5">
              <w:rPr>
                <w:rFonts w:eastAsia="Times New Roman"/>
                <w:sz w:val="22"/>
                <w:szCs w:val="22"/>
                <w:lang w:val="vi-VN"/>
              </w:rPr>
              <w:br/>
            </w:r>
            <w:r w:rsidRPr="005C7AA5">
              <w:rPr>
                <w:rFonts w:eastAsia="Times New Roman"/>
                <w:sz w:val="22"/>
                <w:szCs w:val="22"/>
              </w:rPr>
              <w:t xml:space="preserve">- </w:t>
            </w:r>
            <w:r w:rsidR="00636DD8">
              <w:rPr>
                <w:rFonts w:eastAsia="Times New Roman"/>
                <w:sz w:val="22"/>
                <w:szCs w:val="22"/>
                <w:lang w:val="vi-VN"/>
              </w:rPr>
              <w:t>TT</w:t>
            </w:r>
            <w:r w:rsidRPr="005C7AA5">
              <w:rPr>
                <w:rFonts w:eastAsia="Times New Roman"/>
                <w:sz w:val="22"/>
                <w:szCs w:val="22"/>
                <w:lang w:val="vi-VN"/>
              </w:rPr>
              <w:t>T</w:t>
            </w:r>
            <w:r w:rsidRPr="005C7AA5">
              <w:rPr>
                <w:rFonts w:eastAsia="Times New Roman"/>
                <w:sz w:val="22"/>
                <w:szCs w:val="22"/>
              </w:rPr>
              <w:t>U</w:t>
            </w:r>
            <w:r>
              <w:rPr>
                <w:rFonts w:eastAsia="Times New Roman"/>
                <w:sz w:val="22"/>
                <w:szCs w:val="22"/>
                <w:lang w:val="vi-VN"/>
              </w:rPr>
              <w:t xml:space="preserve">, </w:t>
            </w:r>
            <w:r w:rsidR="00636DD8">
              <w:rPr>
                <w:rFonts w:eastAsia="Times New Roman"/>
                <w:sz w:val="22"/>
                <w:szCs w:val="22"/>
              </w:rPr>
              <w:t>TT</w:t>
            </w:r>
            <w:r w:rsidRPr="005C7AA5">
              <w:rPr>
                <w:rFonts w:eastAsia="Times New Roman"/>
                <w:sz w:val="22"/>
                <w:szCs w:val="22"/>
                <w:lang w:val="vi-VN"/>
              </w:rPr>
              <w:t>HĐND</w:t>
            </w:r>
            <w:r>
              <w:rPr>
                <w:rFonts w:eastAsia="Times New Roman"/>
                <w:sz w:val="22"/>
                <w:szCs w:val="22"/>
              </w:rPr>
              <w:t>, UBND</w:t>
            </w:r>
            <w:r w:rsidR="00636DD8">
              <w:rPr>
                <w:rFonts w:eastAsia="Times New Roman"/>
                <w:sz w:val="22"/>
                <w:szCs w:val="22"/>
              </w:rPr>
              <w:t xml:space="preserve"> </w:t>
            </w:r>
            <w:r w:rsidRPr="005C7AA5">
              <w:rPr>
                <w:rFonts w:eastAsia="Times New Roman"/>
                <w:sz w:val="22"/>
                <w:szCs w:val="22"/>
                <w:lang w:val="vi-VN"/>
              </w:rPr>
              <w:t>tỉnh;</w:t>
            </w:r>
          </w:p>
          <w:p w:rsidR="00B2154F" w:rsidRDefault="00636DD8" w:rsidP="00413DB1">
            <w:pPr>
              <w:pStyle w:val="NormalWeb"/>
              <w:spacing w:before="0" w:beforeAutospacing="0" w:after="0" w:afterAutospacing="0"/>
              <w:rPr>
                <w:rFonts w:eastAsia="Times New Roman"/>
              </w:rPr>
            </w:pPr>
            <w:r>
              <w:rPr>
                <w:rFonts w:eastAsia="Times New Roman"/>
                <w:sz w:val="22"/>
                <w:szCs w:val="22"/>
              </w:rPr>
              <w:t>- Sở Tư pháp;</w:t>
            </w:r>
          </w:p>
          <w:p w:rsidR="004D3F32" w:rsidRDefault="00B2154F" w:rsidP="00413DB1">
            <w:pPr>
              <w:pStyle w:val="NormalWeb"/>
              <w:spacing w:before="0" w:beforeAutospacing="0" w:after="0" w:afterAutospacing="0"/>
              <w:rPr>
                <w:rFonts w:eastAsia="Times New Roman"/>
              </w:rPr>
            </w:pPr>
            <w:r>
              <w:rPr>
                <w:rFonts w:eastAsia="Times New Roman"/>
                <w:sz w:val="22"/>
                <w:szCs w:val="22"/>
              </w:rPr>
              <w:t>- Công báo (2b);</w:t>
            </w:r>
            <w:r w:rsidR="004D3F32" w:rsidRPr="005C7AA5">
              <w:rPr>
                <w:rFonts w:eastAsia="Times New Roman"/>
                <w:sz w:val="22"/>
                <w:szCs w:val="22"/>
                <w:lang w:val="vi-VN"/>
              </w:rPr>
              <w:br/>
            </w:r>
            <w:r w:rsidR="004D3F32" w:rsidRPr="005C7AA5">
              <w:rPr>
                <w:rFonts w:eastAsia="Times New Roman"/>
                <w:sz w:val="22"/>
                <w:szCs w:val="22"/>
              </w:rPr>
              <w:t xml:space="preserve">- </w:t>
            </w:r>
            <w:r w:rsidR="004D3F32" w:rsidRPr="005C7AA5">
              <w:rPr>
                <w:rFonts w:eastAsia="Times New Roman"/>
                <w:sz w:val="22"/>
                <w:szCs w:val="22"/>
                <w:lang w:val="vi-VN"/>
              </w:rPr>
              <w:t>Website Chính phủ;</w:t>
            </w:r>
            <w:r w:rsidR="004D3F32" w:rsidRPr="005C7AA5">
              <w:rPr>
                <w:rFonts w:eastAsia="Times New Roman"/>
                <w:sz w:val="22"/>
                <w:szCs w:val="22"/>
                <w:lang w:val="vi-VN"/>
              </w:rPr>
              <w:br/>
            </w:r>
            <w:r w:rsidR="004D3F32" w:rsidRPr="005C7AA5">
              <w:rPr>
                <w:rFonts w:eastAsia="Times New Roman"/>
                <w:sz w:val="22"/>
                <w:szCs w:val="22"/>
              </w:rPr>
              <w:t xml:space="preserve">- </w:t>
            </w:r>
            <w:r w:rsidR="004D3F32" w:rsidRPr="005C7AA5">
              <w:rPr>
                <w:rFonts w:eastAsia="Times New Roman"/>
                <w:sz w:val="22"/>
                <w:szCs w:val="22"/>
                <w:lang w:val="vi-VN"/>
              </w:rPr>
              <w:t>C</w:t>
            </w:r>
            <w:r w:rsidR="00D5302D">
              <w:rPr>
                <w:rFonts w:eastAsia="Times New Roman"/>
                <w:sz w:val="22"/>
                <w:szCs w:val="22"/>
              </w:rPr>
              <w:t>P</w:t>
            </w:r>
            <w:r w:rsidR="004D3F32" w:rsidRPr="005C7AA5">
              <w:rPr>
                <w:rFonts w:eastAsia="Times New Roman"/>
                <w:sz w:val="22"/>
                <w:szCs w:val="22"/>
                <w:lang w:val="vi-VN"/>
              </w:rPr>
              <w:t xml:space="preserve">VP, </w:t>
            </w:r>
            <w:r>
              <w:rPr>
                <w:rFonts w:eastAsia="Times New Roman"/>
                <w:sz w:val="22"/>
                <w:szCs w:val="22"/>
              </w:rPr>
              <w:t>NCTH</w:t>
            </w:r>
            <w:r w:rsidR="004D3F32" w:rsidRPr="005C7AA5">
              <w:rPr>
                <w:rFonts w:eastAsia="Times New Roman"/>
                <w:sz w:val="22"/>
                <w:szCs w:val="22"/>
                <w:lang w:val="vi-VN"/>
              </w:rPr>
              <w:t>;</w:t>
            </w:r>
          </w:p>
          <w:p w:rsidR="004D3F32" w:rsidRPr="00A96A53" w:rsidRDefault="004D3F32" w:rsidP="00A96A53">
            <w:pPr>
              <w:pStyle w:val="NormalWeb"/>
              <w:spacing w:before="0" w:beforeAutospacing="0" w:after="0" w:afterAutospacing="0"/>
              <w:rPr>
                <w:rFonts w:eastAsia="Times New Roman"/>
                <w:sz w:val="28"/>
                <w:szCs w:val="28"/>
              </w:rPr>
            </w:pPr>
            <w:r w:rsidRPr="005C7AA5">
              <w:rPr>
                <w:rFonts w:eastAsia="Times New Roman"/>
                <w:sz w:val="22"/>
                <w:szCs w:val="22"/>
              </w:rPr>
              <w:t xml:space="preserve">- </w:t>
            </w:r>
            <w:r w:rsidRPr="005C7AA5">
              <w:rPr>
                <w:rFonts w:eastAsia="Times New Roman"/>
                <w:sz w:val="22"/>
                <w:szCs w:val="22"/>
                <w:lang w:val="vi-VN"/>
              </w:rPr>
              <w:t xml:space="preserve">Lưu VT, </w:t>
            </w:r>
            <w:r w:rsidR="00A96A53">
              <w:rPr>
                <w:rFonts w:eastAsia="Times New Roman"/>
                <w:sz w:val="22"/>
                <w:szCs w:val="22"/>
              </w:rPr>
              <w:t>TH2.</w:t>
            </w:r>
          </w:p>
        </w:tc>
        <w:tc>
          <w:tcPr>
            <w:tcW w:w="5508" w:type="dxa"/>
            <w:tcMar>
              <w:top w:w="0" w:type="dxa"/>
              <w:left w:w="108" w:type="dxa"/>
              <w:bottom w:w="0" w:type="dxa"/>
              <w:right w:w="108" w:type="dxa"/>
            </w:tcMar>
          </w:tcPr>
          <w:p w:rsidR="004D3F32" w:rsidRPr="00783034" w:rsidRDefault="004D3F32" w:rsidP="00A96A53">
            <w:pPr>
              <w:pStyle w:val="NormalWeb"/>
              <w:spacing w:before="120" w:beforeAutospacing="0" w:after="0" w:afterAutospacing="0"/>
              <w:jc w:val="center"/>
              <w:rPr>
                <w:rFonts w:eastAsia="Times New Roman"/>
                <w:sz w:val="28"/>
                <w:szCs w:val="28"/>
              </w:rPr>
            </w:pPr>
            <w:r w:rsidRPr="00783034">
              <w:rPr>
                <w:rFonts w:eastAsia="Times New Roman"/>
                <w:b/>
                <w:bCs/>
                <w:sz w:val="28"/>
                <w:szCs w:val="28"/>
              </w:rPr>
              <w:t>TM. ỦY BAN NHÂN DÂN</w:t>
            </w:r>
            <w:r w:rsidRPr="00783034">
              <w:rPr>
                <w:rFonts w:eastAsia="Times New Roman"/>
                <w:b/>
                <w:bCs/>
                <w:sz w:val="28"/>
                <w:szCs w:val="28"/>
              </w:rPr>
              <w:br/>
              <w:t>CHỦ TỊCH</w:t>
            </w:r>
            <w:r w:rsidRPr="00783034">
              <w:rPr>
                <w:rFonts w:eastAsia="Times New Roman"/>
                <w:b/>
                <w:bCs/>
                <w:sz w:val="28"/>
                <w:szCs w:val="28"/>
              </w:rPr>
              <w:br/>
            </w:r>
            <w:r w:rsidRPr="00783034">
              <w:rPr>
                <w:rFonts w:eastAsia="Times New Roman"/>
                <w:b/>
                <w:bCs/>
                <w:sz w:val="28"/>
                <w:szCs w:val="28"/>
              </w:rPr>
              <w:br/>
            </w:r>
            <w:r>
              <w:rPr>
                <w:rFonts w:eastAsia="Times New Roman"/>
                <w:b/>
                <w:bCs/>
                <w:sz w:val="28"/>
                <w:szCs w:val="28"/>
              </w:rPr>
              <w:t>(Đã ký)</w:t>
            </w:r>
            <w:r w:rsidRPr="00783034">
              <w:rPr>
                <w:rFonts w:eastAsia="Times New Roman"/>
                <w:b/>
                <w:bCs/>
                <w:sz w:val="28"/>
                <w:szCs w:val="28"/>
              </w:rPr>
              <w:br/>
            </w:r>
            <w:r w:rsidRPr="00783034">
              <w:rPr>
                <w:rFonts w:eastAsia="Times New Roman"/>
                <w:b/>
                <w:bCs/>
                <w:sz w:val="28"/>
                <w:szCs w:val="28"/>
              </w:rPr>
              <w:br/>
              <w:t>Hoàng Dân Mạc</w:t>
            </w:r>
          </w:p>
        </w:tc>
      </w:tr>
    </w:tbl>
    <w:p w:rsidR="00D92BBB" w:rsidRPr="00D92BBB" w:rsidRDefault="00D92BBB" w:rsidP="004D3F32">
      <w:pPr>
        <w:pStyle w:val="NormalWeb"/>
        <w:spacing w:before="120" w:beforeAutospacing="0" w:after="0" w:afterAutospacing="0"/>
        <w:ind w:firstLine="720"/>
        <w:jc w:val="both"/>
        <w:rPr>
          <w:sz w:val="28"/>
          <w:szCs w:val="28"/>
        </w:rPr>
      </w:pPr>
    </w:p>
    <w:p w:rsidR="00D92BBB" w:rsidRPr="00D92BBB" w:rsidRDefault="00D92BBB" w:rsidP="0022521A">
      <w:pPr>
        <w:pStyle w:val="NormalWeb"/>
        <w:spacing w:before="120" w:beforeAutospacing="0" w:after="0" w:afterAutospacing="0"/>
        <w:ind w:right="-360"/>
        <w:jc w:val="center"/>
        <w:rPr>
          <w:sz w:val="28"/>
          <w:szCs w:val="28"/>
        </w:rPr>
      </w:pPr>
      <w:r w:rsidRPr="00D92BBB">
        <w:rPr>
          <w:b/>
          <w:bCs/>
          <w:sz w:val="28"/>
          <w:szCs w:val="28"/>
        </w:rPr>
        <w:lastRenderedPageBreak/>
        <w:t>TỶ LỆ (%) PHÂN CHIA CÁC KHOẢN THU GIỮA CÁC CẤP NGÂN SÁCH TRÊN ĐỊA BÀN TỈNH PHÚ THỌ NĂM 2013, THỜI KỲ ỔN ĐỊNH 2011 - 2015</w:t>
      </w:r>
    </w:p>
    <w:p w:rsidR="00D92BBB" w:rsidRDefault="00D92BBB" w:rsidP="0022521A">
      <w:pPr>
        <w:pStyle w:val="NormalWeb"/>
        <w:spacing w:before="120" w:beforeAutospacing="0" w:after="0" w:afterAutospacing="0"/>
        <w:ind w:left="-270" w:right="-450"/>
        <w:jc w:val="center"/>
        <w:rPr>
          <w:i/>
          <w:iCs/>
          <w:sz w:val="28"/>
          <w:szCs w:val="28"/>
        </w:rPr>
      </w:pPr>
      <w:r w:rsidRPr="00D92BBB">
        <w:rPr>
          <w:i/>
          <w:iCs/>
          <w:sz w:val="28"/>
          <w:szCs w:val="28"/>
        </w:rPr>
        <w:t>(Kèm theo Quyết định số 23/2012/QĐ-UBND ngày 14/12/2012 của UBND tỉnh Phú Thọ)</w:t>
      </w:r>
    </w:p>
    <w:p w:rsidR="0022521A" w:rsidRDefault="0022521A" w:rsidP="0022521A">
      <w:pPr>
        <w:pStyle w:val="NormalWeb"/>
        <w:spacing w:before="120" w:beforeAutospacing="0" w:after="0" w:afterAutospacing="0"/>
        <w:ind w:left="-270" w:right="-450"/>
        <w:jc w:val="center"/>
        <w:rPr>
          <w:i/>
          <w:iCs/>
          <w:sz w:val="28"/>
          <w:szCs w:val="28"/>
        </w:rPr>
      </w:pPr>
      <w:r>
        <w:rPr>
          <w:i/>
          <w:iCs/>
          <w:sz w:val="28"/>
          <w:szCs w:val="28"/>
        </w:rPr>
        <w:t>__________________</w:t>
      </w:r>
    </w:p>
    <w:p w:rsidR="0022521A" w:rsidRPr="00D92BBB" w:rsidRDefault="0022521A" w:rsidP="0022521A">
      <w:pPr>
        <w:pStyle w:val="NormalWeb"/>
        <w:spacing w:before="120" w:beforeAutospacing="0" w:after="0" w:afterAutospacing="0"/>
        <w:ind w:left="-270" w:right="-450"/>
        <w:jc w:val="center"/>
        <w:rPr>
          <w:sz w:val="28"/>
          <w:szCs w:val="28"/>
        </w:rPr>
      </w:pPr>
    </w:p>
    <w:tbl>
      <w:tblPr>
        <w:tblW w:w="0" w:type="auto"/>
        <w:tblCellMar>
          <w:left w:w="0" w:type="dxa"/>
          <w:right w:w="0" w:type="dxa"/>
        </w:tblCellMar>
        <w:tblLook w:val="04A0"/>
      </w:tblPr>
      <w:tblGrid>
        <w:gridCol w:w="646"/>
        <w:gridCol w:w="3872"/>
        <w:gridCol w:w="630"/>
        <w:gridCol w:w="810"/>
        <w:gridCol w:w="900"/>
        <w:gridCol w:w="615"/>
        <w:gridCol w:w="791"/>
        <w:gridCol w:w="754"/>
        <w:gridCol w:w="558"/>
      </w:tblGrid>
      <w:tr w:rsidR="00D92BBB" w:rsidRPr="0022521A" w:rsidTr="0022521A">
        <w:trPr>
          <w:tblHeader/>
        </w:trPr>
        <w:tc>
          <w:tcPr>
            <w:tcW w:w="64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rPr>
                <w:b/>
              </w:rPr>
            </w:pPr>
            <w:r w:rsidRPr="0022521A">
              <w:rPr>
                <w:b/>
                <w:sz w:val="22"/>
                <w:szCs w:val="22"/>
              </w:rPr>
              <w:t>STT</w:t>
            </w:r>
          </w:p>
        </w:tc>
        <w:tc>
          <w:tcPr>
            <w:tcW w:w="387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rPr>
                <w:b/>
              </w:rPr>
            </w:pPr>
            <w:r w:rsidRPr="0022521A">
              <w:rPr>
                <w:b/>
                <w:sz w:val="22"/>
                <w:szCs w:val="22"/>
              </w:rPr>
              <w:t>Nội dung</w:t>
            </w:r>
          </w:p>
        </w:tc>
        <w:tc>
          <w:tcPr>
            <w:tcW w:w="2955"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rPr>
                <w:b/>
              </w:rPr>
            </w:pPr>
            <w:r w:rsidRPr="0022521A">
              <w:rPr>
                <w:b/>
                <w:sz w:val="22"/>
                <w:szCs w:val="22"/>
              </w:rPr>
              <w:t>Việt Trì, Phú Thọ</w:t>
            </w:r>
          </w:p>
        </w:tc>
        <w:tc>
          <w:tcPr>
            <w:tcW w:w="210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rPr>
                <w:b/>
              </w:rPr>
            </w:pPr>
            <w:r w:rsidRPr="0022521A">
              <w:rPr>
                <w:b/>
                <w:sz w:val="22"/>
                <w:szCs w:val="22"/>
              </w:rPr>
              <w:t>11 huyện còn lại (1)</w:t>
            </w:r>
          </w:p>
        </w:tc>
      </w:tr>
      <w:tr w:rsidR="00D92BBB" w:rsidRPr="0022521A" w:rsidTr="0022521A">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D92BBB" w:rsidRPr="0022521A" w:rsidRDefault="00D92BBB" w:rsidP="0022521A"/>
        </w:tc>
        <w:tc>
          <w:tcPr>
            <w:tcW w:w="3872" w:type="dxa"/>
            <w:vMerge/>
            <w:tcBorders>
              <w:top w:val="single" w:sz="8" w:space="0" w:color="auto"/>
              <w:left w:val="nil"/>
              <w:bottom w:val="single" w:sz="8" w:space="0" w:color="auto"/>
              <w:right w:val="single" w:sz="8" w:space="0" w:color="auto"/>
            </w:tcBorders>
            <w:vAlign w:val="center"/>
            <w:hideMark/>
          </w:tcPr>
          <w:p w:rsidR="00D92BBB" w:rsidRPr="0022521A" w:rsidRDefault="00D92BBB" w:rsidP="0022521A"/>
        </w:tc>
        <w:tc>
          <w:tcPr>
            <w:tcW w:w="630" w:type="dxa"/>
            <w:vMerge w:val="restart"/>
            <w:tcBorders>
              <w:top w:val="nil"/>
              <w:left w:val="nil"/>
              <w:bottom w:val="single" w:sz="8" w:space="0" w:color="auto"/>
              <w:right w:val="single" w:sz="8" w:space="0" w:color="auto"/>
            </w:tcBorders>
            <w:hideMark/>
          </w:tcPr>
          <w:p w:rsidR="00D92BBB" w:rsidRPr="0022521A" w:rsidRDefault="00D92BBB" w:rsidP="0022521A">
            <w:pPr>
              <w:pStyle w:val="NormalWeb"/>
              <w:spacing w:before="0" w:beforeAutospacing="0" w:after="0" w:afterAutospacing="0"/>
              <w:jc w:val="center"/>
            </w:pPr>
            <w:r w:rsidRPr="0022521A">
              <w:rPr>
                <w:sz w:val="22"/>
                <w:szCs w:val="22"/>
              </w:rPr>
              <w:t>NS cấp tỉnh</w:t>
            </w:r>
          </w:p>
        </w:tc>
        <w:tc>
          <w:tcPr>
            <w:tcW w:w="810" w:type="dxa"/>
            <w:vMerge w:val="restart"/>
            <w:tcBorders>
              <w:top w:val="nil"/>
              <w:left w:val="nil"/>
              <w:bottom w:val="single" w:sz="8" w:space="0" w:color="auto"/>
              <w:right w:val="single" w:sz="8" w:space="0" w:color="auto"/>
            </w:tcBorders>
            <w:hideMark/>
          </w:tcPr>
          <w:p w:rsidR="00D92BBB" w:rsidRPr="0022521A" w:rsidRDefault="00D92BBB" w:rsidP="0022521A">
            <w:pPr>
              <w:pStyle w:val="NormalWeb"/>
              <w:spacing w:before="0" w:beforeAutospacing="0" w:after="0" w:afterAutospacing="0"/>
              <w:jc w:val="center"/>
            </w:pPr>
            <w:r w:rsidRPr="0022521A">
              <w:rPr>
                <w:sz w:val="22"/>
                <w:szCs w:val="22"/>
              </w:rPr>
              <w:t>NS thành phố, thị xã</w:t>
            </w:r>
          </w:p>
        </w:tc>
        <w:tc>
          <w:tcPr>
            <w:tcW w:w="1515" w:type="dxa"/>
            <w:gridSpan w:val="2"/>
            <w:tcBorders>
              <w:top w:val="nil"/>
              <w:left w:val="nil"/>
              <w:bottom w:val="single" w:sz="8" w:space="0" w:color="auto"/>
              <w:right w:val="single" w:sz="8" w:space="0" w:color="auto"/>
            </w:tcBorders>
            <w:hideMark/>
          </w:tcPr>
          <w:p w:rsidR="00D92BBB" w:rsidRPr="0022521A" w:rsidRDefault="00D92BBB" w:rsidP="0022521A">
            <w:pPr>
              <w:pStyle w:val="NormalWeb"/>
              <w:spacing w:before="0" w:beforeAutospacing="0" w:after="0" w:afterAutospacing="0"/>
              <w:jc w:val="center"/>
            </w:pPr>
            <w:r w:rsidRPr="0022521A">
              <w:rPr>
                <w:sz w:val="22"/>
                <w:szCs w:val="22"/>
              </w:rPr>
              <w:t>NS xã, phường</w:t>
            </w:r>
          </w:p>
        </w:tc>
        <w:tc>
          <w:tcPr>
            <w:tcW w:w="791"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NS cấp tỉnh</w:t>
            </w:r>
          </w:p>
        </w:tc>
        <w:tc>
          <w:tcPr>
            <w:tcW w:w="75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NS cấp huyện</w:t>
            </w:r>
          </w:p>
        </w:tc>
        <w:tc>
          <w:tcPr>
            <w:tcW w:w="558"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NS xã, TT</w:t>
            </w:r>
          </w:p>
        </w:tc>
      </w:tr>
      <w:tr w:rsidR="00D92BBB" w:rsidRPr="0022521A" w:rsidTr="0022521A">
        <w:tc>
          <w:tcPr>
            <w:tcW w:w="0" w:type="auto"/>
            <w:vMerge/>
            <w:tcBorders>
              <w:top w:val="single" w:sz="8" w:space="0" w:color="auto"/>
              <w:left w:val="single" w:sz="8" w:space="0" w:color="auto"/>
              <w:bottom w:val="single" w:sz="8" w:space="0" w:color="auto"/>
              <w:right w:val="single" w:sz="8" w:space="0" w:color="auto"/>
            </w:tcBorders>
            <w:vAlign w:val="center"/>
            <w:hideMark/>
          </w:tcPr>
          <w:p w:rsidR="00D92BBB" w:rsidRPr="0022521A" w:rsidRDefault="00D92BBB" w:rsidP="0022521A"/>
        </w:tc>
        <w:tc>
          <w:tcPr>
            <w:tcW w:w="3872" w:type="dxa"/>
            <w:vMerge/>
            <w:tcBorders>
              <w:top w:val="single" w:sz="8" w:space="0" w:color="auto"/>
              <w:left w:val="nil"/>
              <w:bottom w:val="single" w:sz="8" w:space="0" w:color="auto"/>
              <w:right w:val="single" w:sz="8" w:space="0" w:color="auto"/>
            </w:tcBorders>
            <w:vAlign w:val="center"/>
            <w:hideMark/>
          </w:tcPr>
          <w:p w:rsidR="00D92BBB" w:rsidRPr="0022521A" w:rsidRDefault="00D92BBB" w:rsidP="0022521A"/>
        </w:tc>
        <w:tc>
          <w:tcPr>
            <w:tcW w:w="630" w:type="dxa"/>
            <w:vMerge/>
            <w:tcBorders>
              <w:top w:val="nil"/>
              <w:left w:val="nil"/>
              <w:bottom w:val="single" w:sz="8" w:space="0" w:color="auto"/>
              <w:right w:val="single" w:sz="8" w:space="0" w:color="auto"/>
            </w:tcBorders>
            <w:vAlign w:val="center"/>
            <w:hideMark/>
          </w:tcPr>
          <w:p w:rsidR="00D92BBB" w:rsidRPr="0022521A" w:rsidRDefault="00D92BBB" w:rsidP="0022521A"/>
        </w:tc>
        <w:tc>
          <w:tcPr>
            <w:tcW w:w="810" w:type="dxa"/>
            <w:vMerge/>
            <w:tcBorders>
              <w:top w:val="nil"/>
              <w:left w:val="nil"/>
              <w:bottom w:val="single" w:sz="8" w:space="0" w:color="auto"/>
              <w:right w:val="single" w:sz="8" w:space="0" w:color="auto"/>
            </w:tcBorders>
            <w:vAlign w:val="center"/>
            <w:hideMark/>
          </w:tcPr>
          <w:p w:rsidR="00D92BBB" w:rsidRPr="0022521A" w:rsidRDefault="00D92BBB" w:rsidP="0022521A"/>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NS phường</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NS xã</w:t>
            </w:r>
          </w:p>
        </w:tc>
        <w:tc>
          <w:tcPr>
            <w:tcW w:w="791" w:type="dxa"/>
            <w:vMerge/>
            <w:tcBorders>
              <w:top w:val="nil"/>
              <w:left w:val="nil"/>
              <w:bottom w:val="single" w:sz="8" w:space="0" w:color="auto"/>
              <w:right w:val="single" w:sz="8" w:space="0" w:color="auto"/>
            </w:tcBorders>
            <w:vAlign w:val="center"/>
            <w:hideMark/>
          </w:tcPr>
          <w:p w:rsidR="00D92BBB" w:rsidRPr="0022521A" w:rsidRDefault="00D92BBB" w:rsidP="0022521A"/>
        </w:tc>
        <w:tc>
          <w:tcPr>
            <w:tcW w:w="754" w:type="dxa"/>
            <w:vMerge/>
            <w:tcBorders>
              <w:top w:val="nil"/>
              <w:left w:val="nil"/>
              <w:bottom w:val="single" w:sz="8" w:space="0" w:color="auto"/>
              <w:right w:val="single" w:sz="8" w:space="0" w:color="auto"/>
            </w:tcBorders>
            <w:vAlign w:val="center"/>
            <w:hideMark/>
          </w:tcPr>
          <w:p w:rsidR="00D92BBB" w:rsidRPr="0022521A" w:rsidRDefault="00D92BBB" w:rsidP="0022521A"/>
        </w:tc>
        <w:tc>
          <w:tcPr>
            <w:tcW w:w="558" w:type="dxa"/>
            <w:vMerge/>
            <w:tcBorders>
              <w:top w:val="nil"/>
              <w:left w:val="nil"/>
              <w:bottom w:val="single" w:sz="8" w:space="0" w:color="auto"/>
              <w:right w:val="single" w:sz="8" w:space="0" w:color="auto"/>
            </w:tcBorders>
            <w:vAlign w:val="center"/>
            <w:hideMark/>
          </w:tcPr>
          <w:p w:rsidR="00D92BBB" w:rsidRPr="0022521A" w:rsidRDefault="00D92BBB" w:rsidP="0022521A"/>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1</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Thuế GTGT từ các doanh nghiệp Trung ương (DNTƯ); doanh nghiệp địa phương, doanh nghiệp cổ phần hóa có vốn nhà nước (DNĐP); doanh nghiệp có vốn đẩu tư nước ngoài (DNĐTNN).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2</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Thuế TNDN từ các DNTƯ; DNĐP; DNĐTNN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3</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Thuế TTĐB từ các DNTƯ; DNĐP; DNĐTNN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4</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Thuế môn bài từ các DNTƯ; DNĐP; DNĐTNN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5</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Thuế tài nguyên từ các DNTƯ; DNĐP; DNĐTNN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6</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Tiền thuê đất từ các DNTƯ; DNĐP; DNĐTNN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Kinh phí bồi thường giải phóng mặt bằng, hỗ trợ các tổ chức, cá nhân bị thu hồi đất... từ tiền thuê đất, cấp nào thực hiện được phản ánh vào ngân sách cấp đó 100%.</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7</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Thuế sử dụng đất phi nông nghiệp từ các DNTƯ; DNĐP; DNĐTNN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8</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 khác từ các DNTƯ; DNĐP; DNĐTNN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9</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 từ khu vực CTN ngoài quốc doanh</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a/</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Thuế GTGT, TNDN, TTĐB, môn bài, tài nguyên, tiền thuê đất, thuế sử dụng đất phi nông nghiệp và thu khác từ các DN ngoài quốc doanh</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70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50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50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b/</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Thuế GTGT, TNDN, TTĐB, môn bài, tài nguyên, tiền thuê đất và thu khác từ các hộ kinh doanh cá thể</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Đối với các phường</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90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Đối với các xã, thị trấn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70</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70</w:t>
            </w:r>
          </w:p>
        </w:tc>
      </w:tr>
      <w:tr w:rsidR="00D92BBB" w:rsidRPr="0022521A" w:rsidTr="0022521A">
        <w:tc>
          <w:tcPr>
            <w:tcW w:w="64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c/</w:t>
            </w:r>
          </w:p>
        </w:tc>
        <w:tc>
          <w:tcPr>
            <w:tcW w:w="3872"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Kinh phí bồi thường giải phóng mặt bằng, hỗ trợ các tổ chức, cá nhân bị thu hồi đất... từ tiền thuê đất, cấp nào thực hiện được phản ánh vào ngân sách cấp đó 100%.</w:t>
            </w:r>
          </w:p>
        </w:tc>
        <w:tc>
          <w:tcPr>
            <w:tcW w:w="630"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900"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615"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91"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558"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r>
      <w:tr w:rsidR="00D92BBB" w:rsidRPr="0022521A" w:rsidTr="0022521A">
        <w:tc>
          <w:tcPr>
            <w:tcW w:w="646"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lastRenderedPageBreak/>
              <w:t>10</w:t>
            </w:r>
          </w:p>
        </w:tc>
        <w:tc>
          <w:tcPr>
            <w:tcW w:w="387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Lệ phí trước bạ</w:t>
            </w:r>
          </w:p>
        </w:tc>
        <w:tc>
          <w:tcPr>
            <w:tcW w:w="63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Đối với ô tô, tàu thuyền, xe máy</w:t>
            </w:r>
          </w:p>
        </w:tc>
        <w:tc>
          <w:tcPr>
            <w:tcW w:w="63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90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55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Đối với nhà đất</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Trong đó: - Phường</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80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20</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 Xã, thị trấn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70</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70</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11</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Thuế sử dụng đất phi nông nghiệp (đối với hộ gia đình và cá nhân)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Đối với phường</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70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Đối với xã, thị trấn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70</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70</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12</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Thuế thu nhập cá nhân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Cục Thuế tỉnh quản lý thu</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Chi cục Thuế các huyện, thành, thị quản lý thu</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Đối với các phường</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90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Đối với các xã, thị trấn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70</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70</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13</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 xổ số kiến thiết</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14</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 tiền sử dụng đất</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a/</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Đối với các xã: Sơn Dương, Cao Xá, Kinh Kệ, Hợp Hải, Vĩnh Lại, Bản Nguyên, Tứ Xã, Sơn Vi, Xuân Huy, Thạch Sơn (huyện Lâm Thao); Đồng Luận, Xuân Lộc, Thạch Đồng, Tu Vũ, Hoàng Xá, Đoan Hạ, Yến Mao, Trung Nghĩa, Tân Phương (huyện Thanh Thuỷ); Gia Điền, Xuân Áng, Vĩnh Chân, Đan Thượng, Hiền Lương, Chuế Lưu, Vụ Cầu, Mai Tùng, Y Sơn (huyện Hạ Hoà); Thụy Vân, Hùng Lô, Sông Lô, Phượng Lâu (thành phố Việt Trì); Thanh Minh, Phú Hộ (thị xã Phú Thọ); Thượng Nông, Hương Nộn, Dậu Dương, Hồng Đà (huyện Tam Nông); An Đạo, Trung Giáp, Phù Ninh, Tử Đà, Phú Nham (huyện Phù Ninh); Văn Bán, Đồng Cam, Phương Xá, Sơn Tình, Điêu Lương, Hương Lung, Tình Cương, Sai Nga (huyện Cẩm Khê); Đông Thành, Đại An, Đỗ Xuyên, Chí Tiên, Đồng Xuân, Thanh Vân, Quảng Nạp (huyện Thanh Ba); Chí Đám, Bằng Luân, Chân Mộng, Vân Du, Minh Tiến (huyện Đoan Hùng); Lương Nha, Địch Quả, Cự Thắng (huyện Thanh Sơn); Thu Cúc, Xuân Đài, Minh Đài (huyện Tân Sơn); Đồng Thịnh, Hưng Long (huyện Yên Lập)</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20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20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60</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20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20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60</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b/</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Đối với xã Tân Phú (huyện Tân Sơn)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20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80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c/</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Đối với các xã, phường, thị trấn còn lại</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50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20</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20</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20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40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40</w:t>
            </w:r>
          </w:p>
        </w:tc>
      </w:tr>
      <w:tr w:rsidR="00D92BBB" w:rsidRPr="0022521A" w:rsidTr="0022521A">
        <w:tc>
          <w:tcPr>
            <w:tcW w:w="64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d/</w:t>
            </w:r>
          </w:p>
        </w:tc>
        <w:tc>
          <w:tcPr>
            <w:tcW w:w="3872"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xml:space="preserve">Tiền sử dụng đất từ đấu giá quyền sử dụng đất các dự án, công trình trọng </w:t>
            </w:r>
            <w:r w:rsidRPr="0022521A">
              <w:rPr>
                <w:sz w:val="22"/>
                <w:szCs w:val="22"/>
              </w:rPr>
              <w:lastRenderedPageBreak/>
              <w:t>điểm (khu đô thị mới, các khu công nghiệp ...) do tỉnh tập trung quản lý thu</w:t>
            </w:r>
          </w:p>
        </w:tc>
        <w:tc>
          <w:tcPr>
            <w:tcW w:w="630"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lastRenderedPageBreak/>
              <w:t>100</w:t>
            </w:r>
          </w:p>
        </w:tc>
        <w:tc>
          <w:tcPr>
            <w:tcW w:w="810"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lastRenderedPageBreak/>
              <w:t>e/</w:t>
            </w:r>
          </w:p>
        </w:tc>
        <w:tc>
          <w:tcPr>
            <w:tcW w:w="387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Chi phí đấu giá quyền sử dụng đất, kinh phí bồi thường giải phóng mặt bằng, kinh phí đầu tư xây dựng kết cấu hạ tầng, quy hoạch cho diện tích đất đấu giá... cấp nào thực hiện được phản ánh vào ngân sách cấp đó 100%.</w:t>
            </w:r>
          </w:p>
        </w:tc>
        <w:tc>
          <w:tcPr>
            <w:tcW w:w="63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90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615"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9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558"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r>
      <w:tr w:rsidR="00D92BBB" w:rsidRPr="0022521A" w:rsidTr="0022521A">
        <w:tc>
          <w:tcPr>
            <w:tcW w:w="64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15</w:t>
            </w:r>
          </w:p>
        </w:tc>
        <w:tc>
          <w:tcPr>
            <w:tcW w:w="387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 phí và lệ phí</w:t>
            </w:r>
          </w:p>
        </w:tc>
        <w:tc>
          <w:tcPr>
            <w:tcW w:w="63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Phí và lệ phí tỉnh</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Phí và lệ phí huyện, thành, thị</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*/Phí và lệ phí xã, phường, thị trấn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Phí bảo vệ môi trường đối với khai thác khoáng sản</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20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50</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50</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20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30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50</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Phí bảo vệ môi trường đối với nước thải:</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Phí bảo vệ môi trường nước thải công nghiệp</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Phí bảo vệ môi trường nước thải sinh hoạt</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Đơn vị cung cấp nước sạch tổ chức thu đối với các tổ chức, cá nhân là đối tượng nộp phí bảo vệ môi trường đối với nước thải sinh hoạt có sử dụng nước sạch từ hệ thống cấp nước</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Riêng đơn vị cung cấp nước sạch là Công ty cổ phần Cấp nước Phú Thọ</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 UBND xã, phường, thị trấn tổ chức thu đối với các tổ chức, cá nhân tự khai thác nước để sử dụng thuộc đối tượng nộp phí bảo vệ môi trường đối với nước thải sinh hoạt</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16</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Thuế bảo vệ môi trường</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17</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 Qũy đất công ích, hoa lợi công sản ... tại xã,</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 </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r>
      <w:tr w:rsidR="00D92BBB" w:rsidRPr="0022521A" w:rsidTr="0022521A">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18</w:t>
            </w:r>
          </w:p>
        </w:tc>
        <w:tc>
          <w:tcPr>
            <w:tcW w:w="3872"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pPr>
            <w:r w:rsidRPr="0022521A">
              <w:rPr>
                <w:sz w:val="22"/>
                <w:szCs w:val="22"/>
              </w:rPr>
              <w:t>Thu khác ngân sách (Ngân sách cấp nào thu ngân sách cấp đó hưởng 100%)</w:t>
            </w:r>
          </w:p>
        </w:tc>
        <w:tc>
          <w:tcPr>
            <w:tcW w:w="63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615"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754"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c>
          <w:tcPr>
            <w:tcW w:w="558" w:type="dxa"/>
            <w:tcBorders>
              <w:top w:val="nil"/>
              <w:left w:val="nil"/>
              <w:bottom w:val="single" w:sz="8" w:space="0" w:color="auto"/>
              <w:right w:val="single" w:sz="8" w:space="0" w:color="auto"/>
            </w:tcBorders>
            <w:tcMar>
              <w:top w:w="0" w:type="dxa"/>
              <w:left w:w="108" w:type="dxa"/>
              <w:bottom w:w="0" w:type="dxa"/>
              <w:right w:w="108" w:type="dxa"/>
            </w:tcMar>
            <w:hideMark/>
          </w:tcPr>
          <w:p w:rsidR="00D92BBB" w:rsidRPr="0022521A" w:rsidRDefault="00D92BBB" w:rsidP="0022521A">
            <w:pPr>
              <w:pStyle w:val="NormalWeb"/>
              <w:spacing w:before="0" w:beforeAutospacing="0" w:after="0" w:afterAutospacing="0"/>
              <w:jc w:val="center"/>
            </w:pPr>
            <w:r w:rsidRPr="0022521A">
              <w:rPr>
                <w:sz w:val="22"/>
                <w:szCs w:val="22"/>
              </w:rPr>
              <w:t>100</w:t>
            </w:r>
          </w:p>
        </w:tc>
      </w:tr>
    </w:tbl>
    <w:p w:rsidR="00D92BBB" w:rsidRPr="0022521A" w:rsidRDefault="00D92BBB" w:rsidP="0022521A">
      <w:pPr>
        <w:pStyle w:val="NormalWeb"/>
        <w:spacing w:before="120" w:beforeAutospacing="0" w:after="0" w:afterAutospacing="0"/>
        <w:jc w:val="both"/>
        <w:rPr>
          <w:sz w:val="22"/>
          <w:szCs w:val="22"/>
        </w:rPr>
      </w:pPr>
      <w:r w:rsidRPr="0022521A">
        <w:rPr>
          <w:b/>
          <w:bCs/>
          <w:i/>
          <w:iCs/>
          <w:sz w:val="22"/>
          <w:szCs w:val="22"/>
        </w:rPr>
        <w:t>Ghi chú:</w:t>
      </w:r>
    </w:p>
    <w:p w:rsidR="00D92BBB" w:rsidRPr="0022521A" w:rsidRDefault="00D92BBB" w:rsidP="0022521A">
      <w:pPr>
        <w:pStyle w:val="NormalWeb"/>
        <w:spacing w:before="120" w:beforeAutospacing="0" w:after="0" w:afterAutospacing="0"/>
        <w:ind w:firstLine="720"/>
        <w:jc w:val="both"/>
        <w:rPr>
          <w:sz w:val="22"/>
          <w:szCs w:val="22"/>
        </w:rPr>
      </w:pPr>
      <w:r w:rsidRPr="0022521A">
        <w:rPr>
          <w:sz w:val="22"/>
          <w:szCs w:val="22"/>
        </w:rPr>
        <w:t>- (1): 11 huyện còn lại bao gồm: Phù Ninh, Lâm Thao, Đoan Hùng, Thanh Ba, Hạ Hoà, Tam Nông, Thanh Thủy, Cẩm Khê, Yên Lập, Thanh Sơn, Tân Sơn.</w:t>
      </w:r>
    </w:p>
    <w:p w:rsidR="0011288F" w:rsidRPr="0022521A" w:rsidRDefault="0011288F" w:rsidP="0022521A">
      <w:pPr>
        <w:spacing w:before="120"/>
        <w:jc w:val="both"/>
        <w:rPr>
          <w:sz w:val="22"/>
          <w:szCs w:val="22"/>
        </w:rPr>
      </w:pPr>
    </w:p>
    <w:p w:rsidR="00B91F45" w:rsidRPr="00D92BBB" w:rsidRDefault="00B91F45">
      <w:pPr>
        <w:spacing w:before="120"/>
        <w:rPr>
          <w:sz w:val="28"/>
          <w:szCs w:val="28"/>
        </w:rPr>
      </w:pPr>
    </w:p>
    <w:sectPr w:rsidR="00B91F45" w:rsidRPr="00D92BBB" w:rsidSect="0022521A">
      <w:pgSz w:w="12240" w:h="15840"/>
      <w:pgMar w:top="1440" w:right="1440" w:bottom="90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92BBB"/>
    <w:rsid w:val="0011288F"/>
    <w:rsid w:val="0022521A"/>
    <w:rsid w:val="00350045"/>
    <w:rsid w:val="00413DB1"/>
    <w:rsid w:val="004D3F32"/>
    <w:rsid w:val="00636DD8"/>
    <w:rsid w:val="00811F86"/>
    <w:rsid w:val="00A96A53"/>
    <w:rsid w:val="00B2154F"/>
    <w:rsid w:val="00B91F45"/>
    <w:rsid w:val="00CC397F"/>
    <w:rsid w:val="00D5302D"/>
    <w:rsid w:val="00D92B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BBB"/>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2BB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2013-02-26T02:19:00Z</dcterms:created>
  <dcterms:modified xsi:type="dcterms:W3CDTF">2013-04-15T07:53:00Z</dcterms:modified>
</cp:coreProperties>
</file>