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50" w:type="dxa"/>
        <w:tblLayout w:type="fixed"/>
        <w:tblCellMar>
          <w:left w:w="10" w:type="dxa"/>
          <w:right w:w="10" w:type="dxa"/>
        </w:tblCellMar>
        <w:tblLook w:val="04A0"/>
      </w:tblPr>
      <w:tblGrid>
        <w:gridCol w:w="4000"/>
        <w:gridCol w:w="5350"/>
      </w:tblGrid>
      <w:tr w:rsidR="00B47B99" w:rsidTr="00860755">
        <w:trPr>
          <w:cantSplit/>
        </w:trPr>
        <w:tc>
          <w:tcPr>
            <w:tcW w:w="4000" w:type="dxa"/>
          </w:tcPr>
          <w:p w:rsidR="00B47B99" w:rsidRDefault="00860755">
            <w:pPr>
              <w:spacing w:line="300" w:lineRule="auto"/>
              <w:jc w:val="center"/>
            </w:pPr>
            <w:r>
              <w:rPr>
                <w:b/>
                <w:bCs/>
                <w:sz w:val="26"/>
                <w:szCs w:val="26"/>
              </w:rPr>
              <w:t>BỘ TÀI CHÍNH</w:t>
            </w:r>
          </w:p>
          <w:p w:rsidR="00B47B99" w:rsidRDefault="0007435F">
            <w:pPr>
              <w:spacing w:line="300" w:lineRule="auto"/>
              <w:jc w:val="center"/>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71.7pt;margin-top:4.85pt;width:55.5pt;height:0;z-index:251658240" o:connectortype="straight"/>
              </w:pict>
            </w:r>
          </w:p>
        </w:tc>
        <w:tc>
          <w:tcPr>
            <w:tcW w:w="5350" w:type="dxa"/>
          </w:tcPr>
          <w:p w:rsidR="00B47B99" w:rsidRDefault="00860755">
            <w:pPr>
              <w:spacing w:line="300" w:lineRule="auto"/>
              <w:jc w:val="center"/>
            </w:pPr>
            <w:r>
              <w:rPr>
                <w:b/>
                <w:bCs/>
                <w:sz w:val="24"/>
                <w:szCs w:val="24"/>
              </w:rPr>
              <w:t>CỘNG HÒA XÃ HỘI CHỦ NGHĨA VIỆT NAM</w:t>
            </w:r>
          </w:p>
          <w:p w:rsidR="00B47B99" w:rsidRDefault="00860755">
            <w:pPr>
              <w:spacing w:line="300" w:lineRule="auto"/>
              <w:jc w:val="center"/>
            </w:pPr>
            <w:r>
              <w:rPr>
                <w:b/>
                <w:bCs/>
              </w:rPr>
              <w:t>Độc lập - Tự do - Hạnh phúc</w:t>
            </w:r>
          </w:p>
          <w:p w:rsidR="00860755" w:rsidRDefault="0007435F">
            <w:pPr>
              <w:spacing w:line="300" w:lineRule="auto"/>
              <w:jc w:val="center"/>
              <w:rPr>
                <w:i/>
                <w:iCs/>
                <w:sz w:val="26"/>
                <w:szCs w:val="26"/>
              </w:rPr>
            </w:pPr>
            <w:r w:rsidRPr="0007435F">
              <w:rPr>
                <w:b/>
                <w:bCs/>
                <w:noProof/>
                <w:sz w:val="26"/>
                <w:szCs w:val="26"/>
              </w:rPr>
              <w:pict>
                <v:shape id="_x0000_s1027" type="#_x0000_t32" style="position:absolute;left:0;text-align:left;margin-left:59.95pt;margin-top:6.45pt;width:147.75pt;height:0;z-index:251659264" o:connectortype="straight"/>
              </w:pict>
            </w:r>
          </w:p>
          <w:p w:rsidR="00B47B99" w:rsidRPr="00282FC6" w:rsidRDefault="00860755">
            <w:pPr>
              <w:spacing w:line="300" w:lineRule="auto"/>
              <w:jc w:val="center"/>
            </w:pPr>
            <w:r w:rsidRPr="00282FC6">
              <w:rPr>
                <w:i/>
                <w:iCs/>
              </w:rPr>
              <w:t>Hà Nội, ngày       tháng       năm 2026</w:t>
            </w:r>
          </w:p>
        </w:tc>
      </w:tr>
    </w:tbl>
    <w:p w:rsidR="00B47B99" w:rsidRDefault="00B47B99">
      <w:pPr>
        <w:spacing w:line="300" w:lineRule="auto"/>
        <w:jc w:val="both"/>
      </w:pPr>
    </w:p>
    <w:p w:rsidR="00B47B99" w:rsidRDefault="00860755">
      <w:pPr>
        <w:spacing w:line="300" w:lineRule="auto"/>
        <w:jc w:val="center"/>
      </w:pPr>
      <w:r>
        <w:rPr>
          <w:b/>
          <w:bCs/>
        </w:rPr>
        <w:t>BẢN ĐÁNH GIÁ</w:t>
      </w:r>
    </w:p>
    <w:p w:rsidR="00B47B99" w:rsidRDefault="00860755" w:rsidP="00282FC6">
      <w:pPr>
        <w:spacing w:line="300" w:lineRule="auto"/>
        <w:jc w:val="center"/>
      </w:pPr>
      <w:r>
        <w:rPr>
          <w:b/>
          <w:bCs/>
          <w:sz w:val="26"/>
          <w:szCs w:val="26"/>
        </w:rPr>
        <w:t>Thủ tục hành chính, việc phân quyền, phân cấp, thực hiện nhiệm vụ, quyền hạn được phân cấp, việc ứng dụng, thúc đẩy phát triển khoa học, công nghệ, đổi mới sáng tạo và chuyển đổi số</w:t>
      </w:r>
      <w:r w:rsidR="00282FC6">
        <w:t xml:space="preserve"> </w:t>
      </w:r>
      <w:r>
        <w:rPr>
          <w:b/>
          <w:bCs/>
          <w:sz w:val="26"/>
          <w:szCs w:val="26"/>
        </w:rPr>
        <w:t>trong dự thảo Thông tư quy định quản lý, sử dụng kinh phí chi thường xuyên từ nguồn ngân sách nhà nước thực hiện hoạt động khuyến nông</w:t>
      </w:r>
    </w:p>
    <w:p w:rsidR="00B47B99" w:rsidRDefault="00860755">
      <w:pPr>
        <w:spacing w:after="180" w:line="300" w:lineRule="auto"/>
        <w:jc w:val="center"/>
      </w:pPr>
      <w:r>
        <w:t>―――――</w:t>
      </w:r>
    </w:p>
    <w:p w:rsidR="00B47B99" w:rsidRDefault="00860755" w:rsidP="00282FC6">
      <w:pPr>
        <w:spacing w:before="120"/>
        <w:ind w:firstLine="567"/>
        <w:jc w:val="both"/>
      </w:pPr>
      <w:r>
        <w:t>Thực hiện quy định tại điểm b khoản 2 Điều 39 và điểm d, điểm đ khoản 5 Điều 40 Nghị định số 78/2025/NĐ-CP ngày 01 tháng 4 năm 2025 của Chính phủ quy định chi tiết một số điều và biện pháp để tổ chức, hướng dẫn thi hành Luật Ban hành văn bản quy phạm pháp luật, Bộ Tài chính báo cáo đánh giá đối với dự thảo Thông tư quy định quản lý, sử dụng kinh phí chi thường xuyên từ nguồn ngân sách nhà nước thực hiện hoạt động khuyến nông (thay thế Thông tư số 75/2019/TT-BTC ngày 04 tháng 11 năm 2019 và Thông tư số 84/2021/TT-BTC ngày 04 tháng 10 năm 2021 của Bộ trưởng Bộ Tài chính) như sau:</w:t>
      </w:r>
    </w:p>
    <w:p w:rsidR="00B47B99" w:rsidRDefault="00860755" w:rsidP="00282FC6">
      <w:pPr>
        <w:spacing w:before="120"/>
        <w:ind w:firstLine="567"/>
        <w:jc w:val="both"/>
      </w:pPr>
      <w:r>
        <w:rPr>
          <w:b/>
          <w:bCs/>
        </w:rPr>
        <w:t>I. ĐÁNH GIÁ VỀ THỦ TỤC HÀNH CHÍNH</w:t>
      </w:r>
    </w:p>
    <w:p w:rsidR="00B47B99" w:rsidRDefault="00282FC6" w:rsidP="00282FC6">
      <w:pPr>
        <w:spacing w:before="120"/>
        <w:ind w:firstLine="567"/>
        <w:jc w:val="both"/>
      </w:pPr>
      <w:r w:rsidRPr="00282FC6">
        <w:rPr>
          <w:bCs/>
          <w:iCs/>
        </w:rPr>
        <w:t>1.</w:t>
      </w:r>
      <w:r>
        <w:rPr>
          <w:b/>
          <w:bCs/>
          <w:i/>
          <w:iCs/>
        </w:rPr>
        <w:t xml:space="preserve"> </w:t>
      </w:r>
      <w:r w:rsidR="00860755">
        <w:t xml:space="preserve">Dự thảo Thông tư </w:t>
      </w:r>
      <w:r>
        <w:t>không</w:t>
      </w:r>
      <w:r w:rsidR="00860755">
        <w:t xml:space="preserve"> quy định thủ tục hành chính; không quy định mới, không sửa đổi, bổ sung, không bãi bỏ thủ tục hành chính nào thuộc phạm vi điều chỉnh của Nghị định số 63/2010/NĐ-CP ngày 08 tháng 6 năm 2010 của Chính phủ về kiểm soát thủ tục hành chính và các nghị định sửa đổi, bổ sung.</w:t>
      </w:r>
    </w:p>
    <w:p w:rsidR="00282FC6" w:rsidRDefault="00282FC6" w:rsidP="00282FC6">
      <w:pPr>
        <w:spacing w:before="120"/>
        <w:ind w:firstLine="567"/>
        <w:jc w:val="both"/>
      </w:pPr>
      <w:r>
        <w:t xml:space="preserve">2. Việc rút dự toán, kiểm soát, thanh toán qua Kho bạc Nhà nước dẫn chiếu </w:t>
      </w:r>
      <w:proofErr w:type="gramStart"/>
      <w:r>
        <w:t>theo</w:t>
      </w:r>
      <w:proofErr w:type="gramEnd"/>
      <w:r>
        <w:t xml:space="preserve"> pháp luật về thủ tục hành chính thuộc lĩnh vực Kho bạc Nhà nước hiện hành, không quy định lại và không phát sinh thủ tục mới.</w:t>
      </w:r>
    </w:p>
    <w:p w:rsidR="00B47B99" w:rsidRDefault="00860755" w:rsidP="00282FC6">
      <w:pPr>
        <w:spacing w:before="120"/>
        <w:ind w:firstLine="567"/>
        <w:jc w:val="both"/>
      </w:pPr>
      <w:r>
        <w:rPr>
          <w:b/>
          <w:bCs/>
        </w:rPr>
        <w:t>II. ĐÁNH GIÁ VỀ VIỆC PHÂN QUYỀN, PHÂN CẤP, THỰC HIỆN NHIỆM VỤ, QUYỀN HẠN ĐƯỢC PHÂN CẤP</w:t>
      </w:r>
    </w:p>
    <w:p w:rsidR="00B47B99" w:rsidRDefault="00860755" w:rsidP="00282FC6">
      <w:pPr>
        <w:spacing w:before="120"/>
        <w:ind w:firstLine="567"/>
        <w:jc w:val="both"/>
      </w:pPr>
      <w:r>
        <w:rPr>
          <w:b/>
          <w:bCs/>
          <w:i/>
          <w:iCs/>
        </w:rPr>
        <w:t>1. Các nội dung phân quyền, phân cấp tại dự thảo Thông tư</w:t>
      </w:r>
    </w:p>
    <w:p w:rsidR="00B47B99" w:rsidRDefault="00860755" w:rsidP="00282FC6">
      <w:pPr>
        <w:spacing w:before="120"/>
        <w:ind w:firstLine="567"/>
        <w:jc w:val="both"/>
      </w:pPr>
      <w:r>
        <w:t>a) Phân cấp cho Hội đồng nhân dân cấp tỉnh: Điều 9 dự thảo quy định căn cứ Nghị định số 268/2026/NĐ-CP và khung nội dung chi, mức chi tại Mục 1 Chương II Thông tư, Hội đồng nhân dân cấp tỉnh quyết định cụ thể hoặc giao Ủy ban nhân dân cấp tỉnh quyết định cụ thể nội dung chi, mức chi, mức hỗ trợ đối với hoạt động khuyến nông địa phương theo thẩm quyền quy định tại điểm h khoản 9 Điều 31 Luật Ngân sách nhà nước, phù hợp với khả năng cân đối của ngân sách địa phương; khoản 2 Điều 10 dự thảo quy định thống nhất về thẩm quyền này.</w:t>
      </w:r>
    </w:p>
    <w:p w:rsidR="00B47B99" w:rsidRDefault="00860755" w:rsidP="00282FC6">
      <w:pPr>
        <w:spacing w:before="120"/>
        <w:ind w:firstLine="567"/>
        <w:jc w:val="both"/>
      </w:pPr>
      <w:r>
        <w:lastRenderedPageBreak/>
        <w:t>b) Về thẩm quyền quyết định chế độ, tiêu chuẩn, định mức chi: khoản 3 Điều 3 dự thảo quy định đối với các nội dung chi chưa có chế độ, tiêu chuẩn, định mức chi thì thẩm quyền quyết định thực hiện theo quy định của pháp luật về ngân sách nhà nước và pháp luật có liên quan; khoản 6 Điều 5 dự thảo quy định chi giải thưởng hội thi khuyến nông thực hiện theo chế độ, tiêu chuẩn, định mức chi do cơ quan nhà nước có thẩm quyền quy định. Dự thảo không phân cấp thẩm quyền quyết định chế độ, tiêu chuẩn, định mức chi ngân sách nhà nước cho Thủ trưởng đơn vị, bảo đảm phù hợp với khoản 4</w:t>
      </w:r>
      <w:r w:rsidR="00282FC6">
        <w:t xml:space="preserve"> Điều 8 Luật Ngân sách nhà nước.</w:t>
      </w:r>
    </w:p>
    <w:p w:rsidR="00B47B99" w:rsidRDefault="00860755" w:rsidP="00282FC6">
      <w:pPr>
        <w:spacing w:before="120"/>
        <w:ind w:firstLine="567"/>
        <w:jc w:val="both"/>
      </w:pPr>
      <w:r>
        <w:t>c) Phân định nhiệm vụ chi theo cấp ngân sách: Điều 2 và khoản 2 Điều 10 dự thảo xác định nguồn kinh phí và việc lập dự toán theo phân cấp ngân sách nhà nước, phù hợp với mô hình chính quyền địa phương hai cấp; đã bỏ toàn bộ nội dung liên quan đến cấp huyện tại Điều 2, Điều 10 và Điều 11 Thông tư số 75/2019/TT-BTC.</w:t>
      </w:r>
    </w:p>
    <w:p w:rsidR="00B47B99" w:rsidRDefault="00860755" w:rsidP="00282FC6">
      <w:pPr>
        <w:spacing w:before="120"/>
        <w:ind w:firstLine="567"/>
        <w:jc w:val="both"/>
      </w:pPr>
      <w:r>
        <w:rPr>
          <w:b/>
          <w:bCs/>
          <w:i/>
          <w:iCs/>
        </w:rPr>
        <w:t>2. Cơ sở pháp lý của việc phân cấp</w:t>
      </w:r>
    </w:p>
    <w:p w:rsidR="00B47B99" w:rsidRDefault="00860755" w:rsidP="00282FC6">
      <w:pPr>
        <w:spacing w:before="120"/>
        <w:ind w:firstLine="567"/>
        <w:jc w:val="both"/>
      </w:pPr>
      <w:r>
        <w:t xml:space="preserve">a) Điểm h khoản 9 Điều 31 Luật Ngân sách nhà nước số 89/2025/QH15 quy định Hội đồng nhân dân cấp tỉnh quyết định cụ thể hoặc giao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 </w:t>
      </w:r>
      <w:proofErr w:type="gramStart"/>
      <w:r>
        <w:t>Mục 1 Chương II dự thảo Thông tư là quy định khung để Hội đồng nhân dân cấp tỉnh quyết định cụ thể.</w:t>
      </w:r>
      <w:proofErr w:type="gramEnd"/>
    </w:p>
    <w:p w:rsidR="00B47B99" w:rsidRDefault="00860755" w:rsidP="00282FC6">
      <w:pPr>
        <w:spacing w:before="120"/>
        <w:ind w:firstLine="567"/>
        <w:jc w:val="both"/>
      </w:pPr>
      <w:r>
        <w:t>b) Khoản 5 và khoản 6 Điều 8, khoản 2 Điều 18 Nghị định số 268/2026/NĐ-CP xác định thẩm quyền phê duyệt kế hoạch, dự án, nhiệm vụ khuyến nông và nhiệm vụ chi của ngân sách cấp tỉnh, cấp xã theo mô hình chính quyền địa phương hai cấp.</w:t>
      </w:r>
    </w:p>
    <w:p w:rsidR="00B47B99" w:rsidRDefault="00860755" w:rsidP="00282FC6">
      <w:pPr>
        <w:spacing w:before="120"/>
        <w:ind w:firstLine="567"/>
        <w:jc w:val="both"/>
      </w:pPr>
      <w:r>
        <w:rPr>
          <w:b/>
          <w:bCs/>
          <w:i/>
          <w:iCs/>
        </w:rPr>
        <w:t>3. Đánh giá tính hợp lý và điều kiện bảo đảm thực hiện</w:t>
      </w:r>
    </w:p>
    <w:p w:rsidR="00B47B99" w:rsidRDefault="00860755" w:rsidP="00282FC6">
      <w:pPr>
        <w:spacing w:before="120"/>
        <w:ind w:firstLine="567"/>
        <w:jc w:val="both"/>
      </w:pPr>
      <w:r>
        <w:t xml:space="preserve">a) Việc phân cấp phù hợp với chủ trương đẩy mạnh phân cấp, phân quyền </w:t>
      </w:r>
      <w:proofErr w:type="gramStart"/>
      <w:r>
        <w:t>theo</w:t>
      </w:r>
      <w:proofErr w:type="gramEnd"/>
      <w:r>
        <w:t xml:space="preserve"> nguyên tắc địa phương quyết, địa phương làm, địa phương chịu trách nhiệm; bảo đảm tính linh hoạt để địa phương quyết định mức chi phù hợp với điều kiện kinh tế - xã hội và khả năng cân đối ngân sách trên địa bàn.</w:t>
      </w:r>
    </w:p>
    <w:p w:rsidR="00B47B99" w:rsidRDefault="00860755" w:rsidP="00282FC6">
      <w:pPr>
        <w:spacing w:before="120"/>
        <w:ind w:firstLine="567"/>
        <w:jc w:val="both"/>
      </w:pPr>
      <w:r>
        <w:t xml:space="preserve">b) Điều kiện bảo đảm thực hiện: Hội đồng nhân dân cấp tỉnh có đủ căn cứ để ban hành nghị quyết do dự thảo Thông tư đã quy định khung mức chi tại Mục 1 Chương II; Nghị định số 268/2026/NĐ-CP đã quy định đầy đủ </w:t>
      </w:r>
      <w:proofErr w:type="spellStart"/>
      <w:r>
        <w:t>tỷ</w:t>
      </w:r>
      <w:proofErr w:type="spellEnd"/>
      <w:r>
        <w:t xml:space="preserve"> lệ và mức hỗ trợ tối đa tại các Điều 13, 14, 15 và 19. </w:t>
      </w:r>
      <w:proofErr w:type="gramStart"/>
      <w:r>
        <w:t>Không phát sinh yêu cầu về tổ chức, biên chế đối với địa phương.</w:t>
      </w:r>
      <w:proofErr w:type="gramEnd"/>
    </w:p>
    <w:p w:rsidR="00B47B99" w:rsidRDefault="00860755" w:rsidP="00282FC6">
      <w:pPr>
        <w:spacing w:before="120"/>
        <w:ind w:firstLine="567"/>
        <w:jc w:val="both"/>
      </w:pPr>
      <w:r>
        <w:t>c) Dự thảo Thông tư không phân cấp nội dung thuộc thẩm quyền của cơ quan khác; các nội dung thuộc thẩm quyền của Bộ Nông nghiệp và Môi trường (nội dung hoạt động khuyến nông, định mức kinh tế kỹ thuật, trình tự thủ tục quản lý nhiệm vụ) được dẫn chiếu, không quy định lại.</w:t>
      </w:r>
    </w:p>
    <w:p w:rsidR="00B47B99" w:rsidRDefault="00860755" w:rsidP="00282FC6">
      <w:pPr>
        <w:spacing w:before="120"/>
        <w:ind w:firstLine="567"/>
        <w:jc w:val="both"/>
      </w:pPr>
      <w:r>
        <w:rPr>
          <w:b/>
          <w:bCs/>
        </w:rPr>
        <w:t>I</w:t>
      </w:r>
      <w:r w:rsidR="00282FC6">
        <w:rPr>
          <w:b/>
          <w:bCs/>
        </w:rPr>
        <w:t>II</w:t>
      </w:r>
      <w:r>
        <w:rPr>
          <w:b/>
          <w:bCs/>
        </w:rPr>
        <w:t>. ĐÁNH GIÁ VỀ VIỆC ỨNG DỤNG, THÚC ĐẨY PHÁT TRIỂN KHOA HỌC, CÔNG NGHỆ, ĐỔI MỚI SÁNG TẠO VÀ CHUYỂN ĐỔI SỐ</w:t>
      </w:r>
    </w:p>
    <w:p w:rsidR="00B47B99" w:rsidRDefault="00860755" w:rsidP="00282FC6">
      <w:pPr>
        <w:spacing w:before="120"/>
        <w:ind w:firstLine="567"/>
        <w:jc w:val="both"/>
      </w:pPr>
      <w:r>
        <w:rPr>
          <w:b/>
          <w:bCs/>
          <w:i/>
          <w:iCs/>
        </w:rPr>
        <w:t>1. Các nội dung có liên quan tại dự thảo Thông tư</w:t>
      </w:r>
    </w:p>
    <w:p w:rsidR="00B47B99" w:rsidRDefault="00860755" w:rsidP="00282FC6">
      <w:pPr>
        <w:spacing w:before="120"/>
        <w:ind w:firstLine="567"/>
        <w:jc w:val="both"/>
      </w:pPr>
      <w:r>
        <w:lastRenderedPageBreak/>
        <w:t>a) Về đào tạo, tập huấn, bồi dưỡng: điểm a khoản 2 Điều 4 dự thảo bổ sung chi xây dựng chương trình, biên soạn giáo trình, tài liệu, học liệu điện tử; điểm c khoản 2 Điều 4 bổ sung chi thuê đường truyền, nền tảng phục vụ đào tạo từ xa, đào tạo trực tuyến. Các nội dung này bảo đảm điều kiện tài chính để triển khai phương thức đào tạo từ xa, trực tuyến, trên nền tảng số quy định tại điểm b khoản 2 Điều 4 Nghị định số 268/2026/NĐ-CP.</w:t>
      </w:r>
    </w:p>
    <w:p w:rsidR="00B47B99" w:rsidRDefault="00860755" w:rsidP="00282FC6">
      <w:pPr>
        <w:spacing w:before="120"/>
        <w:ind w:firstLine="567"/>
        <w:jc w:val="both"/>
      </w:pPr>
      <w:r>
        <w:t>b) Về thông tin, truyền thông: khoản 8 Điều 5 dự thảo quy định chi xây dựng, vận hành, cập nhật, quản lý, kết nối, chia sẻ cơ sở dữ liệu và hệ thống thông tin khuyến nông; cổng thông tin điện tử, trang thông tin điện tử, nền tảng số, ứng dụng công nghệ số; thuê đường truyền, lưu trữ dữ liệu, bảo đảm an toàn thông tin. Nội dung này thực hiện điểm d khoản 1 và điểm d khoản 2 Điều 5, Điều 14 Nghị định số 268/2026/NĐ-CP về hệ thống thông tin và truyền thông khuyến nông tích hợp trên nền tảng số, bảo đảm kết nối, chia sẻ dữ liệu.</w:t>
      </w:r>
    </w:p>
    <w:p w:rsidR="00B47B99" w:rsidRDefault="00860755" w:rsidP="00282FC6">
      <w:pPr>
        <w:spacing w:before="120"/>
        <w:ind w:firstLine="567"/>
        <w:jc w:val="both"/>
      </w:pPr>
      <w:r>
        <w:t>c) Về chuyển giao công nghệ và mô hình: Điều 6 dự thảo hướng dẫn mức chi đối với hoạt động xây dựng và nhân rộng mô hình trình diễn ứng dụng tiến bộ kỹ thuật, công nghệ, trong đó có chi tư vấn, đào tạo để được cấp chứng nhận tiêu chuẩn chất lượng, mã số vùng trồng, truy xuất nguồn gốc, chỉ dẫn địa lý theo điểm c khoản 1 Điều 15 Nghị định số 268/2026/NĐ-CP.</w:t>
      </w:r>
    </w:p>
    <w:p w:rsidR="00B47B99" w:rsidRDefault="00860755" w:rsidP="00282FC6">
      <w:pPr>
        <w:spacing w:before="120"/>
        <w:ind w:firstLine="567"/>
        <w:jc w:val="both"/>
      </w:pPr>
      <w:r>
        <w:t>d) Về mua sắm phục vụ đổi mới công nghệ: khoản 2 Điều 8 dự thảo quy định mức chi mua bản quyền tác giả, công nghệ mới phù hợp để chuyển giao; khoản 3 Điều 8 quy định mức chi mua sắm trang thiết bị phục vụ hoạt động khuyến nông theo điểm c, điểm d khoản 1 Điều 19 Nghị định số 268/2026/NĐ-CP.</w:t>
      </w:r>
    </w:p>
    <w:p w:rsidR="00B47B99" w:rsidRDefault="00860755" w:rsidP="00282FC6">
      <w:pPr>
        <w:spacing w:before="120"/>
        <w:ind w:firstLine="567"/>
        <w:jc w:val="both"/>
      </w:pPr>
      <w:r>
        <w:t>đ) Về thuê chuyên gia: khoản 1 Điều 8 dự thảo bổ sung mục đích thuê chuyên gia để chuyển giao công nghệ và đánh giá hiệu quả, tác động của khuyến nông theo điểm b khoản 1 Điều 19 Nghị định số 268/2026/NĐ-CP.</w:t>
      </w:r>
    </w:p>
    <w:p w:rsidR="00B47B99" w:rsidRDefault="00860755" w:rsidP="00282FC6">
      <w:pPr>
        <w:spacing w:before="120"/>
        <w:ind w:firstLine="567"/>
        <w:jc w:val="both"/>
      </w:pPr>
      <w:r>
        <w:rPr>
          <w:b/>
          <w:bCs/>
          <w:i/>
          <w:iCs/>
        </w:rPr>
        <w:t>2. Nguyên tắc dẫn chiếu</w:t>
      </w:r>
    </w:p>
    <w:p w:rsidR="00B47B99" w:rsidRDefault="00860755" w:rsidP="00282FC6">
      <w:pPr>
        <w:spacing w:before="120"/>
        <w:ind w:firstLine="567"/>
        <w:jc w:val="both"/>
      </w:pPr>
      <w:r>
        <w:t xml:space="preserve">Đối với các nội dung chi liên quan đến ứng dụng công nghệ thông tin, chuyển đổi số, dự thảo Thông tư dẫn chiếu quy định hiện hành của pháp luật về quản lý đầu tư ứng dụng công nghệ thông tin và về thuê, mua sắm sản phẩm, dịch vụ công nghệ thông tin sử dụng nguồn kinh phí chi thường xuyên, không quy định mức chi riêng. </w:t>
      </w:r>
    </w:p>
    <w:p w:rsidR="00B47B99" w:rsidRDefault="00860755" w:rsidP="00282FC6">
      <w:pPr>
        <w:spacing w:before="120"/>
        <w:ind w:firstLine="567"/>
        <w:jc w:val="both"/>
      </w:pPr>
      <w:r>
        <w:rPr>
          <w:b/>
          <w:bCs/>
          <w:i/>
          <w:iCs/>
        </w:rPr>
        <w:t>3. Đánh giá</w:t>
      </w:r>
    </w:p>
    <w:p w:rsidR="009545B3" w:rsidRDefault="00860755" w:rsidP="00283846">
      <w:pPr>
        <w:spacing w:before="120"/>
        <w:ind w:firstLine="567"/>
        <w:jc w:val="both"/>
      </w:pPr>
      <w:r>
        <w:t>Dự thảo Thông tư không đặt ra rào cản đối với việc ứng dụng, thúc đẩy phát triển khoa học, công nghệ, đổi mới sáng tạo và chuyển đổi số; đồng thời bổ sung các nội dung chi cần thiết để triển khai các phương thức hoạt động khuyến nông trên nền tảng số theo Nghị định số 268/2026/NĐ-CP. Các nội dung bổ sung đều nằm trong phạm vi nội dung chi đã được quy định tại Điều 19 Nghị định số 268/2026/NĐ-CP, không phát sinh nội dung chi mới.</w:t>
      </w:r>
    </w:p>
    <w:p w:rsidR="00B47B99" w:rsidRDefault="009545B3" w:rsidP="00282FC6">
      <w:pPr>
        <w:spacing w:before="120"/>
        <w:ind w:firstLine="567"/>
        <w:jc w:val="both"/>
      </w:pPr>
      <w:r>
        <w:rPr>
          <w:b/>
          <w:bCs/>
        </w:rPr>
        <w:t>I</w:t>
      </w:r>
      <w:r w:rsidR="00860755">
        <w:rPr>
          <w:b/>
          <w:bCs/>
        </w:rPr>
        <w:t>V. ĐÁNH GIÁ VỀ NGUỒN TÀI CHÍNH, NGUỒN NHÂN LỰC</w:t>
      </w:r>
    </w:p>
    <w:p w:rsidR="00B47B99" w:rsidRDefault="00860755" w:rsidP="00282FC6">
      <w:pPr>
        <w:spacing w:before="120"/>
        <w:ind w:firstLine="567"/>
        <w:jc w:val="both"/>
      </w:pPr>
      <w:r>
        <w:t xml:space="preserve">1. Về nguồn tài chính: dự thảo Thông tư không làm phát sinh nhiệm vụ chi mới ngoài phạm </w:t>
      </w:r>
      <w:proofErr w:type="gramStart"/>
      <w:r>
        <w:t>vi</w:t>
      </w:r>
      <w:proofErr w:type="gramEnd"/>
      <w:r>
        <w:t xml:space="preserve"> chính sách đã được quy định tại Nghị định số 268/2026/NĐ-</w:t>
      </w:r>
      <w:r>
        <w:lastRenderedPageBreak/>
        <w:t xml:space="preserve">CP; không quy định </w:t>
      </w:r>
      <w:proofErr w:type="spellStart"/>
      <w:r>
        <w:t>tỷ</w:t>
      </w:r>
      <w:proofErr w:type="spellEnd"/>
      <w:r>
        <w:t xml:space="preserve"> lệ, mức hỗ trợ mới. Kinh phí thực hiện được bố trí trong dự toán chi thường xuyên hằng năm của Bộ Nông nghiệp và Môi trường và của các địa phương </w:t>
      </w:r>
      <w:proofErr w:type="gramStart"/>
      <w:r>
        <w:t>theo</w:t>
      </w:r>
      <w:proofErr w:type="gramEnd"/>
      <w:r>
        <w:t xml:space="preserve"> phân cấp ngân sách nhà nước. Việc ban hành Thông tư không làm tăng chi ngân sách nhà nước hằng năm.</w:t>
      </w:r>
    </w:p>
    <w:p w:rsidR="00B47B99" w:rsidRDefault="00860755" w:rsidP="00282FC6">
      <w:pPr>
        <w:spacing w:before="120"/>
        <w:ind w:firstLine="567"/>
        <w:jc w:val="both"/>
      </w:pPr>
      <w:r>
        <w:t xml:space="preserve">2. Về nguồn nhân lực: dự thảo Thông tư không làm phát sinh tổ chức, biên chế. Nội dung hỗ trợ hoạt động của tổ, nhóm khuyến nông cộng đồng tại Điều 7 thực hiện </w:t>
      </w:r>
      <w:proofErr w:type="gramStart"/>
      <w:r>
        <w:t>theo</w:t>
      </w:r>
      <w:proofErr w:type="gramEnd"/>
      <w:r>
        <w:t xml:space="preserve"> điểm đ khoản 1 Điều 19 Nghị định số 268/2026/NĐ-CP; thành viên tổ, nhóm khuyến nông cộng đồng hoạt động kiêm nhiệm, không hình thành biên chế mới.</w:t>
      </w:r>
    </w:p>
    <w:p w:rsidR="00B47B99" w:rsidRDefault="00860755" w:rsidP="00282FC6">
      <w:pPr>
        <w:spacing w:before="120"/>
        <w:ind w:firstLine="567"/>
        <w:jc w:val="both"/>
      </w:pPr>
      <w:r>
        <w:t xml:space="preserve">3. Kinh phí soạn thảo Thông tư được bố trí trong dự toán chi thường xuyên của Bộ Tài chính </w:t>
      </w:r>
      <w:proofErr w:type="gramStart"/>
      <w:r>
        <w:t>theo</w:t>
      </w:r>
      <w:proofErr w:type="gramEnd"/>
      <w:r>
        <w:t xml:space="preserve"> quy định của pháp luật.</w:t>
      </w:r>
    </w:p>
    <w:p w:rsidR="00B47B99" w:rsidRDefault="009545B3" w:rsidP="00282FC6">
      <w:pPr>
        <w:spacing w:before="120"/>
        <w:ind w:firstLine="567"/>
        <w:jc w:val="both"/>
      </w:pPr>
      <w:r>
        <w:rPr>
          <w:b/>
          <w:bCs/>
        </w:rPr>
        <w:t>V</w:t>
      </w:r>
      <w:r w:rsidR="00860755">
        <w:rPr>
          <w:b/>
          <w:bCs/>
        </w:rPr>
        <w:t>. KẾT LUẬN</w:t>
      </w:r>
    </w:p>
    <w:p w:rsidR="00B47B99" w:rsidRDefault="00860755" w:rsidP="00282FC6">
      <w:pPr>
        <w:spacing w:before="120"/>
        <w:ind w:firstLine="567"/>
        <w:jc w:val="both"/>
      </w:pPr>
      <w:r>
        <w:t>1. Dự thảo Thông tư không quy định thủ tục hành chính.</w:t>
      </w:r>
    </w:p>
    <w:p w:rsidR="00B47B99" w:rsidRDefault="00860755" w:rsidP="00282FC6">
      <w:pPr>
        <w:spacing w:before="120"/>
        <w:ind w:firstLine="567"/>
        <w:jc w:val="both"/>
      </w:pPr>
      <w:r>
        <w:t>2. Nội dung phân cấp tại dự thảo Thông tư phù hợp với điểm h khoản 9 Điều 31 Luật Ngân sách nhà nước số 89/2025/QH15 và khoản 5, khoản 6 Điều 8, khoản 2 Điều 18 Nghị định số 268/2026/NĐ-CP; có đủ điều kiện bảo đảm thực hiện.</w:t>
      </w:r>
    </w:p>
    <w:p w:rsidR="00B47B99" w:rsidRDefault="00860755" w:rsidP="00282FC6">
      <w:pPr>
        <w:spacing w:before="120"/>
        <w:ind w:firstLine="567"/>
        <w:jc w:val="both"/>
      </w:pPr>
      <w:r>
        <w:t>3. Dự thảo Thông tư có nội dung thúc đẩy ứng dụng khoa học, công nghệ và chuyển đổi số trong hoạt động khuyến nông, phù hợp với Nghị định số 268/2026/NĐ-CP.</w:t>
      </w:r>
    </w:p>
    <w:p w:rsidR="00B47B99" w:rsidRDefault="00860755" w:rsidP="00282FC6">
      <w:pPr>
        <w:spacing w:before="120"/>
        <w:ind w:firstLine="567"/>
        <w:jc w:val="both"/>
      </w:pPr>
      <w:r>
        <w:t>4. Dự thảo Thông tư không làm phát sinh chi ngân sách nhà nước và không làm phát sinh tổ chức, biên chế</w:t>
      </w:r>
      <w:proofErr w:type="gramStart"/>
      <w:r>
        <w:t>./</w:t>
      </w:r>
      <w:proofErr w:type="gramEnd"/>
      <w:r>
        <w:t>.</w:t>
      </w:r>
    </w:p>
    <w:p w:rsidR="00B47B99" w:rsidRDefault="00B47B99" w:rsidP="00282FC6">
      <w:pPr>
        <w:spacing w:before="120"/>
        <w:jc w:val="both"/>
      </w:pPr>
    </w:p>
    <w:p w:rsidR="00D5157B" w:rsidRDefault="00D5157B" w:rsidP="00282FC6">
      <w:pPr>
        <w:spacing w:before="120"/>
      </w:pPr>
    </w:p>
    <w:sectPr w:rsidR="00D5157B" w:rsidSect="000F0FB8">
      <w:headerReference w:type="default" r:id="rId7"/>
      <w:pgSz w:w="11906" w:h="16838"/>
      <w:pgMar w:top="1134" w:right="851" w:bottom="1134" w:left="1701" w:header="624" w:footer="62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5B3" w:rsidRDefault="009545B3" w:rsidP="009545B3">
      <w:r>
        <w:separator/>
      </w:r>
    </w:p>
  </w:endnote>
  <w:endnote w:type="continuationSeparator" w:id="0">
    <w:p w:rsidR="009545B3" w:rsidRDefault="009545B3" w:rsidP="009545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5B3" w:rsidRDefault="009545B3" w:rsidP="009545B3">
      <w:r>
        <w:separator/>
      </w:r>
    </w:p>
  </w:footnote>
  <w:footnote w:type="continuationSeparator" w:id="0">
    <w:p w:rsidR="009545B3" w:rsidRDefault="009545B3" w:rsidP="009545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04391"/>
      <w:docPartObj>
        <w:docPartGallery w:val="Page Numbers (Top of Page)"/>
        <w:docPartUnique/>
      </w:docPartObj>
    </w:sdtPr>
    <w:sdtContent>
      <w:p w:rsidR="009545B3" w:rsidRDefault="0007435F">
        <w:pPr>
          <w:pStyle w:val="Header"/>
          <w:jc w:val="center"/>
        </w:pPr>
        <w:fldSimple w:instr=" PAGE   \* MERGEFORMAT ">
          <w:r w:rsidR="000F0FB8">
            <w:rPr>
              <w:noProof/>
            </w:rPr>
            <w:t>4</w:t>
          </w:r>
        </w:fldSimple>
      </w:p>
    </w:sdtContent>
  </w:sdt>
  <w:p w:rsidR="009545B3" w:rsidRDefault="009545B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D62E2"/>
    <w:multiLevelType w:val="hybridMultilevel"/>
    <w:tmpl w:val="9C747524"/>
    <w:lvl w:ilvl="0" w:tplc="4546EF62">
      <w:start w:val="1"/>
      <w:numFmt w:val="bullet"/>
      <w:lvlText w:val="●"/>
      <w:lvlJc w:val="left"/>
      <w:pPr>
        <w:ind w:left="720" w:hanging="360"/>
      </w:pPr>
    </w:lvl>
    <w:lvl w:ilvl="1" w:tplc="4B7E9830">
      <w:start w:val="1"/>
      <w:numFmt w:val="bullet"/>
      <w:lvlText w:val="○"/>
      <w:lvlJc w:val="left"/>
      <w:pPr>
        <w:ind w:left="1440" w:hanging="360"/>
      </w:pPr>
    </w:lvl>
    <w:lvl w:ilvl="2" w:tplc="F920EBD6">
      <w:start w:val="1"/>
      <w:numFmt w:val="bullet"/>
      <w:lvlText w:val="■"/>
      <w:lvlJc w:val="left"/>
      <w:pPr>
        <w:ind w:left="2160" w:hanging="360"/>
      </w:pPr>
    </w:lvl>
    <w:lvl w:ilvl="3" w:tplc="35EC0C6E">
      <w:start w:val="1"/>
      <w:numFmt w:val="bullet"/>
      <w:lvlText w:val="●"/>
      <w:lvlJc w:val="left"/>
      <w:pPr>
        <w:ind w:left="2880" w:hanging="360"/>
      </w:pPr>
    </w:lvl>
    <w:lvl w:ilvl="4" w:tplc="5992A442">
      <w:start w:val="1"/>
      <w:numFmt w:val="bullet"/>
      <w:lvlText w:val="○"/>
      <w:lvlJc w:val="left"/>
      <w:pPr>
        <w:ind w:left="3600" w:hanging="360"/>
      </w:pPr>
    </w:lvl>
    <w:lvl w:ilvl="5" w:tplc="0C7E93AE">
      <w:start w:val="1"/>
      <w:numFmt w:val="bullet"/>
      <w:lvlText w:val="■"/>
      <w:lvlJc w:val="left"/>
      <w:pPr>
        <w:ind w:left="4320" w:hanging="360"/>
      </w:pPr>
    </w:lvl>
    <w:lvl w:ilvl="6" w:tplc="DFCAF2EC">
      <w:start w:val="1"/>
      <w:numFmt w:val="bullet"/>
      <w:lvlText w:val="●"/>
      <w:lvlJc w:val="left"/>
      <w:pPr>
        <w:ind w:left="5040" w:hanging="360"/>
      </w:pPr>
    </w:lvl>
    <w:lvl w:ilvl="7" w:tplc="DD56D3EC">
      <w:start w:val="1"/>
      <w:numFmt w:val="bullet"/>
      <w:lvlText w:val="●"/>
      <w:lvlJc w:val="left"/>
      <w:pPr>
        <w:ind w:left="5760" w:hanging="360"/>
      </w:pPr>
    </w:lvl>
    <w:lvl w:ilvl="8" w:tplc="9A10EA0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hideSpellingErrors/>
  <w:proofState w:spelling="clean" w:grammar="clean"/>
  <w:defaultTabStop w:val="720"/>
  <w:drawingGridHorizontalSpacing w:val="140"/>
  <w:displayHorizontalDrawingGridEvery w:val="2"/>
  <w:characterSpacingControl w:val="doNotCompress"/>
  <w:footnotePr>
    <w:footnote w:id="-1"/>
    <w:footnote w:id="0"/>
  </w:footnotePr>
  <w:endnotePr>
    <w:endnote w:id="-1"/>
    <w:endnote w:id="0"/>
  </w:endnotePr>
  <w:compat/>
  <w:rsids>
    <w:rsidRoot w:val="00B47B99"/>
    <w:rsid w:val="0007435F"/>
    <w:rsid w:val="000F0FB8"/>
    <w:rsid w:val="00282FC6"/>
    <w:rsid w:val="00283846"/>
    <w:rsid w:val="00860755"/>
    <w:rsid w:val="009545B3"/>
    <w:rsid w:val="00B47B99"/>
    <w:rsid w:val="00D515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57B"/>
  </w:style>
  <w:style w:type="paragraph" w:styleId="Heading1">
    <w:name w:val="heading 1"/>
    <w:qFormat/>
    <w:rsid w:val="00B47B99"/>
    <w:pPr>
      <w:outlineLvl w:val="0"/>
    </w:pPr>
    <w:rPr>
      <w:color w:val="2E74B5"/>
      <w:sz w:val="32"/>
      <w:szCs w:val="32"/>
    </w:rPr>
  </w:style>
  <w:style w:type="paragraph" w:styleId="Heading2">
    <w:name w:val="heading 2"/>
    <w:qFormat/>
    <w:rsid w:val="00B47B99"/>
    <w:pPr>
      <w:outlineLvl w:val="1"/>
    </w:pPr>
    <w:rPr>
      <w:color w:val="2E74B5"/>
      <w:sz w:val="26"/>
      <w:szCs w:val="26"/>
    </w:rPr>
  </w:style>
  <w:style w:type="paragraph" w:styleId="Heading3">
    <w:name w:val="heading 3"/>
    <w:qFormat/>
    <w:rsid w:val="00B47B99"/>
    <w:pPr>
      <w:outlineLvl w:val="2"/>
    </w:pPr>
    <w:rPr>
      <w:color w:val="1F4D78"/>
      <w:sz w:val="24"/>
      <w:szCs w:val="24"/>
    </w:rPr>
  </w:style>
  <w:style w:type="paragraph" w:styleId="Heading4">
    <w:name w:val="heading 4"/>
    <w:qFormat/>
    <w:rsid w:val="00B47B99"/>
    <w:pPr>
      <w:outlineLvl w:val="3"/>
    </w:pPr>
    <w:rPr>
      <w:i/>
      <w:iCs/>
      <w:color w:val="2E74B5"/>
    </w:rPr>
  </w:style>
  <w:style w:type="paragraph" w:styleId="Heading5">
    <w:name w:val="heading 5"/>
    <w:qFormat/>
    <w:rsid w:val="00B47B99"/>
    <w:pPr>
      <w:outlineLvl w:val="4"/>
    </w:pPr>
    <w:rPr>
      <w:color w:val="2E74B5"/>
    </w:rPr>
  </w:style>
  <w:style w:type="paragraph" w:styleId="Heading6">
    <w:name w:val="heading 6"/>
    <w:qFormat/>
    <w:rsid w:val="00B47B99"/>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B47B99"/>
    <w:rPr>
      <w:sz w:val="56"/>
      <w:szCs w:val="56"/>
    </w:rPr>
  </w:style>
  <w:style w:type="paragraph" w:customStyle="1" w:styleId="Strong1">
    <w:name w:val="Strong1"/>
    <w:qFormat/>
    <w:rsid w:val="00B47B99"/>
    <w:rPr>
      <w:b/>
      <w:bCs/>
    </w:rPr>
  </w:style>
  <w:style w:type="paragraph" w:styleId="ListParagraph">
    <w:name w:val="List Paragraph"/>
    <w:qFormat/>
    <w:rsid w:val="00B47B99"/>
  </w:style>
  <w:style w:type="character" w:styleId="Hyperlink">
    <w:name w:val="Hyperlink"/>
    <w:uiPriority w:val="99"/>
    <w:unhideWhenUsed/>
    <w:rsid w:val="00B47B99"/>
    <w:rPr>
      <w:color w:val="0563C1"/>
      <w:u w:val="single"/>
    </w:rPr>
  </w:style>
  <w:style w:type="character" w:styleId="FootnoteReference">
    <w:name w:val="footnote reference"/>
    <w:uiPriority w:val="99"/>
    <w:semiHidden/>
    <w:unhideWhenUsed/>
    <w:rsid w:val="00B47B99"/>
    <w:rPr>
      <w:vertAlign w:val="superscript"/>
    </w:rPr>
  </w:style>
  <w:style w:type="paragraph" w:styleId="FootnoteText">
    <w:name w:val="footnote text"/>
    <w:link w:val="FootnoteTextChar"/>
    <w:uiPriority w:val="99"/>
    <w:semiHidden/>
    <w:unhideWhenUsed/>
    <w:rsid w:val="00B47B99"/>
    <w:rPr>
      <w:sz w:val="20"/>
      <w:szCs w:val="20"/>
    </w:rPr>
  </w:style>
  <w:style w:type="character" w:customStyle="1" w:styleId="FootnoteTextChar">
    <w:name w:val="Footnote Text Char"/>
    <w:link w:val="FootnoteText"/>
    <w:uiPriority w:val="99"/>
    <w:semiHidden/>
    <w:unhideWhenUsed/>
    <w:rsid w:val="00B47B99"/>
    <w:rPr>
      <w:sz w:val="20"/>
      <w:szCs w:val="20"/>
    </w:rPr>
  </w:style>
  <w:style w:type="character" w:styleId="EndnoteReference">
    <w:name w:val="endnote reference"/>
    <w:uiPriority w:val="99"/>
    <w:semiHidden/>
    <w:unhideWhenUsed/>
    <w:rsid w:val="00B47B99"/>
    <w:rPr>
      <w:vertAlign w:val="superscript"/>
    </w:rPr>
  </w:style>
  <w:style w:type="paragraph" w:styleId="EndnoteText">
    <w:name w:val="endnote text"/>
    <w:link w:val="EndnoteTextChar"/>
    <w:uiPriority w:val="99"/>
    <w:semiHidden/>
    <w:unhideWhenUsed/>
    <w:rsid w:val="00B47B99"/>
    <w:rPr>
      <w:sz w:val="20"/>
      <w:szCs w:val="20"/>
    </w:rPr>
  </w:style>
  <w:style w:type="character" w:customStyle="1" w:styleId="EndnoteTextChar">
    <w:name w:val="Endnote Text Char"/>
    <w:link w:val="EndnoteText"/>
    <w:uiPriority w:val="99"/>
    <w:semiHidden/>
    <w:unhideWhenUsed/>
    <w:rsid w:val="00B47B99"/>
    <w:rPr>
      <w:sz w:val="20"/>
      <w:szCs w:val="20"/>
    </w:rPr>
  </w:style>
  <w:style w:type="paragraph" w:styleId="Header">
    <w:name w:val="header"/>
    <w:basedOn w:val="Normal"/>
    <w:link w:val="HeaderChar"/>
    <w:uiPriority w:val="99"/>
    <w:unhideWhenUsed/>
    <w:rsid w:val="009545B3"/>
    <w:pPr>
      <w:tabs>
        <w:tab w:val="center" w:pos="4680"/>
        <w:tab w:val="right" w:pos="9360"/>
      </w:tabs>
    </w:pPr>
  </w:style>
  <w:style w:type="character" w:customStyle="1" w:styleId="HeaderChar">
    <w:name w:val="Header Char"/>
    <w:basedOn w:val="DefaultParagraphFont"/>
    <w:link w:val="Header"/>
    <w:uiPriority w:val="99"/>
    <w:rsid w:val="009545B3"/>
  </w:style>
  <w:style w:type="paragraph" w:styleId="Footer">
    <w:name w:val="footer"/>
    <w:basedOn w:val="Normal"/>
    <w:link w:val="FooterChar"/>
    <w:uiPriority w:val="99"/>
    <w:semiHidden/>
    <w:unhideWhenUsed/>
    <w:rsid w:val="009545B3"/>
    <w:pPr>
      <w:tabs>
        <w:tab w:val="center" w:pos="4680"/>
        <w:tab w:val="right" w:pos="9360"/>
      </w:tabs>
    </w:pPr>
  </w:style>
  <w:style w:type="character" w:customStyle="1" w:styleId="FooterChar">
    <w:name w:val="Footer Char"/>
    <w:basedOn w:val="DefaultParagraphFont"/>
    <w:link w:val="Footer"/>
    <w:uiPriority w:val="99"/>
    <w:semiHidden/>
    <w:rsid w:val="009545B3"/>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1354</Words>
  <Characters>7718</Characters>
  <Application>Microsoft Office Word</Application>
  <DocSecurity>0</DocSecurity>
  <Lines>64</Lines>
  <Paragraphs>18</Paragraphs>
  <ScaleCrop>false</ScaleCrop>
  <Company>BTC</Company>
  <LinksUpToDate>false</LinksUpToDate>
  <CharactersWithSpaces>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Vu Thuy Duong1</cp:lastModifiedBy>
  <cp:revision>6</cp:revision>
  <cp:lastPrinted>2026-09-10T07:45:00Z</cp:lastPrinted>
  <dcterms:created xsi:type="dcterms:W3CDTF">2026-08-20T10:06:00Z</dcterms:created>
  <dcterms:modified xsi:type="dcterms:W3CDTF">2026-09-10T07:51:00Z</dcterms:modified>
</cp:coreProperties>
</file>