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0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tblPr>
      <w:tblGrid>
        <w:gridCol w:w="4500"/>
        <w:gridCol w:w="9500"/>
      </w:tblGrid>
      <w:tr w:rsidR="00127E19">
        <w:tblPrEx>
          <w:tblCellMar>
            <w:top w:w="0" w:type="dxa"/>
            <w:bottom w:w="0" w:type="dxa"/>
          </w:tblCellMar>
        </w:tblPrEx>
        <w:tc>
          <w:tcPr>
            <w:tcW w:w="4500" w:type="dxa"/>
            <w:tcBorders>
              <w:top w:val="none" w:sz="0" w:space="0" w:color="FFFFFF"/>
              <w:left w:val="none" w:sz="0" w:space="0" w:color="FFFFFF"/>
              <w:bottom w:val="none" w:sz="0" w:space="0" w:color="FFFFFF"/>
              <w:right w:val="none" w:sz="0" w:space="0" w:color="FFFFFF"/>
            </w:tcBorders>
          </w:tcPr>
          <w:p w:rsidR="00127E19" w:rsidRDefault="00B51F11">
            <w:pPr>
              <w:spacing w:after="80" w:line="288" w:lineRule="auto"/>
              <w:jc w:val="center"/>
            </w:pPr>
            <w:r>
              <w:rPr>
                <w:b/>
                <w:bCs/>
                <w:noProof/>
                <w:sz w:val="26"/>
                <w:szCs w:val="26"/>
              </w:rPr>
              <w:pict>
                <v:shapetype id="_x0000_t32" coordsize="21600,21600" o:spt="32" o:oned="t" path="m,l21600,21600e" filled="f">
                  <v:path arrowok="t" fillok="f" o:connecttype="none"/>
                  <o:lock v:ext="edit" shapetype="t"/>
                </v:shapetype>
                <v:shape id="_x0000_s1026" type="#_x0000_t32" style="position:absolute;left:0;text-align:left;margin-left:96.55pt;margin-top:21.7pt;width:44.35pt;height:0;z-index:251658240" o:connectortype="straight"/>
              </w:pict>
            </w:r>
            <w:r>
              <w:rPr>
                <w:b/>
                <w:bCs/>
                <w:sz w:val="26"/>
                <w:szCs w:val="26"/>
              </w:rPr>
              <w:t>BỘ TÀI CHÍNH</w:t>
            </w:r>
          </w:p>
        </w:tc>
        <w:tc>
          <w:tcPr>
            <w:tcW w:w="9500" w:type="dxa"/>
            <w:tcBorders>
              <w:top w:val="none" w:sz="0" w:space="0" w:color="FFFFFF"/>
              <w:left w:val="none" w:sz="0" w:space="0" w:color="FFFFFF"/>
              <w:bottom w:val="none" w:sz="0" w:space="0" w:color="FFFFFF"/>
              <w:right w:val="none" w:sz="0" w:space="0" w:color="FFFFFF"/>
            </w:tcBorders>
          </w:tcPr>
          <w:p w:rsidR="00127E19" w:rsidRDefault="00B51F11" w:rsidP="00B51F11">
            <w:pPr>
              <w:jc w:val="center"/>
            </w:pPr>
            <w:r>
              <w:rPr>
                <w:b/>
                <w:bCs/>
                <w:sz w:val="26"/>
                <w:szCs w:val="26"/>
              </w:rPr>
              <w:t>CỘNG HÒA XÃ HỘI CHỦ NGHĨA VIỆT NAM</w:t>
            </w:r>
          </w:p>
          <w:p w:rsidR="00127E19" w:rsidRDefault="00B51F11" w:rsidP="00B51F11">
            <w:pPr>
              <w:jc w:val="center"/>
            </w:pPr>
            <w:r>
              <w:rPr>
                <w:b/>
                <w:bCs/>
              </w:rPr>
              <w:t>Độc lập - Tự do - Hạnh phúc</w:t>
            </w:r>
          </w:p>
        </w:tc>
      </w:tr>
    </w:tbl>
    <w:p w:rsidR="00127E19" w:rsidRDefault="00B51F11">
      <w:r>
        <w:rPr>
          <w:b/>
          <w:bCs/>
          <w:noProof/>
          <w:sz w:val="26"/>
          <w:szCs w:val="26"/>
        </w:rPr>
        <w:pict>
          <v:shape id="_x0000_s1027" type="#_x0000_t32" style="position:absolute;margin-left:393.1pt;margin-top:4.45pt;width:136.65pt;height:0;z-index:251659264;mso-position-horizontal-relative:text;mso-position-vertical-relative:text" o:connectortype="straight"/>
        </w:pict>
      </w:r>
    </w:p>
    <w:p w:rsidR="00B51F11" w:rsidRDefault="00B51F11">
      <w:pPr>
        <w:spacing w:after="80" w:line="288" w:lineRule="auto"/>
        <w:jc w:val="center"/>
        <w:rPr>
          <w:b/>
          <w:bCs/>
        </w:rPr>
      </w:pPr>
    </w:p>
    <w:p w:rsidR="00127E19" w:rsidRDefault="00B51F11">
      <w:pPr>
        <w:spacing w:after="80" w:line="288" w:lineRule="auto"/>
        <w:jc w:val="center"/>
      </w:pPr>
      <w:r>
        <w:rPr>
          <w:b/>
          <w:bCs/>
        </w:rPr>
        <w:t>BẢN SO SÁNH, THUYẾT MINH DỰ THẢO THÔNG TƯ</w:t>
      </w:r>
    </w:p>
    <w:p w:rsidR="00127E19" w:rsidRDefault="00B51F11">
      <w:pPr>
        <w:spacing w:after="80" w:line="288" w:lineRule="auto"/>
        <w:jc w:val="center"/>
      </w:pPr>
      <w:r>
        <w:rPr>
          <w:b/>
          <w:bCs/>
          <w:sz w:val="26"/>
          <w:szCs w:val="26"/>
        </w:rPr>
        <w:t>Hướng dẫn quản lý, sử dụng kinh phí chi thường xuyên từ nguồn ngân sách nhà nước thực hiện hoạt động khuyến nông</w:t>
      </w:r>
    </w:p>
    <w:p w:rsidR="00127E19" w:rsidRDefault="00B51F11">
      <w:pPr>
        <w:spacing w:after="80" w:line="288" w:lineRule="auto"/>
        <w:jc w:val="center"/>
      </w:pPr>
      <w:r>
        <w:rPr>
          <w:i/>
          <w:iCs/>
          <w:sz w:val="26"/>
          <w:szCs w:val="26"/>
        </w:rPr>
        <w:t>(Thay thế Thông tư số 75/2019/TT-BTC ngày 04 tháng 11 năm 2019 và Thông tư số 84/2021/TT-BTC ngày 04 tháng 10 năm 2021 của Bộ trưởng Bộ Tài chính)</w:t>
      </w:r>
    </w:p>
    <w:p w:rsidR="00127E19" w:rsidRDefault="00127E19"/>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500"/>
        <w:gridCol w:w="3400"/>
        <w:gridCol w:w="3100"/>
        <w:gridCol w:w="3400"/>
        <w:gridCol w:w="2600"/>
      </w:tblGrid>
      <w:tr w:rsidR="00127E19">
        <w:tblPrEx>
          <w:tblCellMar>
            <w:top w:w="0" w:type="dxa"/>
            <w:bottom w:w="0" w:type="dxa"/>
          </w:tblCellMar>
        </w:tblPrEx>
        <w:trPr>
          <w:tblHeader/>
        </w:trPr>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jc w:val="center"/>
            </w:pPr>
            <w:r>
              <w:rPr>
                <w:b/>
                <w:bCs/>
                <w:sz w:val="24"/>
                <w:szCs w:val="24"/>
              </w:rPr>
              <w:t>Nội dung</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jc w:val="center"/>
            </w:pPr>
            <w:r>
              <w:rPr>
                <w:b/>
                <w:bCs/>
                <w:sz w:val="24"/>
                <w:szCs w:val="24"/>
              </w:rPr>
              <w:t>Quy định tại Thông tư số 75/2019/TT-BTC (được sửa đổi, bổ sung bởi Thông tư số 84/2021/TT-BTC)</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jc w:val="center"/>
            </w:pPr>
            <w:r>
              <w:rPr>
                <w:b/>
                <w:bCs/>
                <w:sz w:val="24"/>
                <w:szCs w:val="24"/>
              </w:rPr>
              <w:t xml:space="preserve">Quy </w:t>
            </w:r>
            <w:r>
              <w:rPr>
                <w:b/>
                <w:bCs/>
                <w:sz w:val="24"/>
                <w:szCs w:val="24"/>
              </w:rPr>
              <w:t>định tại Nghị định số 268/2026/NĐ-CP</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jc w:val="center"/>
            </w:pPr>
            <w:r>
              <w:rPr>
                <w:b/>
                <w:bCs/>
                <w:sz w:val="24"/>
                <w:szCs w:val="24"/>
              </w:rPr>
              <w:t>Nội dung dự thảo Thông tư</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jc w:val="center"/>
            </w:pPr>
            <w:r>
              <w:rPr>
                <w:b/>
                <w:bCs/>
                <w:sz w:val="24"/>
                <w:szCs w:val="24"/>
              </w:rPr>
              <w:t>Lý do, cơ sở pháp lý của việc thay đổi</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t>Căn cứ ban hành</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Luật Ngân sách nhà nước ngày 25/6/2015; Nghị định số 163/2016/NĐ-CP; Nghị định số 87/2017/NĐ-CP; Nghị định số 83/2018/NĐ-CP về khuyến nông.</w:t>
            </w:r>
          </w:p>
          <w:p w:rsidR="00127E19" w:rsidRDefault="00B51F11">
            <w:pPr>
              <w:spacing w:before="20" w:after="40" w:line="264" w:lineRule="auto"/>
            </w:pPr>
            <w:r>
              <w:rPr>
                <w:sz w:val="24"/>
                <w:szCs w:val="24"/>
              </w:rPr>
              <w:t>Theo đề nghị của Vụ trưởng Vụ Tài chính Hành chính sự nghiệp.</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Nghị định số 268/2026/NĐ-CP ngày 01/7/2026 thay thế to</w:t>
            </w:r>
            <w:r>
              <w:rPr>
                <w:sz w:val="24"/>
                <w:szCs w:val="24"/>
              </w:rPr>
              <w:t>àn bộ Nghị định số 83/2018/NĐ-CP, hiệu lực từ ngày 20/8/2026.</w:t>
            </w:r>
          </w:p>
          <w:p w:rsidR="00127E19" w:rsidRDefault="00B51F11">
            <w:pPr>
              <w:spacing w:before="20" w:after="40" w:line="264" w:lineRule="auto"/>
            </w:pPr>
            <w:r>
              <w:rPr>
                <w:sz w:val="24"/>
                <w:szCs w:val="24"/>
              </w:rPr>
              <w:t xml:space="preserve">Căn cứ ban hành gồm Luật Tổ chức Chính phủ số 63/2025/QH15, Luật Chuyển giao công nghệ số 07/2017/QH14 (sửa đổi, bổ sung bởi Luật số 115/2025/QH15), </w:t>
            </w:r>
            <w:proofErr w:type="gramStart"/>
            <w:r>
              <w:rPr>
                <w:sz w:val="24"/>
                <w:szCs w:val="24"/>
              </w:rPr>
              <w:t>Luật</w:t>
            </w:r>
            <w:proofErr w:type="gramEnd"/>
            <w:r>
              <w:rPr>
                <w:sz w:val="24"/>
                <w:szCs w:val="24"/>
              </w:rPr>
              <w:t xml:space="preserve"> Ngân sách nhà nước số 89/2025/QH15.</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Luật</w:t>
            </w:r>
            <w:r>
              <w:rPr>
                <w:sz w:val="24"/>
                <w:szCs w:val="24"/>
              </w:rPr>
              <w:t xml:space="preserve"> Ngân sách nhà nước số 89/2025/QH15; Luật Chuyển giao công nghệ số 07/2017/QH14 được sửa đổi, bổ sung bởi Luật số 115/2025/QH15; Nghị định số 268/2026/NĐ-CP; Nghị định số 73/2026/NĐ-CP ngày 10/3/2026; Nghị định số 29/2025/NĐ-CP ngày 24/02/2025 được sửa đổi</w:t>
            </w:r>
            <w:r>
              <w:rPr>
                <w:sz w:val="24"/>
                <w:szCs w:val="24"/>
              </w:rPr>
              <w:t>, bổ sung bởi Nghị định số 109/2025/NĐ-CP và Nghị định số 166/2025/NĐ-CP.</w:t>
            </w:r>
          </w:p>
          <w:p w:rsidR="00127E19" w:rsidRDefault="00B51F11">
            <w:pPr>
              <w:spacing w:before="20" w:after="40" w:line="264" w:lineRule="auto"/>
            </w:pPr>
            <w:r>
              <w:rPr>
                <w:sz w:val="24"/>
                <w:szCs w:val="24"/>
              </w:rPr>
              <w:t>Theo đề nghị của Vụ trưởng Vụ Tài chính - Kinh tế ngành.</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Toàn bộ căn cứ ban hành của Thông tư số 75/2019/TT-BTC đã hết hiệu lực hoặc được thay thế. Đây là căn cứ xác định hình thức văn bản thay thế theo khoản 4 Điều 8 Luật số 64/2025/QH15 và yêu cầu về căn cứ ban hành tại Điều 62 Nghị định số 78/2025/NĐ-CP.</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t xml:space="preserve">Bố </w:t>
            </w:r>
            <w:r>
              <w:rPr>
                <w:b/>
                <w:bCs/>
                <w:sz w:val="24"/>
                <w:szCs w:val="24"/>
              </w:rPr>
              <w:t>cục</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 xml:space="preserve">4 chương, 14 điều (Chương II chia </w:t>
            </w:r>
            <w:r>
              <w:rPr>
                <w:sz w:val="24"/>
                <w:szCs w:val="24"/>
              </w:rPr>
              <w:lastRenderedPageBreak/>
              <w:t>thành Mục 1, Mục 2, Mục 3).</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lastRenderedPageBreak/>
              <w:t>5 chương, 24 điều.</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 xml:space="preserve">4 chương, 13 điều (Chương II chia </w:t>
            </w:r>
            <w:r>
              <w:rPr>
                <w:sz w:val="24"/>
                <w:szCs w:val="24"/>
              </w:rPr>
              <w:lastRenderedPageBreak/>
              <w:t>thành Mục 1, Mục 2).</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lastRenderedPageBreak/>
              <w:t xml:space="preserve">Giảm 01 điều do bỏ Điều </w:t>
            </w:r>
            <w:r>
              <w:rPr>
                <w:sz w:val="24"/>
                <w:szCs w:val="24"/>
              </w:rPr>
              <w:lastRenderedPageBreak/>
              <w:t>7 và Điều 8 của Thông tư số 75/2019/TT-BTC, bổ sung 01 điều mới về khuyến nông cộng đồng; tá</w:t>
            </w:r>
            <w:r>
              <w:rPr>
                <w:sz w:val="24"/>
                <w:szCs w:val="24"/>
              </w:rPr>
              <w:t>ch riêng Chương III về lập dự toán, chấp hành và quyết toán theo Điều 63 Nghị định số 78/2025/NĐ-CP.</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lastRenderedPageBreak/>
              <w:t>Điều 1. Phạm vi điều chỉnh, đối tượng áp dụng</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1: dẫn chiếu chung Nghị định số 83/2018/NĐ-CP; nội dung hoạt động khuyến nông, định mức kinh tế kỹ thuậ</w:t>
            </w:r>
            <w:r>
              <w:rPr>
                <w:sz w:val="24"/>
                <w:szCs w:val="24"/>
              </w:rPr>
              <w:t>t, "nội dung xây dựng mô hình trình diễn" theo Nghị định số 83/2018/NĐ-CP và hướng dẫn của Bộ Nông nghiệp và Phát triển nông thôn.</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Điểm b khoản 2 Điều 21: Bộ Tài chính chủ trì, phối hợp với Bộ Nông nghiệp và Môi trường hướng dẫn quản lý, sử dụng kinh phí k</w:t>
            </w:r>
            <w:r>
              <w:rPr>
                <w:sz w:val="24"/>
                <w:szCs w:val="24"/>
              </w:rPr>
              <w:t>huyến nông trung ương và địa phương.</w:t>
            </w:r>
          </w:p>
          <w:p w:rsidR="00127E19" w:rsidRDefault="00B51F11">
            <w:pPr>
              <w:spacing w:before="20" w:after="40" w:line="264" w:lineRule="auto"/>
            </w:pPr>
            <w:r>
              <w:rPr>
                <w:sz w:val="24"/>
                <w:szCs w:val="24"/>
              </w:rPr>
              <w:t>Điều 9: giao Bộ trưởng Bộ Nông nghiệp và Môi trường quy định trình tự, thủ tục.</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Tên gọi: "Hướng dẫn quản lý, sử dụng kinh phí chi thường xuyên từ nguồn ngân sách nhà nước thực hiện hoạt động khuyến nông"</w:t>
            </w:r>
            <w:r>
              <w:rPr>
                <w:sz w:val="24"/>
                <w:szCs w:val="24"/>
              </w:rPr>
              <w:t>. Điều 1: dẫn chiếu đích danh điểm b khoản 2 Điều 21 Nghị định số 268/2026/NĐ-CP; thay cụm "mô hình trình diễn" bằng "xây dựng và nhân rộng mô hình"; cập nhật tên Bộ Nông nghiệp và Môi trường.</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65 Nghị định số 78/2025/NĐ-CP: phải nêu cụ thể điều, khoản</w:t>
            </w:r>
            <w:r>
              <w:rPr>
                <w:sz w:val="24"/>
                <w:szCs w:val="24"/>
              </w:rPr>
              <w:t xml:space="preserve"> được giao quy định chi tiết tại điều quy định về phạm vi điều chỉnh. Cập nhật tên bộ sau hợp nhất theo Nghị định số 35/2025/NĐ-CP.</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t>Điều 2. Nguồn kinh phí</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 xml:space="preserve">Điều 2 khoản 1: liệt kê ngân sách trung ương bảo đảm cho khuyến nông trung ương do Bộ Nông nghiệp và Phát triển nông thôn quản lý; ngân sách địa phương bảo đảm cho khuyến nông địa phương do Ủy ban nhân dân cấp tỉnh, cấp </w:t>
            </w:r>
            <w:r>
              <w:rPr>
                <w:sz w:val="24"/>
                <w:szCs w:val="24"/>
              </w:rPr>
              <w:lastRenderedPageBreak/>
              <w:t>huyện, cấp xã quản lý.</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lastRenderedPageBreak/>
              <w:t>Điều 18 quy đ</w:t>
            </w:r>
            <w:r>
              <w:rPr>
                <w:sz w:val="24"/>
                <w:szCs w:val="24"/>
              </w:rPr>
              <w:t>ịnh nguồn kinh phí thực hiện hoạt động khuyến nông theo phân cấp ngân sách nhà nước; không còn cấp huyện.</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2 khoản 1: dẫn chiếu Điều 18 Nghị định số 268/2026/NĐ-CP, không liệt kê lại; giữ nguyên khoản 2 và khoản 3.</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Tránh chép lại quy định của nghị định</w:t>
            </w:r>
            <w:r>
              <w:rPr>
                <w:sz w:val="24"/>
                <w:szCs w:val="24"/>
              </w:rPr>
              <w:t>. Bỏ cấp huyện theo mô hình chính quyền địa phương 02 cấp (Nghị định số 131/2025/NĐ-CP).</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lastRenderedPageBreak/>
              <w:t>Điều 3. Nguyên tắc quản lý, sử dụng</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3 gồm 04 khoản; khoản 2 dẫn phương thức giao nhiệm vụ, đặt hàng theo khoản 3 Điều 19 và khoản 4 Điều 25 Nghị định số 83/2018/</w:t>
            </w:r>
            <w:r>
              <w:rPr>
                <w:sz w:val="24"/>
                <w:szCs w:val="24"/>
              </w:rPr>
              <w:t>NĐ-CP; khoản 4 quy định nội dung chi chưa có mức chi thì "Thủ trưởng đơn vị quyết định và chịu trách nhiệm".</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Các Điều 13, 14, 15, 16 quy định chính sách hỗ trợ, tỷ lệ, mức hỗ trợ; Điều 19 quy định sử dụng kinh phí; khoản 2 Điều 19 quy định phương thức giao</w:t>
            </w:r>
            <w:r>
              <w:rPr>
                <w:sz w:val="24"/>
                <w:szCs w:val="24"/>
              </w:rPr>
              <w:t xml:space="preserve"> nhiệm vụ, đặt hàng hoặc đấu thầu.</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3 gồm 03 khoản: khoản 1 dẫn chiếu các Điều 13, 14, 15, 16 và 19; khoản 2 dẫn chiếu các Điều 4, 5, 6, 7, 8 và 9; khoản 3 quy định nội dung chi chưa có định mức thì thẩm quyền quyết định theo pháp luật về ngân sách nhà nước.</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Phân định thẩm quyền: Bộ Tài</w:t>
            </w:r>
            <w:r>
              <w:rPr>
                <w:sz w:val="24"/>
                <w:szCs w:val="24"/>
              </w:rPr>
              <w:t xml:space="preserve"> chính quy định mức chi, nội dung hoạt động thuộc Bộ Nông nghiệp và Môi trường. Quy định "Thủ trưởng đơn vị quyết định" không còn phù hợp với thẩm quyền quyết định chế độ chi theo Luật số 89/2025/QH15.</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t>Điều 4. Đào tạo, tập huấn, bồi dưỡng</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4: dẫn Điều</w:t>
            </w:r>
            <w:r>
              <w:rPr>
                <w:sz w:val="24"/>
                <w:szCs w:val="24"/>
              </w:rPr>
              <w:t xml:space="preserve"> 6 Nghị định số 83/2018/NĐ-CP. Biên soạn giáo trình theo Thông tư số 76/2018/TT-BTC; thù lao giảng viên theo Thông tư số 36/2018/TT-BTC; khảo sát ngoài nước theo Thông tư số 102/2012/TT-BTC. Điểm d phân biệt 05 nhóm đối tượng theo Điều 5 Nghị định số 83/20</w:t>
            </w:r>
            <w:r>
              <w:rPr>
                <w:sz w:val="24"/>
                <w:szCs w:val="24"/>
              </w:rPr>
              <w:t>18/NĐ-CP với mức hỗ trợ khác nhau (100% / tối đa 50% / 50%); tiền đi lại 200.000 đồng/người/khóa học (300.000 đồng đối với người khuyết tật, vùng khó khăn).</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4 quy định nội dung, phương thức đào tạo, tập huấn, bồi dưỡng.</w:t>
            </w:r>
          </w:p>
          <w:p w:rsidR="00127E19" w:rsidRDefault="00B51F11">
            <w:pPr>
              <w:spacing w:before="20" w:after="40" w:line="264" w:lineRule="auto"/>
            </w:pPr>
            <w:r>
              <w:rPr>
                <w:sz w:val="24"/>
                <w:szCs w:val="24"/>
              </w:rPr>
              <w:t xml:space="preserve">Khoản 1 Điều 13 quy định chính </w:t>
            </w:r>
            <w:r>
              <w:rPr>
                <w:sz w:val="24"/>
                <w:szCs w:val="24"/>
              </w:rPr>
              <w:t>sách hỗ trợ đối với người tham gia đào tạo, tập huấn, bồi dưỡng, khảo sát học tập khuyến nông.</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4: dẫn Điều 4 và Điều 13 Nghị định số 268/2026/NĐ-CP. Tiền công giảng viên theo Thông tư số 100/2025/TT-BTC; khảo sát ngoài nước theo Thông tư số 140/2025/T</w:t>
            </w:r>
            <w:r>
              <w:rPr>
                <w:sz w:val="24"/>
                <w:szCs w:val="24"/>
              </w:rPr>
              <w:t>T-BTC; tiền ăn và chỗ ở theo Thông tư số 40/2017/TT-BTC (sửa đổi, bổ sung bởi Thông tư số 12/2025/TT-BTC); tiền đi lại áp dụng mức tại Thông tư số 152/2016/TT-BTC (sửa đổi, bổ sung bởi Thông tư số 40/2019/TT-BTC, Thông tư số 43/2023/TT-BTC và Thông tư số 2</w:t>
            </w:r>
            <w:r>
              <w:rPr>
                <w:sz w:val="24"/>
                <w:szCs w:val="24"/>
              </w:rPr>
              <w:t xml:space="preserve">7/2026/TT-BTC). Bổ sung học liệu điện tử, </w:t>
            </w:r>
            <w:r>
              <w:rPr>
                <w:sz w:val="24"/>
                <w:szCs w:val="24"/>
              </w:rPr>
              <w:lastRenderedPageBreak/>
              <w:t>đào tạo trực tuyến.</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lastRenderedPageBreak/>
              <w:t xml:space="preserve">Nghị định số 268/2026/NĐ-CP quy định thống nhất mức hỗ trợ, không còn phân nhóm đối tượng như Điều </w:t>
            </w:r>
            <w:proofErr w:type="gramStart"/>
            <w:r>
              <w:rPr>
                <w:sz w:val="24"/>
                <w:szCs w:val="24"/>
              </w:rPr>
              <w:t>5 Nghị định số 83/2018/NĐ-CP,</w:t>
            </w:r>
            <w:proofErr w:type="gramEnd"/>
            <w:r>
              <w:rPr>
                <w:sz w:val="24"/>
                <w:szCs w:val="24"/>
              </w:rPr>
              <w:t xml:space="preserve"> do đó bỏ việc phân biệt 05 nhóm. Cập nhật các Thông tư căn cứ đã </w:t>
            </w:r>
            <w:r>
              <w:rPr>
                <w:sz w:val="24"/>
                <w:szCs w:val="24"/>
              </w:rPr>
              <w:t xml:space="preserve">được thay thế. Chuyển từ quy định cứng số tiền sang dẫn chiếu để tự cập nhật khi mức chi thay đổi. Bổ sung nội dung chuyển đổi số theo điểm d khoản 5 </w:t>
            </w:r>
            <w:r>
              <w:rPr>
                <w:sz w:val="24"/>
                <w:szCs w:val="24"/>
              </w:rPr>
              <w:lastRenderedPageBreak/>
              <w:t>Điều 40 Nghị định số 78/2025/NĐ-CP.</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lastRenderedPageBreak/>
              <w:t>Điều 5. Thông tin, truyền thông khuyến nông</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5 "Thông tin tuyên t</w:t>
            </w:r>
            <w:r>
              <w:rPr>
                <w:sz w:val="24"/>
                <w:szCs w:val="24"/>
              </w:rPr>
              <w:t>ruyền": dẫn Điều 7 và Điều 28 Nghị định số 83/2018/NĐ-CP. Nhuận bút theo Nghị định số 61/2002/NĐ-CP, Nghị định số 18/2014/NĐ-CP, Nghị định số 21/2015/NĐ-CP. Diễn đàn, tọa đàm theo Điều 11 và Điều 12 Thông tư số 40/2017/TT-BTC, vận dụng khoản 5 Điều 7 Thông</w:t>
            </w:r>
            <w:r>
              <w:rPr>
                <w:sz w:val="24"/>
                <w:szCs w:val="24"/>
              </w:rPr>
              <w:t xml:space="preserve"> tư liên tịch số 55/2015/TTLT-BTC-BKHCN. Hội thi theo Thông tư số 55/2013/TT-BTC và Thông tư liên tịch số 43/2012/TTLT-BTC-BLĐTBXH. Ứng dụng công nghệ thông tin theo Thông tư liên tịch số 19/2012/TTLT-BTC-BKHĐT-BTTTT.</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5 quy định nội dung, phương thức thông tin, truyền thông khuyến nông (bao gồm điểm đ khoản 2 về khuyến nông cộng đồng).</w:t>
            </w:r>
          </w:p>
          <w:p w:rsidR="00127E19" w:rsidRDefault="00B51F11">
            <w:pPr>
              <w:spacing w:before="20" w:after="40" w:line="264" w:lineRule="auto"/>
            </w:pPr>
            <w:r>
              <w:rPr>
                <w:sz w:val="24"/>
                <w:szCs w:val="24"/>
              </w:rPr>
              <w:t>Điều 14 quy định chính sách thông tin, truyền thông; khoản 2 Điều 14 quy định hỗ trợ người tham gia sự kiện khuyến nông.</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5: dẫ</w:t>
            </w:r>
            <w:r>
              <w:rPr>
                <w:sz w:val="24"/>
                <w:szCs w:val="24"/>
              </w:rPr>
              <w:t>n Điều 5 và Điều 14 Nghị định số 268/2026/NĐ-CP. Nhuận bút dẫn chiếu quy định hiện hành của Chính phủ. Diễn đàn, tọa đàm, hội thảo theo Thông tư số 40/2017/TT-BTC và Thông tư số 140/2025/TT-BTC. Hội thi theo Thông tư số 56/2023/TT-BTC. Bổ sung khoản 8 về c</w:t>
            </w:r>
            <w:r>
              <w:rPr>
                <w:sz w:val="24"/>
                <w:szCs w:val="24"/>
              </w:rPr>
              <w:t xml:space="preserve">ơ sở dữ liệu, nền tảng số, </w:t>
            </w:r>
            <w:proofErr w:type="gramStart"/>
            <w:r>
              <w:rPr>
                <w:sz w:val="24"/>
                <w:szCs w:val="24"/>
              </w:rPr>
              <w:t>an</w:t>
            </w:r>
            <w:proofErr w:type="gramEnd"/>
            <w:r>
              <w:rPr>
                <w:sz w:val="24"/>
                <w:szCs w:val="24"/>
              </w:rPr>
              <w:t xml:space="preserve"> toàn thông tin.</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Các thông tư liên tịch được viện dẫn tại Thông tư số 75/2019/TT-BTC không còn phù hợp hoặc đã bị bãi bỏ. Gộp ba nghị định về nhuận bút thành một dẫn chiếu chung để tránh phải sửa Thông tư khi văn bản gốc thay đ</w:t>
            </w:r>
            <w:r>
              <w:rPr>
                <w:sz w:val="24"/>
                <w:szCs w:val="24"/>
              </w:rPr>
              <w:t>ổi. Bổ sung nội dung chuyển đổi số.</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t>Điều 6. Xây dựng và nhân rộng mô hình</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 xml:space="preserve">Điều 6: dẫn Điều 5 và Điều 29 Nghị định số 83/2018/NĐ-CP. Hỗ trợ giống, thiết bị, vật tư theo điểm a, b, c khoản 1 Điều 29. Chi thuê cán bộ kỹ thuật chỉ đạo mô hình trình diễn tính </w:t>
            </w:r>
            <w:r>
              <w:rPr>
                <w:sz w:val="24"/>
                <w:szCs w:val="24"/>
              </w:rPr>
              <w:t xml:space="preserve">bằng mức lương cơ </w:t>
            </w:r>
            <w:r>
              <w:rPr>
                <w:sz w:val="24"/>
                <w:szCs w:val="24"/>
              </w:rPr>
              <w:lastRenderedPageBreak/>
              <w:t>sở/22 ngày nhân số ngày thực tế thuê. Không có nội dung hỗ trợ chứng nhận chất lượng, truy xuất nguồn gốc.</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lastRenderedPageBreak/>
              <w:t xml:space="preserve">Điều 15 quy định chính sách xây dựng và nhân rộng mô hình: điểm a, điểm b khoản 1 (tỷ lệ hỗ trợ giống, vật tư), điểm c khoản 1 (tư </w:t>
            </w:r>
            <w:r>
              <w:rPr>
                <w:sz w:val="24"/>
                <w:szCs w:val="24"/>
              </w:rPr>
              <w:t xml:space="preserve">vấn, chứng nhận), điểm d khoản 1 (người </w:t>
            </w:r>
            <w:r>
              <w:rPr>
                <w:sz w:val="24"/>
                <w:szCs w:val="24"/>
              </w:rPr>
              <w:lastRenderedPageBreak/>
              <w:t>chỉ đạo kỹ thuật); khoản 2 quy định nhân rộng mô hình.</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lastRenderedPageBreak/>
              <w:t>Điều 6: dẫn Điều 15 Nghị định số 268/2026/NĐ-CP. Bổ sung điểm c khoản 3 về chi tư vấn, đào tạo để được cấp chứng nhận tiêu chuẩn chất lượng, an toàn thực phẩm, m</w:t>
            </w:r>
            <w:r>
              <w:rPr>
                <w:sz w:val="24"/>
                <w:szCs w:val="24"/>
              </w:rPr>
              <w:t xml:space="preserve">ã số vùng trồng, truy xuất nguồn </w:t>
            </w:r>
            <w:r>
              <w:rPr>
                <w:sz w:val="24"/>
                <w:szCs w:val="24"/>
              </w:rPr>
              <w:lastRenderedPageBreak/>
              <w:t>gốc, chỉ dẫn địa lý. Giữ công thức mức lương cơ sở chia 22 ngày, bổ sung cụm "theo quy định của pháp luật tại thời điểm thực hiện".</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lastRenderedPageBreak/>
              <w:t>Điểm c khoản 1 Điều 15 Nghị định số 268/2026/NĐ-CP là chính sách mới, chưa có tại Nghị định</w:t>
            </w:r>
            <w:r>
              <w:rPr>
                <w:sz w:val="24"/>
                <w:szCs w:val="24"/>
              </w:rPr>
              <w:t xml:space="preserve"> số 83/2018/NĐ-CP. Bổ sung cụm từ về thời </w:t>
            </w:r>
            <w:r>
              <w:rPr>
                <w:sz w:val="24"/>
                <w:szCs w:val="24"/>
              </w:rPr>
              <w:lastRenderedPageBreak/>
              <w:t>điểm áp dụng để quy định không mất căn cứ tính nếu chế độ tiền lương thay đổi.</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lastRenderedPageBreak/>
              <w:t>Điều 7. Hỗ trợ hoạt động của tổ, nhóm khuyến nông cộng đồng (nội dung mới)</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Không quy định.</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Khoản 3 Điều 2 giải thích khái niệm khuyến nông cộng đồng; điểm đ khoản 2 Điều 5 quy định hoạt động; điểm đ khoản 1 Điều 19 quy định nội dung chi hỗ trợ tổ, nhóm khuyến nông cộng đồng.</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7 (mới): nội dung hoạt động theo quy định của Bộ trưởng Bộ Nông ng</w:t>
            </w:r>
            <w:r>
              <w:rPr>
                <w:sz w:val="24"/>
                <w:szCs w:val="24"/>
              </w:rPr>
              <w:t>hiệp và Môi trường; mức chi theo chế độ chi tiêu tài chính hiện hành tương ứng; nội dung chưa có chế độ thì theo khối lượng thực tế và dự toán được phê duyệt.</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Nội dung chi mới phát sinh từ điểm đ khoản 1 Điều 19 Nghị định số 268/2026/NĐ-CP, thuộc phạm vi B</w:t>
            </w:r>
            <w:r>
              <w:rPr>
                <w:sz w:val="24"/>
                <w:szCs w:val="24"/>
              </w:rPr>
              <w:t>ộ Tài chính hướng dẫn theo điểm b khoản 2 Điều 21 của Nghị định.</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t>Bỏ Điều 7 (tư vấn, dịch vụ khuyến nông) và Điều 8 (hợp tác quốc tế) của Thông tư số 75/2019/TT-BTC</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7: tư vấn và dịch vụ khuyến nông theo Điều 9 Nghị định số 83/2018/NĐ-CP.</w:t>
            </w:r>
          </w:p>
          <w:p w:rsidR="00127E19" w:rsidRDefault="00B51F11">
            <w:pPr>
              <w:spacing w:before="20" w:after="40" w:line="264" w:lineRule="auto"/>
            </w:pPr>
            <w:r>
              <w:rPr>
                <w:sz w:val="24"/>
                <w:szCs w:val="24"/>
              </w:rPr>
              <w:t>Điều 8: hợp t</w:t>
            </w:r>
            <w:r>
              <w:rPr>
                <w:sz w:val="24"/>
                <w:szCs w:val="24"/>
              </w:rPr>
              <w:t>ác quốc tế về khuyến nông theo Điều 10 Nghị định số 83/2018/NĐ-CP; đón tiếp khách nước ngoài theo Thông tư số 71/2018/TT-BTC.</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[Cần đối chiếu] Rà soát Nghị định số 268/2026/NĐ-CP để xác định còn quy định hoạt động tư vấn, dịch vụ khuyến nông và hợp tác quốc</w:t>
            </w:r>
            <w:r>
              <w:rPr>
                <w:sz w:val="24"/>
                <w:szCs w:val="24"/>
              </w:rPr>
              <w:t xml:space="preserve"> tế về khuyến nông hay không.</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Dự thảo không quy định thành điều riêng.</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[Cần rà soát trước khi gửi thẩm định] Nếu Nghị định số 268/2026/NĐ-CP vẫn quy định hai nhóm hoạt động này thì việc bỏ sẽ tạo khoảng trống hướng dẫn về mức chi, không đáp ứng yêu cầu tại</w:t>
            </w:r>
            <w:r>
              <w:rPr>
                <w:sz w:val="24"/>
                <w:szCs w:val="24"/>
              </w:rPr>
              <w:t xml:space="preserve"> điểm b khoản 2 Điều 21 của Nghị định.</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t>Điều 8. Nội dung chi khác</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 xml:space="preserve">Điều 9: thuê chuyên gia theo Thông tư số 02/2015/TT-BLĐTBXH. Khoản 4: cơ quan quản lý khuyến nông được trích tối </w:t>
            </w:r>
            <w:r>
              <w:rPr>
                <w:sz w:val="24"/>
                <w:szCs w:val="24"/>
              </w:rPr>
              <w:lastRenderedPageBreak/>
              <w:t>đa 3%; tổ chức chủ trì và đơn vị triển khai được trích tối đa 5% kinh phí được giao dự toán trong năm. Hội đồng tư vấn, thẩm định vận dụng Thôn</w:t>
            </w:r>
            <w:r>
              <w:rPr>
                <w:sz w:val="24"/>
                <w:szCs w:val="24"/>
              </w:rPr>
              <w:t>g tư liên tịch số 55/2015/TTLT-BTC-BKHCN.</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lastRenderedPageBreak/>
              <w:t xml:space="preserve">Điểm b khoản 1 Điều 19 (thuê chuyên gia); điểm c (mua bản quyền, công nghệ mới); điểm d (mua sắm trang thiết bị); điểm e </w:t>
            </w:r>
            <w:r>
              <w:rPr>
                <w:sz w:val="24"/>
                <w:szCs w:val="24"/>
              </w:rPr>
              <w:lastRenderedPageBreak/>
              <w:t>(kinh phí quản lý tối đa 8%, gồm 3% cơ quan quản lý và 5% tổ chức thực hiện); điểm g (chi khá</w:t>
            </w:r>
            <w:r>
              <w:rPr>
                <w:sz w:val="24"/>
                <w:szCs w:val="24"/>
              </w:rPr>
              <w:t>c).</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lastRenderedPageBreak/>
              <w:t xml:space="preserve">Điều 8: chuyên gia trong nước theo Thông tư số 07/2026/TT-BNV, chuyên gia nước ngoài theo hợp đồng và dự toán được phê </w:t>
            </w:r>
            <w:r>
              <w:rPr>
                <w:sz w:val="24"/>
                <w:szCs w:val="24"/>
              </w:rPr>
              <w:lastRenderedPageBreak/>
              <w:t>duyệt. Khoản 4 dẫn chiếu tỷ lệ tại điểm e khoản 1 Điều 19 Nghị định số 268/2026/NĐ-CP, chỉ quy định nội dung chi tương ứng của từng c</w:t>
            </w:r>
            <w:r>
              <w:rPr>
                <w:sz w:val="24"/>
                <w:szCs w:val="24"/>
              </w:rPr>
              <w:t>hủ thể. Bỏ dẫn chiếu Thông tư liên tịch số 55/2015/TTLT-BTC-BKHCN.</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lastRenderedPageBreak/>
              <w:t xml:space="preserve">Tỷ lệ trích kinh phí quản lý nay đã được ấn định tại nghị định nên Thông tư không quy định lại. Thông </w:t>
            </w:r>
            <w:r>
              <w:rPr>
                <w:sz w:val="24"/>
                <w:szCs w:val="24"/>
              </w:rPr>
              <w:lastRenderedPageBreak/>
              <w:t>tư số 02/2015/TT-BLĐTBXH đã được thay thế. Tách riêng chuyên gia trong nước và chuyên g</w:t>
            </w:r>
            <w:r>
              <w:rPr>
                <w:sz w:val="24"/>
                <w:szCs w:val="24"/>
              </w:rPr>
              <w:t>ia nước ngoài do Thông tư số 07/2026/TT-BNV chỉ điều chỉnh chuyên gia tư vấn trong nước.</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lastRenderedPageBreak/>
              <w:t>Điều 9. Nội dung chi, mức chi hoạt động khuyến nông địa phương</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10: Ủy ban nhân dân cấp tỉnh trình Hội đồng nhân dân cấp tỉnh quy định nội dung chi, mức hỗ trợ. Không quy định trường hợp địa phương chưa ban hành.</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18 quy định ngân sách địa phương bảo đảm kinh phí khuyến nông địa phương.</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9 gồm 02 khoản: kh</w:t>
            </w:r>
            <w:r>
              <w:rPr>
                <w:sz w:val="24"/>
                <w:szCs w:val="24"/>
              </w:rPr>
              <w:t>oản 1 Hội đồng nhân dân cấp tỉnh quyết định cụ thể hoặc giao Ủy ban nhân dân cấp tỉnh quyết định, dẫn chiếu điểm h khoản 9 Điều 31 Luật Ngân sách nhà nước; khoản 2 quy định trường hợp chưa ban hành thì áp dụng nội dung chi, mức chi tại Mục 1 Chương II Thôn</w:t>
            </w:r>
            <w:r>
              <w:rPr>
                <w:sz w:val="24"/>
                <w:szCs w:val="24"/>
              </w:rPr>
              <w:t>g tư này.</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 xml:space="preserve">Cập nhật thẩm quyền theo điểm h khoản 9 Điều 31 Luật số 89/2025/QH15 (bổ sung phương </w:t>
            </w:r>
            <w:proofErr w:type="gramStart"/>
            <w:r>
              <w:rPr>
                <w:sz w:val="24"/>
                <w:szCs w:val="24"/>
              </w:rPr>
              <w:t>án</w:t>
            </w:r>
            <w:proofErr w:type="gramEnd"/>
            <w:r>
              <w:rPr>
                <w:sz w:val="24"/>
                <w:szCs w:val="24"/>
              </w:rPr>
              <w:t xml:space="preserve"> giao Ủy ban nhân dân cấp tỉnh quyết định). Bổ sung khoản 2 để bịt khoảng trống áp dụng khi Hội đồng nhân dân cấp tỉnh chưa ban hành nghị quyết.</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t>Điều 10. Lập dự toán</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11: lập kế hoạch tài chính - ngân sách nhà nước 03 năm và dự toán hằng năm. Lập dự toán khuyến nông cấp huyện, cấp xã do Ủy ban nhân dân cấp tỉnh quy định; Sở Nông nghiệp và Phát triển nông thôn lập dự toán cấp tỉnh.</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20 quy đ</w:t>
            </w:r>
            <w:r>
              <w:rPr>
                <w:sz w:val="24"/>
                <w:szCs w:val="24"/>
              </w:rPr>
              <w:t>ịnh lập, chấp hành dự toán và quyết toán kinh phí khuyến nông.</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10: dẫn Luật Ngân sách nhà nước và Điều 20 Nghị định số 268/2026/NĐ-CP; bỏ kế hoạch tài chính - ngân sách nhà nước 03 năm; bỏ cấp huyện; không chỉ định đích danh cơ quan chuyên môn cấp tỉn</w:t>
            </w:r>
            <w:r>
              <w:rPr>
                <w:sz w:val="24"/>
                <w:szCs w:val="24"/>
              </w:rPr>
              <w:t>h.</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 xml:space="preserve">Luật số 89/2025/QH15 đã bỏ kế hoạch tài chính - ngân sách nhà nước 03 năm, chỉ còn kế hoạch tài chính 05 năm. Bỏ cấp huyện theo mô hình chính quyền địa phương 02 cấp. Không chỉ định đích danh </w:t>
            </w:r>
            <w:r>
              <w:rPr>
                <w:sz w:val="24"/>
                <w:szCs w:val="24"/>
              </w:rPr>
              <w:lastRenderedPageBreak/>
              <w:t>cơ quan chuyên môn để phù hợp với việc sắp xếp tổ chức bộ máy</w:t>
            </w:r>
            <w:r>
              <w:rPr>
                <w:sz w:val="24"/>
                <w:szCs w:val="24"/>
              </w:rPr>
              <w:t xml:space="preserve"> tại địa phương.</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lastRenderedPageBreak/>
              <w:t>Điều 11. Phân bổ, quản lý, sử dụng và quyết toán</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12: dẫn Luật Ngân sách nhà nước năm 2015 và Nghị định số 163/2016/NĐ-CP; giao nhiệm vụ, đặt hàng theo Nghị định số 32/2019/NĐ-CP; kiểm soát chi theo Thông tư số 161/2012/TT-BTC và Thôn</w:t>
            </w:r>
            <w:r>
              <w:rPr>
                <w:sz w:val="24"/>
                <w:szCs w:val="24"/>
              </w:rPr>
              <w:t>g tư số 39/2016/TT-BTC; quyết toán theo Thông tư số 137/2017/TT-BTC.</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Khoản 2 Điều 19 quy định phương thức giao nhiệm vụ, đặt hàng hoặc đấu thầu; Điều 20 quy định chấp hành dự toán và quyết toán.</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11 gồm 05 khoản: dẫn chiếu chung pháp luật về giao nhiệm</w:t>
            </w:r>
            <w:r>
              <w:rPr>
                <w:sz w:val="24"/>
                <w:szCs w:val="24"/>
              </w:rPr>
              <w:t xml:space="preserve"> vụ, đặt hàng, đấu thầu thay vì đích danh nghị định; thanh toán qua Kho bạc Nhà nước theo Nghị định số 347/2025/NĐ-CP; bổ sung khoản 5 về hạch toán, quyết toán theo pháp luật kế toán và Mục lục ngân sách nhà nước hiện hành.</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Nghị định số 163/2016/NĐ-CP đã đ</w:t>
            </w:r>
            <w:r>
              <w:rPr>
                <w:sz w:val="24"/>
                <w:szCs w:val="24"/>
              </w:rPr>
              <w:t>ược thay thế bởi Nghị định số 73/2026/NĐ-CP. Thông tư số 161/2012/TT-BTC và Thông tư số 39/2016/TT-BTC về kiểm soát chi không còn phù hợp; thủ tục thanh toán qua Kho bạc Nhà nước nay quy định tại Nghị định số 347/2025/NĐ-CP. Dùng dẫn chiếu chung để tránh p</w:t>
            </w:r>
            <w:r>
              <w:rPr>
                <w:sz w:val="24"/>
                <w:szCs w:val="24"/>
              </w:rPr>
              <w:t>hải sửa Thông tư khi văn bản được dẫn thay đổi.</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t>Điều 12. Điều khoản chuyển tiếp</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 xml:space="preserve">Điều 13 gồm 02 khoản: chương trình, dự </w:t>
            </w:r>
            <w:proofErr w:type="gramStart"/>
            <w:r>
              <w:rPr>
                <w:sz w:val="24"/>
                <w:szCs w:val="24"/>
              </w:rPr>
              <w:t>án</w:t>
            </w:r>
            <w:proofErr w:type="gramEnd"/>
            <w:r>
              <w:rPr>
                <w:sz w:val="24"/>
                <w:szCs w:val="24"/>
              </w:rPr>
              <w:t xml:space="preserve"> đã được phê duyệt dự toán trước ngày Thông tư có hiệu lực thì tiếp tục thực hiện; chương trình, dự án chưa được phê duyệt thì trình phê duyệt theo Thông tư mới.</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23 quy định chuyển tiếp đối với chương trình, kế</w:t>
            </w:r>
            <w:r>
              <w:rPr>
                <w:sz w:val="24"/>
                <w:szCs w:val="24"/>
              </w:rPr>
              <w:t xml:space="preserve"> hoạch, dự án, nhiệm vụ khuyến nông đã được phê duyệt.</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 xml:space="preserve">Điều 12 gồm 02 khoản: khoản 1 neo mốc "trước ngày Thông tư này có hiệu lực thi hành", dẫn chiếu Điều 23 Nghị định số 268/2026/NĐ-CP; khoản 2 (mới) quy định văn bản về nội dung chi, mức chi do Hội đồng </w:t>
            </w:r>
            <w:r>
              <w:rPr>
                <w:sz w:val="24"/>
                <w:szCs w:val="24"/>
              </w:rPr>
              <w:t xml:space="preserve">nhân dân cấp </w:t>
            </w:r>
            <w:r>
              <w:rPr>
                <w:sz w:val="24"/>
                <w:szCs w:val="24"/>
              </w:rPr>
              <w:lastRenderedPageBreak/>
              <w:t>tỉnh ban hành trước đó tiếp tục áp dụng đến khi có văn bản thay thế.</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lastRenderedPageBreak/>
              <w:t xml:space="preserve">Bảo đảm không đứt gãy trong thời gian địa phương chưa kịp ban hành nghị quyết mới. Quy định chuyển tiếp đặt thành điều riêng tại phần cuối văn bản theo Điều 67 Nghị </w:t>
            </w:r>
            <w:r>
              <w:rPr>
                <w:sz w:val="24"/>
                <w:szCs w:val="24"/>
              </w:rPr>
              <w:lastRenderedPageBreak/>
              <w:t>định số 7</w:t>
            </w:r>
            <w:r>
              <w:rPr>
                <w:sz w:val="24"/>
                <w:szCs w:val="24"/>
              </w:rPr>
              <w:t>8/2025/NĐ-CP.</w:t>
            </w:r>
          </w:p>
        </w:tc>
      </w:tr>
      <w:tr w:rsidR="00127E19">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b/>
                <w:bCs/>
                <w:sz w:val="24"/>
                <w:szCs w:val="24"/>
              </w:rPr>
              <w:lastRenderedPageBreak/>
              <w:t>Điều 13. Hiệu lực thi hành</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14: hiệu lực từ ngày 01/01/2020; bãi bỏ Thông tư liên tịch số 183/2010/TTLT-BTC-BNN; có đoạn quy định chế độ bồi dưỡng thực hiện đến hết năm 2020, từ năm 2021 theo Nghị quyết số 27-NQ/TW.</w:t>
            </w:r>
          </w:p>
        </w:tc>
        <w:tc>
          <w:tcPr>
            <w:tcW w:w="31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24 quy định hiệu</w:t>
            </w:r>
            <w:r>
              <w:rPr>
                <w:sz w:val="24"/>
                <w:szCs w:val="24"/>
              </w:rPr>
              <w:t xml:space="preserve"> lực thi hành từ ngày 20/8/2026.</w:t>
            </w:r>
          </w:p>
        </w:tc>
        <w:tc>
          <w:tcPr>
            <w:tcW w:w="34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Điều 13: hiệu lực từ ngày .../.../2026; Thông tư số 75/2019/TT-BTC và Thông tư số 84/2021/TT-BTC hết hiệu lực kể từ ngày Thông tư này có hiệu lực; giữ quy định về văn bản dẫn chiếu được sửa đổi, thay thế; bỏ đoạn về Nghị qu</w:t>
            </w:r>
            <w:r>
              <w:rPr>
                <w:sz w:val="24"/>
                <w:szCs w:val="24"/>
              </w:rPr>
              <w:t>yết số 27-NQ/TW.</w:t>
            </w:r>
          </w:p>
        </w:tc>
        <w:tc>
          <w:tcPr>
            <w:tcW w:w="2600" w:type="dxa"/>
            <w:tcBorders>
              <w:top w:val="single" w:sz="4" w:space="0" w:color="000000"/>
              <w:left w:val="single" w:sz="4" w:space="0" w:color="000000"/>
              <w:bottom w:val="single" w:sz="4" w:space="0" w:color="000000"/>
              <w:right w:val="single" w:sz="4" w:space="0" w:color="000000"/>
            </w:tcBorders>
          </w:tcPr>
          <w:p w:rsidR="00127E19" w:rsidRDefault="00B51F11">
            <w:pPr>
              <w:spacing w:before="20" w:after="40" w:line="264" w:lineRule="auto"/>
            </w:pPr>
            <w:r>
              <w:rPr>
                <w:sz w:val="24"/>
                <w:szCs w:val="24"/>
              </w:rPr>
              <w:t>Khoản 4 Điều 8 Luật số 64/2025/QH15 (điều kiện ban hành văn bản thay thế). Điều 67 Nghị định số 78/2025/NĐ-CP yêu cầu liệt kê cụ thể tên văn bản bị thay thế, bãi bỏ tại điều quy định về hiệu lực thi hành. Nội dung về Nghị quyết số 27-NQ/TW</w:t>
            </w:r>
            <w:r>
              <w:rPr>
                <w:sz w:val="24"/>
                <w:szCs w:val="24"/>
              </w:rPr>
              <w:t xml:space="preserve"> đã hết thời hiệu áp dụng.</w:t>
            </w:r>
          </w:p>
        </w:tc>
      </w:tr>
    </w:tbl>
    <w:p w:rsidR="00000000" w:rsidRDefault="00B51F11"/>
    <w:sectPr w:rsidR="00000000" w:rsidSect="00127E19">
      <w:pgSz w:w="16837" w:h="11905" w:orient="landscape"/>
      <w:pgMar w:top="1133" w:right="850" w:bottom="1133" w:left="1133"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158D4"/>
    <w:multiLevelType w:val="hybridMultilevel"/>
    <w:tmpl w:val="ECAE8E72"/>
    <w:lvl w:ilvl="0" w:tplc="4FECA57A">
      <w:start w:val="1"/>
      <w:numFmt w:val="bullet"/>
      <w:lvlText w:val="●"/>
      <w:lvlJc w:val="left"/>
      <w:pPr>
        <w:ind w:left="720" w:hanging="360"/>
      </w:pPr>
    </w:lvl>
    <w:lvl w:ilvl="1" w:tplc="A68015AE">
      <w:start w:val="1"/>
      <w:numFmt w:val="bullet"/>
      <w:lvlText w:val="○"/>
      <w:lvlJc w:val="left"/>
      <w:pPr>
        <w:ind w:left="1440" w:hanging="360"/>
      </w:pPr>
    </w:lvl>
    <w:lvl w:ilvl="2" w:tplc="2CD41742">
      <w:start w:val="1"/>
      <w:numFmt w:val="bullet"/>
      <w:lvlText w:val="■"/>
      <w:lvlJc w:val="left"/>
      <w:pPr>
        <w:ind w:left="2160" w:hanging="360"/>
      </w:pPr>
    </w:lvl>
    <w:lvl w:ilvl="3" w:tplc="8974D2F8">
      <w:start w:val="1"/>
      <w:numFmt w:val="bullet"/>
      <w:lvlText w:val="●"/>
      <w:lvlJc w:val="left"/>
      <w:pPr>
        <w:ind w:left="2880" w:hanging="360"/>
      </w:pPr>
    </w:lvl>
    <w:lvl w:ilvl="4" w:tplc="35B822F0">
      <w:start w:val="1"/>
      <w:numFmt w:val="bullet"/>
      <w:lvlText w:val="○"/>
      <w:lvlJc w:val="left"/>
      <w:pPr>
        <w:ind w:left="3600" w:hanging="360"/>
      </w:pPr>
    </w:lvl>
    <w:lvl w:ilvl="5" w:tplc="ADAACF16">
      <w:start w:val="1"/>
      <w:numFmt w:val="bullet"/>
      <w:lvlText w:val="■"/>
      <w:lvlJc w:val="left"/>
      <w:pPr>
        <w:ind w:left="4320" w:hanging="360"/>
      </w:pPr>
    </w:lvl>
    <w:lvl w:ilvl="6" w:tplc="370C5146">
      <w:start w:val="1"/>
      <w:numFmt w:val="bullet"/>
      <w:lvlText w:val="●"/>
      <w:lvlJc w:val="left"/>
      <w:pPr>
        <w:ind w:left="5040" w:hanging="360"/>
      </w:pPr>
    </w:lvl>
    <w:lvl w:ilvl="7" w:tplc="6EE2305E">
      <w:start w:val="1"/>
      <w:numFmt w:val="bullet"/>
      <w:lvlText w:val="●"/>
      <w:lvlJc w:val="left"/>
      <w:pPr>
        <w:ind w:left="5760" w:hanging="360"/>
      </w:pPr>
    </w:lvl>
    <w:lvl w:ilvl="8" w:tplc="08C2460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proofState w:grammar="clean"/>
  <w:defaultTabStop w:val="720"/>
  <w:characterSpacingControl w:val="doNotCompress"/>
  <w:compat/>
  <w:rsids>
    <w:rsidRoot w:val="00127E19"/>
    <w:rsid w:val="00127E19"/>
    <w:rsid w:val="00B51F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2" type="connector" idref="#_x0000_s1026"/>
        <o:r id="V:Rule3"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rsid w:val="00127E19"/>
    <w:pPr>
      <w:outlineLvl w:val="0"/>
    </w:pPr>
    <w:rPr>
      <w:color w:val="2E74B5"/>
      <w:sz w:val="32"/>
      <w:szCs w:val="32"/>
    </w:rPr>
  </w:style>
  <w:style w:type="paragraph" w:styleId="Heading2">
    <w:name w:val="heading 2"/>
    <w:qFormat/>
    <w:rsid w:val="00127E19"/>
    <w:pPr>
      <w:outlineLvl w:val="1"/>
    </w:pPr>
    <w:rPr>
      <w:color w:val="2E74B5"/>
      <w:sz w:val="26"/>
      <w:szCs w:val="26"/>
    </w:rPr>
  </w:style>
  <w:style w:type="paragraph" w:styleId="Heading3">
    <w:name w:val="heading 3"/>
    <w:qFormat/>
    <w:rsid w:val="00127E19"/>
    <w:pPr>
      <w:outlineLvl w:val="2"/>
    </w:pPr>
    <w:rPr>
      <w:color w:val="1F4D78"/>
      <w:sz w:val="24"/>
      <w:szCs w:val="24"/>
    </w:rPr>
  </w:style>
  <w:style w:type="paragraph" w:styleId="Heading4">
    <w:name w:val="heading 4"/>
    <w:qFormat/>
    <w:rsid w:val="00127E19"/>
    <w:pPr>
      <w:outlineLvl w:val="3"/>
    </w:pPr>
    <w:rPr>
      <w:i/>
      <w:iCs/>
      <w:color w:val="2E74B5"/>
    </w:rPr>
  </w:style>
  <w:style w:type="paragraph" w:styleId="Heading5">
    <w:name w:val="heading 5"/>
    <w:qFormat/>
    <w:rsid w:val="00127E19"/>
    <w:pPr>
      <w:outlineLvl w:val="4"/>
    </w:pPr>
    <w:rPr>
      <w:color w:val="2E74B5"/>
    </w:rPr>
  </w:style>
  <w:style w:type="paragraph" w:styleId="Heading6">
    <w:name w:val="heading 6"/>
    <w:qFormat/>
    <w:rsid w:val="00127E19"/>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127E19"/>
    <w:rPr>
      <w:sz w:val="56"/>
      <w:szCs w:val="56"/>
    </w:rPr>
  </w:style>
  <w:style w:type="paragraph" w:customStyle="1" w:styleId="Strong1">
    <w:name w:val="Strong1"/>
    <w:qFormat/>
    <w:rsid w:val="00127E19"/>
    <w:rPr>
      <w:b/>
      <w:bCs/>
    </w:rPr>
  </w:style>
  <w:style w:type="paragraph" w:styleId="ListParagraph">
    <w:name w:val="List Paragraph"/>
    <w:qFormat/>
    <w:rsid w:val="00127E19"/>
  </w:style>
  <w:style w:type="character" w:styleId="Hyperlink">
    <w:name w:val="Hyperlink"/>
    <w:uiPriority w:val="99"/>
    <w:unhideWhenUsed/>
    <w:rsid w:val="00127E19"/>
    <w:rPr>
      <w:color w:val="0563C1"/>
      <w:u w:val="single"/>
    </w:rPr>
  </w:style>
  <w:style w:type="character" w:styleId="FootnoteReference">
    <w:name w:val="footnote reference"/>
    <w:uiPriority w:val="99"/>
    <w:semiHidden/>
    <w:unhideWhenUsed/>
    <w:rsid w:val="00127E19"/>
    <w:rPr>
      <w:vertAlign w:val="superscript"/>
    </w:rPr>
  </w:style>
  <w:style w:type="paragraph" w:styleId="FootnoteText">
    <w:name w:val="footnote text"/>
    <w:link w:val="FootnoteTextChar"/>
    <w:uiPriority w:val="99"/>
    <w:semiHidden/>
    <w:unhideWhenUsed/>
    <w:rsid w:val="00127E19"/>
    <w:rPr>
      <w:sz w:val="20"/>
      <w:szCs w:val="20"/>
    </w:rPr>
  </w:style>
  <w:style w:type="character" w:customStyle="1" w:styleId="FootnoteTextChar">
    <w:name w:val="Footnote Text Char"/>
    <w:link w:val="FootnoteText"/>
    <w:uiPriority w:val="99"/>
    <w:semiHidden/>
    <w:unhideWhenUsed/>
    <w:rsid w:val="00127E19"/>
    <w:rPr>
      <w:sz w:val="20"/>
      <w:szCs w:val="20"/>
    </w:rPr>
  </w:style>
  <w:style w:type="character" w:styleId="EndnoteReference">
    <w:name w:val="endnote reference"/>
    <w:uiPriority w:val="99"/>
    <w:semiHidden/>
    <w:unhideWhenUsed/>
    <w:rsid w:val="00127E19"/>
    <w:rPr>
      <w:vertAlign w:val="superscript"/>
    </w:rPr>
  </w:style>
  <w:style w:type="paragraph" w:styleId="EndnoteText">
    <w:name w:val="endnote text"/>
    <w:link w:val="EndnoteTextChar"/>
    <w:uiPriority w:val="99"/>
    <w:semiHidden/>
    <w:unhideWhenUsed/>
    <w:rsid w:val="00127E19"/>
    <w:rPr>
      <w:sz w:val="20"/>
      <w:szCs w:val="20"/>
    </w:rPr>
  </w:style>
  <w:style w:type="character" w:customStyle="1" w:styleId="EndnoteTextChar">
    <w:name w:val="Endnote Text Char"/>
    <w:link w:val="EndnoteText"/>
    <w:uiPriority w:val="99"/>
    <w:semiHidden/>
    <w:unhideWhenUsed/>
    <w:rsid w:val="00127E19"/>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2311</Words>
  <Characters>13177</Characters>
  <Application>Microsoft Office Word</Application>
  <DocSecurity>0</DocSecurity>
  <Lines>109</Lines>
  <Paragraphs>30</Paragraphs>
  <ScaleCrop>false</ScaleCrop>
  <Company>BTC</Company>
  <LinksUpToDate>false</LinksUpToDate>
  <CharactersWithSpaces>15458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Tran Chi Duc</cp:lastModifiedBy>
  <cp:revision>2</cp:revision>
  <dcterms:created xsi:type="dcterms:W3CDTF">2026-09-10T07:36:00Z</dcterms:created>
  <dcterms:modified xsi:type="dcterms:W3CDTF">2026-09-10T07:41:00Z</dcterms:modified>
</cp:coreProperties>
</file>