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CellMar>
          <w:left w:w="10" w:type="dxa"/>
          <w:right w:w="10" w:type="dxa"/>
        </w:tblCellMar>
        <w:tblLook w:val="04A0"/>
      </w:tblPr>
      <w:tblGrid>
        <w:gridCol w:w="3600"/>
        <w:gridCol w:w="5760"/>
      </w:tblGrid>
      <w:tr w:rsidR="000528DF" w:rsidTr="00BD096D">
        <w:tblPrEx>
          <w:tblCellMar>
            <w:top w:w="0" w:type="dxa"/>
            <w:bottom w:w="0" w:type="dxa"/>
          </w:tblCellMar>
        </w:tblPrEx>
        <w:tc>
          <w:tcPr>
            <w:tcW w:w="3600" w:type="dxa"/>
          </w:tcPr>
          <w:p w:rsidR="000528DF" w:rsidRDefault="00DE735B">
            <w:pPr>
              <w:jc w:val="center"/>
            </w:pPr>
            <w:r>
              <w:rPr>
                <w:b/>
                <w:bCs/>
                <w:sz w:val="24"/>
                <w:szCs w:val="24"/>
              </w:rPr>
              <w:t>BỘ TÀI CHÍNH</w:t>
            </w:r>
          </w:p>
          <w:p w:rsidR="000528DF" w:rsidRDefault="00BD096D" w:rsidP="00BD096D">
            <w:pPr>
              <w:spacing w:after="60"/>
              <w:jc w:val="cente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67.05pt;margin-top:8.45pt;width:46.65pt;height:0;z-index:251658240" o:connectortype="straight"/>
              </w:pict>
            </w:r>
          </w:p>
        </w:tc>
        <w:tc>
          <w:tcPr>
            <w:tcW w:w="5760" w:type="dxa"/>
          </w:tcPr>
          <w:p w:rsidR="000528DF" w:rsidRDefault="00DE735B">
            <w:pPr>
              <w:jc w:val="center"/>
            </w:pPr>
            <w:r>
              <w:rPr>
                <w:b/>
                <w:bCs/>
                <w:sz w:val="24"/>
                <w:szCs w:val="24"/>
              </w:rPr>
              <w:t>CỘNG HÒA XÃ HỘI CHỦ NGHĨA VIỆT NAM</w:t>
            </w:r>
          </w:p>
          <w:p w:rsidR="000528DF" w:rsidRDefault="00DE735B">
            <w:pPr>
              <w:jc w:val="center"/>
            </w:pPr>
            <w:r>
              <w:rPr>
                <w:b/>
                <w:bCs/>
                <w:sz w:val="26"/>
                <w:szCs w:val="26"/>
              </w:rPr>
              <w:t>Độc lập - Tự do - Hạnh phúc</w:t>
            </w:r>
          </w:p>
          <w:p w:rsidR="00BD096D" w:rsidRDefault="00BD096D">
            <w:pPr>
              <w:jc w:val="center"/>
              <w:rPr>
                <w:i/>
                <w:iCs/>
                <w:sz w:val="26"/>
                <w:szCs w:val="26"/>
              </w:rPr>
            </w:pPr>
            <w:r>
              <w:rPr>
                <w:b/>
                <w:bCs/>
                <w:noProof/>
                <w:sz w:val="24"/>
                <w:szCs w:val="24"/>
              </w:rPr>
              <w:pict>
                <v:shape id="_x0000_s1027" type="#_x0000_t32" style="position:absolute;left:0;text-align:left;margin-left:73.7pt;margin-top:5.5pt;width:129pt;height:.05pt;z-index:251659264" o:connectortype="straight"/>
              </w:pict>
            </w:r>
          </w:p>
          <w:p w:rsidR="000528DF" w:rsidRDefault="00DE735B">
            <w:pPr>
              <w:jc w:val="center"/>
            </w:pPr>
            <w:r>
              <w:rPr>
                <w:i/>
                <w:iCs/>
                <w:sz w:val="26"/>
                <w:szCs w:val="26"/>
              </w:rPr>
              <w:t>H</w:t>
            </w:r>
            <w:r>
              <w:rPr>
                <w:i/>
                <w:iCs/>
                <w:sz w:val="26"/>
                <w:szCs w:val="26"/>
              </w:rPr>
              <w:t>à Nội, ngày        tháng        năm 2026</w:t>
            </w:r>
          </w:p>
        </w:tc>
      </w:tr>
    </w:tbl>
    <w:p w:rsidR="000528DF" w:rsidRDefault="000528DF"/>
    <w:p w:rsidR="00BD096D" w:rsidRDefault="00BD096D">
      <w:pPr>
        <w:spacing w:line="276" w:lineRule="auto"/>
        <w:jc w:val="center"/>
        <w:rPr>
          <w:b/>
          <w:bCs/>
        </w:rPr>
      </w:pPr>
    </w:p>
    <w:p w:rsidR="000528DF" w:rsidRPr="00BD096D" w:rsidRDefault="00DE735B">
      <w:pPr>
        <w:spacing w:line="276" w:lineRule="auto"/>
        <w:jc w:val="center"/>
      </w:pPr>
      <w:r w:rsidRPr="00BD096D">
        <w:rPr>
          <w:b/>
          <w:bCs/>
        </w:rPr>
        <w:t>BẢN TỔNG HỢP Ý KIẾN, TIẾP THU, GIẢI TRÌNH</w:t>
      </w:r>
    </w:p>
    <w:p w:rsidR="000528DF" w:rsidRPr="00BD096D" w:rsidRDefault="00DE735B">
      <w:pPr>
        <w:spacing w:after="200" w:line="276" w:lineRule="auto"/>
        <w:jc w:val="center"/>
      </w:pPr>
      <w:r w:rsidRPr="00BD096D">
        <w:rPr>
          <w:b/>
          <w:bCs/>
        </w:rPr>
        <w:t>Ý kiến góp ý đối với dự thảo Thông tư quy định quản lý, sử dụng và thanh quyết toán kinh phí chi thường xuyên thực hiện duy tu, bảo dưỡng đê điều và xử lý đột xuất (khẩn cấp, cấp bách) sự cố đê điều</w:t>
      </w:r>
    </w:p>
    <w:p w:rsidR="00BD096D" w:rsidRDefault="00BD096D">
      <w:pPr>
        <w:spacing w:after="120" w:line="276" w:lineRule="auto"/>
        <w:ind w:firstLine="720"/>
        <w:jc w:val="both"/>
      </w:pPr>
    </w:p>
    <w:p w:rsidR="000528DF" w:rsidRDefault="00DE735B">
      <w:pPr>
        <w:spacing w:after="120" w:line="276" w:lineRule="auto"/>
        <w:ind w:firstLine="720"/>
        <w:jc w:val="both"/>
      </w:pPr>
      <w:r>
        <w:t>I. Ý KIẾN CỦA CÁC ĐƠN VỊ THUỘC BỘ TÀI CHÍNH</w:t>
      </w:r>
    </w:p>
    <w:p w:rsidR="000528DF" w:rsidRDefault="00DE735B">
      <w:pPr>
        <w:spacing w:after="120" w:line="276" w:lineRule="auto"/>
        <w:ind w:firstLine="720"/>
        <w:jc w:val="both"/>
      </w:pPr>
      <w:r>
        <w:t>Vụ Tài chính - Kinh tế ngành (Vụ KTN) có công văn số 1134/KTN-NV4 ngày 20/8/2026 gửi lấy ý kiến các đơn vị thuộc Bộ (Vụ Pháp chế, Văn phòng Bộ, Cục Quản lý giá, Vụ Ngân sách nhà nước, Cục Quản lý công sản, Cục Phát triển doanh nghiệp nhà nước, Cục Chuyển đ</w:t>
      </w:r>
      <w:r>
        <w:t xml:space="preserve">ổi số, Vụ Phát triển hạ tầng, Kho bạc Nhà nước). Đến ngày 25/8/2026, Vụ KTN nhận được ý kiến tham gia của .../9 đơn vị, trong đó 04 đơn vị nhất trí hoặc không có ý kiến tham gia và 04 đơn vị có ý kiến cụ thể. Kết quả tổng hợp, tiếp </w:t>
      </w:r>
      <w:proofErr w:type="gramStart"/>
      <w:r>
        <w:t>thu</w:t>
      </w:r>
      <w:proofErr w:type="gramEnd"/>
      <w:r>
        <w:t>, giải trình như sau: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00"/>
        <w:gridCol w:w="2400"/>
        <w:gridCol w:w="3000"/>
        <w:gridCol w:w="3360"/>
      </w:tblGrid>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TT</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Cơ quan, đơn vị góp ý</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Nội dung ý kiến</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Tiếp thu, giải trình của cơ quan chủ trì soạn thảo</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1</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Văn phòng Bộ</w:t>
            </w:r>
          </w:p>
          <w:p w:rsidR="000528DF" w:rsidRDefault="00DE735B">
            <w:pPr>
              <w:spacing w:after="60"/>
              <w:jc w:val="both"/>
            </w:pPr>
            <w:r>
              <w:rPr>
                <w:sz w:val="24"/>
                <w:szCs w:val="24"/>
              </w:rPr>
              <w:t>(văn bản số 2494/VP-CCHC ngày 24/8/2026)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Dự thảo Thông tư không có quy định làm phát sinh thủ tục hành chính thuộc phạm vi điều chỉnh của Nghị định</w:t>
            </w:r>
            <w:r>
              <w:rPr>
                <w:sz w:val="24"/>
                <w:szCs w:val="24"/>
              </w:rPr>
              <w:t xml:space="preserve"> số 63/2010/NĐ-CP ngày 08/6/2010 của Chính phủ về kiểm soát thủ tục hành chính và các Nghị định sửa đổi, bổ sung về kiểm soát thủ tục hành chính hiện hành.</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KTN ghi nhận ý kiến của Văn phòng Bộ. Nội dung này được thể hiện tại Bản đánh giá thủ tục hành chính, việc phân cấp, thực hiện nhiệm vụ, quyền hạn được phân cấp, việc ứng dụng, thúc đẩy phát triển khoa học, công nghệ, đổi mới sáng tạo và chuyển đổi số k</w:t>
            </w:r>
            <w:r>
              <w:rPr>
                <w:sz w:val="24"/>
                <w:szCs w:val="24"/>
              </w:rPr>
              <w:t>èm theo hồ sơ.</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2</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Cục Phát triển doanh nghiệp nhà nước</w:t>
            </w:r>
          </w:p>
          <w:p w:rsidR="000528DF" w:rsidRDefault="00DE735B">
            <w:pPr>
              <w:spacing w:after="60"/>
              <w:jc w:val="both"/>
            </w:pPr>
            <w:r>
              <w:rPr>
                <w:sz w:val="24"/>
                <w:szCs w:val="24"/>
              </w:rPr>
              <w:t>(văn bản số 2867/DNNN-NV4 ngày 24/8/2026)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Các nội dung tại dự thảo Thông tư không thuộc phạm vi chức năng, nhiệm vụ của đơn vị nên không có ý kiến tham gia.</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KTN ghi nhận ý kiến của đơn vị.</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3</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Cục Qu</w:t>
            </w:r>
            <w:r>
              <w:rPr>
                <w:sz w:val="24"/>
                <w:szCs w:val="24"/>
              </w:rPr>
              <w:t>ản lý giá</w:t>
            </w:r>
          </w:p>
          <w:p w:rsidR="000528DF" w:rsidRDefault="00DE735B">
            <w:pPr>
              <w:spacing w:after="60"/>
              <w:jc w:val="both"/>
            </w:pPr>
            <w:r>
              <w:rPr>
                <w:sz w:val="24"/>
                <w:szCs w:val="24"/>
              </w:rPr>
              <w:t>(văn bản số 2049/QLG-CSTH&amp;NLTS ngày 22/8/2026)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 xml:space="preserve">Cơ bản thống nhất với sự cần thiết ban hành Thông tư. Căn cứ chức năng, nhiệm vụ được giao, đơn vị không có ý kiến tham gia bổ sung đối với nội dung dự </w:t>
            </w:r>
            <w:proofErr w:type="gramStart"/>
            <w:r>
              <w:rPr>
                <w:sz w:val="24"/>
                <w:szCs w:val="24"/>
              </w:rPr>
              <w:t>thảo.</w:t>
            </w:r>
            <w:proofErr w:type="gramEnd"/>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KTN ghi nhận ý kiến của Cục Quản lý giá.</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4</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Cục Chuyển đổi số</w:t>
            </w:r>
          </w:p>
          <w:p w:rsidR="000528DF" w:rsidRDefault="00DE735B">
            <w:pPr>
              <w:spacing w:after="60"/>
              <w:jc w:val="both"/>
            </w:pPr>
            <w:r>
              <w:rPr>
                <w:sz w:val="24"/>
                <w:szCs w:val="24"/>
              </w:rPr>
              <w:t xml:space="preserve">(văn bản số 2346/CNTT-VP ngày </w:t>
            </w:r>
            <w:r>
              <w:rPr>
                <w:sz w:val="24"/>
                <w:szCs w:val="24"/>
              </w:rPr>
              <w:lastRenderedPageBreak/>
              <w:t>22/8/2026)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lastRenderedPageBreak/>
              <w:t>Không có ý kiến bổ sung đối với nội dung dự thảo Thông tư.</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KTN ghi nhận ý kiến của đơn vị.</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lastRenderedPageBreak/>
              <w:t>5</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Phát triển hạ tầng</w:t>
            </w:r>
          </w:p>
          <w:p w:rsidR="000528DF" w:rsidRDefault="00DE735B">
            <w:pPr>
              <w:spacing w:after="60"/>
              <w:jc w:val="both"/>
            </w:pPr>
            <w:r>
              <w:rPr>
                <w:sz w:val="24"/>
                <w:szCs w:val="24"/>
              </w:rPr>
              <w:t xml:space="preserve">(văn bản số 2054/PTHT-NV1 ngày </w:t>
            </w:r>
            <w:r>
              <w:rPr>
                <w:sz w:val="24"/>
                <w:szCs w:val="24"/>
              </w:rPr>
              <w:t>22/8/2026)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(1) Điều 10 Luật Ngân sách nhà nước đã quy định nội dung chi sử dụng dự phòng ngân sách nhà nước và thẩm quyền sử dụng dự phòng ngân sách trung ương, ngân sách địa phương; đề nghị bổ sung cụm "và các văn bản hướng dẫn có liên quan" và bỏ nội dun</w:t>
            </w:r>
            <w:r>
              <w:rPr>
                <w:sz w:val="24"/>
                <w:szCs w:val="24"/>
              </w:rPr>
              <w:t>g ngân sách trung ương hỗ trợ khi xảy ra thiên tai lớn tại khoản 3 Điều 9 dự thảo.</w:t>
            </w:r>
          </w:p>
          <w:p w:rsidR="000528DF" w:rsidRDefault="00DE735B">
            <w:pPr>
              <w:spacing w:after="60"/>
              <w:jc w:val="both"/>
            </w:pPr>
            <w:r>
              <w:rPr>
                <w:sz w:val="24"/>
                <w:szCs w:val="24"/>
              </w:rPr>
              <w:t>(2) Đề nghị nghiên cứu quy định tại dự thảo Luật Ngân sách nhà nước (hợp nhất) đang trình Quốc hội để bảo đảm thống nhất, tránh vướng mắc trong quá trình chuyển tiếp.</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Tiếp thu. Vụ KTN đã bỏ nội dung ngân sách trung ương hỗ trợ khi xảy ra thiên tai lớn tại khoản 3 Điều 9 dự thảo (nội dung này đã được quy định tại Điều 3 dự thảo) và bổ sung cụm "và các văn bản hướng dẫn có liên quan"; đồng thời tiếp tục rà soát, bảo đảm t</w:t>
            </w:r>
            <w:r>
              <w:rPr>
                <w:sz w:val="24"/>
                <w:szCs w:val="24"/>
              </w:rPr>
              <w:t>hống nhất với pháp luật về ngân sách nhà nước khi Luật Ngân sách nhà nước (hợp nhất) được Quốc hội thông qua.</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6</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Kho bạc Nhà nước</w:t>
            </w:r>
          </w:p>
          <w:p w:rsidR="000528DF" w:rsidRDefault="00DE735B">
            <w:pPr>
              <w:spacing w:after="60"/>
              <w:jc w:val="both"/>
            </w:pPr>
            <w:r>
              <w:rPr>
                <w:sz w:val="24"/>
                <w:szCs w:val="24"/>
              </w:rPr>
              <w:t>(văn bản số 5869/KBNN-CSPC ngày 22/8/2026)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 xml:space="preserve">(1) Đề nghị bổ sung tại điểm a khoản 2 Điều 8 dự thảo cụm "theo quy định tại khoản </w:t>
            </w:r>
            <w:r>
              <w:rPr>
                <w:sz w:val="24"/>
                <w:szCs w:val="24"/>
              </w:rPr>
              <w:t>6 Điều 9 Luật Ngân sách nhà nước".</w:t>
            </w:r>
          </w:p>
          <w:p w:rsidR="000528DF" w:rsidRDefault="00DE735B">
            <w:pPr>
              <w:spacing w:after="60"/>
              <w:jc w:val="both"/>
            </w:pPr>
            <w:r>
              <w:rPr>
                <w:sz w:val="24"/>
                <w:szCs w:val="24"/>
              </w:rPr>
              <w:t>(2) Đề nghị sửa quy định về thanh toán qua Kho bạc Nhà nước tại điểm b khoản 3 Điều 8 và điểm b khoản 2 Điều 9 dự thảo theo hướng dẫn chiếu Luật Ngân sách nhà nước, Nghị định số 347/2025/NĐ-CP, Nghị định số 104/2026/NĐ-CP</w:t>
            </w:r>
            <w:r>
              <w:rPr>
                <w:sz w:val="24"/>
                <w:szCs w:val="24"/>
              </w:rPr>
              <w:t xml:space="preserve"> và các văn bản sửa đổi, bổ sung, thay thế (nếu có).</w:t>
            </w:r>
          </w:p>
          <w:p w:rsidR="000528DF" w:rsidRDefault="00DE735B">
            <w:pPr>
              <w:spacing w:after="60"/>
              <w:jc w:val="both"/>
            </w:pPr>
            <w:r>
              <w:rPr>
                <w:sz w:val="24"/>
                <w:szCs w:val="24"/>
              </w:rPr>
              <w:t>(3) Đề nghị phối hợp với Vụ Phát triển hạ tầng quy định cụ thể nội dung quyết toán đối với công trình, hạng mục công trình, gói thầu công trình độc lập, do quyết toán vốn đầu tư công theo năm ngân sách t</w:t>
            </w:r>
            <w:r>
              <w:rPr>
                <w:sz w:val="24"/>
                <w:szCs w:val="24"/>
              </w:rPr>
              <w:t>hực hiện theo Nghị định số 254/2025/NĐ-CP và quyết toán vốn đầu tư dự án thực hiện theo Nghị định số 193/2026/NĐ-CP.</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(1) và (2): Tiếp thu, Vụ KTN đã chỉnh lý điểm a khoản 2 Điều 8, điểm b khoản 3 Điều 8 và điểm b khoản 2 Điều 9 dự thảo theo đúng đề xuất.</w:t>
            </w:r>
          </w:p>
          <w:p w:rsidR="000528DF" w:rsidRDefault="00DE735B">
            <w:pPr>
              <w:spacing w:after="60"/>
              <w:jc w:val="both"/>
            </w:pPr>
            <w:r>
              <w:rPr>
                <w:sz w:val="24"/>
                <w:szCs w:val="24"/>
              </w:rPr>
              <w:t>(</w:t>
            </w:r>
            <w:r>
              <w:rPr>
                <w:sz w:val="24"/>
                <w:szCs w:val="24"/>
              </w:rPr>
              <w:t>3) Tiếp thu, Vụ KTN đã chỉnh lý điểm c khoản 5 Điều 8 và điểm c khoản 2 Điều 9 theo hướng việc quyết toán thực hiện theo Nghị định số 104/2026/NĐ-CP và các văn bản sửa đổi, bổ sung, thay thế (nếu có). Kinh phí duy tu, bảo dưỡng đê điều là kinh phí chi thườ</w:t>
            </w:r>
            <w:r>
              <w:rPr>
                <w:sz w:val="24"/>
                <w:szCs w:val="24"/>
              </w:rPr>
              <w:t>ng xuyên, không phải vốn đầu tư công; Nghị định số 104/2026/NĐ-CP đã quy định đầy đủ việc lập dự toán, quản lý, sử dụng và quyết toán chi thường xuyên thực hiện các nhiệm vụ quy định tại Điều 40 Luật Ngân sách nhà nước. Vụ KTN tiếp tục trao đổi, thống nhất</w:t>
            </w:r>
            <w:r>
              <w:rPr>
                <w:sz w:val="24"/>
                <w:szCs w:val="24"/>
              </w:rPr>
              <w:t xml:space="preserve"> với Kho bạc Nhà nước và Vụ Phát triển hạ tầng về nội dung này.</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7</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Ngân sách nhà nước</w:t>
            </w:r>
          </w:p>
          <w:p w:rsidR="000528DF" w:rsidRDefault="00DE735B">
            <w:pPr>
              <w:spacing w:after="60"/>
              <w:jc w:val="both"/>
            </w:pPr>
            <w:r>
              <w:rPr>
                <w:sz w:val="24"/>
                <w:szCs w:val="24"/>
              </w:rPr>
              <w:t>(văn bản số        /NSNN-... ngày .../8/2026)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 xml:space="preserve">(1) Đề nghị quy định rõ trách nhiệm quản lý của từng cấp đê làm cơ sở bố trí kinh phí theo đúng phân cấp ngân sách nhà nước, bảo đảm nguyên tắc </w:t>
            </w:r>
            <w:r>
              <w:rPr>
                <w:sz w:val="24"/>
                <w:szCs w:val="24"/>
              </w:rPr>
              <w:lastRenderedPageBreak/>
              <w:t>nhiệm vụ chi thuộc ngân sách cấp nào do ngân sách cấp đó bảo đảm.</w:t>
            </w:r>
          </w:p>
          <w:p w:rsidR="000528DF" w:rsidRDefault="00DE735B">
            <w:pPr>
              <w:spacing w:after="60"/>
              <w:jc w:val="both"/>
            </w:pPr>
            <w:r>
              <w:rPr>
                <w:sz w:val="24"/>
                <w:szCs w:val="24"/>
              </w:rPr>
              <w:t>(2) Khoản 2 Điều 3 dự thảo trích dẫn Điều 22 L</w:t>
            </w:r>
            <w:r>
              <w:rPr>
                <w:sz w:val="24"/>
                <w:szCs w:val="24"/>
              </w:rPr>
              <w:t>uật Đê điều là chưa đầy đủ, chính xác vì Điều 22 quy định ngân sách địa phương "đầu tư" cho mọi cấp đê trên địa bàn; đề nghị rà soát quy định nguồn kinh phí cho phù hợp.</w:t>
            </w:r>
          </w:p>
          <w:p w:rsidR="000528DF" w:rsidRDefault="00DE735B">
            <w:pPr>
              <w:spacing w:after="60"/>
              <w:jc w:val="both"/>
            </w:pPr>
            <w:r>
              <w:rPr>
                <w:sz w:val="24"/>
                <w:szCs w:val="24"/>
              </w:rPr>
              <w:t>(3) Đề nghị không áp dụng cơ chế giao dự toán chi thường xuyên cho Bộ Nông nghiệp và M</w:t>
            </w:r>
            <w:r>
              <w:rPr>
                <w:sz w:val="24"/>
                <w:szCs w:val="24"/>
              </w:rPr>
              <w:t>ôi trường để phân bổ lại cho các địa phương đối với nhiệm vụ chi thuộc trách nhiệm của địa phương; tổng hợp ý kiến của Bộ Nông nghiệp và Môi trường và các địa phương về khó khăn, vướng mắc.</w:t>
            </w:r>
          </w:p>
          <w:p w:rsidR="000528DF" w:rsidRDefault="00DE735B">
            <w:pPr>
              <w:spacing w:after="60"/>
              <w:jc w:val="both"/>
            </w:pPr>
            <w:r>
              <w:rPr>
                <w:sz w:val="24"/>
                <w:szCs w:val="24"/>
              </w:rPr>
              <w:t>(4) Khoản 2 Điều 10 Luật Ngân sách nhà nước đã quy định về sử dụng</w:t>
            </w:r>
            <w:r>
              <w:rPr>
                <w:sz w:val="24"/>
                <w:szCs w:val="24"/>
              </w:rPr>
              <w:t xml:space="preserve"> dự phòng ngân sách nhà nước, không cần thiết quy định lại tại dự thảo Thông tư.</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lastRenderedPageBreak/>
              <w:t xml:space="preserve">(1) </w:t>
            </w:r>
            <w:proofErr w:type="gramStart"/>
            <w:r>
              <w:rPr>
                <w:sz w:val="24"/>
                <w:szCs w:val="24"/>
              </w:rPr>
              <w:t>và</w:t>
            </w:r>
            <w:proofErr w:type="gramEnd"/>
            <w:r>
              <w:rPr>
                <w:sz w:val="24"/>
                <w:szCs w:val="24"/>
              </w:rPr>
              <w:t xml:space="preserve"> (2): Tiếp thu. Vụ KTN đã bỏ dẫn chiếu Điều 22 Luật Đê điều (điều này quy định về chi đầu tư, khác bản chất với chi thường xuyên thuộc phạm vi điều chỉnh </w:t>
            </w:r>
            <w:r>
              <w:rPr>
                <w:sz w:val="24"/>
                <w:szCs w:val="24"/>
              </w:rPr>
              <w:lastRenderedPageBreak/>
              <w:t>của Thông tư) v</w:t>
            </w:r>
            <w:r>
              <w:rPr>
                <w:sz w:val="24"/>
                <w:szCs w:val="24"/>
              </w:rPr>
              <w:t>à viết lại Điều 3 dự thảo thành 04 khoản theo nguyên tắc phân cấp ngân sách nhà nước.</w:t>
            </w:r>
          </w:p>
          <w:p w:rsidR="000528DF" w:rsidRDefault="00DE735B">
            <w:pPr>
              <w:spacing w:after="60"/>
              <w:jc w:val="both"/>
            </w:pPr>
            <w:r>
              <w:rPr>
                <w:sz w:val="24"/>
                <w:szCs w:val="24"/>
              </w:rPr>
              <w:t>(3) Tiếp thu. Vụ KTN đã bỏ toàn bộ cơ chế đơn vị dự toán ở trung ương giữ lại kinh phí xử lý đột xuất để phân bổ theo phát sinh và quy định phần kinh phí này chỉ được phâ</w:t>
            </w:r>
            <w:r>
              <w:rPr>
                <w:sz w:val="24"/>
                <w:szCs w:val="24"/>
              </w:rPr>
              <w:t xml:space="preserve">n bổ sau khi có ý kiến của Bộ Tài chính. Đối với tuyến đê thuộc nhiệm vụ chi của ngân sách trung ương, việc Bộ Nông nghiệp và Môi trường giao dự toán cho Sở Nông nghiệp và Môi trường là chi ủy quyền theo khoản 2 Điều 30 Nghị định số 53/2026/NĐ-CP và khoản </w:t>
            </w:r>
            <w:r>
              <w:rPr>
                <w:sz w:val="24"/>
                <w:szCs w:val="24"/>
              </w:rPr>
              <w:t>6 Điều 9 Luật Ngân sách nhà nước, không phải phân bổ lại cho ngân sách địa phương.</w:t>
            </w:r>
          </w:p>
          <w:p w:rsidR="000528DF" w:rsidRDefault="00DE735B">
            <w:pPr>
              <w:spacing w:after="60"/>
              <w:jc w:val="both"/>
            </w:pPr>
            <w:r>
              <w:rPr>
                <w:sz w:val="24"/>
                <w:szCs w:val="24"/>
              </w:rPr>
              <w:t>(4) Tiếp thu. Vụ KTN đã bỏ nội dung nhắc lại quy định về dự phòng ngân sách nhà nước tại điểm c khoản 2 Điều 8 và khoản 3 Điều 9 dự thảo.</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lastRenderedPageBreak/>
              <w:t>8</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Vụ Pháp chế</w:t>
            </w:r>
          </w:p>
          <w:p w:rsidR="000528DF" w:rsidRDefault="00DE735B">
            <w:pPr>
              <w:spacing w:after="60"/>
              <w:jc w:val="both"/>
            </w:pPr>
            <w:r>
              <w:rPr>
                <w:sz w:val="24"/>
                <w:szCs w:val="24"/>
              </w:rPr>
              <w:t>(văn bản số        /PC-PCNS ngày .../8/2026)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(1) Thống nhất sự cần thiết và căn cứ pháp lý ban hành Thông tư.</w:t>
            </w:r>
          </w:p>
          <w:p w:rsidR="000528DF" w:rsidRDefault="00DE735B">
            <w:pPr>
              <w:spacing w:after="60"/>
              <w:jc w:val="both"/>
            </w:pPr>
            <w:r>
              <w:rPr>
                <w:sz w:val="24"/>
                <w:szCs w:val="24"/>
              </w:rPr>
              <w:t xml:space="preserve">(2) Đề nghị thực hiện đúng quy định về hồ sơ và quy trình xây dựng, ban hành Thông tư theo Luật Ban hành văn bản quy phạm pháp luật, Nghị định số </w:t>
            </w:r>
            <w:r>
              <w:rPr>
                <w:sz w:val="24"/>
                <w:szCs w:val="24"/>
              </w:rPr>
              <w:t>78/2025/NĐ-CP và Nghị định số 187/2025/NĐ-CP.</w:t>
            </w:r>
          </w:p>
          <w:p w:rsidR="000528DF" w:rsidRDefault="00DE735B">
            <w:pPr>
              <w:spacing w:after="60"/>
              <w:jc w:val="both"/>
            </w:pPr>
            <w:r>
              <w:rPr>
                <w:sz w:val="24"/>
                <w:szCs w:val="24"/>
              </w:rPr>
              <w:t>(3) Về nội dung: (i) đề nghị giải trình cơ sở quy định ngân sách trung ương hỗ trợ đối với địa phương chưa tự cân đối được ngân sách, vì điểm c khoản 2 Điều 43 Luật Ngân sách nhà nước quy định hỗ trợ chi khắc p</w:t>
            </w:r>
            <w:r>
              <w:rPr>
                <w:sz w:val="24"/>
                <w:szCs w:val="24"/>
              </w:rPr>
              <w:t xml:space="preserve">hục thiên tai vượt quá khả năng cân đối của ngân sách cấp dưới; (ii) đề nghị sửa dẫn chiếu tại khoản 1 Điều 5 theo khoản 2 Điều 30 Nghị định số 53/2026/NĐ-CP; (iii) các căn cứ ban hành Thông tư </w:t>
            </w:r>
            <w:r>
              <w:rPr>
                <w:sz w:val="24"/>
                <w:szCs w:val="24"/>
              </w:rPr>
              <w:lastRenderedPageBreak/>
              <w:t>số 65/2021/TT-BTC đã hết hiệu lực, đề nghị rà soát việc dẫn ch</w:t>
            </w:r>
            <w:r>
              <w:rPr>
                <w:sz w:val="24"/>
                <w:szCs w:val="24"/>
              </w:rPr>
              <w:t>iếu tại Điều 8, Điều 9; (iv) đối tượng của điều khoản chuyển tiếp tại Điều 11 phải là nội dung chi đã được phê duyệt theo Thông tư số 68/2020/TT-BTC, không phải nội dung chi tại Điều 5 dự thảo.</w:t>
            </w:r>
          </w:p>
          <w:p w:rsidR="000528DF" w:rsidRDefault="00DE735B">
            <w:pPr>
              <w:spacing w:after="60"/>
              <w:jc w:val="both"/>
            </w:pPr>
            <w:r>
              <w:rPr>
                <w:sz w:val="24"/>
                <w:szCs w:val="24"/>
              </w:rPr>
              <w:t xml:space="preserve">(4) Đề nghị rà soát thể thức theo Nghị định số 187/2025/NĐ-CP </w:t>
            </w:r>
            <w:r>
              <w:rPr>
                <w:sz w:val="24"/>
                <w:szCs w:val="24"/>
              </w:rPr>
              <w:t>và Mẫu số 14 Phụ lục III.</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lastRenderedPageBreak/>
              <w:t xml:space="preserve">(1) </w:t>
            </w:r>
            <w:proofErr w:type="gramStart"/>
            <w:r>
              <w:rPr>
                <w:sz w:val="24"/>
                <w:szCs w:val="24"/>
              </w:rPr>
              <w:t>và</w:t>
            </w:r>
            <w:proofErr w:type="gramEnd"/>
            <w:r>
              <w:rPr>
                <w:sz w:val="24"/>
                <w:szCs w:val="24"/>
              </w:rPr>
              <w:t xml:space="preserve"> (2): Vụ KTN ghi nhận; hồ sơ dự thảo được xây dựng theo trình tự, thủ tục thông thường quy định tại các Điều 39, 40 và 41 Nghị định số 78/2025/NĐ-CP.</w:t>
            </w:r>
          </w:p>
          <w:p w:rsidR="000528DF" w:rsidRDefault="00DE735B">
            <w:pPr>
              <w:spacing w:after="60"/>
              <w:jc w:val="both"/>
            </w:pPr>
            <w:r>
              <w:rPr>
                <w:sz w:val="24"/>
                <w:szCs w:val="24"/>
              </w:rPr>
              <w:t>(3) Tiếp thu toàn bộ: (i) đã chỉnh lý Điều 3 theo hướng ngân sách trung ươ</w:t>
            </w:r>
            <w:r>
              <w:rPr>
                <w:sz w:val="24"/>
                <w:szCs w:val="24"/>
              </w:rPr>
              <w:t>ng hỗ trợ ngân sách địa phương chi khắc phục hậu quả thiên tai, xử lý đột xuất sự cố đê điều vượt quá khả năng cân đối của ngân sách địa phương theo điểm c khoản 2 Điều 43 Luật Ngân sách nhà nước, bỏ điều kiện "chưa tự cân đối được ngân sách"; (ii) đã chỉn</w:t>
            </w:r>
            <w:r>
              <w:rPr>
                <w:sz w:val="24"/>
                <w:szCs w:val="24"/>
              </w:rPr>
              <w:t xml:space="preserve">h lý khoản 1 Điều 5 theo đúng đề xuất; (iii) đã bỏ toàn bộ dẫn chiếu Thông tư số 65/2021/TT-BTC tại khoản 3 Điều 4, Điều 8 và Điều 9, chuyển sang dẫn chiếu Nghị định số 104/2026/NĐ-CP và pháp luật về quản lý, sử dụng tài sản công; (iv) đã chỉnh lý khoản 1 </w:t>
            </w:r>
            <w:r>
              <w:rPr>
                <w:sz w:val="24"/>
                <w:szCs w:val="24"/>
              </w:rPr>
              <w:t xml:space="preserve">và khoản 2 Điều 11 xác định đối tượng chuyển tiếp là dự toán đã được </w:t>
            </w:r>
            <w:r>
              <w:rPr>
                <w:sz w:val="24"/>
                <w:szCs w:val="24"/>
              </w:rPr>
              <w:lastRenderedPageBreak/>
              <w:t>phê duyệt theo Thông tư số 68/2020/TT-BTC.</w:t>
            </w:r>
          </w:p>
          <w:p w:rsidR="000528DF" w:rsidRDefault="00DE735B">
            <w:pPr>
              <w:spacing w:after="60"/>
              <w:jc w:val="both"/>
            </w:pPr>
            <w:r>
              <w:rPr>
                <w:sz w:val="24"/>
                <w:szCs w:val="24"/>
              </w:rPr>
              <w:t>(4) Tiếp thu. Dự thảo được trình bày theo Mẫu số 14 Phụ lục III và Phụ lục I ban hành kèm theo Nghị định số 187/2025/NĐ-CP.</w:t>
            </w:r>
          </w:p>
        </w:tc>
      </w:tr>
    </w:tbl>
    <w:p w:rsidR="000528DF" w:rsidRDefault="000528DF"/>
    <w:p w:rsidR="000528DF" w:rsidRDefault="00DE735B">
      <w:pPr>
        <w:spacing w:after="120" w:line="276" w:lineRule="auto"/>
        <w:ind w:firstLine="720"/>
        <w:jc w:val="both"/>
      </w:pPr>
      <w:r>
        <w:t>II. Ý KIẾN CỦA CÁC</w:t>
      </w:r>
      <w:r>
        <w:t xml:space="preserve"> BỘ, CƠ QUAN LIÊN QUAN VÀ CÁC ĐỊA PHƯƠNG</w:t>
      </w:r>
    </w:p>
    <w:p w:rsidR="000528DF" w:rsidRDefault="00DE735B">
      <w:pPr>
        <w:spacing w:after="120" w:line="276" w:lineRule="auto"/>
        <w:ind w:firstLine="720"/>
        <w:jc w:val="both"/>
      </w:pPr>
      <w:r>
        <w:t xml:space="preserve">Thực hiện điểm b, điểm c khoản 2 Điều 39 Nghị định số 78/2025/NĐ-CP, Bộ Tài chính đã đăng tải hồ sơ dự thảo Thông tư trên Cổng thông tin điện tử của Bộ Tài chính trong thời gian ít nhất 10 ngày và có công văn số        /BTC-KTN ngày ... tháng ... năm 2026 </w:t>
      </w:r>
      <w:r>
        <w:t xml:space="preserve">gửi lấy ý kiến Bộ Nông nghiệp và Môi trường, các bộ, cơ quan liên quan và Ủy ban nhân dân các tỉnh, thành phố trực thuộc trung ương có đê. Đến ngày ... tháng ... năm 2026, Bộ Tài chính nhận được ý kiến của .../... cơ quan, đơn vị. Kết quả tổng hợp, tiếp </w:t>
      </w:r>
      <w:proofErr w:type="gramStart"/>
      <w:r>
        <w:t>th</w:t>
      </w:r>
      <w:r>
        <w:t>u</w:t>
      </w:r>
      <w:proofErr w:type="gramEnd"/>
      <w:r>
        <w:t>, giải trình như sau: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00"/>
        <w:gridCol w:w="2400"/>
        <w:gridCol w:w="3000"/>
        <w:gridCol w:w="3360"/>
      </w:tblGrid>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TT</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Cơ quan, đơn vị góp ý</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Nội dung ý kiến</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b/>
                <w:bCs/>
                <w:sz w:val="24"/>
                <w:szCs w:val="24"/>
              </w:rPr>
              <w:t>Tiếp thu, giải trình của cơ quan chủ trì soạn thảo</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1</w:t>
            </w:r>
          </w:p>
        </w:tc>
        <w:tc>
          <w:tcPr>
            <w:tcW w:w="24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Bộ Nông nghiệp và Môi trường (công văn số .../BNNMT-... ngày .../.../2026)</w:t>
            </w:r>
          </w:p>
        </w:tc>
        <w:tc>
          <w:tcPr>
            <w:tcW w:w="300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[Điền nội dung ý kiến theo công văn góp ý]</w:t>
            </w:r>
          </w:p>
        </w:tc>
        <w:tc>
          <w:tcPr>
            <w:tcW w:w="3360" w:type="dxa"/>
            <w:tcBorders>
              <w:top w:val="single" w:sz="4" w:space="0" w:color="auto"/>
              <w:left w:val="single" w:sz="4" w:space="0" w:color="auto"/>
              <w:bottom w:val="single" w:sz="4" w:space="0" w:color="auto"/>
              <w:right w:val="single" w:sz="4" w:space="0" w:color="auto"/>
            </w:tcBorders>
          </w:tcPr>
          <w:p w:rsidR="000528DF" w:rsidRDefault="00DE735B">
            <w:pPr>
              <w:spacing w:after="60"/>
              <w:jc w:val="both"/>
            </w:pPr>
            <w:r>
              <w:rPr>
                <w:sz w:val="24"/>
                <w:szCs w:val="24"/>
              </w:rPr>
              <w:t>[Tiếp thu/giải trình</w:t>
            </w:r>
            <w:r>
              <w:rPr>
                <w:sz w:val="24"/>
                <w:szCs w:val="24"/>
              </w:rPr>
              <w:t xml:space="preserve"> từng ý kiến; các nội dung chuyên môn thuộc thẩm quyền Bộ Nông nghiệp và Môi trường được thể hiện theo hướng dẫn chiếu tại Điều 4, Điều 5 dự thảo]</w:t>
            </w: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2</w:t>
            </w:r>
          </w:p>
        </w:tc>
        <w:tc>
          <w:tcPr>
            <w:tcW w:w="24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0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36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3</w:t>
            </w:r>
          </w:p>
        </w:tc>
        <w:tc>
          <w:tcPr>
            <w:tcW w:w="24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0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36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4</w:t>
            </w:r>
          </w:p>
        </w:tc>
        <w:tc>
          <w:tcPr>
            <w:tcW w:w="24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0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36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5</w:t>
            </w:r>
          </w:p>
        </w:tc>
        <w:tc>
          <w:tcPr>
            <w:tcW w:w="24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0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36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r>
      <w:tr w:rsidR="000528DF">
        <w:tblPrEx>
          <w:tblCellMar>
            <w:top w:w="0" w:type="dxa"/>
            <w:bottom w:w="0" w:type="dxa"/>
          </w:tblCellMar>
        </w:tblPrEx>
        <w:tc>
          <w:tcPr>
            <w:tcW w:w="600" w:type="dxa"/>
            <w:tcBorders>
              <w:top w:val="single" w:sz="4" w:space="0" w:color="auto"/>
              <w:left w:val="single" w:sz="4" w:space="0" w:color="auto"/>
              <w:bottom w:val="single" w:sz="4" w:space="0" w:color="auto"/>
              <w:right w:val="single" w:sz="4" w:space="0" w:color="auto"/>
            </w:tcBorders>
          </w:tcPr>
          <w:p w:rsidR="000528DF" w:rsidRDefault="00DE735B">
            <w:pPr>
              <w:spacing w:after="60"/>
              <w:jc w:val="center"/>
            </w:pPr>
            <w:r>
              <w:rPr>
                <w:sz w:val="24"/>
                <w:szCs w:val="24"/>
              </w:rPr>
              <w:t>6</w:t>
            </w:r>
          </w:p>
        </w:tc>
        <w:tc>
          <w:tcPr>
            <w:tcW w:w="24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00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c>
          <w:tcPr>
            <w:tcW w:w="3360" w:type="dxa"/>
            <w:tcBorders>
              <w:top w:val="single" w:sz="4" w:space="0" w:color="auto"/>
              <w:left w:val="single" w:sz="4" w:space="0" w:color="auto"/>
              <w:bottom w:val="single" w:sz="4" w:space="0" w:color="auto"/>
              <w:right w:val="single" w:sz="4" w:space="0" w:color="auto"/>
            </w:tcBorders>
          </w:tcPr>
          <w:p w:rsidR="000528DF" w:rsidRDefault="000528DF">
            <w:pPr>
              <w:spacing w:after="60"/>
              <w:jc w:val="both"/>
            </w:pPr>
          </w:p>
        </w:tc>
      </w:tr>
    </w:tbl>
    <w:p w:rsidR="000528DF" w:rsidRDefault="000528DF"/>
    <w:p w:rsidR="000528DF" w:rsidRDefault="00DE735B">
      <w:pPr>
        <w:spacing w:after="120" w:line="276" w:lineRule="auto"/>
        <w:ind w:firstLine="720"/>
        <w:jc w:val="both"/>
      </w:pPr>
      <w:r>
        <w:rPr>
          <w:i/>
          <w:iCs/>
        </w:rPr>
        <w:t>Ghi chú: Bản tổng hợp được hoàn thiện sau khi kết thúc thời hạn lấy ý kiến; cơ quan, tổ chức được lấy ý kiến bằng văn bản có trách nhiệm trả lời trong thời hạn 10 ngày kể từ ngày nhận được đề nghị góp ý kiến (điểm d khoản 2 Điều 39 Nghị định số 78/2025/NĐ-</w:t>
      </w:r>
      <w:r>
        <w:rPr>
          <w:i/>
          <w:iCs/>
        </w:rPr>
        <w:t>CP).</w:t>
      </w:r>
    </w:p>
    <w:p w:rsidR="00DE735B" w:rsidRDefault="00DE735B"/>
    <w:sectPr w:rsidR="00DE735B" w:rsidSect="000528DF">
      <w:headerReference w:type="default" r:id="rId7"/>
      <w:headerReference w:type="first" r:id="rId8"/>
      <w:pgSz w:w="11906" w:h="16838"/>
      <w:pgMar w:top="850" w:right="850" w:bottom="850" w:left="1700" w:header="708" w:footer="70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35B" w:rsidRDefault="00DE735B" w:rsidP="000528DF">
      <w:r>
        <w:separator/>
      </w:r>
    </w:p>
  </w:endnote>
  <w:endnote w:type="continuationSeparator" w:id="0">
    <w:p w:rsidR="00DE735B" w:rsidRDefault="00DE735B" w:rsidP="000528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35B" w:rsidRDefault="00DE735B" w:rsidP="000528DF">
      <w:r>
        <w:separator/>
      </w:r>
    </w:p>
  </w:footnote>
  <w:footnote w:type="continuationSeparator" w:id="0">
    <w:p w:rsidR="00DE735B" w:rsidRDefault="00DE735B" w:rsidP="000528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8DF" w:rsidRDefault="000528DF">
    <w:pPr>
      <w:jc w:val="center"/>
    </w:pPr>
    <w:r>
      <w:rPr>
        <w:sz w:val="26"/>
        <w:szCs w:val="26"/>
      </w:rPr>
      <w:fldChar w:fldCharType="begin"/>
    </w:r>
    <w:r w:rsidR="00DE735B">
      <w:rPr>
        <w:sz w:val="26"/>
        <w:szCs w:val="26"/>
      </w:rPr>
      <w:instrText>PAGE</w:instrText>
    </w:r>
    <w:r w:rsidR="00BD096D">
      <w:rPr>
        <w:sz w:val="26"/>
        <w:szCs w:val="26"/>
      </w:rPr>
      <w:fldChar w:fldCharType="separate"/>
    </w:r>
    <w:r w:rsidR="00BD096D">
      <w:rPr>
        <w:noProof/>
        <w:sz w:val="26"/>
        <w:szCs w:val="26"/>
      </w:rPr>
      <w:t>2</w:t>
    </w:r>
    <w:r>
      <w:rPr>
        <w:sz w:val="26"/>
        <w:szCs w:val="2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8DF" w:rsidRDefault="000528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63B0A"/>
    <w:multiLevelType w:val="hybridMultilevel"/>
    <w:tmpl w:val="833E4E7A"/>
    <w:lvl w:ilvl="0" w:tplc="FADA02B6">
      <w:start w:val="1"/>
      <w:numFmt w:val="bullet"/>
      <w:lvlText w:val="●"/>
      <w:lvlJc w:val="left"/>
      <w:pPr>
        <w:ind w:left="720" w:hanging="360"/>
      </w:pPr>
    </w:lvl>
    <w:lvl w:ilvl="1" w:tplc="72162778">
      <w:start w:val="1"/>
      <w:numFmt w:val="bullet"/>
      <w:lvlText w:val="○"/>
      <w:lvlJc w:val="left"/>
      <w:pPr>
        <w:ind w:left="1440" w:hanging="360"/>
      </w:pPr>
    </w:lvl>
    <w:lvl w:ilvl="2" w:tplc="94505488">
      <w:start w:val="1"/>
      <w:numFmt w:val="bullet"/>
      <w:lvlText w:val="■"/>
      <w:lvlJc w:val="left"/>
      <w:pPr>
        <w:ind w:left="2160" w:hanging="360"/>
      </w:pPr>
    </w:lvl>
    <w:lvl w:ilvl="3" w:tplc="43EC2ACA">
      <w:start w:val="1"/>
      <w:numFmt w:val="bullet"/>
      <w:lvlText w:val="●"/>
      <w:lvlJc w:val="left"/>
      <w:pPr>
        <w:ind w:left="2880" w:hanging="360"/>
      </w:pPr>
    </w:lvl>
    <w:lvl w:ilvl="4" w:tplc="F5207E80">
      <w:start w:val="1"/>
      <w:numFmt w:val="bullet"/>
      <w:lvlText w:val="○"/>
      <w:lvlJc w:val="left"/>
      <w:pPr>
        <w:ind w:left="3600" w:hanging="360"/>
      </w:pPr>
    </w:lvl>
    <w:lvl w:ilvl="5" w:tplc="83F6DD08">
      <w:start w:val="1"/>
      <w:numFmt w:val="bullet"/>
      <w:lvlText w:val="■"/>
      <w:lvlJc w:val="left"/>
      <w:pPr>
        <w:ind w:left="4320" w:hanging="360"/>
      </w:pPr>
    </w:lvl>
    <w:lvl w:ilvl="6" w:tplc="01DEEEBC">
      <w:start w:val="1"/>
      <w:numFmt w:val="bullet"/>
      <w:lvlText w:val="●"/>
      <w:lvlJc w:val="left"/>
      <w:pPr>
        <w:ind w:left="5040" w:hanging="360"/>
      </w:pPr>
    </w:lvl>
    <w:lvl w:ilvl="7" w:tplc="36245602">
      <w:start w:val="1"/>
      <w:numFmt w:val="bullet"/>
      <w:lvlText w:val="●"/>
      <w:lvlJc w:val="left"/>
      <w:pPr>
        <w:ind w:left="5760" w:hanging="360"/>
      </w:pPr>
    </w:lvl>
    <w:lvl w:ilvl="8" w:tplc="1A52390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grammar="clean"/>
  <w:defaultTabStop w:val="720"/>
  <w:characterSpacingControl w:val="doNotCompress"/>
  <w:footnotePr>
    <w:footnote w:id="-1"/>
    <w:footnote w:id="0"/>
  </w:footnotePr>
  <w:endnotePr>
    <w:endnote w:id="-1"/>
    <w:endnote w:id="0"/>
  </w:endnotePr>
  <w:compat/>
  <w:rsids>
    <w:rsidRoot w:val="000528DF"/>
    <w:rsid w:val="000528DF"/>
    <w:rsid w:val="00BD096D"/>
    <w:rsid w:val="00DE73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0528DF"/>
    <w:pPr>
      <w:outlineLvl w:val="0"/>
    </w:pPr>
    <w:rPr>
      <w:color w:val="2E74B5"/>
      <w:sz w:val="32"/>
      <w:szCs w:val="32"/>
    </w:rPr>
  </w:style>
  <w:style w:type="paragraph" w:styleId="Heading2">
    <w:name w:val="heading 2"/>
    <w:qFormat/>
    <w:rsid w:val="000528DF"/>
    <w:pPr>
      <w:outlineLvl w:val="1"/>
    </w:pPr>
    <w:rPr>
      <w:color w:val="2E74B5"/>
      <w:sz w:val="26"/>
      <w:szCs w:val="26"/>
    </w:rPr>
  </w:style>
  <w:style w:type="paragraph" w:styleId="Heading3">
    <w:name w:val="heading 3"/>
    <w:qFormat/>
    <w:rsid w:val="000528DF"/>
    <w:pPr>
      <w:outlineLvl w:val="2"/>
    </w:pPr>
    <w:rPr>
      <w:color w:val="1F4D78"/>
      <w:sz w:val="24"/>
      <w:szCs w:val="24"/>
    </w:rPr>
  </w:style>
  <w:style w:type="paragraph" w:styleId="Heading4">
    <w:name w:val="heading 4"/>
    <w:qFormat/>
    <w:rsid w:val="000528DF"/>
    <w:pPr>
      <w:outlineLvl w:val="3"/>
    </w:pPr>
    <w:rPr>
      <w:i/>
      <w:iCs/>
      <w:color w:val="2E74B5"/>
    </w:rPr>
  </w:style>
  <w:style w:type="paragraph" w:styleId="Heading5">
    <w:name w:val="heading 5"/>
    <w:qFormat/>
    <w:rsid w:val="000528DF"/>
    <w:pPr>
      <w:outlineLvl w:val="4"/>
    </w:pPr>
    <w:rPr>
      <w:color w:val="2E74B5"/>
    </w:rPr>
  </w:style>
  <w:style w:type="paragraph" w:styleId="Heading6">
    <w:name w:val="heading 6"/>
    <w:qFormat/>
    <w:rsid w:val="000528DF"/>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528DF"/>
    <w:rPr>
      <w:sz w:val="56"/>
      <w:szCs w:val="56"/>
    </w:rPr>
  </w:style>
  <w:style w:type="paragraph" w:customStyle="1" w:styleId="Strong1">
    <w:name w:val="Strong1"/>
    <w:qFormat/>
    <w:rsid w:val="000528DF"/>
    <w:rPr>
      <w:b/>
      <w:bCs/>
    </w:rPr>
  </w:style>
  <w:style w:type="paragraph" w:styleId="ListParagraph">
    <w:name w:val="List Paragraph"/>
    <w:qFormat/>
    <w:rsid w:val="000528DF"/>
  </w:style>
  <w:style w:type="character" w:styleId="Hyperlink">
    <w:name w:val="Hyperlink"/>
    <w:uiPriority w:val="99"/>
    <w:unhideWhenUsed/>
    <w:rsid w:val="000528DF"/>
    <w:rPr>
      <w:color w:val="0563C1"/>
      <w:u w:val="single"/>
    </w:rPr>
  </w:style>
  <w:style w:type="character" w:styleId="FootnoteReference">
    <w:name w:val="footnote reference"/>
    <w:uiPriority w:val="99"/>
    <w:semiHidden/>
    <w:unhideWhenUsed/>
    <w:rsid w:val="000528DF"/>
    <w:rPr>
      <w:vertAlign w:val="superscript"/>
    </w:rPr>
  </w:style>
  <w:style w:type="paragraph" w:styleId="FootnoteText">
    <w:name w:val="footnote text"/>
    <w:link w:val="FootnoteTextChar"/>
    <w:uiPriority w:val="99"/>
    <w:semiHidden/>
    <w:unhideWhenUsed/>
    <w:rsid w:val="000528DF"/>
    <w:rPr>
      <w:sz w:val="20"/>
      <w:szCs w:val="20"/>
    </w:rPr>
  </w:style>
  <w:style w:type="character" w:customStyle="1" w:styleId="FootnoteTextChar">
    <w:name w:val="Footnote Text Char"/>
    <w:link w:val="FootnoteText"/>
    <w:uiPriority w:val="99"/>
    <w:semiHidden/>
    <w:unhideWhenUsed/>
    <w:rsid w:val="000528DF"/>
    <w:rPr>
      <w:sz w:val="20"/>
      <w:szCs w:val="20"/>
    </w:rPr>
  </w:style>
  <w:style w:type="character" w:styleId="EndnoteReference">
    <w:name w:val="endnote reference"/>
    <w:uiPriority w:val="99"/>
    <w:semiHidden/>
    <w:unhideWhenUsed/>
    <w:rsid w:val="000528DF"/>
    <w:rPr>
      <w:vertAlign w:val="superscript"/>
    </w:rPr>
  </w:style>
  <w:style w:type="paragraph" w:styleId="EndnoteText">
    <w:name w:val="endnote text"/>
    <w:link w:val="EndnoteTextChar"/>
    <w:uiPriority w:val="99"/>
    <w:semiHidden/>
    <w:unhideWhenUsed/>
    <w:rsid w:val="000528DF"/>
    <w:rPr>
      <w:sz w:val="20"/>
      <w:szCs w:val="20"/>
    </w:rPr>
  </w:style>
  <w:style w:type="character" w:customStyle="1" w:styleId="EndnoteTextChar">
    <w:name w:val="Endnote Text Char"/>
    <w:link w:val="EndnoteText"/>
    <w:uiPriority w:val="99"/>
    <w:semiHidden/>
    <w:unhideWhenUsed/>
    <w:rsid w:val="000528DF"/>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8356</Characters>
  <Application>Microsoft Office Word</Application>
  <DocSecurity>0</DocSecurity>
  <Lines>69</Lines>
  <Paragraphs>19</Paragraphs>
  <ScaleCrop>false</ScaleCrop>
  <Company>BTC</Company>
  <LinksUpToDate>false</LinksUpToDate>
  <CharactersWithSpaces>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Tran Chi Duc</cp:lastModifiedBy>
  <cp:revision>2</cp:revision>
  <cp:lastPrinted>2026-08-26T11:10:00Z</cp:lastPrinted>
  <dcterms:created xsi:type="dcterms:W3CDTF">2026-08-26T11:07:00Z</dcterms:created>
  <dcterms:modified xsi:type="dcterms:W3CDTF">2026-08-26T11:10:00Z</dcterms:modified>
</cp:coreProperties>
</file>