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129" w:type="dxa"/>
        <w:tblCellMar>
          <w:left w:w="10" w:type="dxa"/>
          <w:right w:w="10" w:type="dxa"/>
        </w:tblCellMar>
        <w:tblLook w:val="04A0"/>
      </w:tblPr>
      <w:tblGrid>
        <w:gridCol w:w="5434"/>
        <w:gridCol w:w="8695"/>
      </w:tblGrid>
      <w:tr w:rsidR="00874672" w:rsidTr="00E8336B">
        <w:tblPrEx>
          <w:tblCellMar>
            <w:top w:w="0" w:type="dxa"/>
            <w:bottom w:w="0" w:type="dxa"/>
          </w:tblCellMar>
        </w:tblPrEx>
        <w:trPr>
          <w:trHeight w:val="1337"/>
        </w:trPr>
        <w:tc>
          <w:tcPr>
            <w:tcW w:w="5434" w:type="dxa"/>
          </w:tcPr>
          <w:p w:rsidR="00874672" w:rsidRDefault="00E8336B">
            <w:pPr>
              <w:jc w:val="center"/>
            </w:pPr>
            <w:r>
              <w:rPr>
                <w:b/>
                <w:bCs/>
                <w:sz w:val="24"/>
                <w:szCs w:val="24"/>
              </w:rPr>
              <w:t>BỘ TÀI CHÍNH</w:t>
            </w:r>
          </w:p>
          <w:p w:rsidR="00874672" w:rsidRDefault="00E8336B" w:rsidP="00E8336B">
            <w:pPr>
              <w:spacing w:after="60"/>
              <w:jc w:val="center"/>
            </w:pPr>
            <w:r>
              <w:rPr>
                <w:noProof/>
              </w:rPr>
              <w:pict>
                <v:shapetype id="_x0000_t32" coordsize="21600,21600" o:spt="32" o:oned="t" path="m,l21600,21600e" filled="f">
                  <v:path arrowok="t" fillok="f" o:connecttype="none"/>
                  <o:lock v:ext="edit" shapetype="t"/>
                </v:shapetype>
                <v:shape id="_x0000_s1026" type="#_x0000_t32" style="position:absolute;left:0;text-align:left;margin-left:119pt;margin-top:6.7pt;width:41.25pt;height:0;z-index:251658240" o:connectortype="straight"/>
              </w:pict>
            </w:r>
          </w:p>
        </w:tc>
        <w:tc>
          <w:tcPr>
            <w:tcW w:w="8695" w:type="dxa"/>
          </w:tcPr>
          <w:p w:rsidR="00874672" w:rsidRDefault="00E8336B">
            <w:pPr>
              <w:jc w:val="center"/>
            </w:pPr>
            <w:r>
              <w:rPr>
                <w:b/>
                <w:bCs/>
                <w:sz w:val="24"/>
                <w:szCs w:val="24"/>
              </w:rPr>
              <w:t>CỘNG HÒA XÃ HỘI CHỦ NGHĨA VIỆT NAM</w:t>
            </w:r>
          </w:p>
          <w:p w:rsidR="00874672" w:rsidRDefault="00E8336B">
            <w:pPr>
              <w:jc w:val="center"/>
            </w:pPr>
            <w:r>
              <w:rPr>
                <w:b/>
                <w:bCs/>
                <w:sz w:val="26"/>
                <w:szCs w:val="26"/>
              </w:rPr>
              <w:t>Độc lập - Tự do - Hạnh phúc</w:t>
            </w:r>
          </w:p>
          <w:p w:rsidR="00874672" w:rsidRDefault="00E8336B">
            <w:pPr>
              <w:spacing w:after="60"/>
              <w:jc w:val="center"/>
            </w:pPr>
            <w:r>
              <w:rPr>
                <w:b/>
                <w:bCs/>
                <w:noProof/>
                <w:sz w:val="24"/>
                <w:szCs w:val="24"/>
              </w:rPr>
              <w:pict>
                <v:shape id="_x0000_s1027" type="#_x0000_t32" style="position:absolute;left:0;text-align:left;margin-left:156.3pt;margin-top:9pt;width:122.25pt;height:.05pt;z-index:251659264" o:connectortype="straight"/>
              </w:pict>
            </w:r>
          </w:p>
          <w:p w:rsidR="00874672" w:rsidRDefault="00E8336B">
            <w:pPr>
              <w:jc w:val="center"/>
            </w:pPr>
            <w:r>
              <w:rPr>
                <w:i/>
                <w:iCs/>
                <w:sz w:val="26"/>
                <w:szCs w:val="26"/>
              </w:rPr>
              <w:t>Hà Nội, ngày        tháng        năm 2026</w:t>
            </w:r>
          </w:p>
        </w:tc>
      </w:tr>
    </w:tbl>
    <w:p w:rsidR="00874672" w:rsidRDefault="00874672"/>
    <w:p w:rsidR="00874672" w:rsidRPr="00E8336B" w:rsidRDefault="00E8336B">
      <w:pPr>
        <w:spacing w:line="276" w:lineRule="auto"/>
        <w:jc w:val="center"/>
      </w:pPr>
      <w:r w:rsidRPr="00E8336B">
        <w:rPr>
          <w:b/>
          <w:bCs/>
        </w:rPr>
        <w:t>BẢN SO SÁNH, THUYẾT MINH</w:t>
      </w:r>
    </w:p>
    <w:p w:rsidR="00874672" w:rsidRPr="00E8336B" w:rsidRDefault="00E8336B">
      <w:pPr>
        <w:spacing w:after="200" w:line="276" w:lineRule="auto"/>
        <w:jc w:val="center"/>
        <w:rPr>
          <w:b/>
          <w:bCs/>
        </w:rPr>
      </w:pPr>
      <w:r w:rsidRPr="00E8336B">
        <w:rPr>
          <w:b/>
          <w:bCs/>
        </w:rPr>
        <w:t>Dự thảo Thông tư quy định quản lý, sử dụng và thanh quyết toán kinh phí chi thường xuyên thực hiện duy tu, bảo dưỡng đê điều và xử lý đột xuất (khẩn cấp, cấp bách) sự cố đê điều với Thông tư số 68/2020/TT-BTC</w:t>
      </w:r>
    </w:p>
    <w:p w:rsidR="00E8336B" w:rsidRDefault="00E8336B">
      <w:pPr>
        <w:spacing w:after="200" w:line="276" w:lineRule="auto"/>
        <w:jc w:val="center"/>
      </w:pP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4600"/>
        <w:gridCol w:w="5600"/>
        <w:gridCol w:w="4200"/>
      </w:tblGrid>
      <w:tr w:rsidR="00874672">
        <w:tblPrEx>
          <w:tblCellMar>
            <w:top w:w="0" w:type="dxa"/>
            <w:bottom w:w="0" w:type="dxa"/>
          </w:tblCellMar>
        </w:tblPrEx>
        <w:tc>
          <w:tcPr>
            <w:tcW w:w="4600" w:type="dxa"/>
            <w:tcBorders>
              <w:top w:val="single" w:sz="4" w:space="0" w:color="auto"/>
              <w:left w:val="single" w:sz="4" w:space="0" w:color="auto"/>
              <w:bottom w:val="single" w:sz="4" w:space="0" w:color="auto"/>
              <w:right w:val="single" w:sz="4" w:space="0" w:color="auto"/>
            </w:tcBorders>
          </w:tcPr>
          <w:p w:rsidR="00874672" w:rsidRDefault="00E8336B" w:rsidP="00E8336B">
            <w:pPr>
              <w:spacing w:after="60"/>
              <w:ind w:left="142" w:right="185"/>
              <w:jc w:val="center"/>
            </w:pPr>
            <w:r>
              <w:rPr>
                <w:b/>
                <w:bCs/>
                <w:sz w:val="22"/>
                <w:szCs w:val="22"/>
              </w:rPr>
              <w:t>QUY ĐỊNH HIỆN HÀNH (Thông tư số 68/2020/TT-BTC)</w:t>
            </w:r>
          </w:p>
        </w:tc>
        <w:tc>
          <w:tcPr>
            <w:tcW w:w="5600" w:type="dxa"/>
            <w:tcBorders>
              <w:top w:val="single" w:sz="4" w:space="0" w:color="auto"/>
              <w:left w:val="single" w:sz="4" w:space="0" w:color="auto"/>
              <w:bottom w:val="single" w:sz="4" w:space="0" w:color="auto"/>
              <w:right w:val="single" w:sz="4" w:space="0" w:color="auto"/>
            </w:tcBorders>
          </w:tcPr>
          <w:p w:rsidR="00874672" w:rsidRDefault="00E8336B" w:rsidP="00E8336B">
            <w:pPr>
              <w:spacing w:after="60"/>
              <w:ind w:left="78" w:right="115"/>
              <w:jc w:val="center"/>
            </w:pPr>
            <w:r>
              <w:rPr>
                <w:b/>
                <w:bCs/>
                <w:sz w:val="22"/>
                <w:szCs w:val="22"/>
              </w:rPr>
              <w:t>QUY ĐỊNH DỰ KIẾN (Dự thảo Thông tư thay thế)</w:t>
            </w:r>
          </w:p>
        </w:tc>
        <w:tc>
          <w:tcPr>
            <w:tcW w:w="4200" w:type="dxa"/>
            <w:tcBorders>
              <w:top w:val="single" w:sz="4" w:space="0" w:color="auto"/>
              <w:left w:val="single" w:sz="4" w:space="0" w:color="auto"/>
              <w:bottom w:val="single" w:sz="4" w:space="0" w:color="auto"/>
              <w:right w:val="single" w:sz="4" w:space="0" w:color="auto"/>
            </w:tcBorders>
          </w:tcPr>
          <w:p w:rsidR="00874672" w:rsidRDefault="00E8336B" w:rsidP="00E8336B">
            <w:pPr>
              <w:spacing w:after="60"/>
              <w:ind w:left="148" w:right="63"/>
              <w:jc w:val="center"/>
            </w:pPr>
            <w:r>
              <w:rPr>
                <w:b/>
                <w:bCs/>
                <w:sz w:val="22"/>
                <w:szCs w:val="22"/>
              </w:rPr>
              <w:t>LÝ DO, CƠ SỞ PHÁP LÝ CỦA VIỆC THAY ĐỔI</w:t>
            </w:r>
          </w:p>
        </w:tc>
      </w:tr>
      <w:tr w:rsidR="00874672">
        <w:tblPrEx>
          <w:tblCellMar>
            <w:top w:w="0" w:type="dxa"/>
            <w:bottom w:w="0" w:type="dxa"/>
          </w:tblCellMar>
        </w:tblPrEx>
        <w:tc>
          <w:tcPr>
            <w:tcW w:w="4600" w:type="dxa"/>
            <w:tcBorders>
              <w:top w:val="single" w:sz="4" w:space="0" w:color="auto"/>
              <w:left w:val="single" w:sz="4" w:space="0" w:color="auto"/>
              <w:bottom w:val="single" w:sz="4" w:space="0" w:color="auto"/>
              <w:right w:val="single" w:sz="4" w:space="0" w:color="auto"/>
            </w:tcBorders>
          </w:tcPr>
          <w:p w:rsidR="00874672" w:rsidRDefault="00E8336B" w:rsidP="00E8336B">
            <w:pPr>
              <w:spacing w:after="60"/>
              <w:ind w:left="142" w:right="185"/>
              <w:jc w:val="both"/>
            </w:pPr>
            <w:r>
              <w:rPr>
                <w:sz w:val="22"/>
                <w:szCs w:val="22"/>
              </w:rPr>
              <w:t>Phần căn cứ ban hành: Luật Đê điều 2006; Luật Ngân sách nhà nước 2015; Nghị định số 163/2016/NĐ-CP; Nghị định số 87/2017/NĐ-CP; Nghị định số 113/2007/NĐ-CP.</w:t>
            </w:r>
          </w:p>
        </w:tc>
        <w:tc>
          <w:tcPr>
            <w:tcW w:w="5600" w:type="dxa"/>
            <w:tcBorders>
              <w:top w:val="single" w:sz="4" w:space="0" w:color="auto"/>
              <w:left w:val="single" w:sz="4" w:space="0" w:color="auto"/>
              <w:bottom w:val="single" w:sz="4" w:space="0" w:color="auto"/>
              <w:right w:val="single" w:sz="4" w:space="0" w:color="auto"/>
            </w:tcBorders>
          </w:tcPr>
          <w:p w:rsidR="00874672" w:rsidRDefault="00E8336B" w:rsidP="00E8336B">
            <w:pPr>
              <w:spacing w:after="60"/>
              <w:ind w:left="78" w:right="115"/>
              <w:jc w:val="both"/>
            </w:pPr>
            <w:r>
              <w:rPr>
                <w:sz w:val="22"/>
                <w:szCs w:val="22"/>
              </w:rPr>
              <w:t>Cập nhật toàn bộ căn cứ: Luật Đê điều số 79/2006/QH11 được sửa đổi, bổ sung qua 07 luật; Luật Ngân sách nhà nước số 89/2025/QH15 được sửa đổi, bổ sung bởi Luật Dự trữ quốc gia số 145/2025/QH15; Nghị định số 113/2007/NĐ-CP được sửa đổi, bổ sung theo Nghị đị</w:t>
            </w:r>
            <w:r>
              <w:rPr>
                <w:sz w:val="22"/>
                <w:szCs w:val="22"/>
              </w:rPr>
              <w:t>nh số 53/2026/NĐ-CP; Nghị định số 73/2026/NĐ-CP; bổ sung căn cứ Nghị định số 104/2026/NĐ-CP; Nghị định số 29/2025/NĐ-CP được sửa đổi, bổ sung theo Nghị định số 109/2025/NĐ-CP và Nghị định số 166/2025/NĐ-CP.</w:t>
            </w:r>
          </w:p>
        </w:tc>
        <w:tc>
          <w:tcPr>
            <w:tcW w:w="4200" w:type="dxa"/>
            <w:tcBorders>
              <w:top w:val="single" w:sz="4" w:space="0" w:color="auto"/>
              <w:left w:val="single" w:sz="4" w:space="0" w:color="auto"/>
              <w:bottom w:val="single" w:sz="4" w:space="0" w:color="auto"/>
              <w:right w:val="single" w:sz="4" w:space="0" w:color="auto"/>
            </w:tcBorders>
          </w:tcPr>
          <w:p w:rsidR="00874672" w:rsidRDefault="00E8336B" w:rsidP="00E8336B">
            <w:pPr>
              <w:spacing w:after="60"/>
              <w:ind w:left="148" w:right="63"/>
              <w:jc w:val="both"/>
            </w:pPr>
            <w:r>
              <w:rPr>
                <w:sz w:val="22"/>
                <w:szCs w:val="22"/>
              </w:rPr>
              <w:t>Toàn bộ căn cứ cũ đã hết hiệu lực hoặc được sửa đ</w:t>
            </w:r>
            <w:r>
              <w:rPr>
                <w:sz w:val="22"/>
                <w:szCs w:val="22"/>
              </w:rPr>
              <w:t>ổi, bổ sung. Khoản 2 Điều 4 Luật số 89/2025/QH15 được sửa đổi, bổ sung theo khoản 2 Điều 34 Luật số 145/2025/QH15 nên phải ghi kèm theo Điều 68 Nghị định số 78/2025/NĐ-CP. Bổ sung Nghị định số 104/2026/NĐ-CP do dự thảo dẫn chiếu quy định về hồ sơ, thẩm quy</w:t>
            </w:r>
            <w:r>
              <w:rPr>
                <w:sz w:val="22"/>
                <w:szCs w:val="22"/>
              </w:rPr>
              <w:t>ền phê duyệt nhiệm vụ chi thường xuyên. Trình bày theo Điều 62 và Điều 68 Nghị định số 78/2025/NĐ-CP.</w:t>
            </w:r>
          </w:p>
        </w:tc>
      </w:tr>
      <w:tr w:rsidR="00874672">
        <w:tblPrEx>
          <w:tblCellMar>
            <w:top w:w="0" w:type="dxa"/>
            <w:bottom w:w="0" w:type="dxa"/>
          </w:tblCellMar>
        </w:tblPrEx>
        <w:tc>
          <w:tcPr>
            <w:tcW w:w="4600" w:type="dxa"/>
            <w:tcBorders>
              <w:top w:val="single" w:sz="4" w:space="0" w:color="auto"/>
              <w:left w:val="single" w:sz="4" w:space="0" w:color="auto"/>
              <w:bottom w:val="single" w:sz="4" w:space="0" w:color="auto"/>
              <w:right w:val="single" w:sz="4" w:space="0" w:color="auto"/>
            </w:tcBorders>
          </w:tcPr>
          <w:p w:rsidR="00874672" w:rsidRDefault="00E8336B" w:rsidP="00E8336B">
            <w:pPr>
              <w:spacing w:after="60"/>
              <w:ind w:left="142" w:right="185"/>
              <w:jc w:val="both"/>
            </w:pPr>
            <w:r>
              <w:rPr>
                <w:sz w:val="22"/>
                <w:szCs w:val="22"/>
              </w:rPr>
              <w:t xml:space="preserve">Điều 1. Phạm vi điều chỉnh, đối tượng áp dụng: hướng dẫn chế độ quản lý, sử dụng và thanh quyết toán kinh phí chi thường xuyên duy tu, bảo dưỡng đê điều </w:t>
            </w:r>
            <w:r>
              <w:rPr>
                <w:sz w:val="22"/>
                <w:szCs w:val="22"/>
              </w:rPr>
              <w:t>và xử lý cấp bách sự cố đê điều.</w:t>
            </w:r>
          </w:p>
        </w:tc>
        <w:tc>
          <w:tcPr>
            <w:tcW w:w="5600" w:type="dxa"/>
            <w:tcBorders>
              <w:top w:val="single" w:sz="4" w:space="0" w:color="auto"/>
              <w:left w:val="single" w:sz="4" w:space="0" w:color="auto"/>
              <w:bottom w:val="single" w:sz="4" w:space="0" w:color="auto"/>
              <w:right w:val="single" w:sz="4" w:space="0" w:color="auto"/>
            </w:tcBorders>
          </w:tcPr>
          <w:p w:rsidR="00874672" w:rsidRDefault="00E8336B" w:rsidP="00E8336B">
            <w:pPr>
              <w:spacing w:after="60"/>
              <w:ind w:left="78" w:right="115"/>
              <w:jc w:val="both"/>
            </w:pPr>
            <w:r>
              <w:rPr>
                <w:sz w:val="22"/>
                <w:szCs w:val="22"/>
              </w:rPr>
              <w:t>Tách thành Điều 1 (phạm vi điều chỉnh) và Điều 2 (đối tượng áp dụng); nêu rõ khoản 4 Điều 3 Nghị định số 113/2007/NĐ-CP được sửa đổi, bổ sung bởi Nghị định số 53/2026/NĐ-CP là điều, khoản giao quy định chi tiết; bổ sung kin</w:t>
            </w:r>
            <w:r>
              <w:rPr>
                <w:sz w:val="22"/>
                <w:szCs w:val="22"/>
              </w:rPr>
              <w:t>h phí nhiệm vụ chi được ủy quyền cho Sở Nông nghiệp và Môi trường; chuẩn hóa thuật ngữ "xử lý đột xuất (khẩn cấp, cấp bách) sự cố đê điều".</w:t>
            </w:r>
          </w:p>
        </w:tc>
        <w:tc>
          <w:tcPr>
            <w:tcW w:w="4200" w:type="dxa"/>
            <w:tcBorders>
              <w:top w:val="single" w:sz="4" w:space="0" w:color="auto"/>
              <w:left w:val="single" w:sz="4" w:space="0" w:color="auto"/>
              <w:bottom w:val="single" w:sz="4" w:space="0" w:color="auto"/>
              <w:right w:val="single" w:sz="4" w:space="0" w:color="auto"/>
            </w:tcBorders>
          </w:tcPr>
          <w:p w:rsidR="00874672" w:rsidRDefault="00E8336B" w:rsidP="00E8336B">
            <w:pPr>
              <w:spacing w:after="60"/>
              <w:ind w:left="148" w:right="63"/>
              <w:jc w:val="both"/>
            </w:pPr>
            <w:r>
              <w:rPr>
                <w:sz w:val="22"/>
                <w:szCs w:val="22"/>
              </w:rPr>
              <w:t>Điều 65 Nghị định số 78/2025/NĐ-CP yêu cầu nêu cụ thể điều, khoản giao quy định chi tiết tại điều về phạm vi điều ch</w:t>
            </w:r>
            <w:r>
              <w:rPr>
                <w:sz w:val="22"/>
                <w:szCs w:val="22"/>
              </w:rPr>
              <w:t>ỉnh. Nội dung ủy quyền và thuật ngữ mới theo khoản 4 Điều 3 Nghị định số 113/2007/NĐ-CP được bổ sung bởi khoản 2 Điều 30 Nghị định số 53/2026/NĐ-CP.</w:t>
            </w:r>
          </w:p>
        </w:tc>
      </w:tr>
      <w:tr w:rsidR="00874672">
        <w:tblPrEx>
          <w:tblCellMar>
            <w:top w:w="0" w:type="dxa"/>
            <w:bottom w:w="0" w:type="dxa"/>
          </w:tblCellMar>
        </w:tblPrEx>
        <w:tc>
          <w:tcPr>
            <w:tcW w:w="4600" w:type="dxa"/>
            <w:tcBorders>
              <w:top w:val="single" w:sz="4" w:space="0" w:color="auto"/>
              <w:left w:val="single" w:sz="4" w:space="0" w:color="auto"/>
              <w:bottom w:val="single" w:sz="4" w:space="0" w:color="auto"/>
              <w:right w:val="single" w:sz="4" w:space="0" w:color="auto"/>
            </w:tcBorders>
          </w:tcPr>
          <w:p w:rsidR="00874672" w:rsidRDefault="00E8336B" w:rsidP="00E8336B">
            <w:pPr>
              <w:spacing w:after="60"/>
              <w:ind w:left="142" w:right="185"/>
              <w:jc w:val="both"/>
            </w:pPr>
            <w:r>
              <w:rPr>
                <w:sz w:val="22"/>
                <w:szCs w:val="22"/>
              </w:rPr>
              <w:t>Điều 2. Nguồn kinh phí: 03 khoản, dùng thuật ngữ "xử lý cấp bách sự cố đê điều".</w:t>
            </w:r>
          </w:p>
        </w:tc>
        <w:tc>
          <w:tcPr>
            <w:tcW w:w="5600" w:type="dxa"/>
            <w:tcBorders>
              <w:top w:val="single" w:sz="4" w:space="0" w:color="auto"/>
              <w:left w:val="single" w:sz="4" w:space="0" w:color="auto"/>
              <w:bottom w:val="single" w:sz="4" w:space="0" w:color="auto"/>
              <w:right w:val="single" w:sz="4" w:space="0" w:color="auto"/>
            </w:tcBorders>
          </w:tcPr>
          <w:p w:rsidR="00874672" w:rsidRDefault="00E8336B" w:rsidP="00E8336B">
            <w:pPr>
              <w:spacing w:after="60"/>
              <w:ind w:left="78" w:right="115"/>
              <w:jc w:val="both"/>
            </w:pPr>
            <w:r>
              <w:rPr>
                <w:sz w:val="22"/>
                <w:szCs w:val="22"/>
              </w:rPr>
              <w:t>Điều 3. Nguồn kinh phí (0</w:t>
            </w:r>
            <w:r>
              <w:rPr>
                <w:sz w:val="22"/>
                <w:szCs w:val="22"/>
              </w:rPr>
              <w:t xml:space="preserve">4 khoản): khoản 1 bổ sung nguyên tắc kinh phí được bảo đảm từ ngân sách trung ương, ngân sách địa phương theo nhiệm vụ chi được cấp có thẩm quyền giao và phân cấp ngân sách nhà nước, nhiệm vụ chi thuộc </w:t>
            </w:r>
            <w:r>
              <w:rPr>
                <w:sz w:val="22"/>
                <w:szCs w:val="22"/>
              </w:rPr>
              <w:lastRenderedPageBreak/>
              <w:t>ngân sách cấp nào do ngân sách cấp đó bảo đảm; khoản 2</w:t>
            </w:r>
            <w:r>
              <w:rPr>
                <w:sz w:val="22"/>
                <w:szCs w:val="22"/>
              </w:rPr>
              <w:t xml:space="preserve"> và khoản 3 xác định nguồn theo nhiệm vụ chi của từng cấp ngân sách thay cho việc liệt kê theo cấp đê, ngân sách trung ương hỗ trợ ngân sách địa phương chi khắc phục hậu quả thiên tai, xử lý đột xuất sự cố đê điều vượt quá khả năng cân đối của ngân sách đị</w:t>
            </w:r>
            <w:r>
              <w:rPr>
                <w:sz w:val="22"/>
                <w:szCs w:val="22"/>
              </w:rPr>
              <w:t>a phương theo điểm c khoản 2 Điều 43 Luật Ngân sách nhà nước; khoản 4 giữ quy định đối với đê chuyên dùng; thay thuật ngữ thành "xử lý đột xuất (khẩn cấp, cấp bách) sự cố đê điều".</w:t>
            </w:r>
          </w:p>
        </w:tc>
        <w:tc>
          <w:tcPr>
            <w:tcW w:w="4200" w:type="dxa"/>
            <w:tcBorders>
              <w:top w:val="single" w:sz="4" w:space="0" w:color="auto"/>
              <w:left w:val="single" w:sz="4" w:space="0" w:color="auto"/>
              <w:bottom w:val="single" w:sz="4" w:space="0" w:color="auto"/>
              <w:right w:val="single" w:sz="4" w:space="0" w:color="auto"/>
            </w:tcBorders>
          </w:tcPr>
          <w:p w:rsidR="00874672" w:rsidRDefault="00E8336B" w:rsidP="00E8336B">
            <w:pPr>
              <w:spacing w:after="60"/>
              <w:ind w:left="148" w:right="63"/>
              <w:jc w:val="both"/>
            </w:pPr>
            <w:r>
              <w:rPr>
                <w:sz w:val="22"/>
                <w:szCs w:val="22"/>
              </w:rPr>
              <w:lastRenderedPageBreak/>
              <w:t>Chuẩn hóa thuật ngữ theo khoản 4 Điều 3 Nghị định số 113/2007/NĐ-CP được sử</w:t>
            </w:r>
            <w:r>
              <w:rPr>
                <w:sz w:val="22"/>
                <w:szCs w:val="22"/>
              </w:rPr>
              <w:t xml:space="preserve">a đổi, bổ sung. Tiếp thu ý kiến Vụ Ngân sách nhà nước: không dẫn chiếu Điều 22 Luật Đê </w:t>
            </w:r>
            <w:r>
              <w:rPr>
                <w:sz w:val="22"/>
                <w:szCs w:val="22"/>
              </w:rPr>
              <w:lastRenderedPageBreak/>
              <w:t>điều do điều này quy định về chi đầu tư xây dựng, tu bổ, nâng cấp, kiên cố hóa đê điều, khác bản chất với chi thường xuyên thuộc phạm vi điều chỉnh của Thông tư; xác địn</w:t>
            </w:r>
            <w:r>
              <w:rPr>
                <w:sz w:val="22"/>
                <w:szCs w:val="22"/>
              </w:rPr>
              <w:t xml:space="preserve">h nguồn kinh phí theo nguyên tắc nhiệm vụ chi thuộc ngân sách cấp nào do ngân sách cấp đó bảo đảm theo Luật Ngân sách nhà nước số 89/2025/QH15. Tiếp thu ý kiến Vụ Pháp chế: điều kiện hỗ trợ từ ngân sách trung ương ghi theo đúng điểm c khoản 2 Điều 43 Luật </w:t>
            </w:r>
            <w:r>
              <w:rPr>
                <w:sz w:val="22"/>
                <w:szCs w:val="22"/>
              </w:rPr>
              <w:t>Ngân sách nhà nước (vượt quá khả năng cân đối của ngân sách cấp dưới), không giới hạn ở các địa phương chưa tự cân đối được ngân sách vì Luật Đê điều, Nghị định số 113/2007/NĐ-CP và Nghị định số 53/2026/NĐ-CP không quy định giới hạn này.</w:t>
            </w:r>
          </w:p>
        </w:tc>
      </w:tr>
      <w:tr w:rsidR="00874672">
        <w:tblPrEx>
          <w:tblCellMar>
            <w:top w:w="0" w:type="dxa"/>
            <w:bottom w:w="0" w:type="dxa"/>
          </w:tblCellMar>
        </w:tblPrEx>
        <w:tc>
          <w:tcPr>
            <w:tcW w:w="4600" w:type="dxa"/>
            <w:tcBorders>
              <w:top w:val="single" w:sz="4" w:space="0" w:color="auto"/>
              <w:left w:val="single" w:sz="4" w:space="0" w:color="auto"/>
              <w:bottom w:val="single" w:sz="4" w:space="0" w:color="auto"/>
              <w:right w:val="single" w:sz="4" w:space="0" w:color="auto"/>
            </w:tcBorders>
          </w:tcPr>
          <w:p w:rsidR="00874672" w:rsidRDefault="00E8336B" w:rsidP="00E8336B">
            <w:pPr>
              <w:spacing w:after="60"/>
              <w:ind w:left="142" w:right="185"/>
              <w:jc w:val="both"/>
            </w:pPr>
            <w:r>
              <w:rPr>
                <w:sz w:val="22"/>
                <w:szCs w:val="22"/>
              </w:rPr>
              <w:lastRenderedPageBreak/>
              <w:t>Điều 3. Nguyên tắc quản lý, sử dụng kinh phí: 01 nội dung về sử dụng kinh phí đúng nội dung được phê duyệt, đúng chế độ, thanh quyết toán và công khai ngân sách.</w:t>
            </w:r>
          </w:p>
        </w:tc>
        <w:tc>
          <w:tcPr>
            <w:tcW w:w="5600" w:type="dxa"/>
            <w:tcBorders>
              <w:top w:val="single" w:sz="4" w:space="0" w:color="auto"/>
              <w:left w:val="single" w:sz="4" w:space="0" w:color="auto"/>
              <w:bottom w:val="single" w:sz="4" w:space="0" w:color="auto"/>
              <w:right w:val="single" w:sz="4" w:space="0" w:color="auto"/>
            </w:tcBorders>
          </w:tcPr>
          <w:p w:rsidR="00874672" w:rsidRDefault="00E8336B" w:rsidP="00E8336B">
            <w:pPr>
              <w:spacing w:after="60"/>
              <w:ind w:left="78" w:right="115"/>
              <w:jc w:val="both"/>
            </w:pPr>
            <w:r>
              <w:rPr>
                <w:sz w:val="22"/>
                <w:szCs w:val="22"/>
              </w:rPr>
              <w:t>Điều 4. Nguyên tắc quản lý, sử dụng kinh phí: giữ khoản 1; bổ sung khoản 2 về căn cứ văn bản c</w:t>
            </w:r>
            <w:r>
              <w:rPr>
                <w:sz w:val="22"/>
                <w:szCs w:val="22"/>
              </w:rPr>
              <w:t xml:space="preserve">ủa Bộ Nông nghiệp và Môi trường (định mức kinh tế - kỹ thuật, đơn giá, giá dịch vụ; quy trình lập và thực hiện kế hoạch duy tu, bảo dưỡng hằng năm; nội dung, quy trình, thời gian xử lý đột xuất sự cố); bổ sung khoản 3 dẫn chiếu Nghị định số 104/2026/NĐ-CP </w:t>
            </w:r>
            <w:r>
              <w:rPr>
                <w:sz w:val="22"/>
                <w:szCs w:val="22"/>
              </w:rPr>
              <w:t>về lập dự toán, hồ sơ, thẩm quyền phê duyệt và quyết toán đối với nhiệm vụ sửa chữa, cải tạo, nâng cấp, xây dựng mới hạng mục công trình và nhiệm vụ đột xuất khắc phục hậu quả thiên tai; kinh phí bảo dưỡng, sửa chữa tài sản công dẫn chiếu pháp luật về quản</w:t>
            </w:r>
            <w:r>
              <w:rPr>
                <w:sz w:val="22"/>
                <w:szCs w:val="22"/>
              </w:rPr>
              <w:t xml:space="preserve"> lý, sử dụng tài sản công (không dẫn chiếu Thông tư số 65/2021/TT-BTC theo ý kiến Vụ Pháp chế).</w:t>
            </w:r>
          </w:p>
        </w:tc>
        <w:tc>
          <w:tcPr>
            <w:tcW w:w="4200" w:type="dxa"/>
            <w:tcBorders>
              <w:top w:val="single" w:sz="4" w:space="0" w:color="auto"/>
              <w:left w:val="single" w:sz="4" w:space="0" w:color="auto"/>
              <w:bottom w:val="single" w:sz="4" w:space="0" w:color="auto"/>
              <w:right w:val="single" w:sz="4" w:space="0" w:color="auto"/>
            </w:tcBorders>
          </w:tcPr>
          <w:p w:rsidR="00874672" w:rsidRDefault="00E8336B" w:rsidP="00E8336B">
            <w:pPr>
              <w:spacing w:after="60"/>
              <w:ind w:left="148" w:right="63"/>
              <w:jc w:val="both"/>
            </w:pPr>
            <w:r>
              <w:rPr>
                <w:sz w:val="22"/>
                <w:szCs w:val="22"/>
              </w:rPr>
              <w:t>Khoản 2 thực hiện nguyên tắc dẫn chiếu theo thẩm quyền tại khoản 4 Điều 3 Nghị định số 113/2007/NĐ-CP được sửa đổi, bổ sung. Khoản 3 bảo đảm thống nhất với Nghị</w:t>
            </w:r>
            <w:r>
              <w:rPr>
                <w:sz w:val="22"/>
                <w:szCs w:val="22"/>
              </w:rPr>
              <w:t xml:space="preserve"> định số 104/2026/NĐ-CP quy định việc lập dự toán, quản lý, sử dụng và quyết toán chi thường xuyên thực hiện các nhiệm vụ quy định tại Điều 40 Luật Ngân sách nhà nước. Không dẫn chiếu Thông tư số 65/2021/TT-BTC do các căn cứ ban hành của Thông tư này đã hế</w:t>
            </w:r>
            <w:r>
              <w:rPr>
                <w:sz w:val="22"/>
                <w:szCs w:val="22"/>
              </w:rPr>
              <w:t>t hiệu lực và được thay thế bằng văn bản mới (ý kiến Vụ Pháp chế).</w:t>
            </w:r>
          </w:p>
        </w:tc>
      </w:tr>
      <w:tr w:rsidR="00874672">
        <w:tblPrEx>
          <w:tblCellMar>
            <w:top w:w="0" w:type="dxa"/>
            <w:bottom w:w="0" w:type="dxa"/>
          </w:tblCellMar>
        </w:tblPrEx>
        <w:tc>
          <w:tcPr>
            <w:tcW w:w="4600" w:type="dxa"/>
            <w:tcBorders>
              <w:top w:val="single" w:sz="4" w:space="0" w:color="auto"/>
              <w:left w:val="single" w:sz="4" w:space="0" w:color="auto"/>
              <w:bottom w:val="single" w:sz="4" w:space="0" w:color="auto"/>
              <w:right w:val="single" w:sz="4" w:space="0" w:color="auto"/>
            </w:tcBorders>
          </w:tcPr>
          <w:p w:rsidR="00874672" w:rsidRDefault="00E8336B" w:rsidP="00E8336B">
            <w:pPr>
              <w:spacing w:after="60"/>
              <w:ind w:left="142" w:right="185"/>
              <w:jc w:val="both"/>
            </w:pPr>
            <w:r>
              <w:rPr>
                <w:sz w:val="22"/>
                <w:szCs w:val="22"/>
              </w:rPr>
              <w:t>Điều 4 và Điều 5. Nội dung chi: liệt kê 12 nội dung chi duy tu, bảo dưỡng và 11 loại sự cố xử lý cấp bách.</w:t>
            </w:r>
          </w:p>
        </w:tc>
        <w:tc>
          <w:tcPr>
            <w:tcW w:w="5600" w:type="dxa"/>
            <w:tcBorders>
              <w:top w:val="single" w:sz="4" w:space="0" w:color="auto"/>
              <w:left w:val="single" w:sz="4" w:space="0" w:color="auto"/>
              <w:bottom w:val="single" w:sz="4" w:space="0" w:color="auto"/>
              <w:right w:val="single" w:sz="4" w:space="0" w:color="auto"/>
            </w:tcBorders>
          </w:tcPr>
          <w:p w:rsidR="00874672" w:rsidRDefault="00E8336B" w:rsidP="00E8336B">
            <w:pPr>
              <w:spacing w:after="60"/>
              <w:ind w:left="78" w:right="115"/>
              <w:jc w:val="both"/>
            </w:pPr>
            <w:r>
              <w:rPr>
                <w:sz w:val="22"/>
                <w:szCs w:val="22"/>
              </w:rPr>
              <w:t xml:space="preserve">Điều 5. Nội dung chi từ nguồn ngân sách trung ương (02 khoản): dẫn chiếu nội dung do Bộ Nông nghiệp và Môi trường hướng dẫn theo quy định tại khoản 2 Điều 30 Nghị định số 53/2026/NĐ-CP (tiếp thu ý kiến Vụ Pháp chế); giữ tiêu chí xác định sự cố được bố trí </w:t>
            </w:r>
            <w:r>
              <w:rPr>
                <w:sz w:val="22"/>
                <w:szCs w:val="22"/>
              </w:rPr>
              <w:t>kinh phí xử lý đột xuất. Nội dung về định mức, đơn giá được chuyển về Điều 4 và Điều 7 để tránh trùng lặp.</w:t>
            </w:r>
          </w:p>
        </w:tc>
        <w:tc>
          <w:tcPr>
            <w:tcW w:w="4200" w:type="dxa"/>
            <w:tcBorders>
              <w:top w:val="single" w:sz="4" w:space="0" w:color="auto"/>
              <w:left w:val="single" w:sz="4" w:space="0" w:color="auto"/>
              <w:bottom w:val="single" w:sz="4" w:space="0" w:color="auto"/>
              <w:right w:val="single" w:sz="4" w:space="0" w:color="auto"/>
            </w:tcBorders>
          </w:tcPr>
          <w:p w:rsidR="00874672" w:rsidRDefault="00E8336B" w:rsidP="00E8336B">
            <w:pPr>
              <w:spacing w:after="60"/>
              <w:ind w:left="148" w:right="63"/>
              <w:jc w:val="both"/>
            </w:pPr>
            <w:r>
              <w:rPr>
                <w:sz w:val="22"/>
                <w:szCs w:val="22"/>
              </w:rPr>
              <w:t>Khoản 4 Điều 3 Nghị định số 113/2007/NĐ-CP được sửa đổi, bổ sung giao Bộ Nông nghiệp và Môi trường quy định nội dung công tác; Thông tư số 25/2023/TT</w:t>
            </w:r>
            <w:r>
              <w:rPr>
                <w:sz w:val="22"/>
                <w:szCs w:val="22"/>
              </w:rPr>
              <w:t>-BNNPTNT (được sửa đổi bởi Thông tư số 10/2026/TT-BNNMT) mới quy định quy trình. Dẫn chiếu có địa chỉ tránh trùng thẩm quyền và lặp quy định.</w:t>
            </w:r>
          </w:p>
        </w:tc>
      </w:tr>
      <w:tr w:rsidR="00874672">
        <w:tblPrEx>
          <w:tblCellMar>
            <w:top w:w="0" w:type="dxa"/>
            <w:bottom w:w="0" w:type="dxa"/>
          </w:tblCellMar>
        </w:tblPrEx>
        <w:tc>
          <w:tcPr>
            <w:tcW w:w="4600" w:type="dxa"/>
            <w:tcBorders>
              <w:top w:val="single" w:sz="4" w:space="0" w:color="auto"/>
              <w:left w:val="single" w:sz="4" w:space="0" w:color="auto"/>
              <w:bottom w:val="single" w:sz="4" w:space="0" w:color="auto"/>
              <w:right w:val="single" w:sz="4" w:space="0" w:color="auto"/>
            </w:tcBorders>
          </w:tcPr>
          <w:p w:rsidR="00874672" w:rsidRDefault="00E8336B" w:rsidP="00E8336B">
            <w:pPr>
              <w:spacing w:after="60"/>
              <w:ind w:left="142" w:right="185"/>
              <w:jc w:val="both"/>
            </w:pPr>
            <w:r>
              <w:rPr>
                <w:sz w:val="22"/>
                <w:szCs w:val="22"/>
              </w:rPr>
              <w:lastRenderedPageBreak/>
              <w:t>Điều 6. Mức chi.</w:t>
            </w:r>
          </w:p>
        </w:tc>
        <w:tc>
          <w:tcPr>
            <w:tcW w:w="5600" w:type="dxa"/>
            <w:tcBorders>
              <w:top w:val="single" w:sz="4" w:space="0" w:color="auto"/>
              <w:left w:val="single" w:sz="4" w:space="0" w:color="auto"/>
              <w:bottom w:val="single" w:sz="4" w:space="0" w:color="auto"/>
              <w:right w:val="single" w:sz="4" w:space="0" w:color="auto"/>
            </w:tcBorders>
          </w:tcPr>
          <w:p w:rsidR="00874672" w:rsidRDefault="00E8336B" w:rsidP="00E8336B">
            <w:pPr>
              <w:spacing w:after="60"/>
              <w:ind w:left="78" w:right="115"/>
              <w:jc w:val="both"/>
            </w:pPr>
            <w:r>
              <w:rPr>
                <w:sz w:val="22"/>
                <w:szCs w:val="22"/>
              </w:rPr>
              <w:t>Điều 7. Mức chi: theo định mức kinh tế - kỹ thuật, đơn giá, giá dịch vụ duy tu, bảo dưỡng đê điề</w:t>
            </w:r>
            <w:r>
              <w:rPr>
                <w:sz w:val="22"/>
                <w:szCs w:val="22"/>
              </w:rPr>
              <w:t>u do Bộ Nông nghiệp và Môi trường ban hành và chế độ chi tiêu tài chính hiện hành do cơ quan nhà nước có thẩm quyền quy định.</w:t>
            </w:r>
          </w:p>
        </w:tc>
        <w:tc>
          <w:tcPr>
            <w:tcW w:w="4200" w:type="dxa"/>
            <w:tcBorders>
              <w:top w:val="single" w:sz="4" w:space="0" w:color="auto"/>
              <w:left w:val="single" w:sz="4" w:space="0" w:color="auto"/>
              <w:bottom w:val="single" w:sz="4" w:space="0" w:color="auto"/>
              <w:right w:val="single" w:sz="4" w:space="0" w:color="auto"/>
            </w:tcBorders>
          </w:tcPr>
          <w:p w:rsidR="00874672" w:rsidRDefault="00E8336B" w:rsidP="00E8336B">
            <w:pPr>
              <w:spacing w:after="60"/>
              <w:ind w:left="148" w:right="63"/>
              <w:jc w:val="both"/>
            </w:pPr>
            <w:r>
              <w:rPr>
                <w:sz w:val="22"/>
                <w:szCs w:val="22"/>
              </w:rPr>
              <w:t>Kế thừa quy định cũ, đồng thời ghi rõ chủ thể ban hành định mức, đơn giá để thống nhất với Điều 4 và Điều 5, khắc phục cách diễn đ</w:t>
            </w:r>
            <w:r>
              <w:rPr>
                <w:sz w:val="22"/>
                <w:szCs w:val="22"/>
              </w:rPr>
              <w:t>ạt chung chung "cơ quan nhà nước có thẩm quyền".</w:t>
            </w:r>
          </w:p>
        </w:tc>
      </w:tr>
      <w:tr w:rsidR="00874672">
        <w:tblPrEx>
          <w:tblCellMar>
            <w:top w:w="0" w:type="dxa"/>
            <w:bottom w:w="0" w:type="dxa"/>
          </w:tblCellMar>
        </w:tblPrEx>
        <w:tc>
          <w:tcPr>
            <w:tcW w:w="4600" w:type="dxa"/>
            <w:tcBorders>
              <w:top w:val="single" w:sz="4" w:space="0" w:color="auto"/>
              <w:left w:val="single" w:sz="4" w:space="0" w:color="auto"/>
              <w:bottom w:val="single" w:sz="4" w:space="0" w:color="auto"/>
              <w:right w:val="single" w:sz="4" w:space="0" w:color="auto"/>
            </w:tcBorders>
          </w:tcPr>
          <w:p w:rsidR="00874672" w:rsidRDefault="00E8336B" w:rsidP="00E8336B">
            <w:pPr>
              <w:spacing w:after="60"/>
              <w:ind w:left="142" w:right="185"/>
              <w:jc w:val="both"/>
            </w:pPr>
            <w:r>
              <w:rPr>
                <w:sz w:val="22"/>
                <w:szCs w:val="22"/>
              </w:rPr>
              <w:t>Điều 7. Lập, phân bổ, chấp hành dự toán và quyết toán từ nguồn ngân sách trung ương: đầu mối Tổng cục Phòng, chống thiên tai; dẫn chiếu Nghị định số 11/2020/NĐ-CP, Thông tư số 62/2020/TT-BTC, Thông tư số 13</w:t>
            </w:r>
            <w:r>
              <w:rPr>
                <w:sz w:val="22"/>
                <w:szCs w:val="22"/>
              </w:rPr>
              <w:t>7/2017/TT-BTC, Thông tư số 10/2020/TT-BTC; mốc điều chỉnh dự toán trước ngày 15 tháng 11.</w:t>
            </w:r>
          </w:p>
        </w:tc>
        <w:tc>
          <w:tcPr>
            <w:tcW w:w="5600" w:type="dxa"/>
            <w:tcBorders>
              <w:top w:val="single" w:sz="4" w:space="0" w:color="auto"/>
              <w:left w:val="single" w:sz="4" w:space="0" w:color="auto"/>
              <w:bottom w:val="single" w:sz="4" w:space="0" w:color="auto"/>
              <w:right w:val="single" w:sz="4" w:space="0" w:color="auto"/>
            </w:tcBorders>
          </w:tcPr>
          <w:p w:rsidR="00874672" w:rsidRDefault="00E8336B" w:rsidP="00E8336B">
            <w:pPr>
              <w:spacing w:after="60"/>
              <w:ind w:left="78" w:right="115"/>
              <w:jc w:val="both"/>
            </w:pPr>
            <w:r>
              <w:rPr>
                <w:sz w:val="22"/>
                <w:szCs w:val="22"/>
              </w:rPr>
              <w:t>Điều 8: đầu mối lập, phân bổ, giao dự toán là Bộ Nông nghiệp và Môi trường và Sở Nông nghiệp và Môi trường (Sở lập dự toán gửi trực tiếp Bộ Nông nghiệp và Môi trường)</w:t>
            </w:r>
            <w:r>
              <w:rPr>
                <w:sz w:val="22"/>
                <w:szCs w:val="22"/>
              </w:rPr>
              <w:t>. Điểm c khoản 2 được viết lại hoàn toàn: bỏ cơ chế Cục Quản lý đê điều và Phòng, chống thiên tai giữ và phân bổ kinh phí xử lý đột xuất cho địa phương; thay bằng nguyên tắc Bộ Nông nghiệp và Môi trường chủ động sắp xếp trong phạm vi dự toán được giao, trư</w:t>
            </w:r>
            <w:r>
              <w:rPr>
                <w:sz w:val="22"/>
                <w:szCs w:val="22"/>
              </w:rPr>
              <w:t>ờng hợp vượt khả năng cân đối thì báo cáo cấp có thẩm quyền quyết định sử dụng quyết định theo quy định của pháp luật về ngân sách nhà nước và các văn bản hướng dẫn có liên quan. Tiếp thu ý kiến Kho bạc Nhà nước: điểm a khoản 2 bổ sung dẫn chiếu khoản 6 Đi</w:t>
            </w:r>
            <w:r>
              <w:rPr>
                <w:sz w:val="22"/>
                <w:szCs w:val="22"/>
              </w:rPr>
              <w:t>ều 9 Luật Ngân sách nhà nước về ủy quyền thực hiện nhiệm vụ chi; điểm b khoản 3 và điểm c khoản 5 dẫn chiếu Luật Ngân sách nhà nước, Nghị định số 347/2025/NĐ-CP và Nghị định số 104/2026/NĐ-CP. Quyết toán năm theo Thông tư số 59/2026/TT-BTC (kinh phí ủy quy</w:t>
            </w:r>
            <w:r>
              <w:rPr>
                <w:sz w:val="22"/>
                <w:szCs w:val="22"/>
              </w:rPr>
              <w:t>ền theo Điều 6); quyết toán công trình theo pháp luật về quản lý, thanh toán, quyết toán dự án sử dụng vốn đầu tư công; thời gian điều chỉnh dự toán theo pháp luật về ngân sách nhà nước.</w:t>
            </w:r>
          </w:p>
        </w:tc>
        <w:tc>
          <w:tcPr>
            <w:tcW w:w="4200" w:type="dxa"/>
            <w:tcBorders>
              <w:top w:val="single" w:sz="4" w:space="0" w:color="auto"/>
              <w:left w:val="single" w:sz="4" w:space="0" w:color="auto"/>
              <w:bottom w:val="single" w:sz="4" w:space="0" w:color="auto"/>
              <w:right w:val="single" w:sz="4" w:space="0" w:color="auto"/>
            </w:tcBorders>
          </w:tcPr>
          <w:p w:rsidR="00874672" w:rsidRDefault="00E8336B" w:rsidP="00E8336B">
            <w:pPr>
              <w:spacing w:after="60"/>
              <w:ind w:left="148" w:right="63"/>
              <w:jc w:val="both"/>
            </w:pPr>
            <w:r>
              <w:rPr>
                <w:sz w:val="22"/>
                <w:szCs w:val="22"/>
              </w:rPr>
              <w:t>Tổng cục Phòng, chống thiên tai không còn tồn tại. Khoản 2 Điều 10 Luật số 89/2025/QH15 quy định dự phòng ngân sách nhà nước được sử dụng để chi phòng, chống, khắc phục hậu quả thiên tai và các nhiệm vụ cần thiết khác thuộc nhiệm vụ chi của ngân sách cấp m</w:t>
            </w:r>
            <w:r>
              <w:rPr>
                <w:sz w:val="22"/>
                <w:szCs w:val="22"/>
              </w:rPr>
              <w:t>ình mà chưa được dự toán; cơ chế cũ (đơn vị dự toán giữ lại kinh phí xử lý đột xuất để phân bổ theo phát sinh) không còn phù hợp. Nghị định số 11/2020/NĐ-CP được thay thế bằng Nghị định số 347/2025/NĐ-CP; Thông tư số 62/2020/TT-BTC được thay thế bằng Thông</w:t>
            </w:r>
            <w:r>
              <w:rPr>
                <w:sz w:val="22"/>
                <w:szCs w:val="22"/>
              </w:rPr>
              <w:t xml:space="preserve"> tư số 17/2024/TT-BTC; Thông tư số 137/2017/TT-BTC được thay thế bằng Thông tư số 59/2026/TT-BTC; Thông tư số 10/2020/TT-BTC bị bãi bỏ bởi Thông tư số 96/2021/TT-BTC. Điều 55 Luật số 89/2025/QH15 đổi mốc điều chỉnh dự toán sang trước ngày 15 tháng 12.</w:t>
            </w:r>
          </w:p>
        </w:tc>
      </w:tr>
      <w:tr w:rsidR="00874672">
        <w:tblPrEx>
          <w:tblCellMar>
            <w:top w:w="0" w:type="dxa"/>
            <w:bottom w:w="0" w:type="dxa"/>
          </w:tblCellMar>
        </w:tblPrEx>
        <w:tc>
          <w:tcPr>
            <w:tcW w:w="4600" w:type="dxa"/>
            <w:tcBorders>
              <w:top w:val="single" w:sz="4" w:space="0" w:color="auto"/>
              <w:left w:val="single" w:sz="4" w:space="0" w:color="auto"/>
              <w:bottom w:val="single" w:sz="4" w:space="0" w:color="auto"/>
              <w:right w:val="single" w:sz="4" w:space="0" w:color="auto"/>
            </w:tcBorders>
          </w:tcPr>
          <w:p w:rsidR="00874672" w:rsidRDefault="00E8336B" w:rsidP="00E8336B">
            <w:pPr>
              <w:spacing w:after="60"/>
              <w:ind w:left="142" w:right="185"/>
              <w:jc w:val="both"/>
            </w:pPr>
            <w:r>
              <w:rPr>
                <w:sz w:val="22"/>
                <w:szCs w:val="22"/>
              </w:rPr>
              <w:t>Điề</w:t>
            </w:r>
            <w:r>
              <w:rPr>
                <w:sz w:val="22"/>
                <w:szCs w:val="22"/>
              </w:rPr>
              <w:t>u 8. Lập, phân bổ, chấp hành dự toán và quyết toán từ nguồn ngân sách địa phương: khoản 1 phân cấp "đối với cấp tỉnh, cấp huyện, cấp xã"; điểm a khoản 2: Sở Tài chính phối hợp với Sở Nông nghiệp và Phát triển nông thôn.</w:t>
            </w:r>
          </w:p>
        </w:tc>
        <w:tc>
          <w:tcPr>
            <w:tcW w:w="5600" w:type="dxa"/>
            <w:tcBorders>
              <w:top w:val="single" w:sz="4" w:space="0" w:color="auto"/>
              <w:left w:val="single" w:sz="4" w:space="0" w:color="auto"/>
              <w:bottom w:val="single" w:sz="4" w:space="0" w:color="auto"/>
              <w:right w:val="single" w:sz="4" w:space="0" w:color="auto"/>
            </w:tcBorders>
          </w:tcPr>
          <w:p w:rsidR="00874672" w:rsidRDefault="00E8336B" w:rsidP="00E8336B">
            <w:pPr>
              <w:spacing w:after="60"/>
              <w:ind w:left="78" w:right="115"/>
              <w:jc w:val="both"/>
            </w:pPr>
            <w:r>
              <w:rPr>
                <w:sz w:val="22"/>
                <w:szCs w:val="22"/>
              </w:rPr>
              <w:t>Điều 9: khoản 1 quy định Hội đồng nh</w:t>
            </w:r>
            <w:r>
              <w:rPr>
                <w:sz w:val="22"/>
                <w:szCs w:val="22"/>
              </w:rPr>
              <w:t>ân dân cấp tỉnh quyết định phân cấp nhiệm vụ chi giữa ngân sách cấp tỉnh và ngân sách cấp xã, Ủy ban nhân dân cấp tỉnh phân công tổ chức thực hiện; điểm a khoản 2 sửa thành Sở Nông nghiệp và Môi trường; khoản 3 quy định Ủy ban nhân dân cấp tỉnh xử lý kịp t</w:t>
            </w:r>
            <w:r>
              <w:rPr>
                <w:sz w:val="22"/>
                <w:szCs w:val="22"/>
              </w:rPr>
              <w:t>hời từ nguồn ngân sách địa phương, trường hợp vượt quá khả năng cân đối thì báo cáo cấp có thẩm quyền quyết định theo pháp luật về ngân sách nhà nước, bỏ nội dung ngân sách trung ương hỗ trợ khi thiên tai lớn do đã quy định tại khoản 2 Điều 3 (tiếp thu ý k</w:t>
            </w:r>
            <w:r>
              <w:rPr>
                <w:sz w:val="22"/>
                <w:szCs w:val="22"/>
              </w:rPr>
              <w:t>iến Vụ Phát triển hạ tầng); các dẫn chiếu văn bản được thay bằng dẫn chiếu theo lĩnh vực pháp luật, Nghị định số 104/2026/NĐ-CP và Thông tư số 59/2026/TT-BTC.</w:t>
            </w:r>
          </w:p>
        </w:tc>
        <w:tc>
          <w:tcPr>
            <w:tcW w:w="4200" w:type="dxa"/>
            <w:tcBorders>
              <w:top w:val="single" w:sz="4" w:space="0" w:color="auto"/>
              <w:left w:val="single" w:sz="4" w:space="0" w:color="auto"/>
              <w:bottom w:val="single" w:sz="4" w:space="0" w:color="auto"/>
              <w:right w:val="single" w:sz="4" w:space="0" w:color="auto"/>
            </w:tcBorders>
          </w:tcPr>
          <w:p w:rsidR="00874672" w:rsidRDefault="00E8336B" w:rsidP="00E8336B">
            <w:pPr>
              <w:spacing w:after="60"/>
              <w:ind w:left="148" w:right="63"/>
              <w:jc w:val="both"/>
            </w:pPr>
            <w:r>
              <w:rPr>
                <w:sz w:val="22"/>
                <w:szCs w:val="22"/>
              </w:rPr>
              <w:t>Thực hiện mô hình chính quyền địa phương 02 cấp, không còn đơn vị hành chính cấp huyện. Việc phân</w:t>
            </w:r>
            <w:r>
              <w:rPr>
                <w:sz w:val="22"/>
                <w:szCs w:val="22"/>
              </w:rPr>
              <w:t xml:space="preserve"> cấp nhiệm vụ chi giữa các cấp ngân sách ở địa phương thuộc thẩm quyền Hội đồng nhân dân cấp tỉnh theo Luật Ngân sách nhà nước số 89/2025/QH15, thống nhất với Điều 6 dự thảo. Các văn bản được viện dẫn đã hết hiệu lực như nêu tại dòng trên.</w:t>
            </w:r>
          </w:p>
        </w:tc>
      </w:tr>
      <w:tr w:rsidR="00874672">
        <w:tblPrEx>
          <w:tblCellMar>
            <w:top w:w="0" w:type="dxa"/>
            <w:bottom w:w="0" w:type="dxa"/>
          </w:tblCellMar>
        </w:tblPrEx>
        <w:tc>
          <w:tcPr>
            <w:tcW w:w="4600" w:type="dxa"/>
            <w:tcBorders>
              <w:top w:val="single" w:sz="4" w:space="0" w:color="auto"/>
              <w:left w:val="single" w:sz="4" w:space="0" w:color="auto"/>
              <w:bottom w:val="single" w:sz="4" w:space="0" w:color="auto"/>
              <w:right w:val="single" w:sz="4" w:space="0" w:color="auto"/>
            </w:tcBorders>
          </w:tcPr>
          <w:p w:rsidR="00874672" w:rsidRDefault="00E8336B" w:rsidP="00E8336B">
            <w:pPr>
              <w:spacing w:after="60"/>
              <w:ind w:left="142" w:right="185"/>
              <w:jc w:val="both"/>
            </w:pPr>
            <w:r>
              <w:rPr>
                <w:sz w:val="22"/>
                <w:szCs w:val="22"/>
              </w:rPr>
              <w:lastRenderedPageBreak/>
              <w:t>Điều 9. Công tá</w:t>
            </w:r>
            <w:r>
              <w:rPr>
                <w:sz w:val="22"/>
                <w:szCs w:val="22"/>
              </w:rPr>
              <w:t>c kiểm tra: chủ thể là Bộ Nông nghiệp và Phát triển nông thôn (Tổng cục Phòng, chống thiên tai), Sở Nông nghiệp và Phát triển nông thôn.</w:t>
            </w:r>
          </w:p>
        </w:tc>
        <w:tc>
          <w:tcPr>
            <w:tcW w:w="5600" w:type="dxa"/>
            <w:tcBorders>
              <w:top w:val="single" w:sz="4" w:space="0" w:color="auto"/>
              <w:left w:val="single" w:sz="4" w:space="0" w:color="auto"/>
              <w:bottom w:val="single" w:sz="4" w:space="0" w:color="auto"/>
              <w:right w:val="single" w:sz="4" w:space="0" w:color="auto"/>
            </w:tcBorders>
          </w:tcPr>
          <w:p w:rsidR="00874672" w:rsidRDefault="00E8336B" w:rsidP="00E8336B">
            <w:pPr>
              <w:spacing w:after="60"/>
              <w:ind w:left="78" w:right="115"/>
              <w:jc w:val="both"/>
            </w:pPr>
            <w:r>
              <w:rPr>
                <w:sz w:val="22"/>
                <w:szCs w:val="22"/>
              </w:rPr>
              <w:t>Điều 10. Công tác kiểm tra: giữ kết cấu 02 khoản; sửa chủ thể thành Bộ Nông nghiệp và Môi trường, Sở Nông nghiệp và Môi</w:t>
            </w:r>
            <w:r>
              <w:rPr>
                <w:sz w:val="22"/>
                <w:szCs w:val="22"/>
              </w:rPr>
              <w:t xml:space="preserve"> trường; khoản 2 chuyển quy định về trách nhiệm bồi hoàn sang hình thức dẫn chiếu pháp luật về ngân sách nhà nước và pháp luật có liên quan.</w:t>
            </w:r>
          </w:p>
        </w:tc>
        <w:tc>
          <w:tcPr>
            <w:tcW w:w="4200" w:type="dxa"/>
            <w:tcBorders>
              <w:top w:val="single" w:sz="4" w:space="0" w:color="auto"/>
              <w:left w:val="single" w:sz="4" w:space="0" w:color="auto"/>
              <w:bottom w:val="single" w:sz="4" w:space="0" w:color="auto"/>
              <w:right w:val="single" w:sz="4" w:space="0" w:color="auto"/>
            </w:tcBorders>
          </w:tcPr>
          <w:p w:rsidR="00874672" w:rsidRDefault="00E8336B" w:rsidP="00E8336B">
            <w:pPr>
              <w:spacing w:after="60"/>
              <w:ind w:left="148" w:right="63"/>
              <w:jc w:val="both"/>
            </w:pPr>
            <w:r>
              <w:rPr>
                <w:sz w:val="22"/>
                <w:szCs w:val="22"/>
              </w:rPr>
              <w:t>Cập nhật theo tổ chức bộ máy hiện hành. Việc quy định trực tiếp trách nhiệm bồi hoàn vượt phạm vi nội dung thông tư</w:t>
            </w:r>
            <w:r>
              <w:rPr>
                <w:sz w:val="22"/>
                <w:szCs w:val="22"/>
              </w:rPr>
              <w:t xml:space="preserve"> theo Điều 18 Luật số 64/2025/QH15 nên chuyển sang dẫn chiếu.</w:t>
            </w:r>
          </w:p>
        </w:tc>
      </w:tr>
      <w:tr w:rsidR="00874672">
        <w:tblPrEx>
          <w:tblCellMar>
            <w:top w:w="0" w:type="dxa"/>
            <w:bottom w:w="0" w:type="dxa"/>
          </w:tblCellMar>
        </w:tblPrEx>
        <w:tc>
          <w:tcPr>
            <w:tcW w:w="4600" w:type="dxa"/>
            <w:tcBorders>
              <w:top w:val="single" w:sz="4" w:space="0" w:color="auto"/>
              <w:left w:val="single" w:sz="4" w:space="0" w:color="auto"/>
              <w:bottom w:val="single" w:sz="4" w:space="0" w:color="auto"/>
              <w:right w:val="single" w:sz="4" w:space="0" w:color="auto"/>
            </w:tcBorders>
          </w:tcPr>
          <w:p w:rsidR="00874672" w:rsidRDefault="00E8336B" w:rsidP="00E8336B">
            <w:pPr>
              <w:spacing w:after="60"/>
              <w:ind w:left="142" w:right="185"/>
              <w:jc w:val="both"/>
            </w:pPr>
            <w:r>
              <w:rPr>
                <w:sz w:val="22"/>
                <w:szCs w:val="22"/>
              </w:rPr>
              <w:t>Điều 10. Điều khoản chuyển tiếp (02 khoản).</w:t>
            </w:r>
          </w:p>
        </w:tc>
        <w:tc>
          <w:tcPr>
            <w:tcW w:w="5600" w:type="dxa"/>
            <w:tcBorders>
              <w:top w:val="single" w:sz="4" w:space="0" w:color="auto"/>
              <w:left w:val="single" w:sz="4" w:space="0" w:color="auto"/>
              <w:bottom w:val="single" w:sz="4" w:space="0" w:color="auto"/>
              <w:right w:val="single" w:sz="4" w:space="0" w:color="auto"/>
            </w:tcBorders>
          </w:tcPr>
          <w:p w:rsidR="00874672" w:rsidRDefault="00E8336B" w:rsidP="00E8336B">
            <w:pPr>
              <w:spacing w:after="60"/>
              <w:ind w:left="78" w:right="115"/>
              <w:jc w:val="both"/>
            </w:pPr>
            <w:r>
              <w:rPr>
                <w:sz w:val="22"/>
                <w:szCs w:val="22"/>
              </w:rPr>
              <w:t xml:space="preserve">Điều 11. Điều khoản chuyển tiếp: sửa lại đối tượng của quy định chuyển tiếp là các nội dung chi duy tu, bảo dưỡng đê điều và xử lý cấp bách sự cố đê </w:t>
            </w:r>
            <w:r>
              <w:rPr>
                <w:sz w:val="22"/>
                <w:szCs w:val="22"/>
              </w:rPr>
              <w:t>điều đã được phê duyệt dự toán theo Thông tư số 68/2020/TT-BTC (thay cho cách viết dẫn chiếu Điều 5 Thông tư mới); bổ sung khoản 3 về quyết toán kinh phí của năm ngân sách 2026.</w:t>
            </w:r>
          </w:p>
        </w:tc>
        <w:tc>
          <w:tcPr>
            <w:tcW w:w="4200" w:type="dxa"/>
            <w:tcBorders>
              <w:top w:val="single" w:sz="4" w:space="0" w:color="auto"/>
              <w:left w:val="single" w:sz="4" w:space="0" w:color="auto"/>
              <w:bottom w:val="single" w:sz="4" w:space="0" w:color="auto"/>
              <w:right w:val="single" w:sz="4" w:space="0" w:color="auto"/>
            </w:tcBorders>
          </w:tcPr>
          <w:p w:rsidR="00874672" w:rsidRDefault="00E8336B" w:rsidP="00E8336B">
            <w:pPr>
              <w:spacing w:after="60"/>
              <w:ind w:left="148" w:right="63"/>
              <w:jc w:val="both"/>
            </w:pPr>
            <w:r>
              <w:rPr>
                <w:sz w:val="22"/>
                <w:szCs w:val="22"/>
              </w:rPr>
              <w:t xml:space="preserve">Tiếp thu ý kiến Vụ Pháp chế: nội dung chi từ nguồn ngân sách trung ương trước </w:t>
            </w:r>
            <w:r>
              <w:rPr>
                <w:sz w:val="22"/>
                <w:szCs w:val="22"/>
              </w:rPr>
              <w:t>đây được quy định cụ thể tại Điều 4 Thông tư số 68/2020/TT-BTC, trong khi dự thảo dẫn chiếu nội dung do Bộ Nông nghiệp và Môi trường hướng dẫn, do đó đối tượng chuyển tiếp phải là dự toán đã phê duyệt theo Thông tư số 68/2020/TT-BTC, không phải nội dung ch</w:t>
            </w:r>
            <w:r>
              <w:rPr>
                <w:sz w:val="22"/>
                <w:szCs w:val="22"/>
              </w:rPr>
              <w:t>i tại Điều 5 dự thảo. Điều khoản chuyển tiếp đặt thành điều riêng theo Điều 67 Nghị định số 78/2025/NĐ-CP.</w:t>
            </w:r>
          </w:p>
        </w:tc>
      </w:tr>
      <w:tr w:rsidR="00874672">
        <w:tblPrEx>
          <w:tblCellMar>
            <w:top w:w="0" w:type="dxa"/>
            <w:bottom w:w="0" w:type="dxa"/>
          </w:tblCellMar>
        </w:tblPrEx>
        <w:tc>
          <w:tcPr>
            <w:tcW w:w="4600" w:type="dxa"/>
            <w:tcBorders>
              <w:top w:val="single" w:sz="4" w:space="0" w:color="auto"/>
              <w:left w:val="single" w:sz="4" w:space="0" w:color="auto"/>
              <w:bottom w:val="single" w:sz="4" w:space="0" w:color="auto"/>
              <w:right w:val="single" w:sz="4" w:space="0" w:color="auto"/>
            </w:tcBorders>
          </w:tcPr>
          <w:p w:rsidR="00874672" w:rsidRDefault="00E8336B" w:rsidP="00E8336B">
            <w:pPr>
              <w:spacing w:after="60"/>
              <w:ind w:left="142" w:right="185"/>
              <w:jc w:val="both"/>
            </w:pPr>
            <w:r>
              <w:rPr>
                <w:sz w:val="22"/>
                <w:szCs w:val="22"/>
              </w:rPr>
              <w:t>Điều 11. Hiệu lực thi hành (04 khoản).</w:t>
            </w:r>
          </w:p>
        </w:tc>
        <w:tc>
          <w:tcPr>
            <w:tcW w:w="5600" w:type="dxa"/>
            <w:tcBorders>
              <w:top w:val="single" w:sz="4" w:space="0" w:color="auto"/>
              <w:left w:val="single" w:sz="4" w:space="0" w:color="auto"/>
              <w:bottom w:val="single" w:sz="4" w:space="0" w:color="auto"/>
              <w:right w:val="single" w:sz="4" w:space="0" w:color="auto"/>
            </w:tcBorders>
          </w:tcPr>
          <w:p w:rsidR="00874672" w:rsidRDefault="00E8336B" w:rsidP="00E8336B">
            <w:pPr>
              <w:spacing w:after="60"/>
              <w:ind w:left="78" w:right="115"/>
              <w:jc w:val="both"/>
            </w:pPr>
            <w:r>
              <w:rPr>
                <w:sz w:val="22"/>
                <w:szCs w:val="22"/>
              </w:rPr>
              <w:t>Điều 12. Hiệu lực thi hành (04 khoản), trong đó khoản 2 liệt kê cụ thể Thông tư số 68/2020/TT-BTC hết hiệu lực kể từ ngày Thông tư này có hiệu lực thi hành.</w:t>
            </w:r>
          </w:p>
        </w:tc>
        <w:tc>
          <w:tcPr>
            <w:tcW w:w="4200" w:type="dxa"/>
            <w:tcBorders>
              <w:top w:val="single" w:sz="4" w:space="0" w:color="auto"/>
              <w:left w:val="single" w:sz="4" w:space="0" w:color="auto"/>
              <w:bottom w:val="single" w:sz="4" w:space="0" w:color="auto"/>
              <w:right w:val="single" w:sz="4" w:space="0" w:color="auto"/>
            </w:tcBorders>
          </w:tcPr>
          <w:p w:rsidR="00874672" w:rsidRDefault="00E8336B" w:rsidP="00E8336B">
            <w:pPr>
              <w:spacing w:after="60"/>
              <w:ind w:left="148" w:right="63"/>
              <w:jc w:val="both"/>
            </w:pPr>
            <w:r>
              <w:rPr>
                <w:sz w:val="22"/>
                <w:szCs w:val="22"/>
              </w:rPr>
              <w:t xml:space="preserve">Điều 67 Nghị định số 78/2025/NĐ-CP yêu cầu liệt kê cụ thể tên văn bản bị thay thế, bãi bỏ tại điều </w:t>
            </w:r>
            <w:r>
              <w:rPr>
                <w:sz w:val="22"/>
                <w:szCs w:val="22"/>
              </w:rPr>
              <w:t>quy định về hiệu lực thi hành.</w:t>
            </w:r>
          </w:p>
        </w:tc>
      </w:tr>
    </w:tbl>
    <w:p w:rsidR="00874672" w:rsidRDefault="00874672"/>
    <w:p w:rsidR="00874672" w:rsidRDefault="00E8336B">
      <w:pPr>
        <w:spacing w:after="120" w:line="276" w:lineRule="auto"/>
        <w:ind w:firstLine="720"/>
        <w:jc w:val="both"/>
      </w:pPr>
      <w:r>
        <w:rPr>
          <w:i/>
          <w:iCs/>
        </w:rPr>
        <w:t xml:space="preserve">Ghi chú: Thông tư số 68/2020/TT-BTC có 11 điều, trong đó 10 điều phải điều chỉnh về nội dung, chỉ Điều 6 về mức chi được giữ nguyên hoàn toàn. </w:t>
      </w:r>
      <w:proofErr w:type="gramStart"/>
      <w:r>
        <w:rPr>
          <w:i/>
          <w:iCs/>
        </w:rPr>
        <w:t>Tỷ lệ này vượt quá một phần hai tổng số điều; đồng thời có thay đổi cơ bản về đố</w:t>
      </w:r>
      <w:r>
        <w:rPr>
          <w:i/>
          <w:iCs/>
        </w:rPr>
        <w:t>i tượng áp dụng.</w:t>
      </w:r>
      <w:proofErr w:type="gramEnd"/>
      <w:r>
        <w:rPr>
          <w:i/>
          <w:iCs/>
        </w:rPr>
        <w:t xml:space="preserve"> Do đó thuộc trường hợp phải ban hành văn bản thay thế </w:t>
      </w:r>
      <w:proofErr w:type="gramStart"/>
      <w:r>
        <w:rPr>
          <w:i/>
          <w:iCs/>
        </w:rPr>
        <w:t>theo</w:t>
      </w:r>
      <w:proofErr w:type="gramEnd"/>
      <w:r>
        <w:rPr>
          <w:i/>
          <w:iCs/>
        </w:rPr>
        <w:t xml:space="preserve"> khoản 4 Điều 8 Luật số 64/2025/QH15. Dự thảo Thông tư thay thế có 04 chương, 12 điều.</w:t>
      </w:r>
    </w:p>
    <w:sectPr w:rsidR="00874672" w:rsidSect="00874672">
      <w:headerReference w:type="default" r:id="rId7"/>
      <w:headerReference w:type="first" r:id="rId8"/>
      <w:pgSz w:w="16838" w:h="11906" w:orient="landscape"/>
      <w:pgMar w:top="850" w:right="850" w:bottom="850" w:left="1700" w:header="708" w:footer="708"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4672" w:rsidRDefault="00874672" w:rsidP="00874672">
      <w:r>
        <w:separator/>
      </w:r>
    </w:p>
  </w:endnote>
  <w:endnote w:type="continuationSeparator" w:id="0">
    <w:p w:rsidR="00874672" w:rsidRDefault="00874672" w:rsidP="008746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4672" w:rsidRDefault="00874672" w:rsidP="00874672">
      <w:r>
        <w:separator/>
      </w:r>
    </w:p>
  </w:footnote>
  <w:footnote w:type="continuationSeparator" w:id="0">
    <w:p w:rsidR="00874672" w:rsidRDefault="00874672" w:rsidP="008746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672" w:rsidRDefault="00874672">
    <w:pPr>
      <w:jc w:val="center"/>
    </w:pPr>
    <w:r>
      <w:rPr>
        <w:sz w:val="26"/>
        <w:szCs w:val="26"/>
      </w:rPr>
      <w:fldChar w:fldCharType="begin"/>
    </w:r>
    <w:r w:rsidR="00E8336B">
      <w:rPr>
        <w:sz w:val="26"/>
        <w:szCs w:val="26"/>
      </w:rPr>
      <w:instrText>PAGE</w:instrText>
    </w:r>
    <w:r w:rsidR="00E8336B">
      <w:rPr>
        <w:sz w:val="26"/>
        <w:szCs w:val="26"/>
      </w:rPr>
      <w:fldChar w:fldCharType="separate"/>
    </w:r>
    <w:r w:rsidR="00E8336B">
      <w:rPr>
        <w:noProof/>
        <w:sz w:val="26"/>
        <w:szCs w:val="26"/>
      </w:rPr>
      <w:t>4</w:t>
    </w:r>
    <w:r>
      <w:rPr>
        <w:sz w:val="26"/>
        <w:szCs w:val="26"/>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672" w:rsidRDefault="0087467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30633"/>
    <w:multiLevelType w:val="hybridMultilevel"/>
    <w:tmpl w:val="0A0A81F8"/>
    <w:lvl w:ilvl="0" w:tplc="7D9EBA6C">
      <w:start w:val="1"/>
      <w:numFmt w:val="bullet"/>
      <w:lvlText w:val="●"/>
      <w:lvlJc w:val="left"/>
      <w:pPr>
        <w:ind w:left="720" w:hanging="360"/>
      </w:pPr>
    </w:lvl>
    <w:lvl w:ilvl="1" w:tplc="53FC48E4">
      <w:start w:val="1"/>
      <w:numFmt w:val="bullet"/>
      <w:lvlText w:val="○"/>
      <w:lvlJc w:val="left"/>
      <w:pPr>
        <w:ind w:left="1440" w:hanging="360"/>
      </w:pPr>
    </w:lvl>
    <w:lvl w:ilvl="2" w:tplc="AF980E38">
      <w:start w:val="1"/>
      <w:numFmt w:val="bullet"/>
      <w:lvlText w:val="■"/>
      <w:lvlJc w:val="left"/>
      <w:pPr>
        <w:ind w:left="2160" w:hanging="360"/>
      </w:pPr>
    </w:lvl>
    <w:lvl w:ilvl="3" w:tplc="F9B0952C">
      <w:start w:val="1"/>
      <w:numFmt w:val="bullet"/>
      <w:lvlText w:val="●"/>
      <w:lvlJc w:val="left"/>
      <w:pPr>
        <w:ind w:left="2880" w:hanging="360"/>
      </w:pPr>
    </w:lvl>
    <w:lvl w:ilvl="4" w:tplc="492CB400">
      <w:start w:val="1"/>
      <w:numFmt w:val="bullet"/>
      <w:lvlText w:val="○"/>
      <w:lvlJc w:val="left"/>
      <w:pPr>
        <w:ind w:left="3600" w:hanging="360"/>
      </w:pPr>
    </w:lvl>
    <w:lvl w:ilvl="5" w:tplc="0BB2F1EA">
      <w:start w:val="1"/>
      <w:numFmt w:val="bullet"/>
      <w:lvlText w:val="■"/>
      <w:lvlJc w:val="left"/>
      <w:pPr>
        <w:ind w:left="4320" w:hanging="360"/>
      </w:pPr>
    </w:lvl>
    <w:lvl w:ilvl="6" w:tplc="494C7C40">
      <w:start w:val="1"/>
      <w:numFmt w:val="bullet"/>
      <w:lvlText w:val="●"/>
      <w:lvlJc w:val="left"/>
      <w:pPr>
        <w:ind w:left="5040" w:hanging="360"/>
      </w:pPr>
    </w:lvl>
    <w:lvl w:ilvl="7" w:tplc="05C83AF0">
      <w:start w:val="1"/>
      <w:numFmt w:val="bullet"/>
      <w:lvlText w:val="●"/>
      <w:lvlJc w:val="left"/>
      <w:pPr>
        <w:ind w:left="5760" w:hanging="360"/>
      </w:pPr>
    </w:lvl>
    <w:lvl w:ilvl="8" w:tplc="72C6AF0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proofState w:grammar="clean"/>
  <w:defaultTabStop w:val="720"/>
  <w:characterSpacingControl w:val="doNotCompress"/>
  <w:footnotePr>
    <w:footnote w:id="-1"/>
    <w:footnote w:id="0"/>
  </w:footnotePr>
  <w:endnotePr>
    <w:endnote w:id="-1"/>
    <w:endnote w:id="0"/>
  </w:endnotePr>
  <w:compat/>
  <w:rsids>
    <w:rsidRoot w:val="00874672"/>
    <w:rsid w:val="00874672"/>
    <w:rsid w:val="00E833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2" type="connector" idref="#_x0000_s1026"/>
        <o:r id="V:Rule3"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rsid w:val="00874672"/>
    <w:pPr>
      <w:outlineLvl w:val="0"/>
    </w:pPr>
    <w:rPr>
      <w:color w:val="2E74B5"/>
      <w:sz w:val="32"/>
      <w:szCs w:val="32"/>
    </w:rPr>
  </w:style>
  <w:style w:type="paragraph" w:styleId="Heading2">
    <w:name w:val="heading 2"/>
    <w:qFormat/>
    <w:rsid w:val="00874672"/>
    <w:pPr>
      <w:outlineLvl w:val="1"/>
    </w:pPr>
    <w:rPr>
      <w:color w:val="2E74B5"/>
      <w:sz w:val="26"/>
      <w:szCs w:val="26"/>
    </w:rPr>
  </w:style>
  <w:style w:type="paragraph" w:styleId="Heading3">
    <w:name w:val="heading 3"/>
    <w:qFormat/>
    <w:rsid w:val="00874672"/>
    <w:pPr>
      <w:outlineLvl w:val="2"/>
    </w:pPr>
    <w:rPr>
      <w:color w:val="1F4D78"/>
      <w:sz w:val="24"/>
      <w:szCs w:val="24"/>
    </w:rPr>
  </w:style>
  <w:style w:type="paragraph" w:styleId="Heading4">
    <w:name w:val="heading 4"/>
    <w:qFormat/>
    <w:rsid w:val="00874672"/>
    <w:pPr>
      <w:outlineLvl w:val="3"/>
    </w:pPr>
    <w:rPr>
      <w:i/>
      <w:iCs/>
      <w:color w:val="2E74B5"/>
    </w:rPr>
  </w:style>
  <w:style w:type="paragraph" w:styleId="Heading5">
    <w:name w:val="heading 5"/>
    <w:qFormat/>
    <w:rsid w:val="00874672"/>
    <w:pPr>
      <w:outlineLvl w:val="4"/>
    </w:pPr>
    <w:rPr>
      <w:color w:val="2E74B5"/>
    </w:rPr>
  </w:style>
  <w:style w:type="paragraph" w:styleId="Heading6">
    <w:name w:val="heading 6"/>
    <w:qFormat/>
    <w:rsid w:val="00874672"/>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874672"/>
    <w:rPr>
      <w:sz w:val="56"/>
      <w:szCs w:val="56"/>
    </w:rPr>
  </w:style>
  <w:style w:type="paragraph" w:customStyle="1" w:styleId="Strong1">
    <w:name w:val="Strong1"/>
    <w:qFormat/>
    <w:rsid w:val="00874672"/>
    <w:rPr>
      <w:b/>
      <w:bCs/>
    </w:rPr>
  </w:style>
  <w:style w:type="paragraph" w:styleId="ListParagraph">
    <w:name w:val="List Paragraph"/>
    <w:qFormat/>
    <w:rsid w:val="00874672"/>
  </w:style>
  <w:style w:type="character" w:styleId="Hyperlink">
    <w:name w:val="Hyperlink"/>
    <w:uiPriority w:val="99"/>
    <w:unhideWhenUsed/>
    <w:rsid w:val="00874672"/>
    <w:rPr>
      <w:color w:val="0563C1"/>
      <w:u w:val="single"/>
    </w:rPr>
  </w:style>
  <w:style w:type="character" w:styleId="FootnoteReference">
    <w:name w:val="footnote reference"/>
    <w:uiPriority w:val="99"/>
    <w:semiHidden/>
    <w:unhideWhenUsed/>
    <w:rsid w:val="00874672"/>
    <w:rPr>
      <w:vertAlign w:val="superscript"/>
    </w:rPr>
  </w:style>
  <w:style w:type="paragraph" w:styleId="FootnoteText">
    <w:name w:val="footnote text"/>
    <w:link w:val="FootnoteTextChar"/>
    <w:uiPriority w:val="99"/>
    <w:semiHidden/>
    <w:unhideWhenUsed/>
    <w:rsid w:val="00874672"/>
    <w:rPr>
      <w:sz w:val="20"/>
      <w:szCs w:val="20"/>
    </w:rPr>
  </w:style>
  <w:style w:type="character" w:customStyle="1" w:styleId="FootnoteTextChar">
    <w:name w:val="Footnote Text Char"/>
    <w:link w:val="FootnoteText"/>
    <w:uiPriority w:val="99"/>
    <w:semiHidden/>
    <w:unhideWhenUsed/>
    <w:rsid w:val="00874672"/>
    <w:rPr>
      <w:sz w:val="20"/>
      <w:szCs w:val="20"/>
    </w:rPr>
  </w:style>
  <w:style w:type="character" w:styleId="EndnoteReference">
    <w:name w:val="endnote reference"/>
    <w:uiPriority w:val="99"/>
    <w:semiHidden/>
    <w:unhideWhenUsed/>
    <w:rsid w:val="00874672"/>
    <w:rPr>
      <w:vertAlign w:val="superscript"/>
    </w:rPr>
  </w:style>
  <w:style w:type="paragraph" w:styleId="EndnoteText">
    <w:name w:val="endnote text"/>
    <w:link w:val="EndnoteTextChar"/>
    <w:uiPriority w:val="99"/>
    <w:semiHidden/>
    <w:unhideWhenUsed/>
    <w:rsid w:val="00874672"/>
    <w:rPr>
      <w:sz w:val="20"/>
      <w:szCs w:val="20"/>
    </w:rPr>
  </w:style>
  <w:style w:type="character" w:customStyle="1" w:styleId="EndnoteTextChar">
    <w:name w:val="Endnote Text Char"/>
    <w:link w:val="EndnoteText"/>
    <w:uiPriority w:val="99"/>
    <w:semiHidden/>
    <w:unhideWhenUsed/>
    <w:rsid w:val="00874672"/>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1799</Words>
  <Characters>10256</Characters>
  <Application>Microsoft Office Word</Application>
  <DocSecurity>0</DocSecurity>
  <Lines>85</Lines>
  <Paragraphs>24</Paragraphs>
  <ScaleCrop>false</ScaleCrop>
  <Company>BTC</Company>
  <LinksUpToDate>false</LinksUpToDate>
  <CharactersWithSpaces>12031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Tran Chi Duc</cp:lastModifiedBy>
  <cp:revision>2</cp:revision>
  <dcterms:created xsi:type="dcterms:W3CDTF">2026-08-26T10:33:00Z</dcterms:created>
  <dcterms:modified xsi:type="dcterms:W3CDTF">2026-08-26T11:03:00Z</dcterms:modified>
</cp:coreProperties>
</file>