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r w:rsidDel="00000000" w:rsidR="00000000" w:rsidRPr="00000000">
        <mc:AlternateContent>
          <mc:Choice Requires="wps">
            <w:drawing>
              <wp:anchor allowOverlap="1" behindDoc="0" distB="4294967293" distT="4294967293" distL="114300" distR="114300" hidden="0" layoutInCell="1" locked="0" relativeHeight="0" simplePos="0">
                <wp:simplePos x="0" y="0"/>
                <wp:positionH relativeFrom="column">
                  <wp:posOffset>1514475</wp:posOffset>
                </wp:positionH>
                <wp:positionV relativeFrom="paragraph">
                  <wp:posOffset>-3</wp:posOffset>
                </wp:positionV>
                <wp:extent cx="0" cy="12700"/>
                <wp:effectExtent b="0" l="0" r="0" t="0"/>
                <wp:wrapNone/>
                <wp:docPr id="1783564219" name=""/>
                <a:graphic>
                  <a:graphicData uri="http://schemas.microsoft.com/office/word/2010/wordprocessingShape">
                    <wps:wsp>
                      <wps:cNvCnPr/>
                      <wps:spPr>
                        <a:xfrm>
                          <a:off x="4961952" y="3780000"/>
                          <a:ext cx="768096" cy="0"/>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4294967293" distT="4294967293" distL="114300" distR="114300" hidden="0" layoutInCell="1" locked="0" relativeHeight="0" simplePos="0">
                <wp:simplePos x="0" y="0"/>
                <wp:positionH relativeFrom="column">
                  <wp:posOffset>1514475</wp:posOffset>
                </wp:positionH>
                <wp:positionV relativeFrom="paragraph">
                  <wp:posOffset>-3</wp:posOffset>
                </wp:positionV>
                <wp:extent cx="0" cy="12700"/>
                <wp:effectExtent b="0" l="0" r="0" t="0"/>
                <wp:wrapNone/>
                <wp:docPr id="1783564219" name="image3.png"/>
                <a:graphic>
                  <a:graphicData uri="http://schemas.openxmlformats.org/drawingml/2006/picture">
                    <pic:pic>
                      <pic:nvPicPr>
                        <pic:cNvPr id="0" name="image3.png"/>
                        <pic:cNvPicPr preferRelativeResize="0"/>
                      </pic:nvPicPr>
                      <pic:blipFill>
                        <a:blip r:embed="rId8"/>
                        <a:srcRect/>
                        <a:stretch>
                          <a:fillRect/>
                        </a:stretch>
                      </pic:blipFill>
                      <pic:spPr>
                        <a:xfrm>
                          <a:off x="0" y="0"/>
                          <a:ext cx="0" cy="12700"/>
                        </a:xfrm>
                        <a:prstGeom prst="rect"/>
                        <a:ln/>
                      </pic:spPr>
                    </pic:pic>
                  </a:graphicData>
                </a:graphic>
              </wp:anchor>
            </w:drawing>
          </mc:Fallback>
        </mc:AlternateContent>
      </w:r>
      <w:r w:rsidDel="00000000" w:rsidR="00000000" w:rsidRPr="00000000">
        <mc:AlternateContent>
          <mc:Choice Requires="wps">
            <w:drawing>
              <wp:anchor allowOverlap="1" behindDoc="0" distB="4294967293" distT="4294967293" distL="114300" distR="114300" hidden="0" layoutInCell="1" locked="0" relativeHeight="0" simplePos="0">
                <wp:simplePos x="0" y="0"/>
                <wp:positionH relativeFrom="column">
                  <wp:posOffset>5172075</wp:posOffset>
                </wp:positionH>
                <wp:positionV relativeFrom="paragraph">
                  <wp:posOffset>-3</wp:posOffset>
                </wp:positionV>
                <wp:extent cx="0" cy="12700"/>
                <wp:effectExtent b="0" l="0" r="0" t="0"/>
                <wp:wrapNone/>
                <wp:docPr id="1783564217" name=""/>
                <a:graphic>
                  <a:graphicData uri="http://schemas.microsoft.com/office/word/2010/wordprocessingShape">
                    <wps:wsp>
                      <wps:cNvCnPr/>
                      <wps:spPr>
                        <a:xfrm>
                          <a:off x="4289360" y="3780000"/>
                          <a:ext cx="2113280" cy="0"/>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4294967293" distT="4294967293" distL="114300" distR="114300" hidden="0" layoutInCell="1" locked="0" relativeHeight="0" simplePos="0">
                <wp:simplePos x="0" y="0"/>
                <wp:positionH relativeFrom="column">
                  <wp:posOffset>5172075</wp:posOffset>
                </wp:positionH>
                <wp:positionV relativeFrom="paragraph">
                  <wp:posOffset>-3</wp:posOffset>
                </wp:positionV>
                <wp:extent cx="0" cy="12700"/>
                <wp:effectExtent b="0" l="0" r="0" t="0"/>
                <wp:wrapNone/>
                <wp:docPr id="1783564217" name="image1.png"/>
                <a:graphic>
                  <a:graphicData uri="http://schemas.openxmlformats.org/drawingml/2006/picture">
                    <pic:pic>
                      <pic:nvPicPr>
                        <pic:cNvPr id="0" name="image1.png"/>
                        <pic:cNvPicPr preferRelativeResize="0"/>
                      </pic:nvPicPr>
                      <pic:blipFill>
                        <a:blip r:embed="rId8"/>
                        <a:srcRect/>
                        <a:stretch>
                          <a:fillRect/>
                        </a:stretch>
                      </pic:blipFill>
                      <pic:spPr>
                        <a:xfrm>
                          <a:off x="0" y="0"/>
                          <a:ext cx="0" cy="12700"/>
                        </a:xfrm>
                        <a:prstGeom prst="rect"/>
                        <a:ln/>
                      </pic:spPr>
                    </pic:pic>
                  </a:graphicData>
                </a:graphic>
              </wp:anchor>
            </w:drawing>
          </mc:Fallback>
        </mc:AlternateContent>
      </w:r>
    </w:p>
    <w:tbl>
      <w:tblPr>
        <w:tblStyle w:val="Table1"/>
        <w:tblW w:w="14068.0" w:type="dxa"/>
        <w:jc w:val="left"/>
        <w:tblInd w:w="-34.0" w:type="dxa"/>
        <w:tblLayout w:type="fixed"/>
        <w:tblLook w:val="0000"/>
      </w:tblPr>
      <w:tblGrid>
        <w:gridCol w:w="6238"/>
        <w:gridCol w:w="7830"/>
        <w:tblGridChange w:id="0">
          <w:tblGrid>
            <w:gridCol w:w="6238"/>
            <w:gridCol w:w="7830"/>
          </w:tblGrid>
        </w:tblGridChange>
      </w:tblGrid>
      <w:tr>
        <w:trPr>
          <w:cantSplit w:val="0"/>
          <w:trHeight w:val="1079" w:hRule="atLeast"/>
          <w:tblHeader w:val="0"/>
        </w:trPr>
        <w:tc>
          <w:tcPr/>
          <w:p w:rsidR="00000000" w:rsidDel="00000000" w:rsidP="00000000" w:rsidRDefault="00000000" w:rsidRPr="00000000" w14:paraId="00000002">
            <w:pPr>
              <w:widowControl w:val="0"/>
              <w:spacing w:after="0" w:line="240" w:lineRule="auto"/>
              <w:jc w:val="center"/>
              <w:rPr>
                <w:rFonts w:ascii="Times New Roman" w:cs="Times New Roman" w:eastAsia="Times New Roman" w:hAnsi="Times New Roman"/>
                <w:b w:val="1"/>
                <w:bCs w:val="1"/>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BỘ TÀI CHÍNH</w:t>
            </w:r>
          </w:p>
          <w:p w:rsidR="00000000" w:rsidDel="00000000" w:rsidP="00000000" w:rsidRDefault="00000000" w:rsidRPr="00000000" w14:paraId="00000003">
            <w:pPr>
              <w:widowControl w:val="0"/>
              <w:spacing w:after="0" w:line="240" w:lineRule="auto"/>
              <w:jc w:val="center"/>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04">
            <w:pPr>
              <w:widowControl w:val="0"/>
              <w:spacing w:after="0" w:line="240" w:lineRule="auto"/>
              <w:jc w:val="center"/>
              <w:rPr>
                <w:rFonts w:ascii="Times New Roman" w:cs="Times New Roman" w:eastAsia="Times New Roman" w:hAnsi="Times New Roman"/>
                <w:color w:val="000000"/>
                <w:sz w:val="28"/>
                <w:szCs w:val="28"/>
              </w:rPr>
            </w:pPr>
            <w:r w:rsidDel="00000000" w:rsidR="00000000" w:rsidRPr="00000000">
              <w:rPr>
                <w:rtl w:val="0"/>
              </w:rPr>
            </w:r>
          </w:p>
        </w:tc>
        <w:tc>
          <w:tcPr/>
          <w:p w:rsidR="00000000" w:rsidDel="00000000" w:rsidP="00000000" w:rsidRDefault="00000000" w:rsidRPr="00000000" w14:paraId="00000005">
            <w:pPr>
              <w:widowControl w:val="0"/>
              <w:spacing w:after="0" w:line="240" w:lineRule="auto"/>
              <w:jc w:val="center"/>
              <w:rPr>
                <w:rFonts w:ascii="Times New Roman" w:cs="Times New Roman" w:eastAsia="Times New Roman" w:hAnsi="Times New Roman"/>
                <w:b w:val="1"/>
                <w:bCs w:val="1"/>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CỘNG HÒA XÃ HỘI CHỦ NGHĨA VIỆT NAM</w:t>
            </w:r>
          </w:p>
          <w:p w:rsidR="00000000" w:rsidDel="00000000" w:rsidP="00000000" w:rsidRDefault="00000000" w:rsidRPr="00000000" w14:paraId="00000006">
            <w:pPr>
              <w:widowControl w:val="0"/>
              <w:spacing w:after="0" w:line="240" w:lineRule="auto"/>
              <w:jc w:val="center"/>
              <w:rPr>
                <w:rFonts w:ascii="Times New Roman" w:cs="Times New Roman" w:eastAsia="Times New Roman" w:hAnsi="Times New Roman"/>
                <w:b w:val="1"/>
                <w:bCs w:val="1"/>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Độc lập -Tự do - Hạnh phúc</w:t>
            </w:r>
          </w:p>
          <w:p w:rsidR="00000000" w:rsidDel="00000000" w:rsidP="00000000" w:rsidRDefault="00000000" w:rsidRPr="00000000" w14:paraId="00000007">
            <w:pPr>
              <w:widowControl w:val="0"/>
              <w:spacing w:after="0" w:line="240" w:lineRule="auto"/>
              <w:jc w:val="center"/>
              <w:rPr>
                <w:rFonts w:ascii="Times New Roman" w:cs="Times New Roman" w:eastAsia="Times New Roman" w:hAnsi="Times New Roman"/>
                <w:b w:val="1"/>
                <w:bCs w:val="1"/>
                <w:color w:val="000000"/>
                <w:sz w:val="28"/>
                <w:szCs w:val="28"/>
              </w:rPr>
            </w:pPr>
            <w:r w:rsidDel="00000000" w:rsidR="00000000" w:rsidRPr="00000000">
              <w:rPr>
                <w:rtl w:val="0"/>
              </w:rPr>
            </w:r>
          </w:p>
          <w:p w:rsidR="00000000" w:rsidDel="00000000" w:rsidP="00000000" w:rsidRDefault="00000000" w:rsidRPr="00000000" w14:paraId="00000008">
            <w:pPr>
              <w:widowControl w:val="0"/>
              <w:spacing w:after="0" w:line="240" w:lineRule="auto"/>
              <w:jc w:val="center"/>
              <w:rPr>
                <w:rFonts w:ascii="Times New Roman" w:cs="Times New Roman" w:eastAsia="Times New Roman" w:hAnsi="Times New Roman"/>
                <w:i w:val="1"/>
                <w:iCs w:val="1"/>
                <w:color w:val="000000"/>
                <w:sz w:val="28"/>
                <w:szCs w:val="28"/>
              </w:rPr>
            </w:pPr>
            <w:r w:rsidDel="00000000" w:rsidR="00000000" w:rsidRPr="00000000">
              <w:rPr>
                <w:rFonts w:ascii="Times New Roman" w:cs="Times New Roman" w:eastAsia="Times New Roman" w:hAnsi="Times New Roman"/>
                <w:i w:val="1"/>
                <w:iCs w:val="1"/>
                <w:color w:val="000000"/>
                <w:sz w:val="28"/>
                <w:szCs w:val="28"/>
                <w:rtl w:val="0"/>
              </w:rPr>
              <w:t xml:space="preserve">Hà Nội, ngày      tháng      năm 2026</w:t>
            </w:r>
          </w:p>
        </w:tc>
      </w:tr>
    </w:tbl>
    <w:p w:rsidR="00000000" w:rsidDel="00000000" w:rsidP="00000000" w:rsidRDefault="00000000" w:rsidRPr="00000000" w14:paraId="00000009">
      <w:pPr>
        <w:spacing w:after="0" w:line="240" w:lineRule="auto"/>
        <w:jc w:val="center"/>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0A">
      <w:pPr>
        <w:spacing w:after="0" w:line="240" w:lineRule="auto"/>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BẢN SO SÁNH QUY ĐỊNH CỦA DỰ THẢO LUẬT </w:t>
      </w:r>
    </w:p>
    <w:p w:rsidR="00000000" w:rsidDel="00000000" w:rsidP="00000000" w:rsidRDefault="00000000" w:rsidRPr="00000000" w14:paraId="0000000B">
      <w:pPr>
        <w:spacing w:after="0" w:line="240" w:lineRule="auto"/>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SỬA ĐỔI, BỔ SUNG MỘT SỐ ĐIỀU CỦA LUẬT ĐẦU TƯ (TRIỂN KHAI THỰC HIỆN MỘT SỐ NỘI DUNG CỦA NGHỊ QUYẾT SỐ 10-NQ/TW NGÀY 08/6/2026 CỦA BỘ CHÍNH TRỊ VỀ PHÁT TRIỂN KINH TẾ CÓ VỐN ĐẦU TƯ NƯỚC NGOÀI) VỚI CÁC QUY ĐỊNH HIỆN HÀNH VÀ LÝ DO ĐỀ XUẤT ĐIỀU CHỈNH</w:t>
      </w:r>
    </w:p>
    <w:p w:rsidR="00000000" w:rsidDel="00000000" w:rsidP="00000000" w:rsidRDefault="00000000" w:rsidRPr="00000000" w14:paraId="0000000C">
      <w:pPr>
        <w:spacing w:after="0" w:line="240" w:lineRule="auto"/>
        <w:jc w:val="center"/>
        <w:rPr>
          <w:rFonts w:ascii="Times New Roman" w:cs="Times New Roman" w:eastAsia="Times New Roman" w:hAnsi="Times New Roman"/>
          <w:i w:val="1"/>
          <w:iCs w:val="1"/>
          <w:sz w:val="28"/>
          <w:szCs w:val="28"/>
        </w:rPr>
      </w:pPr>
      <w:r w:rsidDel="00000000" w:rsidR="00000000" w:rsidRPr="00000000">
        <w:rPr>
          <w:rFonts w:ascii="Times New Roman" w:cs="Times New Roman" w:eastAsia="Times New Roman" w:hAnsi="Times New Roman"/>
          <w:i w:val="1"/>
          <w:iCs w:val="1"/>
          <w:sz w:val="28"/>
          <w:szCs w:val="28"/>
          <w:rtl w:val="0"/>
        </w:rPr>
        <w:t xml:space="preserve">(Kèm theo Tờ trình số      /TTr-BTC ngày      tháng      năm 2026 của Bộ Tài chính)</w:t>
      </w:r>
    </w:p>
    <w:p w:rsidR="00000000" w:rsidDel="00000000" w:rsidP="00000000" w:rsidRDefault="00000000" w:rsidRPr="00000000" w14:paraId="0000000D">
      <w:pPr>
        <w:spacing w:after="120" w:line="320" w:lineRule="auto"/>
        <w:jc w:val="center"/>
        <w:rPr>
          <w:rFonts w:ascii="Times New Roman" w:cs="Times New Roman" w:eastAsia="Times New Roman" w:hAnsi="Times New Roman"/>
          <w:b w:val="1"/>
          <w:bCs w:val="1"/>
          <w:sz w:val="28"/>
          <w:szCs w:val="28"/>
        </w:rPr>
      </w:pP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3484574</wp:posOffset>
                </wp:positionH>
                <wp:positionV relativeFrom="paragraph">
                  <wp:posOffset>78105</wp:posOffset>
                </wp:positionV>
                <wp:extent cx="0" cy="12700"/>
                <wp:effectExtent b="0" l="0" r="0" t="0"/>
                <wp:wrapNone/>
                <wp:docPr id="1783564218" name=""/>
                <a:graphic>
                  <a:graphicData uri="http://schemas.microsoft.com/office/word/2010/wordprocessingShape">
                    <wps:wsp>
                      <wps:cNvCnPr/>
                      <wps:spPr>
                        <a:xfrm>
                          <a:off x="4218875" y="3780000"/>
                          <a:ext cx="2254250" cy="0"/>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3484574</wp:posOffset>
                </wp:positionH>
                <wp:positionV relativeFrom="paragraph">
                  <wp:posOffset>78105</wp:posOffset>
                </wp:positionV>
                <wp:extent cx="0" cy="12700"/>
                <wp:effectExtent b="0" l="0" r="0" t="0"/>
                <wp:wrapNone/>
                <wp:docPr id="1783564218" name="image2.png"/>
                <a:graphic>
                  <a:graphicData uri="http://schemas.openxmlformats.org/drawingml/2006/picture">
                    <pic:pic>
                      <pic:nvPicPr>
                        <pic:cNvPr id="0" name="image2.png"/>
                        <pic:cNvPicPr preferRelativeResize="0"/>
                      </pic:nvPicPr>
                      <pic:blipFill>
                        <a:blip r:embed="rId8"/>
                        <a:srcRect/>
                        <a:stretch>
                          <a:fillRect/>
                        </a:stretch>
                      </pic:blipFill>
                      <pic:spPr>
                        <a:xfrm>
                          <a:off x="0" y="0"/>
                          <a:ext cx="0" cy="12700"/>
                        </a:xfrm>
                        <a:prstGeom prst="rect"/>
                        <a:ln/>
                      </pic:spPr>
                    </pic:pic>
                  </a:graphicData>
                </a:graphic>
              </wp:anchor>
            </w:drawing>
          </mc:Fallback>
        </mc:AlternateContent>
      </w:r>
    </w:p>
    <w:p w:rsidR="00000000" w:rsidDel="00000000" w:rsidP="00000000" w:rsidRDefault="00000000" w:rsidRPr="00000000" w14:paraId="0000000E">
      <w:pPr>
        <w:spacing w:after="120" w:line="320" w:lineRule="auto"/>
        <w:jc w:val="both"/>
        <w:rPr>
          <w:rFonts w:ascii="Times New Roman" w:cs="Times New Roman" w:eastAsia="Times New Roman" w:hAnsi="Times New Roman"/>
          <w:b w:val="1"/>
          <w:bCs w:val="1"/>
          <w:sz w:val="28"/>
          <w:szCs w:val="28"/>
        </w:rPr>
      </w:pPr>
      <w:r w:rsidDel="00000000" w:rsidR="00000000" w:rsidRPr="00000000">
        <w:rPr>
          <w:rtl w:val="0"/>
        </w:rPr>
      </w:r>
    </w:p>
    <w:tbl>
      <w:tblPr>
        <w:tblStyle w:val="Table2"/>
        <w:tblW w:w="14453.999999999998"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47"/>
        <w:gridCol w:w="1942"/>
        <w:gridCol w:w="3402"/>
        <w:gridCol w:w="3543"/>
        <w:gridCol w:w="4820"/>
        <w:tblGridChange w:id="0">
          <w:tblGrid>
            <w:gridCol w:w="747"/>
            <w:gridCol w:w="1942"/>
            <w:gridCol w:w="3402"/>
            <w:gridCol w:w="3543"/>
            <w:gridCol w:w="4820"/>
          </w:tblGrid>
        </w:tblGridChange>
      </w:tblGrid>
      <w:tr>
        <w:trPr>
          <w:cantSplit w:val="0"/>
          <w:tblHeader w:val="1"/>
        </w:trPr>
        <w:tc>
          <w:tcPr>
            <w:vAlign w:val="center"/>
          </w:tcPr>
          <w:p w:rsidR="00000000" w:rsidDel="00000000" w:rsidP="00000000" w:rsidRDefault="00000000" w:rsidRPr="00000000" w14:paraId="0000000F">
            <w:pPr>
              <w:spacing w:after="120" w:before="120" w:lineRule="auto"/>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STT</w:t>
            </w:r>
          </w:p>
        </w:tc>
        <w:tc>
          <w:tcPr>
            <w:vAlign w:val="center"/>
          </w:tcPr>
          <w:p w:rsidR="00000000" w:rsidDel="00000000" w:rsidP="00000000" w:rsidRDefault="00000000" w:rsidRPr="00000000" w14:paraId="00000010">
            <w:pPr>
              <w:spacing w:after="120" w:before="120" w:lineRule="auto"/>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TÊN QUY ĐỊNH, VĂN BẢN</w:t>
            </w:r>
          </w:p>
        </w:tc>
        <w:tc>
          <w:tcPr>
            <w:vAlign w:val="center"/>
          </w:tcPr>
          <w:p w:rsidR="00000000" w:rsidDel="00000000" w:rsidP="00000000" w:rsidRDefault="00000000" w:rsidRPr="00000000" w14:paraId="00000011">
            <w:pPr>
              <w:spacing w:after="120" w:before="120" w:lineRule="auto"/>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NỘI DUNG QUY ĐỊNH HIỆN HÀNH</w:t>
            </w:r>
          </w:p>
        </w:tc>
        <w:tc>
          <w:tcPr>
            <w:vAlign w:val="center"/>
          </w:tcPr>
          <w:p w:rsidR="00000000" w:rsidDel="00000000" w:rsidP="00000000" w:rsidRDefault="00000000" w:rsidRPr="00000000" w14:paraId="00000012">
            <w:pPr>
              <w:spacing w:after="120" w:before="120" w:lineRule="auto"/>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QUY ĐỊNH TẠI DỰ LUẬT</w:t>
            </w:r>
          </w:p>
        </w:tc>
        <w:tc>
          <w:tcPr>
            <w:vAlign w:val="center"/>
          </w:tcPr>
          <w:p w:rsidR="00000000" w:rsidDel="00000000" w:rsidP="00000000" w:rsidRDefault="00000000" w:rsidRPr="00000000" w14:paraId="00000013">
            <w:pPr>
              <w:spacing w:after="120" w:before="120" w:lineRule="auto"/>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LÝ DO ĐỀ XUẤT ĐIỀU CHỈNH</w:t>
            </w:r>
          </w:p>
        </w:tc>
      </w:tr>
      <w:tr>
        <w:trPr>
          <w:cantSplit w:val="0"/>
          <w:tblHeader w:val="0"/>
        </w:trPr>
        <w:tc>
          <w:tcPr/>
          <w:p w:rsidR="00000000" w:rsidDel="00000000" w:rsidP="00000000" w:rsidRDefault="00000000" w:rsidRPr="00000000" w14:paraId="0000001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120" w:line="278.00000000000006" w:lineRule="auto"/>
              <w:ind w:left="0" w:right="0" w:firstLine="0"/>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tl w:val="0"/>
              </w:rPr>
            </w:r>
          </w:p>
        </w:tc>
        <w:tc>
          <w:tcPr/>
          <w:p w:rsidR="00000000" w:rsidDel="00000000" w:rsidP="00000000" w:rsidRDefault="00000000" w:rsidRPr="00000000" w14:paraId="00000015">
            <w:pPr>
              <w:spacing w:after="120" w:before="120" w:lineRule="auto"/>
              <w:jc w:val="both"/>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Luật Đầu tư số 143/2025/QH15</w:t>
            </w:r>
          </w:p>
        </w:tc>
        <w:tc>
          <w:tcPr/>
          <w:bookmarkStart w:colFirst="0" w:colLast="0" w:name="bookmark=id.564aktyq9gj" w:id="0"/>
          <w:bookmarkEnd w:id="0"/>
          <w:p w:rsidR="00000000" w:rsidDel="00000000" w:rsidP="00000000" w:rsidRDefault="00000000" w:rsidRPr="00000000" w14:paraId="00000016">
            <w:pPr>
              <w:spacing w:after="120" w:before="120" w:lineRule="auto"/>
              <w:jc w:val="both"/>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Điều 3. Giải thích từ ngữ</w:t>
            </w:r>
          </w:p>
          <w:p w:rsidR="00000000" w:rsidDel="00000000" w:rsidP="00000000" w:rsidRDefault="00000000" w:rsidRPr="00000000" w14:paraId="00000017">
            <w:pPr>
              <w:spacing w:after="120" w:before="12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3. Cơ sở dữ liệu quốc gia về đầu tư là tập hợp dữ liệu về các dự án đầu tư trên phạm vi toàn quốc có kết nối với hệ thống cơ sở dữ liệu của các cơ quan có liên quan.</w:t>
            </w:r>
          </w:p>
        </w:tc>
        <w:tc>
          <w:tcPr/>
          <w:p w:rsidR="00000000" w:rsidDel="00000000" w:rsidP="00000000" w:rsidRDefault="00000000" w:rsidRPr="00000000" w14:paraId="00000018">
            <w:pPr>
              <w:spacing w:after="120" w:before="120" w:lineRule="auto"/>
              <w:jc w:val="both"/>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Điều 3. Giải thích từ ngữ</w:t>
            </w:r>
          </w:p>
          <w:p w:rsidR="00000000" w:rsidDel="00000000" w:rsidP="00000000" w:rsidRDefault="00000000" w:rsidRPr="00000000" w14:paraId="00000019">
            <w:pPr>
              <w:spacing w:after="120" w:before="120" w:lineRule="auto"/>
              <w:jc w:val="both"/>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sz w:val="26"/>
                <w:szCs w:val="26"/>
                <w:rtl w:val="0"/>
              </w:rPr>
              <w:t xml:space="preserve">3. Cơ sở dữ liệu quốc gia về đầu tư là tập hợp dữ liệu về các dự án đầu tư</w:t>
            </w:r>
            <w:r w:rsidDel="00000000" w:rsidR="00000000" w:rsidRPr="00000000">
              <w:rPr>
                <w:rFonts w:ascii="Times New Roman" w:cs="Times New Roman" w:eastAsia="Times New Roman" w:hAnsi="Times New Roman"/>
                <w:b w:val="1"/>
                <w:bCs w:val="1"/>
                <w:sz w:val="26"/>
                <w:szCs w:val="26"/>
                <w:rtl w:val="0"/>
              </w:rPr>
              <w:t xml:space="preserve"> và hoạt động đầu tư </w:t>
            </w:r>
            <w:r w:rsidDel="00000000" w:rsidR="00000000" w:rsidRPr="00000000">
              <w:rPr>
                <w:rFonts w:ascii="Times New Roman" w:cs="Times New Roman" w:eastAsia="Times New Roman" w:hAnsi="Times New Roman"/>
                <w:sz w:val="26"/>
                <w:szCs w:val="26"/>
                <w:rtl w:val="0"/>
              </w:rPr>
              <w:t xml:space="preserve">trên phạm vi toàn quốc </w:t>
            </w:r>
            <w:r w:rsidDel="00000000" w:rsidR="00000000" w:rsidRPr="00000000">
              <w:rPr>
                <w:rFonts w:ascii="Times New Roman" w:cs="Times New Roman" w:eastAsia="Times New Roman" w:hAnsi="Times New Roman"/>
                <w:strike w:val="1"/>
                <w:sz w:val="26"/>
                <w:szCs w:val="26"/>
                <w:rtl w:val="0"/>
              </w:rPr>
              <w:t xml:space="preserve">có</w:t>
            </w:r>
            <w:r w:rsidDel="00000000" w:rsidR="00000000" w:rsidRPr="00000000">
              <w:rPr>
                <w:rFonts w:ascii="Times New Roman" w:cs="Times New Roman" w:eastAsia="Times New Roman" w:hAnsi="Times New Roman"/>
                <w:b w:val="1"/>
                <w:bCs w:val="1"/>
                <w:sz w:val="26"/>
                <w:szCs w:val="26"/>
                <w:rtl w:val="0"/>
              </w:rPr>
              <w:t xml:space="preserve">, được tổ chức, quản lý, khai thác, chia sẻ và kết nối với cơ sở dữ liệu của các cơ quan có liên quan theo quy định của pháp luật.</w:t>
            </w:r>
          </w:p>
          <w:p w:rsidR="00000000" w:rsidDel="00000000" w:rsidP="00000000" w:rsidRDefault="00000000" w:rsidRPr="00000000" w14:paraId="0000001A">
            <w:pPr>
              <w:spacing w:after="120" w:before="120" w:lineRule="auto"/>
              <w:jc w:val="both"/>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3a. Cổng một cửa đầu tư quốc gia bao gồm hệ thống thông tin quốc gia về đầu tư, cơ sở dữ liệu quốc gia về đầu tư, cơ sở dữ liệu liên quan và hạ tầng kỹ thuật hệ thống</w:t>
            </w:r>
          </w:p>
        </w:tc>
        <w:tc>
          <w:tcPr/>
          <w:p w:rsidR="00000000" w:rsidDel="00000000" w:rsidP="00000000" w:rsidRDefault="00000000" w:rsidRPr="00000000" w14:paraId="0000001B">
            <w:pPr>
              <w:widowControl w:val="0"/>
              <w:spacing w:after="120" w:before="120" w:lineRule="auto"/>
              <w:ind w:firstLine="27"/>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Hoàn thiện khái niệm về Cơ sở dữ liệu quốc gia về đầu tư và bổ sung khái niệm về Cổng một cửa đầu tư quốc gia để nhằm hoàn thiện cơ sở pháp lý cho việc xây dựng, quản lý và vận hành Cổng một cửa đầu tư quốc gia.</w:t>
            </w:r>
          </w:p>
        </w:tc>
      </w:tr>
      <w:tr>
        <w:trPr>
          <w:cantSplit w:val="0"/>
          <w:tblHeader w:val="0"/>
        </w:trPr>
        <w:tc>
          <w:tcPr/>
          <w:p w:rsidR="00000000" w:rsidDel="00000000" w:rsidP="00000000" w:rsidRDefault="00000000" w:rsidRPr="00000000" w14:paraId="0000001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120" w:line="278.00000000000006" w:lineRule="auto"/>
              <w:ind w:left="0" w:right="0" w:firstLine="0"/>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tl w:val="0"/>
              </w:rPr>
            </w:r>
          </w:p>
        </w:tc>
        <w:tc>
          <w:tcPr/>
          <w:p w:rsidR="00000000" w:rsidDel="00000000" w:rsidP="00000000" w:rsidRDefault="00000000" w:rsidRPr="00000000" w14:paraId="0000001D">
            <w:pPr>
              <w:spacing w:after="120" w:before="120" w:lineRule="auto"/>
              <w:jc w:val="both"/>
              <w:rPr>
                <w:rFonts w:ascii="Times New Roman" w:cs="Times New Roman" w:eastAsia="Times New Roman" w:hAnsi="Times New Roman"/>
                <w:b w:val="1"/>
                <w:bCs w:val="1"/>
                <w:sz w:val="26"/>
                <w:szCs w:val="26"/>
              </w:rPr>
            </w:pPr>
            <w:r w:rsidDel="00000000" w:rsidR="00000000" w:rsidRPr="00000000">
              <w:rPr>
                <w:rtl w:val="0"/>
              </w:rPr>
            </w:r>
          </w:p>
        </w:tc>
        <w:tc>
          <w:tcPr/>
          <w:bookmarkStart w:colFirst="0" w:colLast="0" w:name="bookmark=id.7c3lrg2uwpe4" w:id="1"/>
          <w:bookmarkEnd w:id="1"/>
          <w:p w:rsidR="00000000" w:rsidDel="00000000" w:rsidP="00000000" w:rsidRDefault="00000000" w:rsidRPr="00000000" w14:paraId="0000001E">
            <w:pPr>
              <w:spacing w:after="120" w:before="120" w:lineRule="auto"/>
              <w:jc w:val="both"/>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Điều 5. Chính sách về đầu tư kinh doanh</w:t>
            </w:r>
          </w:p>
          <w:p w:rsidR="00000000" w:rsidDel="00000000" w:rsidP="00000000" w:rsidRDefault="00000000" w:rsidRPr="00000000" w14:paraId="0000001F">
            <w:pPr>
              <w:spacing w:after="120" w:before="12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4. Nhà nước công nhận và bảo hộ quyền sở hữu về tài sản, vốn đầu tư, thu nhập và các quyền, lợi ích hợp pháp khác của nhà đầu tư.</w:t>
            </w:r>
          </w:p>
          <w:p w:rsidR="00000000" w:rsidDel="00000000" w:rsidP="00000000" w:rsidRDefault="00000000" w:rsidRPr="00000000" w14:paraId="00000020">
            <w:pPr>
              <w:spacing w:after="120" w:before="120" w:lineRule="auto"/>
              <w:jc w:val="both"/>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21">
            <w:pPr>
              <w:spacing w:after="120" w:before="120" w:lineRule="auto"/>
              <w:jc w:val="both"/>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22">
            <w:pPr>
              <w:spacing w:after="120" w:before="12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5. Nhà nước đối xử bình đẳng giữa các nhà đầu tư; có chính sách khuyến khích và tạo điều kiện thuận lợi để nhà đầu tư thực hiện hoạt động đầu tư kinh doanh, phát triển bền vững các ngành kinh tế.</w:t>
            </w:r>
          </w:p>
        </w:tc>
        <w:tc>
          <w:tcPr/>
          <w:p w:rsidR="00000000" w:rsidDel="00000000" w:rsidP="00000000" w:rsidRDefault="00000000" w:rsidRPr="00000000" w14:paraId="00000023">
            <w:pPr>
              <w:spacing w:after="120" w:before="120" w:lineRule="auto"/>
              <w:jc w:val="both"/>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Điều 5. Chính sách về đầu tư kinh doanh</w:t>
            </w:r>
          </w:p>
          <w:p w:rsidR="00000000" w:rsidDel="00000000" w:rsidP="00000000" w:rsidRDefault="00000000" w:rsidRPr="00000000" w14:paraId="00000024">
            <w:pPr>
              <w:spacing w:after="120" w:before="12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4. Nhà nước công nhận và bảo hộ </w:t>
            </w:r>
            <w:r w:rsidDel="00000000" w:rsidR="00000000" w:rsidRPr="00000000">
              <w:rPr>
                <w:rFonts w:ascii="Times New Roman" w:cs="Times New Roman" w:eastAsia="Times New Roman" w:hAnsi="Times New Roman"/>
                <w:b w:val="1"/>
                <w:bCs w:val="1"/>
                <w:sz w:val="26"/>
                <w:szCs w:val="26"/>
                <w:rtl w:val="0"/>
              </w:rPr>
              <w:t xml:space="preserve">quyền sở hữu trí tuệ,</w:t>
            </w:r>
            <w:r w:rsidDel="00000000" w:rsidR="00000000" w:rsidRPr="00000000">
              <w:rPr>
                <w:rFonts w:ascii="Times New Roman" w:cs="Times New Roman" w:eastAsia="Times New Roman" w:hAnsi="Times New Roman"/>
                <w:sz w:val="26"/>
                <w:szCs w:val="26"/>
                <w:rtl w:val="0"/>
              </w:rPr>
              <w:t xml:space="preserve"> quyền sở hữu về tài sản, vốn đầu tư, thu nhập và các quyền, lợi ích hợp pháp khác của nhà đầu tư </w:t>
            </w:r>
            <w:r w:rsidDel="00000000" w:rsidR="00000000" w:rsidRPr="00000000">
              <w:rPr>
                <w:rFonts w:ascii="Times New Roman" w:cs="Times New Roman" w:eastAsia="Times New Roman" w:hAnsi="Times New Roman"/>
                <w:b w:val="1"/>
                <w:bCs w:val="1"/>
                <w:sz w:val="26"/>
                <w:szCs w:val="26"/>
                <w:rtl w:val="0"/>
              </w:rPr>
              <w:t xml:space="preserve">trong nước và nhà đầu tư nước ngoài</w:t>
            </w:r>
            <w:r w:rsidDel="00000000" w:rsidR="00000000" w:rsidRPr="00000000">
              <w:rPr>
                <w:rFonts w:ascii="Times New Roman" w:cs="Times New Roman" w:eastAsia="Times New Roman" w:hAnsi="Times New Roman"/>
                <w:sz w:val="26"/>
                <w:szCs w:val="26"/>
                <w:rtl w:val="0"/>
              </w:rPr>
              <w:t xml:space="preserve">.</w:t>
            </w:r>
          </w:p>
          <w:p w:rsidR="00000000" w:rsidDel="00000000" w:rsidP="00000000" w:rsidRDefault="00000000" w:rsidRPr="00000000" w14:paraId="00000025">
            <w:pPr>
              <w:spacing w:after="120" w:before="120" w:lineRule="auto"/>
              <w:jc w:val="both"/>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sz w:val="26"/>
                <w:szCs w:val="26"/>
                <w:rtl w:val="0"/>
              </w:rPr>
              <w:t xml:space="preserve">5. Nhà nước đối xử bình đẳng giữa các nhà đầu tư; có chính sách khuyến khích và tạo điều kiện thuận lợi để nhà đầu tư thực hiện hoạt động đầu tư kinh doanh, phát triển bền vững các ngành kinh tế. </w:t>
            </w:r>
            <w:r w:rsidDel="00000000" w:rsidR="00000000" w:rsidRPr="00000000">
              <w:rPr>
                <w:rFonts w:ascii="Times New Roman" w:cs="Times New Roman" w:eastAsia="Times New Roman" w:hAnsi="Times New Roman"/>
                <w:b w:val="1"/>
                <w:bCs w:val="1"/>
                <w:sz w:val="26"/>
                <w:szCs w:val="26"/>
                <w:rtl w:val="0"/>
              </w:rPr>
              <w:t xml:space="preserve">Việc áp dụng ưu đãi, hỗ trợ và đảm bảo đầu tư phải bảo đảm hài hòa lợi ích của Nhà nước, nhà đầu tư, doanh nghiệp và người dân; góp phần nâng cao năng lực tự chủ chiến lược của nền kinh tế, bảo đảm quốc phòng, an ninh và lợi ích quốc gia.</w:t>
            </w:r>
          </w:p>
        </w:tc>
        <w:tc>
          <w:tcPr/>
          <w:p w:rsidR="00000000" w:rsidDel="00000000" w:rsidP="00000000" w:rsidRDefault="00000000" w:rsidRPr="00000000" w14:paraId="00000026">
            <w:pPr>
              <w:widowControl w:val="0"/>
              <w:spacing w:after="120" w:before="120" w:lineRule="auto"/>
              <w:ind w:firstLine="27"/>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Hoàn thiện cơ chế rà soát, phối hợp thẩm định và quản trị rủi ro đầu tư với các dự án, giao dịch liên quan đến lĩnh vực, địa bàn, doanh nghiệp, công trình, hạ tầng trọng yếu hoặc nhạy cảm; bảo đảm tiêu chí rõ ràng, công khai, minh bạch, đúng thẩm quyền, đúng trình tự, không làm phát sinh rào cản, ách tắc không cần thiết đối với hoạt động đầu tư, kinh doanh hợp pháp.</w:t>
            </w:r>
          </w:p>
          <w:p w:rsidR="00000000" w:rsidDel="00000000" w:rsidP="00000000" w:rsidRDefault="00000000" w:rsidRPr="00000000" w14:paraId="00000027">
            <w:pPr>
              <w:widowControl w:val="0"/>
              <w:spacing w:after="120" w:before="120" w:lineRule="auto"/>
              <w:ind w:firstLine="27"/>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Tăng cường giám sát việc thực hiện cam kết của nhà đầu tư; kịp thời xử lý vi phạm, thu hồi ưu đãi hoặc áp dụng biện pháp phù hợp đối với trường hợp không thực hiện đúng cam kết, sử dụng lãng phí đất đai, tài nguyên, năng lượng hoặc gây ảnh hưởng xấu đến môi trường, trật tự, an toàn xã hội.</w:t>
            </w:r>
          </w:p>
        </w:tc>
      </w:tr>
      <w:tr>
        <w:trPr>
          <w:cantSplit w:val="0"/>
          <w:tblHeader w:val="0"/>
        </w:trPr>
        <w:tc>
          <w:tcPr/>
          <w:p w:rsidR="00000000" w:rsidDel="00000000" w:rsidP="00000000" w:rsidRDefault="00000000" w:rsidRPr="00000000" w14:paraId="0000002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120" w:line="278.00000000000006" w:lineRule="auto"/>
              <w:ind w:left="0" w:right="0" w:firstLine="0"/>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tl w:val="0"/>
              </w:rPr>
            </w:r>
          </w:p>
        </w:tc>
        <w:tc>
          <w:tcPr/>
          <w:p w:rsidR="00000000" w:rsidDel="00000000" w:rsidP="00000000" w:rsidRDefault="00000000" w:rsidRPr="00000000" w14:paraId="00000029">
            <w:pPr>
              <w:spacing w:after="120" w:before="120" w:lineRule="auto"/>
              <w:jc w:val="both"/>
              <w:rPr>
                <w:rFonts w:ascii="Times New Roman" w:cs="Times New Roman" w:eastAsia="Times New Roman" w:hAnsi="Times New Roman"/>
                <w:b w:val="1"/>
                <w:bCs w:val="1"/>
                <w:sz w:val="26"/>
                <w:szCs w:val="26"/>
              </w:rPr>
            </w:pPr>
            <w:r w:rsidDel="00000000" w:rsidR="00000000" w:rsidRPr="00000000">
              <w:rPr>
                <w:rtl w:val="0"/>
              </w:rPr>
            </w:r>
          </w:p>
        </w:tc>
        <w:tc>
          <w:tcPr/>
          <w:bookmarkStart w:colFirst="0" w:colLast="0" w:name="bookmark=id.3nxdq6mb9ds1" w:id="2"/>
          <w:bookmarkEnd w:id="2"/>
          <w:p w:rsidR="00000000" w:rsidDel="00000000" w:rsidP="00000000" w:rsidRDefault="00000000" w:rsidRPr="00000000" w14:paraId="0000002A">
            <w:pPr>
              <w:spacing w:after="120" w:before="120" w:lineRule="auto"/>
              <w:jc w:val="both"/>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Điều 8. Ngành, nghề và điều kiện tiếp cận thị trường đối với nhà đầu tư nước ngoài</w:t>
            </w:r>
          </w:p>
        </w:tc>
        <w:tc>
          <w:tcPr/>
          <w:p w:rsidR="00000000" w:rsidDel="00000000" w:rsidP="00000000" w:rsidRDefault="00000000" w:rsidRPr="00000000" w14:paraId="0000002B">
            <w:pPr>
              <w:spacing w:after="120" w:before="120" w:lineRule="auto"/>
              <w:jc w:val="both"/>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Điều 8. Ngành, nghề và điều kiện tiếp cận thị trường đối với nhà đầu tư nước ngoài</w:t>
            </w:r>
          </w:p>
          <w:p w:rsidR="00000000" w:rsidDel="00000000" w:rsidP="00000000" w:rsidRDefault="00000000" w:rsidRPr="00000000" w14:paraId="0000002C">
            <w:pPr>
              <w:spacing w:after="120" w:before="12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bCs w:val="1"/>
                <w:sz w:val="26"/>
                <w:szCs w:val="26"/>
                <w:rtl w:val="0"/>
              </w:rPr>
              <w:t xml:space="preserve">3a. Căn cứ điều kiện kinh tế - xã hội và yêu cầu quản lý nhà nước trong từng thời kỳ, trường hợp cần thiết để thu hút các dự án đầu tư chiến lược, có tác động lớn đến phát triển kinh tế - xã hội và các dự án khác mà cần có yêu cầu nới lỏng điều kiện tiếp cận thị trường đối với nhà đầu tư nước ngoài, Chính phủ xem xét, quyết định cho phép nhà đầu tư nước ngoài được sở hữu tối đa 100% vốn điều lệ của tổ chức kinh tế hoạt động trong các ngành, nghề</w:t>
            </w:r>
            <w:r w:rsidDel="00000000" w:rsidR="00000000" w:rsidRPr="00000000">
              <w:rPr>
                <w:rFonts w:ascii="Times New Roman" w:cs="Times New Roman" w:eastAsia="Times New Roman" w:hAnsi="Times New Roman"/>
                <w:b w:val="1"/>
                <w:bCs w:val="1"/>
                <w:sz w:val="26"/>
                <w:szCs w:val="26"/>
                <w:vertAlign w:val="superscript"/>
              </w:rPr>
              <w:footnoteReference w:customMarkFollows="0" w:id="0"/>
            </w:r>
            <w:r w:rsidDel="00000000" w:rsidR="00000000" w:rsidRPr="00000000">
              <w:rPr>
                <w:rFonts w:ascii="Times New Roman" w:cs="Times New Roman" w:eastAsia="Times New Roman" w:hAnsi="Times New Roman"/>
                <w:b w:val="1"/>
                <w:bCs w:val="1"/>
                <w:sz w:val="26"/>
                <w:szCs w:val="26"/>
                <w:rtl w:val="0"/>
              </w:rPr>
              <w:t xml:space="preserve"> thuộc Danh mục ngành, nghề hạn chế tiếp cận thị trường đối với nhà đầu tư nước ngoài trên cơ sở bảo đảm an ninh, quốc phòng và lợi ích quốc gia, dân tộc.</w:t>
            </w:r>
            <w:r w:rsidDel="00000000" w:rsidR="00000000" w:rsidRPr="00000000">
              <w:rPr>
                <w:rtl w:val="0"/>
              </w:rPr>
            </w:r>
          </w:p>
        </w:tc>
        <w:tc>
          <w:tcPr/>
          <w:p w:rsidR="00000000" w:rsidDel="00000000" w:rsidP="00000000" w:rsidRDefault="00000000" w:rsidRPr="00000000" w14:paraId="0000002D">
            <w:pPr>
              <w:widowControl w:val="0"/>
              <w:spacing w:after="120" w:before="120" w:lineRule="auto"/>
              <w:ind w:firstLine="27"/>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Thể chế hóa nhiệm vụ về phát triển thị trường vốn trung và dài hạn tại Nghị quyết số 10-NQ/TW theo hướng minh bạch, hiện đại, an toàn, bền vững, giảm sự phụ thuộc vào thị trường tín dụng ngắn hạn; hoàn thiện đồng bộ thể chế phát triển thị trường chứng khoán, thị trường trái phiếu, định chế trung gian; khẩn trương triển khai xây dựng và đưa vào vận hành các Trung tâm tài chính quốc tế, khu vực; đẩy nhanh lộ trình nâng hạng thị trường chứng khoán trên cơ sở cải cách thực chất về khả năng tiếp cận thị trường, chất lượng và sự đa dạng nguồn cung hàng hóa minh bạch thông tin, an toàn hệ thống và bảo vệ quyền, lợi ích hợp pháp của nhà đầu tư.</w:t>
            </w:r>
          </w:p>
          <w:p w:rsidR="00000000" w:rsidDel="00000000" w:rsidP="00000000" w:rsidRDefault="00000000" w:rsidRPr="00000000" w14:paraId="0000002E">
            <w:pPr>
              <w:widowControl w:val="0"/>
              <w:spacing w:after="120" w:before="120" w:lineRule="auto"/>
              <w:ind w:firstLine="27"/>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Đồng thời, nhằm thực hiện nhiệm vụ tại điểm a mục 2 Chương II Điều 1 Quyết định số 2014/QĐ-TTg ngày 12/9/2026 của Thủ tướng Chính phủ phê duyệt Đề án nâng hạng thị trường chứng khoán Việt Nam về “Rà soát quy định pháp luật về tỷ lệ sở hữu nước ngoài để tăng tỷ lệ sở hữu nước ngoài tối đa và đưa ra khỏi danh mục những ngành nghề không cần thiết hạn chế về tỷ lệ sở hữu nước ngoài”. </w:t>
            </w:r>
          </w:p>
        </w:tc>
      </w:tr>
      <w:tr>
        <w:trPr>
          <w:cantSplit w:val="0"/>
          <w:tblHeader w:val="0"/>
        </w:trPr>
        <w:tc>
          <w:tcPr/>
          <w:p w:rsidR="00000000" w:rsidDel="00000000" w:rsidP="00000000" w:rsidRDefault="00000000" w:rsidRPr="00000000" w14:paraId="0000002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120" w:line="278.00000000000006" w:lineRule="auto"/>
              <w:ind w:left="0" w:right="0" w:firstLine="0"/>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tl w:val="0"/>
              </w:rPr>
            </w:r>
          </w:p>
        </w:tc>
        <w:tc>
          <w:tcPr/>
          <w:p w:rsidR="00000000" w:rsidDel="00000000" w:rsidP="00000000" w:rsidRDefault="00000000" w:rsidRPr="00000000" w14:paraId="00000030">
            <w:pPr>
              <w:spacing w:after="120" w:before="120" w:lineRule="auto"/>
              <w:jc w:val="both"/>
              <w:rPr>
                <w:rFonts w:ascii="Times New Roman" w:cs="Times New Roman" w:eastAsia="Times New Roman" w:hAnsi="Times New Roman"/>
                <w:b w:val="1"/>
                <w:bCs w:val="1"/>
                <w:sz w:val="26"/>
                <w:szCs w:val="26"/>
              </w:rPr>
            </w:pPr>
            <w:r w:rsidDel="00000000" w:rsidR="00000000" w:rsidRPr="00000000">
              <w:rPr>
                <w:rtl w:val="0"/>
              </w:rPr>
            </w:r>
          </w:p>
        </w:tc>
        <w:tc>
          <w:tcPr/>
          <w:bookmarkStart w:colFirst="0" w:colLast="0" w:name="bookmark=id.k1lqiwl4gkh7" w:id="3"/>
          <w:bookmarkEnd w:id="3"/>
          <w:p w:rsidR="00000000" w:rsidDel="00000000" w:rsidP="00000000" w:rsidRDefault="00000000" w:rsidRPr="00000000" w14:paraId="00000031">
            <w:pPr>
              <w:spacing w:after="120" w:before="120" w:lineRule="auto"/>
              <w:jc w:val="both"/>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Điều 12. Bảo đảm đầu tư kinh doanh trong trường hợp thay đổi pháp luật</w:t>
            </w:r>
          </w:p>
        </w:tc>
        <w:tc>
          <w:tcPr/>
          <w:p w:rsidR="00000000" w:rsidDel="00000000" w:rsidP="00000000" w:rsidRDefault="00000000" w:rsidRPr="00000000" w14:paraId="00000032">
            <w:pPr>
              <w:spacing w:after="120" w:before="120" w:lineRule="auto"/>
              <w:jc w:val="both"/>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Điều 12. Bảo đảm đầu tư kinh doanh trong trường hợp thay đổi pháp luật</w:t>
            </w:r>
          </w:p>
          <w:p w:rsidR="00000000" w:rsidDel="00000000" w:rsidP="00000000" w:rsidRDefault="00000000" w:rsidRPr="00000000" w14:paraId="00000033">
            <w:pPr>
              <w:spacing w:after="120" w:before="120" w:lineRule="auto"/>
              <w:jc w:val="both"/>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1a. Nhà nước có chính sách bảo đảm môi trường đầu tư, kinh doanh minh bạch, ổn định, nhất quán, chi phí tuân thủ thấp, có khả năng dự báo cao, phù hợp với thông lệ quốc tế, nâng cao năng lực cạnh tranh trong khu vực và toàn cầu.</w:t>
            </w:r>
          </w:p>
        </w:tc>
        <w:tc>
          <w:tcPr/>
          <w:p w:rsidR="00000000" w:rsidDel="00000000" w:rsidP="00000000" w:rsidRDefault="00000000" w:rsidRPr="00000000" w14:paraId="00000034">
            <w:pPr>
              <w:spacing w:after="120" w:before="12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Bổ sung nguyên tắc bảo đảm đầu tư kinh doanh trong trường hợp thay đổi pháp luật phù hợp với đường lối, chỉ đạo tại Nghị quyết số 10-NQ/TW.</w:t>
            </w:r>
          </w:p>
        </w:tc>
      </w:tr>
      <w:tr>
        <w:trPr>
          <w:cantSplit w:val="0"/>
          <w:tblHeader w:val="0"/>
        </w:trPr>
        <w:tc>
          <w:tcPr/>
          <w:p w:rsidR="00000000" w:rsidDel="00000000" w:rsidP="00000000" w:rsidRDefault="00000000" w:rsidRPr="00000000" w14:paraId="0000003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120" w:line="278.00000000000006" w:lineRule="auto"/>
              <w:ind w:left="0" w:right="0" w:firstLine="0"/>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tl w:val="0"/>
              </w:rPr>
            </w:r>
          </w:p>
        </w:tc>
        <w:tc>
          <w:tcPr/>
          <w:p w:rsidR="00000000" w:rsidDel="00000000" w:rsidP="00000000" w:rsidRDefault="00000000" w:rsidRPr="00000000" w14:paraId="00000036">
            <w:pPr>
              <w:spacing w:after="120" w:before="120" w:lineRule="auto"/>
              <w:jc w:val="both"/>
              <w:rPr>
                <w:rFonts w:ascii="Times New Roman" w:cs="Times New Roman" w:eastAsia="Times New Roman" w:hAnsi="Times New Roman"/>
                <w:b w:val="1"/>
                <w:bCs w:val="1"/>
                <w:sz w:val="26"/>
                <w:szCs w:val="26"/>
              </w:rPr>
            </w:pPr>
            <w:r w:rsidDel="00000000" w:rsidR="00000000" w:rsidRPr="00000000">
              <w:rPr>
                <w:rtl w:val="0"/>
              </w:rPr>
            </w:r>
          </w:p>
        </w:tc>
        <w:tc>
          <w:tcPr/>
          <w:bookmarkStart w:colFirst="0" w:colLast="0" w:name="bookmark=id.32yhmabckulg" w:id="4"/>
          <w:bookmarkEnd w:id="4"/>
          <w:p w:rsidR="00000000" w:rsidDel="00000000" w:rsidP="00000000" w:rsidRDefault="00000000" w:rsidRPr="00000000" w14:paraId="00000037">
            <w:pPr>
              <w:spacing w:after="120" w:before="120" w:lineRule="auto"/>
              <w:jc w:val="both"/>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Điều 14. Ưu đãi đầu tư và hỗ trợ đầu tư</w:t>
            </w:r>
          </w:p>
          <w:p w:rsidR="00000000" w:rsidDel="00000000" w:rsidP="00000000" w:rsidRDefault="00000000" w:rsidRPr="00000000" w14:paraId="00000038">
            <w:pPr>
              <w:spacing w:after="120" w:before="12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3. Hình thức hỗ trợ đầu tư bao gồm:</w:t>
            </w:r>
          </w:p>
          <w:p w:rsidR="00000000" w:rsidDel="00000000" w:rsidP="00000000" w:rsidRDefault="00000000" w:rsidRPr="00000000" w14:paraId="00000039">
            <w:pPr>
              <w:spacing w:after="120" w:before="12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w:t>
            </w:r>
          </w:p>
          <w:p w:rsidR="00000000" w:rsidDel="00000000" w:rsidP="00000000" w:rsidRDefault="00000000" w:rsidRPr="00000000" w14:paraId="0000003A">
            <w:pPr>
              <w:spacing w:after="120" w:before="12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đ) Hỗ trợ khoa học, kỹ thuật, chuyển giao công nghệ;</w:t>
            </w:r>
          </w:p>
          <w:p w:rsidR="00000000" w:rsidDel="00000000" w:rsidP="00000000" w:rsidRDefault="00000000" w:rsidRPr="00000000" w14:paraId="0000003B">
            <w:pPr>
              <w:spacing w:after="120" w:before="120" w:lineRule="auto"/>
              <w:jc w:val="both"/>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3C">
            <w:pPr>
              <w:spacing w:after="120" w:before="12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e) Hỗ trợ phát triển thị trường, cung cấp thông tin;</w:t>
            </w:r>
          </w:p>
          <w:p w:rsidR="00000000" w:rsidDel="00000000" w:rsidP="00000000" w:rsidRDefault="00000000" w:rsidRPr="00000000" w14:paraId="0000003D">
            <w:pPr>
              <w:spacing w:after="120" w:before="12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w:t>
            </w:r>
          </w:p>
          <w:p w:rsidR="00000000" w:rsidDel="00000000" w:rsidP="00000000" w:rsidRDefault="00000000" w:rsidRPr="00000000" w14:paraId="0000003E">
            <w:pPr>
              <w:spacing w:after="120" w:before="120" w:lineRule="auto"/>
              <w:jc w:val="both"/>
              <w:rPr>
                <w:rFonts w:ascii="Times New Roman" w:cs="Times New Roman" w:eastAsia="Times New Roman" w:hAnsi="Times New Roman"/>
                <w:sz w:val="26"/>
                <w:szCs w:val="26"/>
              </w:rPr>
            </w:pPr>
            <w:r w:rsidDel="00000000" w:rsidR="00000000" w:rsidRPr="00000000">
              <w:rPr>
                <w:rtl w:val="0"/>
              </w:rPr>
            </w:r>
          </w:p>
        </w:tc>
        <w:tc>
          <w:tcPr/>
          <w:p w:rsidR="00000000" w:rsidDel="00000000" w:rsidP="00000000" w:rsidRDefault="00000000" w:rsidRPr="00000000" w14:paraId="0000003F">
            <w:pPr>
              <w:spacing w:after="120" w:before="120" w:lineRule="auto"/>
              <w:jc w:val="both"/>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Điều 14. Ưu đãi đầu tư và hỗ trợ đầu tư</w:t>
            </w:r>
          </w:p>
          <w:p w:rsidR="00000000" w:rsidDel="00000000" w:rsidP="00000000" w:rsidRDefault="00000000" w:rsidRPr="00000000" w14:paraId="00000040">
            <w:pPr>
              <w:spacing w:after="120" w:before="12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3. Hình thức hỗ trợ đầu tư bao gồm:</w:t>
            </w:r>
          </w:p>
          <w:p w:rsidR="00000000" w:rsidDel="00000000" w:rsidP="00000000" w:rsidRDefault="00000000" w:rsidRPr="00000000" w14:paraId="00000041">
            <w:pPr>
              <w:spacing w:after="120" w:before="12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w:t>
            </w:r>
          </w:p>
          <w:p w:rsidR="00000000" w:rsidDel="00000000" w:rsidP="00000000" w:rsidRDefault="00000000" w:rsidRPr="00000000" w14:paraId="00000042">
            <w:pPr>
              <w:widowControl w:val="0"/>
              <w:shd w:fill="ffffff" w:val="clear"/>
              <w:tabs>
                <w:tab w:val="left" w:leader="none" w:pos="851"/>
                <w:tab w:val="left" w:leader="none" w:pos="1021"/>
              </w:tabs>
              <w:spacing w:after="120" w:before="12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đ) Hỗ trợ khoa học, kỹ thuật, </w:t>
            </w:r>
            <w:r w:rsidDel="00000000" w:rsidR="00000000" w:rsidRPr="00000000">
              <w:rPr>
                <w:rFonts w:ascii="Times New Roman" w:cs="Times New Roman" w:eastAsia="Times New Roman" w:hAnsi="Times New Roman"/>
                <w:b w:val="1"/>
                <w:bCs w:val="1"/>
                <w:sz w:val="26"/>
                <w:szCs w:val="26"/>
                <w:rtl w:val="0"/>
              </w:rPr>
              <w:t xml:space="preserve">mua bán,</w:t>
            </w:r>
            <w:r w:rsidDel="00000000" w:rsidR="00000000" w:rsidRPr="00000000">
              <w:rPr>
                <w:rFonts w:ascii="Times New Roman" w:cs="Times New Roman" w:eastAsia="Times New Roman" w:hAnsi="Times New Roman"/>
                <w:sz w:val="26"/>
                <w:szCs w:val="26"/>
                <w:rtl w:val="0"/>
              </w:rPr>
              <w:t xml:space="preserve"> </w:t>
            </w:r>
            <w:r w:rsidDel="00000000" w:rsidR="00000000" w:rsidRPr="00000000">
              <w:rPr>
                <w:rFonts w:ascii="Times New Roman" w:cs="Times New Roman" w:eastAsia="Times New Roman" w:hAnsi="Times New Roman"/>
                <w:b w:val="1"/>
                <w:bCs w:val="1"/>
                <w:sz w:val="26"/>
                <w:szCs w:val="26"/>
                <w:rtl w:val="0"/>
              </w:rPr>
              <w:t xml:space="preserve">tiếp nhận, </w:t>
            </w:r>
            <w:r w:rsidDel="00000000" w:rsidR="00000000" w:rsidRPr="00000000">
              <w:rPr>
                <w:rFonts w:ascii="Times New Roman" w:cs="Times New Roman" w:eastAsia="Times New Roman" w:hAnsi="Times New Roman"/>
                <w:sz w:val="26"/>
                <w:szCs w:val="26"/>
                <w:rtl w:val="0"/>
              </w:rPr>
              <w:t xml:space="preserve">chuyển giao</w:t>
            </w:r>
            <w:r w:rsidDel="00000000" w:rsidR="00000000" w:rsidRPr="00000000">
              <w:rPr>
                <w:rFonts w:ascii="Times New Roman" w:cs="Times New Roman" w:eastAsia="Times New Roman" w:hAnsi="Times New Roman"/>
                <w:b w:val="1"/>
                <w:bCs w:val="1"/>
                <w:sz w:val="26"/>
                <w:szCs w:val="26"/>
                <w:rtl w:val="0"/>
              </w:rPr>
              <w:t xml:space="preserve"> và làm chủ </w:t>
            </w:r>
            <w:r w:rsidDel="00000000" w:rsidR="00000000" w:rsidRPr="00000000">
              <w:rPr>
                <w:rFonts w:ascii="Times New Roman" w:cs="Times New Roman" w:eastAsia="Times New Roman" w:hAnsi="Times New Roman"/>
                <w:sz w:val="26"/>
                <w:szCs w:val="26"/>
                <w:rtl w:val="0"/>
              </w:rPr>
              <w:t xml:space="preserve">công nghệ;</w:t>
            </w:r>
          </w:p>
          <w:p w:rsidR="00000000" w:rsidDel="00000000" w:rsidP="00000000" w:rsidRDefault="00000000" w:rsidRPr="00000000" w14:paraId="00000043">
            <w:pPr>
              <w:spacing w:after="120" w:before="12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e) Hỗ trợ </w:t>
            </w:r>
            <w:r w:rsidDel="00000000" w:rsidR="00000000" w:rsidRPr="00000000">
              <w:rPr>
                <w:rFonts w:ascii="Times New Roman" w:cs="Times New Roman" w:eastAsia="Times New Roman" w:hAnsi="Times New Roman"/>
                <w:b w:val="1"/>
                <w:bCs w:val="1"/>
                <w:sz w:val="26"/>
                <w:szCs w:val="26"/>
                <w:rtl w:val="0"/>
              </w:rPr>
              <w:t xml:space="preserve">khởi nghiệp</w:t>
            </w:r>
            <w:r w:rsidDel="00000000" w:rsidR="00000000" w:rsidRPr="00000000">
              <w:rPr>
                <w:rFonts w:ascii="Times New Roman" w:cs="Times New Roman" w:eastAsia="Times New Roman" w:hAnsi="Times New Roman"/>
                <w:sz w:val="26"/>
                <w:szCs w:val="26"/>
                <w:rtl w:val="0"/>
              </w:rPr>
              <w:t xml:space="preserve">, phát triển trị thường, cung cấp thông tin;</w:t>
            </w:r>
          </w:p>
          <w:p w:rsidR="00000000" w:rsidDel="00000000" w:rsidP="00000000" w:rsidRDefault="00000000" w:rsidRPr="00000000" w14:paraId="00000044">
            <w:pPr>
              <w:spacing w:after="120" w:before="12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w:t>
            </w:r>
          </w:p>
          <w:p w:rsidR="00000000" w:rsidDel="00000000" w:rsidP="00000000" w:rsidRDefault="00000000" w:rsidRPr="00000000" w14:paraId="00000045">
            <w:pPr>
              <w:widowControl w:val="0"/>
              <w:shd w:fill="ffffff" w:val="clear"/>
              <w:tabs>
                <w:tab w:val="left" w:leader="none" w:pos="851"/>
                <w:tab w:val="left" w:leader="none" w:pos="1021"/>
              </w:tabs>
              <w:spacing w:after="120" w:before="120" w:lineRule="auto"/>
              <w:ind w:firstLine="37"/>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bCs w:val="1"/>
                <w:sz w:val="26"/>
                <w:szCs w:val="26"/>
                <w:rtl w:val="0"/>
              </w:rPr>
              <w:t xml:space="preserve">h1) Hỗ trợ phát triển chuỗi cung ứng</w:t>
            </w:r>
            <w:r w:rsidDel="00000000" w:rsidR="00000000" w:rsidRPr="00000000">
              <w:rPr>
                <w:rFonts w:ascii="Times New Roman" w:cs="Times New Roman" w:eastAsia="Times New Roman" w:hAnsi="Times New Roman"/>
                <w:sz w:val="26"/>
                <w:szCs w:val="26"/>
                <w:rtl w:val="0"/>
              </w:rPr>
              <w:t xml:space="preserve">;</w:t>
            </w:r>
          </w:p>
          <w:p w:rsidR="00000000" w:rsidDel="00000000" w:rsidP="00000000" w:rsidRDefault="00000000" w:rsidRPr="00000000" w14:paraId="00000046">
            <w:pPr>
              <w:widowControl w:val="0"/>
              <w:shd w:fill="ffffff" w:val="clear"/>
              <w:tabs>
                <w:tab w:val="left" w:leader="none" w:pos="851"/>
                <w:tab w:val="left" w:leader="none" w:pos="1021"/>
              </w:tabs>
              <w:spacing w:after="120" w:before="120" w:lineRule="auto"/>
              <w:ind w:firstLine="37"/>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bCs w:val="1"/>
                <w:sz w:val="26"/>
                <w:szCs w:val="26"/>
                <w:rtl w:val="0"/>
              </w:rPr>
              <w:t xml:space="preserve">h2) Hỗ trợ sản xuất, cải tiến sản phẩm, công nghệ</w:t>
            </w:r>
            <w:r w:rsidDel="00000000" w:rsidR="00000000" w:rsidRPr="00000000">
              <w:rPr>
                <w:rFonts w:ascii="Times New Roman" w:cs="Times New Roman" w:eastAsia="Times New Roman" w:hAnsi="Times New Roman"/>
                <w:sz w:val="26"/>
                <w:szCs w:val="26"/>
                <w:rtl w:val="0"/>
              </w:rPr>
              <w:t xml:space="preserve">;</w:t>
            </w:r>
          </w:p>
          <w:p w:rsidR="00000000" w:rsidDel="00000000" w:rsidP="00000000" w:rsidRDefault="00000000" w:rsidRPr="00000000" w14:paraId="00000047">
            <w:pPr>
              <w:widowControl w:val="0"/>
              <w:shd w:fill="ffffff" w:val="clear"/>
              <w:tabs>
                <w:tab w:val="left" w:leader="none" w:pos="851"/>
                <w:tab w:val="left" w:leader="none" w:pos="1021"/>
              </w:tabs>
              <w:spacing w:after="120" w:before="120" w:lineRule="auto"/>
              <w:ind w:firstLine="37"/>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bCs w:val="1"/>
                <w:sz w:val="26"/>
                <w:szCs w:val="26"/>
                <w:rtl w:val="0"/>
              </w:rPr>
              <w:t xml:space="preserve">h3) Hỗ trợ đầu tư ban đầu, đầu tư tạo tài sản cố định</w:t>
            </w:r>
            <w:r w:rsidDel="00000000" w:rsidR="00000000" w:rsidRPr="00000000">
              <w:rPr>
                <w:rFonts w:ascii="Times New Roman" w:cs="Times New Roman" w:eastAsia="Times New Roman" w:hAnsi="Times New Roman"/>
                <w:sz w:val="26"/>
                <w:szCs w:val="26"/>
                <w:rtl w:val="0"/>
              </w:rPr>
              <w:t xml:space="preserve">;</w:t>
            </w:r>
          </w:p>
          <w:p w:rsidR="00000000" w:rsidDel="00000000" w:rsidP="00000000" w:rsidRDefault="00000000" w:rsidRPr="00000000" w14:paraId="00000048">
            <w:pPr>
              <w:spacing w:after="120" w:before="120" w:lineRule="auto"/>
              <w:ind w:firstLine="37"/>
              <w:jc w:val="both"/>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h4) Hỗ trợ hợp tác, liên kết giữa doanh nghiệp với các cơ sở đào tạo, nghiên cứu</w:t>
            </w:r>
            <w:r w:rsidDel="00000000" w:rsidR="00000000" w:rsidRPr="00000000">
              <w:rPr>
                <w:rFonts w:ascii="Times New Roman" w:cs="Times New Roman" w:eastAsia="Times New Roman" w:hAnsi="Times New Roman"/>
                <w:sz w:val="26"/>
                <w:szCs w:val="26"/>
                <w:rtl w:val="0"/>
              </w:rPr>
              <w:t xml:space="preserve">;</w:t>
            </w:r>
            <w:r w:rsidDel="00000000" w:rsidR="00000000" w:rsidRPr="00000000">
              <w:rPr>
                <w:rtl w:val="0"/>
              </w:rPr>
            </w:r>
          </w:p>
        </w:tc>
        <w:tc>
          <w:tcPr/>
          <w:p w:rsidR="00000000" w:rsidDel="00000000" w:rsidP="00000000" w:rsidRDefault="00000000" w:rsidRPr="00000000" w14:paraId="00000049">
            <w:pPr>
              <w:widowControl w:val="0"/>
              <w:spacing w:after="120" w:before="120" w:lineRule="auto"/>
              <w:ind w:firstLine="27"/>
              <w:jc w:val="both"/>
              <w:rPr>
                <w:rFonts w:ascii="Times New Roman" w:cs="Times New Roman" w:eastAsia="Times New Roman" w:hAnsi="Times New Roman"/>
                <w:sz w:val="26"/>
                <w:szCs w:val="26"/>
                <w:highlight w:val="white"/>
              </w:rPr>
            </w:pPr>
            <w:r w:rsidDel="00000000" w:rsidR="00000000" w:rsidRPr="00000000">
              <w:rPr>
                <w:rFonts w:ascii="Times New Roman" w:cs="Times New Roman" w:eastAsia="Times New Roman" w:hAnsi="Times New Roman"/>
                <w:sz w:val="26"/>
                <w:szCs w:val="26"/>
                <w:highlight w:val="white"/>
                <w:rtl w:val="0"/>
              </w:rPr>
              <w:t xml:space="preserve">Nghị quyết số 10-NQ/TW đã xác định quan điểm </w:t>
            </w:r>
            <w:r w:rsidDel="00000000" w:rsidR="00000000" w:rsidRPr="00000000">
              <w:rPr>
                <w:rFonts w:ascii="Times New Roman" w:cs="Times New Roman" w:eastAsia="Times New Roman" w:hAnsi="Times New Roman"/>
                <w:i w:val="1"/>
                <w:iCs w:val="1"/>
                <w:sz w:val="26"/>
                <w:szCs w:val="26"/>
                <w:highlight w:val="white"/>
                <w:rtl w:val="0"/>
              </w:rPr>
              <w:t xml:space="preserve">“Đổi mới cơ chế ưu đãi, hỗ trợ đầu tư, chuyển dần </w:t>
            </w:r>
            <w:r w:rsidDel="00000000" w:rsidR="00000000" w:rsidRPr="00000000">
              <w:rPr>
                <w:rFonts w:ascii="Times New Roman" w:cs="Times New Roman" w:eastAsia="Times New Roman" w:hAnsi="Times New Roman"/>
                <w:i w:val="1"/>
                <w:iCs w:val="1"/>
                <w:sz w:val="26"/>
                <w:szCs w:val="26"/>
                <w:highlight w:val="white"/>
                <w:u w:val="single"/>
                <w:rtl w:val="0"/>
              </w:rPr>
              <w:t xml:space="preserve">từ ưu đãi truyền thống sang cơ chế hỗ trợ gắn với hiệu quả hoạt động của dự án</w:t>
            </w:r>
            <w:r w:rsidDel="00000000" w:rsidR="00000000" w:rsidRPr="00000000">
              <w:rPr>
                <w:rFonts w:ascii="Times New Roman" w:cs="Times New Roman" w:eastAsia="Times New Roman" w:hAnsi="Times New Roman"/>
                <w:i w:val="1"/>
                <w:iCs w:val="1"/>
                <w:sz w:val="26"/>
                <w:szCs w:val="26"/>
                <w:highlight w:val="white"/>
                <w:rtl w:val="0"/>
              </w:rPr>
              <w:t xml:space="preserve">”</w:t>
            </w:r>
            <w:r w:rsidDel="00000000" w:rsidR="00000000" w:rsidRPr="00000000">
              <w:rPr>
                <w:rFonts w:ascii="Times New Roman" w:cs="Times New Roman" w:eastAsia="Times New Roman" w:hAnsi="Times New Roman"/>
                <w:sz w:val="26"/>
                <w:szCs w:val="26"/>
                <w:highlight w:val="white"/>
                <w:rtl w:val="0"/>
              </w:rPr>
              <w:t xml:space="preserve">. </w:t>
            </w:r>
          </w:p>
          <w:p w:rsidR="00000000" w:rsidDel="00000000" w:rsidP="00000000" w:rsidRDefault="00000000" w:rsidRPr="00000000" w14:paraId="0000004A">
            <w:pPr>
              <w:widowControl w:val="0"/>
              <w:spacing w:after="120" w:before="120" w:lineRule="auto"/>
              <w:ind w:firstLine="27"/>
              <w:jc w:val="both"/>
              <w:rPr>
                <w:rFonts w:ascii="Times New Roman" w:cs="Times New Roman" w:eastAsia="Times New Roman" w:hAnsi="Times New Roman"/>
                <w:sz w:val="26"/>
                <w:szCs w:val="26"/>
                <w:highlight w:val="white"/>
              </w:rPr>
            </w:pPr>
            <w:r w:rsidDel="00000000" w:rsidR="00000000" w:rsidRPr="00000000">
              <w:rPr>
                <w:rFonts w:ascii="Times New Roman" w:cs="Times New Roman" w:eastAsia="Times New Roman" w:hAnsi="Times New Roman"/>
                <w:sz w:val="26"/>
                <w:szCs w:val="26"/>
                <w:highlight w:val="white"/>
                <w:rtl w:val="0"/>
              </w:rPr>
              <w:t xml:space="preserve">Kết luận số 18-KL/TW ngày 02/4/2026 của Ban Chấp hành Trung ương cũng đã đề ra các yêu cầu đối với chính sách thu hút đầu tư: </w:t>
            </w:r>
            <w:r w:rsidDel="00000000" w:rsidR="00000000" w:rsidRPr="00000000">
              <w:rPr>
                <w:rFonts w:ascii="Times New Roman" w:cs="Times New Roman" w:eastAsia="Times New Roman" w:hAnsi="Times New Roman"/>
                <w:i w:val="1"/>
                <w:iCs w:val="1"/>
                <w:sz w:val="26"/>
                <w:szCs w:val="26"/>
                <w:highlight w:val="white"/>
                <w:rtl w:val="0"/>
              </w:rPr>
              <w:t xml:space="preserve">“… đổi mới chính sách thu hút FDI theo hướng </w:t>
            </w:r>
            <w:r w:rsidDel="00000000" w:rsidR="00000000" w:rsidRPr="00000000">
              <w:rPr>
                <w:rFonts w:ascii="Times New Roman" w:cs="Times New Roman" w:eastAsia="Times New Roman" w:hAnsi="Times New Roman"/>
                <w:i w:val="1"/>
                <w:iCs w:val="1"/>
                <w:sz w:val="26"/>
                <w:szCs w:val="26"/>
                <w:highlight w:val="white"/>
                <w:u w:val="single"/>
                <w:rtl w:val="0"/>
              </w:rPr>
              <w:t xml:space="preserve">chuyển từ trọng tâm ưu đãi thuế sang các chính sách ưu đãi khác, áp dụng ưu đãi sau - ưu đãi theo kết quả</w:t>
            </w:r>
            <w:r w:rsidDel="00000000" w:rsidR="00000000" w:rsidRPr="00000000">
              <w:rPr>
                <w:rFonts w:ascii="Times New Roman" w:cs="Times New Roman" w:eastAsia="Times New Roman" w:hAnsi="Times New Roman"/>
                <w:i w:val="1"/>
                <w:iCs w:val="1"/>
                <w:sz w:val="26"/>
                <w:szCs w:val="26"/>
                <w:highlight w:val="white"/>
                <w:rtl w:val="0"/>
              </w:rPr>
              <w:t xml:space="preserve">”</w:t>
            </w:r>
            <w:r w:rsidDel="00000000" w:rsidR="00000000" w:rsidRPr="00000000">
              <w:rPr>
                <w:rFonts w:ascii="Times New Roman" w:cs="Times New Roman" w:eastAsia="Times New Roman" w:hAnsi="Times New Roman"/>
                <w:sz w:val="26"/>
                <w:szCs w:val="26"/>
                <w:highlight w:val="white"/>
                <w:rtl w:val="0"/>
              </w:rPr>
              <w:t xml:space="preserve">.</w:t>
            </w:r>
          </w:p>
          <w:p w:rsidR="00000000" w:rsidDel="00000000" w:rsidP="00000000" w:rsidRDefault="00000000" w:rsidRPr="00000000" w14:paraId="0000004B">
            <w:pPr>
              <w:spacing w:after="120" w:before="120" w:lineRule="auto"/>
              <w:ind w:firstLine="27"/>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Hiện nay, các hình thức hỗ trợ đầu tư được quy định tại khoản 3 Điều 14 Luật Đầu tư năm 2025. Khoản 4 Điều 17 Luật Đầu tư năm 2025 đã quy định: </w:t>
            </w:r>
            <w:r w:rsidDel="00000000" w:rsidR="00000000" w:rsidRPr="00000000">
              <w:rPr>
                <w:rFonts w:ascii="Times New Roman" w:cs="Times New Roman" w:eastAsia="Times New Roman" w:hAnsi="Times New Roman"/>
                <w:i w:val="1"/>
                <w:iCs w:val="1"/>
                <w:sz w:val="26"/>
                <w:szCs w:val="26"/>
                <w:rtl w:val="0"/>
              </w:rPr>
              <w:t xml:space="preserve">“Hỗ trợ đầu tư đặc biệt được thực hiện theo các hình thức quy định tại khoản 3 Điều 14 của Luật này”</w:t>
            </w:r>
            <w:r w:rsidDel="00000000" w:rsidR="00000000" w:rsidRPr="00000000">
              <w:rPr>
                <w:rFonts w:ascii="Times New Roman" w:cs="Times New Roman" w:eastAsia="Times New Roman" w:hAnsi="Times New Roman"/>
                <w:sz w:val="26"/>
                <w:szCs w:val="26"/>
                <w:rtl w:val="0"/>
              </w:rPr>
              <w:t xml:space="preserve">. Theo đó, việc hỗ trợ chi phí cho doanh nghiệp được thực hiện thông qua Quỹ Hỗ trợ đầu tư theo quy định tại Nghị định số 182/2024/NĐ-CP ngày 31/12/2024 của Chính phủ. Trên cơ sở các hình thức hỗ trợ quy định tại khoản 3 Điều 14, Nghị định số 182/2024/NĐ-CP đã quy định về các hạng mục hỗ trợ chi phi cho doanh nghiệp bao gồm: (i) Hỗ trợ chi phí đào tạo, phát triển nguồn nhân lực; (ii)</w:t>
            </w:r>
            <w:r w:rsidDel="00000000" w:rsidR="00000000" w:rsidRPr="00000000">
              <w:rPr>
                <w:rFonts w:ascii="Times New Roman" w:cs="Times New Roman" w:eastAsia="Times New Roman" w:hAnsi="Times New Roman"/>
                <w:color w:val="000000"/>
                <w:sz w:val="26"/>
                <w:szCs w:val="26"/>
                <w:highlight w:val="white"/>
                <w:rtl w:val="0"/>
              </w:rPr>
              <w:t xml:space="preserve"> </w:t>
            </w:r>
            <w:r w:rsidDel="00000000" w:rsidR="00000000" w:rsidRPr="00000000">
              <w:rPr>
                <w:rFonts w:ascii="Times New Roman" w:cs="Times New Roman" w:eastAsia="Times New Roman" w:hAnsi="Times New Roman"/>
                <w:sz w:val="26"/>
                <w:szCs w:val="26"/>
                <w:rtl w:val="0"/>
              </w:rPr>
              <w:t xml:space="preserve">Hỗ trợ chi phí nghiên cứu và phát triển; (iii) Hỗ trợ chi phí đầu tư tạo tài sản cố định; (iv) Hỗ trợ chi phí sản xuất sản phẩm công nghệ cao; (v)</w:t>
            </w:r>
            <w:r w:rsidDel="00000000" w:rsidR="00000000" w:rsidRPr="00000000">
              <w:rPr>
                <w:rFonts w:ascii="Times New Roman" w:cs="Times New Roman" w:eastAsia="Times New Roman" w:hAnsi="Times New Roman"/>
                <w:color w:val="000000"/>
                <w:sz w:val="26"/>
                <w:szCs w:val="26"/>
                <w:highlight w:val="white"/>
                <w:rtl w:val="0"/>
              </w:rPr>
              <w:t xml:space="preserve"> </w:t>
            </w:r>
            <w:r w:rsidDel="00000000" w:rsidR="00000000" w:rsidRPr="00000000">
              <w:rPr>
                <w:rFonts w:ascii="Times New Roman" w:cs="Times New Roman" w:eastAsia="Times New Roman" w:hAnsi="Times New Roman"/>
                <w:sz w:val="26"/>
                <w:szCs w:val="26"/>
                <w:rtl w:val="0"/>
              </w:rPr>
              <w:t xml:space="preserve">Hỗ trợ chi phí đầu tư công trình hạ tầng xã hội; (vi) Hỗ trợ chi phí đầu tư ban đầu.</w:t>
            </w:r>
          </w:p>
          <w:p w:rsidR="00000000" w:rsidDel="00000000" w:rsidP="00000000" w:rsidRDefault="00000000" w:rsidRPr="00000000" w14:paraId="0000004C">
            <w:pPr>
              <w:widowControl w:val="0"/>
              <w:spacing w:after="120" w:before="120" w:lineRule="auto"/>
              <w:ind w:firstLine="27"/>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Qua rà soát và trong quá trình triển khai Nghị định số 182/2024/NĐ-CP, các hạng mục hỗ trợ chi phí chưa bao quát được hết các loại chi phí phát sinh trong thực tiễn và nhu cầu của doanh nghiệp. Do đó, để có cơ sở cụ thể hóa các hạng mục, chi phí hỗ trợ cho doanh nghiệp đáp ứng yêu cầu theo các nhiệm vụ đã đề ra tại </w:t>
            </w:r>
            <w:r w:rsidDel="00000000" w:rsidR="00000000" w:rsidRPr="00000000">
              <w:rPr>
                <w:rFonts w:ascii="Times New Roman" w:cs="Times New Roman" w:eastAsia="Times New Roman" w:hAnsi="Times New Roman"/>
                <w:sz w:val="26"/>
                <w:szCs w:val="26"/>
                <w:highlight w:val="white"/>
                <w:rtl w:val="0"/>
              </w:rPr>
              <w:t xml:space="preserve">Nghị quyết số 10-NQ/TW.</w:t>
            </w:r>
            <w:r w:rsidDel="00000000" w:rsidR="00000000" w:rsidRPr="00000000">
              <w:rPr>
                <w:rtl w:val="0"/>
              </w:rPr>
            </w:r>
          </w:p>
        </w:tc>
      </w:tr>
      <w:tr>
        <w:trPr>
          <w:cantSplit w:val="0"/>
          <w:tblHeader w:val="0"/>
        </w:trPr>
        <w:tc>
          <w:tcPr/>
          <w:p w:rsidR="00000000" w:rsidDel="00000000" w:rsidP="00000000" w:rsidRDefault="00000000" w:rsidRPr="00000000" w14:paraId="0000004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120" w:line="278.00000000000006" w:lineRule="auto"/>
              <w:ind w:left="0" w:right="0" w:firstLine="0"/>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tl w:val="0"/>
              </w:rPr>
            </w:r>
          </w:p>
        </w:tc>
        <w:tc>
          <w:tcPr/>
          <w:p w:rsidR="00000000" w:rsidDel="00000000" w:rsidP="00000000" w:rsidRDefault="00000000" w:rsidRPr="00000000" w14:paraId="0000004E">
            <w:pPr>
              <w:spacing w:after="120" w:before="120" w:lineRule="auto"/>
              <w:jc w:val="both"/>
              <w:rPr>
                <w:rFonts w:ascii="Times New Roman" w:cs="Times New Roman" w:eastAsia="Times New Roman" w:hAnsi="Times New Roman"/>
                <w:b w:val="1"/>
                <w:bCs w:val="1"/>
                <w:sz w:val="26"/>
                <w:szCs w:val="26"/>
              </w:rPr>
            </w:pPr>
            <w:r w:rsidDel="00000000" w:rsidR="00000000" w:rsidRPr="00000000">
              <w:rPr>
                <w:rtl w:val="0"/>
              </w:rPr>
            </w:r>
          </w:p>
        </w:tc>
        <w:tc>
          <w:tcPr/>
          <w:bookmarkStart w:colFirst="0" w:colLast="0" w:name="bookmark=id.t9e8cqx4ztgw" w:id="5"/>
          <w:bookmarkEnd w:id="5"/>
          <w:p w:rsidR="00000000" w:rsidDel="00000000" w:rsidP="00000000" w:rsidRDefault="00000000" w:rsidRPr="00000000" w14:paraId="0000004F">
            <w:pPr>
              <w:spacing w:after="120" w:before="120" w:lineRule="auto"/>
              <w:jc w:val="both"/>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Điều 17. Ưu đãi và hỗ trợ đầu tư đặc biệt</w:t>
            </w:r>
          </w:p>
          <w:p w:rsidR="00000000" w:rsidDel="00000000" w:rsidP="00000000" w:rsidRDefault="00000000" w:rsidRPr="00000000" w14:paraId="00000050">
            <w:pPr>
              <w:spacing w:after="120" w:before="12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 Chính phủ quy định việc áp dụng ưu đãi, hỗ trợ đầu tư đặc biệt nhằm khuyến khích phát triển một số dự án đầu tư có tác động lớn đến phát triển kinh tế - xã hội.</w:t>
            </w:r>
          </w:p>
          <w:p w:rsidR="00000000" w:rsidDel="00000000" w:rsidP="00000000" w:rsidRDefault="00000000" w:rsidRPr="00000000" w14:paraId="00000051">
            <w:pPr>
              <w:spacing w:after="120" w:before="12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2. Đối tượng áp dụng ưu đãi, hỗ trợ đầu tư đặc biệt quy định tại khoản 1 Điều này bao gồm:</w:t>
            </w:r>
          </w:p>
          <w:p w:rsidR="00000000" w:rsidDel="00000000" w:rsidP="00000000" w:rsidRDefault="00000000" w:rsidRPr="00000000" w14:paraId="00000052">
            <w:pPr>
              <w:spacing w:after="120" w:before="12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a) Dự án đầu tư thành lập mới (bao gồm cả việc mở rộng dự án thành lập mới đó) các trung tâm đổi mới sáng tạo, trung tâm nghiên cứu và phát triển, dự án đầu tư xây dựng hạ tầng trung tâm dữ liệu lớn, hạ tầng điện toán đám mây, hạ tầng di động từ 5G trở lên và hạ tầng số khác trong lĩnh vực công nghệ chiến lược theo quyết định của Thủ tướng Chính phủ, dự án đầu tư trong lĩnh vực công nghệ chiến lược, sản xuất sản phẩm công nghệ chiến lược theo quyết định của Thủ tướng Chính phủ có quy mô vốn đầu tư và thời hạn giải ngân vốn đầu tư theo quy định của Chính phủ; trung tâm đổi mới sáng tạo quốc gia được thành lập theo quyết định của Thủ tướng Chính phủ;</w:t>
            </w:r>
          </w:p>
          <w:p w:rsidR="00000000" w:rsidDel="00000000" w:rsidP="00000000" w:rsidRDefault="00000000" w:rsidRPr="00000000" w14:paraId="00000053">
            <w:pPr>
              <w:spacing w:after="120" w:before="12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b) Dự án đầu tư sản xuất sản phẩm công nghệ số trọng điểm, dự án nghiên cứu và phát triển, thiết kế, sản xuất, đóng gói, kiểm thử chip bán dẫn, dự án xây dựng trung tâm dữ liệu trí tuệ nhân tạo theo pháp luật về công nghiệp công nghệ số có quy mô vốn đầu tư và thời hạn giải ngân vốn đầu tư theo quy định của Chính phủ;</w:t>
            </w:r>
          </w:p>
          <w:p w:rsidR="00000000" w:rsidDel="00000000" w:rsidP="00000000" w:rsidRDefault="00000000" w:rsidRPr="00000000" w14:paraId="00000054">
            <w:pPr>
              <w:spacing w:after="120" w:before="120" w:lineRule="auto"/>
              <w:jc w:val="both"/>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55">
            <w:pPr>
              <w:spacing w:after="120" w:before="120" w:lineRule="auto"/>
              <w:jc w:val="both"/>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56">
            <w:pPr>
              <w:spacing w:after="120" w:before="120" w:lineRule="auto"/>
              <w:jc w:val="both"/>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57">
            <w:pPr>
              <w:spacing w:after="120" w:before="120" w:lineRule="auto"/>
              <w:jc w:val="both"/>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58">
            <w:pPr>
              <w:spacing w:after="120" w:before="120" w:lineRule="auto"/>
              <w:jc w:val="both"/>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59">
            <w:pPr>
              <w:spacing w:after="120" w:before="120" w:lineRule="auto"/>
              <w:jc w:val="both"/>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5A">
            <w:pPr>
              <w:spacing w:after="120" w:before="120" w:lineRule="auto"/>
              <w:jc w:val="both"/>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5B">
            <w:pPr>
              <w:spacing w:after="120" w:before="120" w:lineRule="auto"/>
              <w:jc w:val="both"/>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5C">
            <w:pPr>
              <w:spacing w:after="120" w:before="120" w:lineRule="auto"/>
              <w:jc w:val="both"/>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5D">
            <w:pPr>
              <w:spacing w:after="120" w:before="120" w:lineRule="auto"/>
              <w:jc w:val="both"/>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5E">
            <w:pPr>
              <w:spacing w:after="120" w:before="12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c) Dự án đầu tư khác (bao gồm dự án đầu tư mới và dự án đầu tư mở rộng) thuộc ngành, nghề đặc biệt ưu đãi đầu tư có quy mô vốn đầu tư và thời hạn giải ngân vốn đầu tư theo quy định của Chính phủ.</w:t>
            </w:r>
          </w:p>
          <w:p w:rsidR="00000000" w:rsidDel="00000000" w:rsidP="00000000" w:rsidRDefault="00000000" w:rsidRPr="00000000" w14:paraId="0000005F">
            <w:pPr>
              <w:spacing w:after="120" w:before="12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3. Mức ưu đãi và thời hạn áp dụng ưu đãi đặc biệt thực hiện theo quy định của </w:t>
            </w:r>
            <w:bookmarkStart w:colFirst="0" w:colLast="0" w:name="bookmark=id.72h4bd4c2n7t" w:id="6"/>
            <w:bookmarkEnd w:id="6"/>
            <w:r w:rsidDel="00000000" w:rsidR="00000000" w:rsidRPr="00000000">
              <w:rPr>
                <w:rFonts w:ascii="Times New Roman" w:cs="Times New Roman" w:eastAsia="Times New Roman" w:hAnsi="Times New Roman"/>
                <w:sz w:val="26"/>
                <w:szCs w:val="26"/>
                <w:rtl w:val="0"/>
              </w:rPr>
              <w:t xml:space="preserve">Luật Thuế thu nhập doanh nghiệp và pháp luật về đất đai.</w:t>
            </w:r>
          </w:p>
          <w:p w:rsidR="00000000" w:rsidDel="00000000" w:rsidP="00000000" w:rsidRDefault="00000000" w:rsidRPr="00000000" w14:paraId="00000060">
            <w:pPr>
              <w:spacing w:after="120" w:before="12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4. Hỗ trợ đầu tư đặc biệt được thực hiện theo các hình thức quy định tại </w:t>
            </w:r>
            <w:bookmarkStart w:colFirst="0" w:colLast="0" w:name="bookmark=id.qhtwnfvcafe0" w:id="7"/>
            <w:bookmarkEnd w:id="7"/>
            <w:r w:rsidDel="00000000" w:rsidR="00000000" w:rsidRPr="00000000">
              <w:rPr>
                <w:rFonts w:ascii="Times New Roman" w:cs="Times New Roman" w:eastAsia="Times New Roman" w:hAnsi="Times New Roman"/>
                <w:sz w:val="26"/>
                <w:szCs w:val="26"/>
                <w:rtl w:val="0"/>
              </w:rPr>
              <w:t xml:space="preserve">khoản 3 Điều 14 của Luật này.</w:t>
            </w:r>
          </w:p>
          <w:p w:rsidR="00000000" w:rsidDel="00000000" w:rsidP="00000000" w:rsidRDefault="00000000" w:rsidRPr="00000000" w14:paraId="00000061">
            <w:pPr>
              <w:spacing w:after="120" w:before="120" w:lineRule="auto"/>
              <w:jc w:val="both"/>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62">
            <w:pPr>
              <w:spacing w:after="120" w:before="120" w:lineRule="auto"/>
              <w:jc w:val="both"/>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63">
            <w:pPr>
              <w:spacing w:after="120" w:before="120" w:lineRule="auto"/>
              <w:jc w:val="both"/>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64">
            <w:pPr>
              <w:spacing w:after="120" w:before="120" w:lineRule="auto"/>
              <w:jc w:val="both"/>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65">
            <w:pPr>
              <w:spacing w:after="120" w:before="120" w:lineRule="auto"/>
              <w:jc w:val="both"/>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66">
            <w:pPr>
              <w:spacing w:after="120" w:before="120" w:lineRule="auto"/>
              <w:jc w:val="both"/>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67">
            <w:pPr>
              <w:spacing w:after="120" w:before="120" w:lineRule="auto"/>
              <w:jc w:val="both"/>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68">
            <w:pPr>
              <w:spacing w:after="120" w:before="120" w:lineRule="auto"/>
              <w:jc w:val="both"/>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69">
            <w:pPr>
              <w:spacing w:after="120" w:before="120" w:lineRule="auto"/>
              <w:jc w:val="both"/>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6A">
            <w:pPr>
              <w:spacing w:after="120" w:before="120" w:lineRule="auto"/>
              <w:jc w:val="both"/>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6B">
            <w:pPr>
              <w:spacing w:after="120" w:before="120" w:lineRule="auto"/>
              <w:jc w:val="both"/>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6C">
            <w:pPr>
              <w:spacing w:after="120" w:before="120" w:lineRule="auto"/>
              <w:jc w:val="both"/>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6D">
            <w:pPr>
              <w:spacing w:after="120" w:before="120" w:lineRule="auto"/>
              <w:jc w:val="both"/>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6E">
            <w:pPr>
              <w:spacing w:after="120" w:before="120" w:lineRule="auto"/>
              <w:jc w:val="both"/>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6F">
            <w:pPr>
              <w:spacing w:after="120" w:before="120" w:lineRule="auto"/>
              <w:jc w:val="both"/>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70">
            <w:pPr>
              <w:spacing w:after="120" w:before="120" w:lineRule="auto"/>
              <w:jc w:val="both"/>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71">
            <w:pPr>
              <w:spacing w:after="120" w:before="120" w:lineRule="auto"/>
              <w:jc w:val="both"/>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72">
            <w:pPr>
              <w:spacing w:after="120" w:before="120" w:lineRule="auto"/>
              <w:jc w:val="both"/>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73">
            <w:pPr>
              <w:spacing w:after="120" w:before="120" w:lineRule="auto"/>
              <w:jc w:val="both"/>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74">
            <w:pPr>
              <w:spacing w:after="120" w:before="120" w:lineRule="auto"/>
              <w:jc w:val="both"/>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75">
            <w:pPr>
              <w:spacing w:after="120" w:before="120" w:lineRule="auto"/>
              <w:jc w:val="both"/>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76">
            <w:pPr>
              <w:spacing w:after="120" w:before="120" w:lineRule="auto"/>
              <w:jc w:val="both"/>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77">
            <w:pPr>
              <w:spacing w:after="120" w:before="120" w:lineRule="auto"/>
              <w:jc w:val="both"/>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78">
            <w:pPr>
              <w:spacing w:after="120" w:before="120" w:lineRule="auto"/>
              <w:jc w:val="both"/>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79">
            <w:pPr>
              <w:spacing w:after="120" w:before="120" w:lineRule="auto"/>
              <w:jc w:val="both"/>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7A">
            <w:pPr>
              <w:spacing w:after="120" w:before="120" w:lineRule="auto"/>
              <w:jc w:val="both"/>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7B">
            <w:pPr>
              <w:spacing w:after="120" w:before="120" w:lineRule="auto"/>
              <w:jc w:val="both"/>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7C">
            <w:pPr>
              <w:spacing w:after="120" w:before="120" w:lineRule="auto"/>
              <w:jc w:val="both"/>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7D">
            <w:pPr>
              <w:spacing w:after="120" w:before="120" w:lineRule="auto"/>
              <w:jc w:val="both"/>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7E">
            <w:pPr>
              <w:spacing w:after="120" w:before="120" w:lineRule="auto"/>
              <w:jc w:val="both"/>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7F">
            <w:pPr>
              <w:spacing w:after="120" w:before="120" w:lineRule="auto"/>
              <w:jc w:val="both"/>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80">
            <w:pPr>
              <w:spacing w:after="120" w:before="120" w:lineRule="auto"/>
              <w:jc w:val="both"/>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81">
            <w:pPr>
              <w:spacing w:after="120" w:before="120" w:lineRule="auto"/>
              <w:jc w:val="both"/>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82">
            <w:pPr>
              <w:spacing w:after="120" w:before="120" w:lineRule="auto"/>
              <w:jc w:val="both"/>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83">
            <w:pPr>
              <w:spacing w:after="120" w:before="120" w:lineRule="auto"/>
              <w:jc w:val="both"/>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84">
            <w:pPr>
              <w:spacing w:after="120" w:before="120" w:lineRule="auto"/>
              <w:jc w:val="both"/>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85">
            <w:pPr>
              <w:spacing w:after="120" w:before="120" w:lineRule="auto"/>
              <w:jc w:val="both"/>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86">
            <w:pPr>
              <w:spacing w:after="120" w:before="120" w:lineRule="auto"/>
              <w:jc w:val="both"/>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87">
            <w:pPr>
              <w:spacing w:after="120" w:before="120" w:lineRule="auto"/>
              <w:jc w:val="both"/>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88">
            <w:pPr>
              <w:spacing w:after="120" w:before="120" w:lineRule="auto"/>
              <w:jc w:val="both"/>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89">
            <w:pPr>
              <w:spacing w:after="120" w:before="120" w:lineRule="auto"/>
              <w:jc w:val="both"/>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8A">
            <w:pPr>
              <w:spacing w:after="120" w:before="120" w:lineRule="auto"/>
              <w:jc w:val="both"/>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8B">
            <w:pPr>
              <w:spacing w:after="120" w:before="120" w:lineRule="auto"/>
              <w:jc w:val="both"/>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8C">
            <w:pPr>
              <w:spacing w:after="120" w:before="120" w:lineRule="auto"/>
              <w:jc w:val="both"/>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8D">
            <w:pPr>
              <w:spacing w:after="120" w:before="120" w:lineRule="auto"/>
              <w:jc w:val="both"/>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8E">
            <w:pPr>
              <w:spacing w:after="120" w:before="120" w:lineRule="auto"/>
              <w:jc w:val="both"/>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8F">
            <w:pPr>
              <w:spacing w:after="120" w:before="120" w:lineRule="auto"/>
              <w:jc w:val="both"/>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90">
            <w:pPr>
              <w:spacing w:after="120" w:before="120" w:lineRule="auto"/>
              <w:jc w:val="both"/>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91">
            <w:pPr>
              <w:spacing w:after="120" w:before="120" w:lineRule="auto"/>
              <w:jc w:val="both"/>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92">
            <w:pPr>
              <w:spacing w:after="120" w:before="120" w:lineRule="auto"/>
              <w:jc w:val="both"/>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93">
            <w:pPr>
              <w:spacing w:after="120" w:before="120" w:lineRule="auto"/>
              <w:jc w:val="both"/>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94">
            <w:pPr>
              <w:spacing w:after="120" w:before="120" w:lineRule="auto"/>
              <w:jc w:val="both"/>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95">
            <w:pPr>
              <w:spacing w:after="120" w:before="120" w:lineRule="auto"/>
              <w:jc w:val="both"/>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96">
            <w:pPr>
              <w:spacing w:after="120" w:before="120" w:lineRule="auto"/>
              <w:jc w:val="both"/>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97">
            <w:pPr>
              <w:spacing w:after="120" w:before="120" w:lineRule="auto"/>
              <w:jc w:val="both"/>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98">
            <w:pPr>
              <w:spacing w:after="120" w:before="120" w:lineRule="auto"/>
              <w:jc w:val="both"/>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99">
            <w:pPr>
              <w:spacing w:after="120" w:before="120" w:lineRule="auto"/>
              <w:jc w:val="both"/>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9A">
            <w:pPr>
              <w:spacing w:after="120" w:before="120" w:lineRule="auto"/>
              <w:jc w:val="both"/>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9B">
            <w:pPr>
              <w:spacing w:after="120" w:before="120" w:lineRule="auto"/>
              <w:jc w:val="both"/>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9C">
            <w:pPr>
              <w:spacing w:after="120" w:before="120" w:lineRule="auto"/>
              <w:jc w:val="both"/>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9D">
            <w:pPr>
              <w:spacing w:after="120" w:before="120" w:lineRule="auto"/>
              <w:jc w:val="both"/>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9E">
            <w:pPr>
              <w:spacing w:after="120" w:before="120" w:lineRule="auto"/>
              <w:jc w:val="both"/>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9F">
            <w:pPr>
              <w:spacing w:after="120" w:before="120" w:lineRule="auto"/>
              <w:jc w:val="both"/>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A0">
            <w:pPr>
              <w:spacing w:after="120" w:before="120" w:lineRule="auto"/>
              <w:jc w:val="both"/>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A1">
            <w:pPr>
              <w:spacing w:after="120" w:before="120" w:lineRule="auto"/>
              <w:jc w:val="both"/>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A2">
            <w:pPr>
              <w:spacing w:after="120" w:before="120" w:lineRule="auto"/>
              <w:jc w:val="both"/>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A3">
            <w:pPr>
              <w:spacing w:after="120" w:before="120" w:lineRule="auto"/>
              <w:jc w:val="both"/>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A4">
            <w:pPr>
              <w:spacing w:after="120" w:before="120" w:lineRule="auto"/>
              <w:jc w:val="both"/>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A5">
            <w:pPr>
              <w:spacing w:after="120" w:before="120" w:lineRule="auto"/>
              <w:jc w:val="both"/>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A6">
            <w:pPr>
              <w:spacing w:after="120" w:before="120" w:lineRule="auto"/>
              <w:jc w:val="both"/>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A7">
            <w:pPr>
              <w:spacing w:after="120" w:before="120" w:lineRule="auto"/>
              <w:jc w:val="both"/>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A8">
            <w:pPr>
              <w:spacing w:after="120" w:before="120" w:lineRule="auto"/>
              <w:jc w:val="both"/>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A9">
            <w:pPr>
              <w:spacing w:after="120" w:before="120" w:lineRule="auto"/>
              <w:jc w:val="both"/>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AA">
            <w:pPr>
              <w:spacing w:after="120" w:before="120" w:lineRule="auto"/>
              <w:jc w:val="both"/>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AB">
            <w:pPr>
              <w:spacing w:after="120" w:before="120" w:lineRule="auto"/>
              <w:jc w:val="both"/>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AC">
            <w:pPr>
              <w:spacing w:after="120" w:before="120" w:lineRule="auto"/>
              <w:jc w:val="both"/>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AD">
            <w:pPr>
              <w:spacing w:after="120" w:before="120" w:lineRule="auto"/>
              <w:jc w:val="both"/>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AE">
            <w:pPr>
              <w:spacing w:after="120" w:before="120" w:lineRule="auto"/>
              <w:jc w:val="both"/>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AF">
            <w:pPr>
              <w:spacing w:after="120" w:before="120" w:lineRule="auto"/>
              <w:jc w:val="both"/>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B0">
            <w:pPr>
              <w:spacing w:after="120" w:before="120" w:lineRule="auto"/>
              <w:jc w:val="both"/>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B1">
            <w:pPr>
              <w:spacing w:after="120" w:before="120" w:lineRule="auto"/>
              <w:jc w:val="both"/>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B2">
            <w:pPr>
              <w:spacing w:after="120" w:before="120" w:lineRule="auto"/>
              <w:jc w:val="both"/>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B3">
            <w:pPr>
              <w:spacing w:after="120" w:before="120" w:lineRule="auto"/>
              <w:jc w:val="both"/>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B4">
            <w:pPr>
              <w:spacing w:after="120" w:before="120" w:lineRule="auto"/>
              <w:jc w:val="both"/>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B5">
            <w:pPr>
              <w:spacing w:after="120" w:before="12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5. Ưu đãi, hỗ trợ đầu tư đặc biệt quy định tại Điều này không áp dụng đối với các trường hợp sau đây:</w:t>
            </w:r>
          </w:p>
          <w:p w:rsidR="00000000" w:rsidDel="00000000" w:rsidP="00000000" w:rsidRDefault="00000000" w:rsidRPr="00000000" w14:paraId="000000B6">
            <w:pPr>
              <w:spacing w:after="120" w:before="12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a) Dự án đầu tư đã được cấp Giấy chứng nhận đầu tư, Giấy chứng nhận đăng ký đầu tư hoặc quyết định chủ trương đầu tư trước ngày Luật này có hiệu lực thi hành;</w:t>
            </w:r>
          </w:p>
          <w:p w:rsidR="00000000" w:rsidDel="00000000" w:rsidP="00000000" w:rsidRDefault="00000000" w:rsidRPr="00000000" w14:paraId="000000B7">
            <w:pPr>
              <w:spacing w:after="120" w:before="12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b) Dự án đầu tư quy định tại </w:t>
            </w:r>
            <w:bookmarkStart w:colFirst="0" w:colLast="0" w:name="bookmark=id.nbwemrhr1lhe" w:id="8"/>
            <w:bookmarkEnd w:id="8"/>
            <w:r w:rsidDel="00000000" w:rsidR="00000000" w:rsidRPr="00000000">
              <w:rPr>
                <w:rFonts w:ascii="Times New Roman" w:cs="Times New Roman" w:eastAsia="Times New Roman" w:hAnsi="Times New Roman"/>
                <w:sz w:val="26"/>
                <w:szCs w:val="26"/>
                <w:rtl w:val="0"/>
              </w:rPr>
              <w:t xml:space="preserve">khoản 7 Điều 14 của Luật này.</w:t>
            </w:r>
          </w:p>
          <w:p w:rsidR="00000000" w:rsidDel="00000000" w:rsidP="00000000" w:rsidRDefault="00000000" w:rsidRPr="00000000" w14:paraId="000000B8">
            <w:pPr>
              <w:spacing w:after="120" w:before="120" w:lineRule="auto"/>
              <w:jc w:val="both"/>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sz w:val="26"/>
                <w:szCs w:val="26"/>
                <w:rtl w:val="0"/>
              </w:rPr>
              <w:t xml:space="preserve">6. Thủ tướng Chính phủ quyết định áp dụng các ưu đãi đầu tư khác trong trường hợp cần khuyến khích phát triển một dự án đầu tư đặc biệt quan trọng hoặc đơn vị hành chính - kinh tế đặc biệt.</w:t>
            </w:r>
            <w:r w:rsidDel="00000000" w:rsidR="00000000" w:rsidRPr="00000000">
              <w:rPr>
                <w:rtl w:val="0"/>
              </w:rPr>
            </w:r>
          </w:p>
        </w:tc>
        <w:tc>
          <w:tcPr/>
          <w:p w:rsidR="00000000" w:rsidDel="00000000" w:rsidP="00000000" w:rsidRDefault="00000000" w:rsidRPr="00000000" w14:paraId="000000B9">
            <w:pPr>
              <w:spacing w:after="120" w:before="120" w:lineRule="auto"/>
              <w:jc w:val="both"/>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Điều 17. Ưu đãi và hỗ trợ đầu tư đặc biệt</w:t>
            </w:r>
          </w:p>
          <w:p w:rsidR="00000000" w:rsidDel="00000000" w:rsidP="00000000" w:rsidRDefault="00000000" w:rsidRPr="00000000" w14:paraId="000000BA">
            <w:pPr>
              <w:widowControl w:val="0"/>
              <w:shd w:fill="ffffff" w:val="clear"/>
              <w:tabs>
                <w:tab w:val="left" w:leader="none" w:pos="851"/>
                <w:tab w:val="left" w:leader="none" w:pos="1021"/>
              </w:tabs>
              <w:spacing w:after="120" w:before="12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 Chính phủ quy định việc áp dụng ưu đãi, hỗ trợ đầu tư đặc biệt nhằm khuyến khích phát triển một số dự án đầu tư có tác động lớn đến phát triển kinh tế - xã hội.</w:t>
            </w:r>
          </w:p>
          <w:p w:rsidR="00000000" w:rsidDel="00000000" w:rsidP="00000000" w:rsidRDefault="00000000" w:rsidRPr="00000000" w14:paraId="000000BB">
            <w:pPr>
              <w:widowControl w:val="0"/>
              <w:shd w:fill="ffffff" w:val="clear"/>
              <w:tabs>
                <w:tab w:val="left" w:leader="none" w:pos="851"/>
                <w:tab w:val="left" w:leader="none" w:pos="1021"/>
              </w:tabs>
              <w:spacing w:after="120" w:before="120" w:lineRule="auto"/>
              <w:jc w:val="both"/>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sz w:val="26"/>
                <w:szCs w:val="26"/>
                <w:rtl w:val="0"/>
              </w:rPr>
              <w:t xml:space="preserve">2. Đối tượng áp dụng ưu đãi,</w:t>
            </w:r>
            <w:r w:rsidDel="00000000" w:rsidR="00000000" w:rsidRPr="00000000">
              <w:rPr>
                <w:rFonts w:ascii="Times New Roman" w:cs="Times New Roman" w:eastAsia="Times New Roman" w:hAnsi="Times New Roman"/>
                <w:b w:val="1"/>
                <w:bCs w:val="1"/>
                <w:sz w:val="26"/>
                <w:szCs w:val="26"/>
                <w:rtl w:val="0"/>
              </w:rPr>
              <w:t xml:space="preserve"> </w:t>
            </w:r>
            <w:r w:rsidDel="00000000" w:rsidR="00000000" w:rsidRPr="00000000">
              <w:rPr>
                <w:rFonts w:ascii="Times New Roman" w:cs="Times New Roman" w:eastAsia="Times New Roman" w:hAnsi="Times New Roman"/>
                <w:sz w:val="26"/>
                <w:szCs w:val="26"/>
                <w:rtl w:val="0"/>
              </w:rPr>
              <w:t xml:space="preserve">hỗ trợ đầu tư đặc biệt </w:t>
            </w:r>
            <w:r w:rsidDel="00000000" w:rsidR="00000000" w:rsidRPr="00000000">
              <w:rPr>
                <w:rFonts w:ascii="Times New Roman" w:cs="Times New Roman" w:eastAsia="Times New Roman" w:hAnsi="Times New Roman"/>
                <w:strike w:val="1"/>
                <w:sz w:val="26"/>
                <w:szCs w:val="26"/>
                <w:rtl w:val="0"/>
              </w:rPr>
              <w:t xml:space="preserve">tại khoản 1 Điều này</w:t>
            </w:r>
            <w:r w:rsidDel="00000000" w:rsidR="00000000" w:rsidRPr="00000000">
              <w:rPr>
                <w:rFonts w:ascii="Times New Roman" w:cs="Times New Roman" w:eastAsia="Times New Roman" w:hAnsi="Times New Roman"/>
                <w:b w:val="1"/>
                <w:bCs w:val="1"/>
                <w:sz w:val="26"/>
                <w:szCs w:val="26"/>
                <w:rtl w:val="0"/>
              </w:rPr>
              <w:t xml:space="preserve"> </w:t>
            </w:r>
            <w:r w:rsidDel="00000000" w:rsidR="00000000" w:rsidRPr="00000000">
              <w:rPr>
                <w:rFonts w:ascii="Times New Roman" w:cs="Times New Roman" w:eastAsia="Times New Roman" w:hAnsi="Times New Roman"/>
                <w:sz w:val="26"/>
                <w:szCs w:val="26"/>
                <w:rtl w:val="0"/>
              </w:rPr>
              <w:t xml:space="preserve">bao gồm:</w:t>
            </w:r>
            <w:r w:rsidDel="00000000" w:rsidR="00000000" w:rsidRPr="00000000">
              <w:rPr>
                <w:rtl w:val="0"/>
              </w:rPr>
            </w:r>
          </w:p>
          <w:p w:rsidR="00000000" w:rsidDel="00000000" w:rsidP="00000000" w:rsidRDefault="00000000" w:rsidRPr="00000000" w14:paraId="000000BC">
            <w:pPr>
              <w:widowControl w:val="0"/>
              <w:shd w:fill="ffffff" w:val="clear"/>
              <w:tabs>
                <w:tab w:val="left" w:leader="none" w:pos="851"/>
                <w:tab w:val="left" w:leader="none" w:pos="1021"/>
              </w:tabs>
              <w:spacing w:after="120" w:before="12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a) Dự án đầu tư thành lập mới (bao gồm cả việc mở rộng dự án thành lập mới đó) các trung tâm đổi mới sáng tạo, trung tâm nghiên cứu và phát triển, dự án đầu tư xây dựng hạ tầng trung tâm dữ liệu lớn, hạ tầng điện toán đám mây, hạ tầng di động từ 5G trở lên và hạ tầng số khác trong lĩnh vực công nghệ chiến lược theo quyết định của Thủ tướng Chính phủ, dự án đầu tư trong lĩnh vực công nghệ chiến lược, sản xuất sản phẩm công nghệ chiến lược theo quyết định của Thủ tướng Chính phủ có quy mô vốn đầu tư và thời hạn giải ngân vốn đầu tư theo quy định của Chính phủ; trung tâm đổi mới sáng tạo quốc gia được thành lập theo quyết định của Thủ tướng Chính phủ;</w:t>
            </w:r>
          </w:p>
          <w:p w:rsidR="00000000" w:rsidDel="00000000" w:rsidP="00000000" w:rsidRDefault="00000000" w:rsidRPr="00000000" w14:paraId="000000BD">
            <w:pPr>
              <w:widowControl w:val="0"/>
              <w:shd w:fill="ffffff" w:val="clear"/>
              <w:tabs>
                <w:tab w:val="left" w:leader="none" w:pos="851"/>
                <w:tab w:val="left" w:leader="none" w:pos="1021"/>
              </w:tabs>
              <w:spacing w:after="120" w:before="12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b) Dự án đầu tư sản xuất sản phẩm công nghệ số trọng điểm, dự án nghiên cứu và phát triển, thiết kế, sản xuất, đóng gói, kiểm thử chip bán dẫn, dự án xây dựng trung tâm dữ liệu trí tuệ nhân tạo theo pháp luật về công nghiệp công nghệ số có quy mô vốn đầu tư và thời hạn giải ngân vốn đầu tư theo quy định của Chính phủ;</w:t>
            </w:r>
          </w:p>
          <w:p w:rsidR="00000000" w:rsidDel="00000000" w:rsidP="00000000" w:rsidRDefault="00000000" w:rsidRPr="00000000" w14:paraId="000000BE">
            <w:pPr>
              <w:widowControl w:val="0"/>
              <w:shd w:fill="ffffff" w:val="clear"/>
              <w:tabs>
                <w:tab w:val="left" w:leader="none" w:pos="851"/>
                <w:tab w:val="left" w:leader="none" w:pos="1021"/>
              </w:tabs>
              <w:spacing w:after="120" w:before="12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bCs w:val="1"/>
                <w:sz w:val="26"/>
                <w:szCs w:val="26"/>
                <w:rtl w:val="0"/>
              </w:rPr>
              <w:t xml:space="preserve">b1)</w:t>
            </w:r>
            <w:r w:rsidDel="00000000" w:rsidR="00000000" w:rsidRPr="00000000">
              <w:rPr>
                <w:rFonts w:ascii="Times New Roman" w:cs="Times New Roman" w:eastAsia="Times New Roman" w:hAnsi="Times New Roman"/>
                <w:sz w:val="26"/>
                <w:szCs w:val="26"/>
                <w:rtl w:val="0"/>
              </w:rPr>
              <w:t xml:space="preserve"> </w:t>
            </w:r>
            <w:r w:rsidDel="00000000" w:rsidR="00000000" w:rsidRPr="00000000">
              <w:rPr>
                <w:rFonts w:ascii="Times New Roman" w:cs="Times New Roman" w:eastAsia="Times New Roman" w:hAnsi="Times New Roman"/>
                <w:b w:val="1"/>
                <w:bCs w:val="1"/>
                <w:sz w:val="26"/>
                <w:szCs w:val="26"/>
                <w:rtl w:val="0"/>
              </w:rPr>
              <w:t xml:space="preserve">Dự án đầu tư trong các lĩnh vực công nghệ sinh học và y sinh tiên tiến; công nghệ năng lượng và vật liệu tiên tiến, công nghiệp xanh; dịch vụ logistics hiện đại, dịch vụ chuỗi cung ứng, dịch vụ tài chính, thương mại, đổi mới sáng tạo có giá trị gia tăng cao, kho dự trữ năng lượng, dự trữ hàng hóa cho khu vực và quốc tế có quy mô vốn đầu tư và thời hạn giải ngân vốn đầu tư theo quy định của Chính phủ</w:t>
            </w:r>
            <w:r w:rsidDel="00000000" w:rsidR="00000000" w:rsidRPr="00000000">
              <w:rPr>
                <w:rFonts w:ascii="Times New Roman" w:cs="Times New Roman" w:eastAsia="Times New Roman" w:hAnsi="Times New Roman"/>
                <w:b w:val="1"/>
                <w:bCs w:val="1"/>
                <w:sz w:val="26"/>
                <w:szCs w:val="26"/>
                <w:vertAlign w:val="superscript"/>
              </w:rPr>
              <w:footnoteReference w:customMarkFollows="0" w:id="1"/>
            </w:r>
            <w:r w:rsidDel="00000000" w:rsidR="00000000" w:rsidRPr="00000000">
              <w:rPr>
                <w:rFonts w:ascii="Times New Roman" w:cs="Times New Roman" w:eastAsia="Times New Roman" w:hAnsi="Times New Roman"/>
                <w:b w:val="1"/>
                <w:bCs w:val="1"/>
                <w:sz w:val="26"/>
                <w:szCs w:val="26"/>
                <w:rtl w:val="0"/>
              </w:rPr>
              <w:t xml:space="preserve">;</w:t>
            </w:r>
            <w:r w:rsidDel="00000000" w:rsidR="00000000" w:rsidRPr="00000000">
              <w:rPr>
                <w:rtl w:val="0"/>
              </w:rPr>
            </w:r>
          </w:p>
          <w:p w:rsidR="00000000" w:rsidDel="00000000" w:rsidP="00000000" w:rsidRDefault="00000000" w:rsidRPr="00000000" w14:paraId="000000BF">
            <w:pPr>
              <w:widowControl w:val="0"/>
              <w:shd w:fill="ffffff" w:val="clear"/>
              <w:tabs>
                <w:tab w:val="left" w:leader="none" w:pos="851"/>
                <w:tab w:val="left" w:leader="none" w:pos="1021"/>
              </w:tabs>
              <w:spacing w:after="120" w:before="12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c) Dự án đầu tư khác (bao gồm dự án đầu tư mới và dự án đầu tư mở rộng) thuộc ngành, nghề đặc biệt ưu đãi đầu tư có quy mô vốn đầu tư và thời hạn giải ngân vốn đầu tư theo quy định của Chính phủ.</w:t>
            </w:r>
          </w:p>
          <w:p w:rsidR="00000000" w:rsidDel="00000000" w:rsidP="00000000" w:rsidRDefault="00000000" w:rsidRPr="00000000" w14:paraId="000000C0">
            <w:pPr>
              <w:widowControl w:val="0"/>
              <w:shd w:fill="ffffff" w:val="clear"/>
              <w:tabs>
                <w:tab w:val="left" w:leader="none" w:pos="851"/>
                <w:tab w:val="left" w:leader="none" w:pos="1021"/>
              </w:tabs>
              <w:spacing w:after="120" w:before="12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3. Mức ưu đãi và thời hạn áp dụng ưu đãi đặc biệt thực hiện theo quy định của Luật Thuế thu nhập doanh nghiệp và pháp luật về đất đai.</w:t>
            </w:r>
          </w:p>
          <w:p w:rsidR="00000000" w:rsidDel="00000000" w:rsidP="00000000" w:rsidRDefault="00000000" w:rsidRPr="00000000" w14:paraId="000000C1">
            <w:pPr>
              <w:widowControl w:val="0"/>
              <w:shd w:fill="ffffff" w:val="clear"/>
              <w:tabs>
                <w:tab w:val="left" w:leader="none" w:pos="851"/>
                <w:tab w:val="left" w:leader="none" w:pos="1021"/>
              </w:tabs>
              <w:spacing w:after="120" w:before="120" w:lineRule="auto"/>
              <w:jc w:val="both"/>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4. Hỗ trợ đầu tư đặc biệt</w:t>
            </w:r>
          </w:p>
          <w:p w:rsidR="00000000" w:rsidDel="00000000" w:rsidP="00000000" w:rsidRDefault="00000000" w:rsidRPr="00000000" w14:paraId="000000C2">
            <w:pPr>
              <w:widowControl w:val="0"/>
              <w:shd w:fill="ffffff" w:val="clear"/>
              <w:tabs>
                <w:tab w:val="left" w:leader="none" w:pos="851"/>
                <w:tab w:val="left" w:leader="none" w:pos="1021"/>
              </w:tabs>
              <w:spacing w:after="120" w:before="12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bCs w:val="1"/>
                <w:sz w:val="26"/>
                <w:szCs w:val="26"/>
                <w:rtl w:val="0"/>
              </w:rPr>
              <w:t xml:space="preserve">a)</w:t>
            </w:r>
            <w:r w:rsidDel="00000000" w:rsidR="00000000" w:rsidRPr="00000000">
              <w:rPr>
                <w:rFonts w:ascii="Times New Roman" w:cs="Times New Roman" w:eastAsia="Times New Roman" w:hAnsi="Times New Roman"/>
                <w:sz w:val="26"/>
                <w:szCs w:val="26"/>
                <w:rtl w:val="0"/>
              </w:rPr>
              <w:t xml:space="preserve"> Hỗ trợ đầu tư đặc biệt được thực hiện theo các hình thức quy định tại khoản 3 Điều 14 của Luật này.</w:t>
            </w:r>
          </w:p>
          <w:p w:rsidR="00000000" w:rsidDel="00000000" w:rsidP="00000000" w:rsidRDefault="00000000" w:rsidRPr="00000000" w14:paraId="000000C3">
            <w:pPr>
              <w:widowControl w:val="0"/>
              <w:shd w:fill="ffffff" w:val="clear"/>
              <w:tabs>
                <w:tab w:val="left" w:leader="none" w:pos="851"/>
                <w:tab w:val="left" w:leader="none" w:pos="1021"/>
              </w:tabs>
              <w:spacing w:after="120" w:before="120" w:lineRule="auto"/>
              <w:jc w:val="both"/>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b) Các các dự án được áp dụng hỗ trợ đầu tư đặc biệt trong các ngành, lĩnh vực: công nghiệp điện tử, chip bán dẫn và thiết bị số; trí tuệ nhân tạo, dữ liệu lớn, điện toán đám mây, Internet vạn vật và chuỗi khối; công nghệ sinh học và y sinh tiên tiến; công nghệ năng lượng và vật liệu tiên tiến, công nghiệp xanh; logistics hiện đại, dịch vụ chuỗi cung ứng có giá trị gia tăng cao, các dự án đầu tư xây dựng Trung tâm đổi mới sáng tạo, trung tâm dữ liệu, kho dự trữ năng lượng, dự trữ hàng hóa cho khu vực và quốc tế được xem xét hỗ trợ từ ngân sách nhà nước như sau:</w:t>
            </w:r>
          </w:p>
          <w:p w:rsidR="00000000" w:rsidDel="00000000" w:rsidP="00000000" w:rsidRDefault="00000000" w:rsidRPr="00000000" w14:paraId="000000C4">
            <w:pPr>
              <w:widowControl w:val="0"/>
              <w:shd w:fill="ffffff" w:val="clear"/>
              <w:tabs>
                <w:tab w:val="left" w:leader="none" w:pos="851"/>
                <w:tab w:val="left" w:leader="none" w:pos="1021"/>
              </w:tabs>
              <w:spacing w:after="120" w:before="120" w:lineRule="auto"/>
              <w:jc w:val="both"/>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b1) Hỗ trợ tối đa 50% chi phí hợp lệ đủ điều kiện để phát triển nhà cung ứng trong nước tham gia vào chuỗi giá trị.</w:t>
            </w:r>
          </w:p>
          <w:p w:rsidR="00000000" w:rsidDel="00000000" w:rsidP="00000000" w:rsidRDefault="00000000" w:rsidRPr="00000000" w14:paraId="000000C5">
            <w:pPr>
              <w:widowControl w:val="0"/>
              <w:shd w:fill="ffffff" w:val="clear"/>
              <w:tabs>
                <w:tab w:val="left" w:leader="none" w:pos="851"/>
                <w:tab w:val="left" w:leader="none" w:pos="1021"/>
              </w:tabs>
              <w:spacing w:after="120" w:before="120" w:lineRule="auto"/>
              <w:jc w:val="both"/>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b2) Hỗ trợ tối đa 50% chi phí hợp lệ đủ điều kiện cho các Dự án nghiên cứu và phát triển của doanh nghiệp đầu tư nước ngoài liên kết với các viện, trường, cơ sở đào tạo nghề, doanh nghiệp trong nước.</w:t>
            </w:r>
          </w:p>
          <w:p w:rsidR="00000000" w:rsidDel="00000000" w:rsidP="00000000" w:rsidRDefault="00000000" w:rsidRPr="00000000" w14:paraId="000000C6">
            <w:pPr>
              <w:widowControl w:val="0"/>
              <w:shd w:fill="ffffff" w:val="clear"/>
              <w:tabs>
                <w:tab w:val="left" w:leader="none" w:pos="851"/>
                <w:tab w:val="left" w:leader="none" w:pos="1021"/>
              </w:tabs>
              <w:spacing w:after="120" w:before="120" w:lineRule="auto"/>
              <w:jc w:val="both"/>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b3) Hỗ trợ tối đa 50% chi phí đào tạo, đào tạo lại nguồn nhân lực cho người lao động là người Việt Nam.</w:t>
            </w:r>
          </w:p>
          <w:p w:rsidR="00000000" w:rsidDel="00000000" w:rsidP="00000000" w:rsidRDefault="00000000" w:rsidRPr="00000000" w14:paraId="000000C7">
            <w:pPr>
              <w:widowControl w:val="0"/>
              <w:shd w:fill="ffffff" w:val="clear"/>
              <w:tabs>
                <w:tab w:val="left" w:leader="none" w:pos="851"/>
                <w:tab w:val="left" w:leader="none" w:pos="1021"/>
              </w:tabs>
              <w:spacing w:after="120" w:before="120" w:lineRule="auto"/>
              <w:jc w:val="both"/>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b4) Hỗ trợ tối đa 2% chi phí đầu tư tạo tài sản cố định cho tổ chức kinh tế có vốn đầu tư nước ngoài sử dụng lợi nhuận chưa chuyển về nước để mở rộng đầu tư tại Việt Nam. </w:t>
            </w:r>
          </w:p>
          <w:p w:rsidR="00000000" w:rsidDel="00000000" w:rsidP="00000000" w:rsidRDefault="00000000" w:rsidRPr="00000000" w14:paraId="000000C8">
            <w:pPr>
              <w:widowControl w:val="0"/>
              <w:shd w:fill="ffffff" w:val="clear"/>
              <w:tabs>
                <w:tab w:val="left" w:leader="none" w:pos="851"/>
                <w:tab w:val="left" w:leader="none" w:pos="1021"/>
              </w:tabs>
              <w:spacing w:after="120" w:before="120" w:lineRule="auto"/>
              <w:jc w:val="both"/>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4a. Nguyên tắc áp dụng và thực hiện ưu đãi, hỗ trợ đầu tư đặc biệt:</w:t>
            </w:r>
          </w:p>
          <w:p w:rsidR="00000000" w:rsidDel="00000000" w:rsidP="00000000" w:rsidRDefault="00000000" w:rsidRPr="00000000" w14:paraId="000000C9">
            <w:pPr>
              <w:widowControl w:val="0"/>
              <w:shd w:fill="ffffff" w:val="clear"/>
              <w:tabs>
                <w:tab w:val="left" w:leader="none" w:pos="851"/>
                <w:tab w:val="left" w:leader="none" w:pos="1021"/>
              </w:tabs>
              <w:spacing w:after="120" w:before="120" w:lineRule="auto"/>
              <w:jc w:val="both"/>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a) Nhà đầu tư được hưởng ưu đãi, hỗ trợ đầu tư đặc biệt có trách nhiệm thực hiện đầy đủ các cam kết đã đăng ký; báo cáo định kỳ việc thực hiện cam kết hàng Quý, hàng năm theo quy định tại Điều 47 của Luật này và cung cấp đầy đủ thông tin theo yêu cầu của cơ quan nhà nước có thẩm quyền;</w:t>
            </w:r>
          </w:p>
          <w:p w:rsidR="00000000" w:rsidDel="00000000" w:rsidP="00000000" w:rsidRDefault="00000000" w:rsidRPr="00000000" w14:paraId="000000CA">
            <w:pPr>
              <w:widowControl w:val="0"/>
              <w:shd w:fill="ffffff" w:val="clear"/>
              <w:tabs>
                <w:tab w:val="left" w:leader="none" w:pos="851"/>
                <w:tab w:val="left" w:leader="none" w:pos="1021"/>
              </w:tabs>
              <w:spacing w:after="120" w:before="120" w:lineRule="auto"/>
              <w:jc w:val="both"/>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b) Cơ quan nhà nước có thẩm quyền thực hiện hậu kiểm trên cơ sở quản trị rủi ro, ứng dụng công nghệ số, dữ liệu số và trí tuệ nhân tạo. Việc đánh giá kết quả thực hiện cam kết phải bảo đảm khách quan, công khai, minh bạch, thống nhất và phản ánh đúng hiệu quả thực chất của dự án đầu tư; </w:t>
            </w:r>
          </w:p>
          <w:p w:rsidR="00000000" w:rsidDel="00000000" w:rsidP="00000000" w:rsidRDefault="00000000" w:rsidRPr="00000000" w14:paraId="000000CB">
            <w:pPr>
              <w:widowControl w:val="0"/>
              <w:shd w:fill="ffffff" w:val="clear"/>
              <w:tabs>
                <w:tab w:val="left" w:leader="none" w:pos="851"/>
                <w:tab w:val="left" w:leader="none" w:pos="1021"/>
              </w:tabs>
              <w:spacing w:after="120" w:before="120" w:lineRule="auto"/>
              <w:jc w:val="both"/>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c) Trường hợp nhà đầu tư không thực hiện hoặc thực hiện không đầy đủ các cam kết, cơ quan nhà nước có thẩm quyền xem xét điều chỉnh mức hỗ trợ, ưu đãi, thu hồi một phần hoặc toàn bộ ưu đãi, hỗ trợ đã được hưởng hoặc áp dụng các biện pháp xử lý khác theo quy định của pháp luật</w:t>
            </w:r>
          </w:p>
          <w:p w:rsidR="00000000" w:rsidDel="00000000" w:rsidP="00000000" w:rsidRDefault="00000000" w:rsidRPr="00000000" w14:paraId="000000CC">
            <w:pPr>
              <w:widowControl w:val="0"/>
              <w:shd w:fill="ffffff" w:val="clear"/>
              <w:tabs>
                <w:tab w:val="left" w:leader="none" w:pos="851"/>
                <w:tab w:val="left" w:leader="none" w:pos="1021"/>
              </w:tabs>
              <w:spacing w:after="120" w:before="120" w:lineRule="auto"/>
              <w:jc w:val="both"/>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d) Cơ chế, chính sách đặc thù, vượt trội quy định tại Luật này được áp dụng trên cơ sở kết quả thực hiện các cam kết của nhà đầu tư.</w:t>
            </w:r>
          </w:p>
          <w:p w:rsidR="00000000" w:rsidDel="00000000" w:rsidP="00000000" w:rsidRDefault="00000000" w:rsidRPr="00000000" w14:paraId="000000CD">
            <w:pPr>
              <w:widowControl w:val="0"/>
              <w:shd w:fill="ffffff" w:val="clear"/>
              <w:tabs>
                <w:tab w:val="left" w:leader="none" w:pos="851"/>
                <w:tab w:val="left" w:leader="none" w:pos="1021"/>
              </w:tabs>
              <w:spacing w:after="120" w:before="120" w:lineRule="auto"/>
              <w:jc w:val="both"/>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Nội dung cam kết bao gồm các nội dung về chuyển giao công nghệ; nghiên cứu và phát triển; đào tạo nguồn nhân lực là người Việt Nam; hỗ trợ doanh nghiệp Việt Nam tham gia chuỗi cung ứng; chuyển đổi số; chuyển đổi xanh, kinh tế tuần hoàn; sử dụng hiệu quả nguồn lực đất đai, tài nguyên, năng lượng và bảo vệ môi trường; nâng cao giá trị gia tăng trong nước và các yêu cầu khác mà nhà đầu tư đã cam kết;</w:t>
            </w:r>
          </w:p>
          <w:p w:rsidR="00000000" w:rsidDel="00000000" w:rsidP="00000000" w:rsidRDefault="00000000" w:rsidRPr="00000000" w14:paraId="000000CE">
            <w:pPr>
              <w:widowControl w:val="0"/>
              <w:shd w:fill="ffffff" w:val="clear"/>
              <w:tabs>
                <w:tab w:val="left" w:leader="none" w:pos="851"/>
                <w:tab w:val="left" w:leader="none" w:pos="1021"/>
              </w:tabs>
              <w:spacing w:after="120" w:before="120" w:lineRule="auto"/>
              <w:jc w:val="both"/>
              <w:rPr>
                <w:rFonts w:ascii="Times New Roman" w:cs="Times New Roman" w:eastAsia="Times New Roman" w:hAnsi="Times New Roman"/>
                <w:b w:val="1"/>
                <w:bCs w:val="1"/>
                <w:sz w:val="26"/>
                <w:szCs w:val="26"/>
              </w:rPr>
            </w:pPr>
            <w:r w:rsidDel="00000000" w:rsidR="00000000" w:rsidRPr="00000000">
              <w:rPr>
                <w:rtl w:val="0"/>
              </w:rPr>
            </w:r>
          </w:p>
          <w:p w:rsidR="00000000" w:rsidDel="00000000" w:rsidP="00000000" w:rsidRDefault="00000000" w:rsidRPr="00000000" w14:paraId="000000CF">
            <w:pPr>
              <w:widowControl w:val="0"/>
              <w:shd w:fill="ffffff" w:val="clear"/>
              <w:tabs>
                <w:tab w:val="left" w:leader="none" w:pos="851"/>
                <w:tab w:val="left" w:leader="none" w:pos="1021"/>
              </w:tabs>
              <w:spacing w:after="120" w:before="120" w:lineRule="auto"/>
              <w:jc w:val="both"/>
              <w:rPr>
                <w:rFonts w:ascii="Times New Roman" w:cs="Times New Roman" w:eastAsia="Times New Roman" w:hAnsi="Times New Roman"/>
                <w:b w:val="1"/>
                <w:bCs w:val="1"/>
                <w:sz w:val="26"/>
                <w:szCs w:val="26"/>
              </w:rPr>
            </w:pPr>
            <w:r w:rsidDel="00000000" w:rsidR="00000000" w:rsidRPr="00000000">
              <w:rPr>
                <w:rtl w:val="0"/>
              </w:rPr>
            </w:r>
          </w:p>
          <w:p w:rsidR="00000000" w:rsidDel="00000000" w:rsidP="00000000" w:rsidRDefault="00000000" w:rsidRPr="00000000" w14:paraId="000000D0">
            <w:pPr>
              <w:widowControl w:val="0"/>
              <w:shd w:fill="ffffff" w:val="clear"/>
              <w:tabs>
                <w:tab w:val="left" w:leader="none" w:pos="851"/>
                <w:tab w:val="left" w:leader="none" w:pos="1021"/>
              </w:tabs>
              <w:spacing w:after="120" w:before="120" w:lineRule="auto"/>
              <w:jc w:val="both"/>
              <w:rPr>
                <w:rFonts w:ascii="Times New Roman" w:cs="Times New Roman" w:eastAsia="Times New Roman" w:hAnsi="Times New Roman"/>
                <w:b w:val="1"/>
                <w:bCs w:val="1"/>
                <w:sz w:val="26"/>
                <w:szCs w:val="26"/>
              </w:rPr>
            </w:pPr>
            <w:r w:rsidDel="00000000" w:rsidR="00000000" w:rsidRPr="00000000">
              <w:rPr>
                <w:rtl w:val="0"/>
              </w:rPr>
            </w:r>
          </w:p>
          <w:p w:rsidR="00000000" w:rsidDel="00000000" w:rsidP="00000000" w:rsidRDefault="00000000" w:rsidRPr="00000000" w14:paraId="000000D1">
            <w:pPr>
              <w:widowControl w:val="0"/>
              <w:shd w:fill="ffffff" w:val="clear"/>
              <w:tabs>
                <w:tab w:val="left" w:leader="none" w:pos="851"/>
                <w:tab w:val="left" w:leader="none" w:pos="1021"/>
              </w:tabs>
              <w:spacing w:after="120" w:before="120" w:lineRule="auto"/>
              <w:jc w:val="both"/>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e) Việc áp dụng, điều chỉnh, duy trì hoặc chấm dứt cơ chế ưu đãi, hỗ trợ phải căn cứ vào kết quả thực hiện các cam kết của nhà đầu tư trong suốt quá trình thực hiện dự án.</w:t>
            </w:r>
          </w:p>
          <w:p w:rsidR="00000000" w:rsidDel="00000000" w:rsidP="00000000" w:rsidRDefault="00000000" w:rsidRPr="00000000" w14:paraId="000000D2">
            <w:pPr>
              <w:widowControl w:val="0"/>
              <w:shd w:fill="ffffff" w:val="clear"/>
              <w:tabs>
                <w:tab w:val="left" w:leader="none" w:pos="851"/>
                <w:tab w:val="left" w:leader="none" w:pos="1021"/>
              </w:tabs>
              <w:spacing w:after="120" w:before="120" w:lineRule="auto"/>
              <w:jc w:val="both"/>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4b. Khuyến khích tổ chức kinh tế có vốn đầu tư nước ngoài công bố nhu cầu mua sắm, tiêu chuẩn kỹ thuật và lộ trình nội địa hóa.</w:t>
            </w:r>
          </w:p>
          <w:p w:rsidR="00000000" w:rsidDel="00000000" w:rsidP="00000000" w:rsidRDefault="00000000" w:rsidRPr="00000000" w14:paraId="000000D3">
            <w:pPr>
              <w:widowControl w:val="0"/>
              <w:shd w:fill="ffffff" w:val="clear"/>
              <w:tabs>
                <w:tab w:val="left" w:leader="none" w:pos="851"/>
                <w:tab w:val="left" w:leader="none" w:pos="1021"/>
              </w:tabs>
              <w:spacing w:after="120" w:before="120" w:lineRule="auto"/>
              <w:jc w:val="both"/>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4c. Doanh nghiệp trong nước triển khai dự án đầu tư trong các ngành, lĩnh vực quy định tại điểm a khoản 4 Điều này được vay vốn, hỗ trợ tín dụng từ Quỹ Phát triển doanh nghiệp nhỏ và vừa, Quỹ Đổi mới Công nghệ quốc gia để mua công nghệ hoặc góp vốn, mua cổ phần tại các doanh nghiệp tại nước ngoài.</w:t>
            </w:r>
          </w:p>
          <w:p w:rsidR="00000000" w:rsidDel="00000000" w:rsidP="00000000" w:rsidRDefault="00000000" w:rsidRPr="00000000" w14:paraId="000000D4">
            <w:pPr>
              <w:widowControl w:val="0"/>
              <w:shd w:fill="ffffff" w:val="clear"/>
              <w:tabs>
                <w:tab w:val="left" w:leader="none" w:pos="851"/>
                <w:tab w:val="left" w:leader="none" w:pos="1021"/>
              </w:tabs>
              <w:spacing w:after="120" w:before="12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5. Ưu đãi, hỗ trợ đầu tư đặc biệt quy định tại Điều này không áp dụng đối với các trường hợp sau đây:</w:t>
            </w:r>
          </w:p>
          <w:p w:rsidR="00000000" w:rsidDel="00000000" w:rsidP="00000000" w:rsidRDefault="00000000" w:rsidRPr="00000000" w14:paraId="000000D5">
            <w:pPr>
              <w:widowControl w:val="0"/>
              <w:shd w:fill="ffffff" w:val="clear"/>
              <w:tabs>
                <w:tab w:val="left" w:leader="none" w:pos="851"/>
                <w:tab w:val="left" w:leader="none" w:pos="1021"/>
              </w:tabs>
              <w:spacing w:after="120" w:before="12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a) Dự án đầu tư đã được cấp Giấy chứng nhận đầu tư, Giấy chứng nhận đăng ký đầu tư hoặc quyết định chủ trương đầu tư trước ngày Luật này có hiệu lực thi hành;</w:t>
            </w:r>
          </w:p>
          <w:p w:rsidR="00000000" w:rsidDel="00000000" w:rsidP="00000000" w:rsidRDefault="00000000" w:rsidRPr="00000000" w14:paraId="000000D6">
            <w:pPr>
              <w:widowControl w:val="0"/>
              <w:shd w:fill="ffffff" w:val="clear"/>
              <w:tabs>
                <w:tab w:val="left" w:leader="none" w:pos="851"/>
                <w:tab w:val="left" w:leader="none" w:pos="1021"/>
              </w:tabs>
              <w:spacing w:after="120" w:before="12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b) Dự án đầu tư quy định tại khoản 7 Điều 14 của Luật này.</w:t>
            </w:r>
          </w:p>
          <w:p w:rsidR="00000000" w:rsidDel="00000000" w:rsidP="00000000" w:rsidRDefault="00000000" w:rsidRPr="00000000" w14:paraId="000000D7">
            <w:pPr>
              <w:widowControl w:val="0"/>
              <w:shd w:fill="ffffff" w:val="clear"/>
              <w:tabs>
                <w:tab w:val="left" w:leader="none" w:pos="851"/>
                <w:tab w:val="left" w:leader="none" w:pos="1021"/>
              </w:tabs>
              <w:spacing w:after="120" w:before="12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6. Thủ tướng Chính phủ quyết định áp dụng các ưu đãi đầu tư khác trong trường hợp cần khuyến khích phát triển một dự án đầu tư đặc biệt quan trọng hoặc đơn vị hành chính - kinh tế đặc biệt.</w:t>
            </w:r>
          </w:p>
          <w:p w:rsidR="00000000" w:rsidDel="00000000" w:rsidP="00000000" w:rsidRDefault="00000000" w:rsidRPr="00000000" w14:paraId="000000D8">
            <w:pPr>
              <w:widowControl w:val="0"/>
              <w:shd w:fill="ffffff" w:val="clear"/>
              <w:tabs>
                <w:tab w:val="left" w:leader="none" w:pos="851"/>
                <w:tab w:val="left" w:leader="none" w:pos="1021"/>
              </w:tabs>
              <w:spacing w:after="120" w:before="120" w:lineRule="auto"/>
              <w:jc w:val="both"/>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7. Doanh nghiệp thực hiện dự án đầu tư xây dựng và kinh doanh kết cấu hạ tầng khu công nghiệp được áp dụng chính sách khấu hao nhanh đối với tài sản cố định là máy móc, thiết bị, dây chuyền, công nghệ nhằm đáp ứng tiêu chí chuyển đổi khu công nghiệp sinh thái. Mức khấu khao cụ thể được thực hiện theo quy định của Chính phủ. Trình tự, thủ tục áp dụng khấu hao nhanh được thực hiện theo quy định pháp luật về khấu hao. </w:t>
            </w:r>
          </w:p>
          <w:p w:rsidR="00000000" w:rsidDel="00000000" w:rsidP="00000000" w:rsidRDefault="00000000" w:rsidRPr="00000000" w14:paraId="000000D9">
            <w:pPr>
              <w:spacing w:after="120" w:before="120" w:lineRule="auto"/>
              <w:jc w:val="both"/>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8. Nhà đầu tư thực hiện dự án đầu tư trong các ngành, lĩnh vực quy định tại điểm b khoản 4 Điều này được Chính phủ xem xét áp dụng cơ chế đàm phán gói chính sách ưu đãi, hỗ trợ vượt trội gắn với kết quả thực hiện cam kết. Chính phủ quyết định tiêu chí, điều kiện, gói chính sách ưu đãi, hỗ trợ vượt trội đối với từng dự án cụ thể trên cơ sở đặc thù của từng ngành, lĩnh vực và cam kết của nhà đầu tư và đàm phán, ký kết Biên bản ghi nhớ hợp tác đầu tư đối với nhà đầu tư.</w:t>
            </w:r>
          </w:p>
        </w:tc>
        <w:tc>
          <w:tcPr/>
          <w:p w:rsidR="00000000" w:rsidDel="00000000" w:rsidP="00000000" w:rsidRDefault="00000000" w:rsidRPr="00000000" w14:paraId="000000DA">
            <w:pPr>
              <w:widowControl w:val="0"/>
              <w:spacing w:after="120" w:before="12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Nghị quyết 10-NQ/TW đề ra các nhóm nhiệm vụ, giải pháp về hoàn thiện thể chế, pháp luật, trong đó có các cơ chế, chính sách ưu đãi, vượt trội chưa được quy định tại các văn bản quy phạm pháp luật hiện hành như: (i) Cơ chế chính sách ưu đãi, hỗ trợ đặc thù vượt trội, cạnh tranh gắn với kết quả thực hiện và cam kết của nhà đầu tư về công nghệ, nghiên cứu và phát triển, chuyển giao công nghệ, phát triển, đào tạo người Việt Nam, tỷ lệ giá trị gia tăng trong nước, phát triển nhà cung ứng nội địa,…; (ii) Cơ chế, chính sách hỗ trợ cho các dự án đào tạo nguồn nhân lực của doanh nghiệp đầu tư nước ngoài liên kết với các viện, trường, cơ sở đào tạo nghề, doanh nghiệp trong nước, nhất là trong các lĩnh vực công nghệ chiến lược; (iii) Cơ chế phản ứng nhanh, linh hoạt; quy trình thủ tục đầu tư đặc thù, riêng biệt và cơ chế ưu đãi cho các dự án, cụm ngành, hệ sinh thái thuộc lĩnh vực ưu tiên cốt lõi, tác động liên vùng, có tiềm năng dẫn dắt chuỗi cung ứng khu vực và toàn cầu; (iv) Hoàn thiện cơ chế khuyến khích doanh nghiệp FDI sử dụng nguồn vốn, doanh thu, lợi nhuận chưa chuyển về nước để đầu tư tại Việt Nam; (v) Xây dựng quy định về tỉ lệ nội địa hóa để các tập đoànFDI lớn chuyển giao công nghệ,...;</w:t>
            </w:r>
          </w:p>
          <w:p w:rsidR="00000000" w:rsidDel="00000000" w:rsidP="00000000" w:rsidRDefault="00000000" w:rsidRPr="00000000" w14:paraId="000000DB">
            <w:pPr>
              <w:spacing w:after="120" w:before="120" w:lineRule="auto"/>
              <w:jc w:val="both"/>
              <w:rPr>
                <w:rFonts w:ascii="Times New Roman" w:cs="Times New Roman" w:eastAsia="Times New Roman" w:hAnsi="Times New Roman"/>
                <w:b w:val="1"/>
                <w:bCs w:val="1"/>
                <w:sz w:val="26"/>
                <w:szCs w:val="26"/>
              </w:rPr>
            </w:pPr>
            <w:r w:rsidDel="00000000" w:rsidR="00000000" w:rsidRPr="00000000">
              <w:rPr>
                <w:rtl w:val="0"/>
              </w:rPr>
            </w:r>
          </w:p>
        </w:tc>
      </w:tr>
      <w:tr>
        <w:trPr>
          <w:cantSplit w:val="0"/>
          <w:tblHeader w:val="0"/>
        </w:trPr>
        <w:tc>
          <w:tcPr/>
          <w:p w:rsidR="00000000" w:rsidDel="00000000" w:rsidP="00000000" w:rsidRDefault="00000000" w:rsidRPr="00000000" w14:paraId="000000D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120" w:line="278.00000000000006" w:lineRule="auto"/>
              <w:ind w:left="0" w:right="0" w:firstLine="0"/>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tl w:val="0"/>
              </w:rPr>
            </w:r>
          </w:p>
        </w:tc>
        <w:tc>
          <w:tcPr/>
          <w:p w:rsidR="00000000" w:rsidDel="00000000" w:rsidP="00000000" w:rsidRDefault="00000000" w:rsidRPr="00000000" w14:paraId="000000DD">
            <w:pPr>
              <w:spacing w:after="120" w:before="120" w:lineRule="auto"/>
              <w:jc w:val="both"/>
              <w:rPr>
                <w:rFonts w:ascii="Times New Roman" w:cs="Times New Roman" w:eastAsia="Times New Roman" w:hAnsi="Times New Roman"/>
                <w:b w:val="1"/>
                <w:bCs w:val="1"/>
                <w:sz w:val="26"/>
                <w:szCs w:val="26"/>
              </w:rPr>
            </w:pPr>
            <w:r w:rsidDel="00000000" w:rsidR="00000000" w:rsidRPr="00000000">
              <w:rPr>
                <w:rtl w:val="0"/>
              </w:rPr>
            </w:r>
          </w:p>
        </w:tc>
        <w:tc>
          <w:tcPr/>
          <w:p w:rsidR="00000000" w:rsidDel="00000000" w:rsidP="00000000" w:rsidRDefault="00000000" w:rsidRPr="00000000" w14:paraId="000000DE">
            <w:pPr>
              <w:spacing w:after="120" w:before="120" w:lineRule="auto"/>
              <w:jc w:val="both"/>
              <w:rPr>
                <w:rFonts w:ascii="Times New Roman" w:cs="Times New Roman" w:eastAsia="Times New Roman" w:hAnsi="Times New Roman"/>
                <w:b w:val="1"/>
                <w:bCs w:val="1"/>
                <w:sz w:val="26"/>
                <w:szCs w:val="26"/>
              </w:rPr>
            </w:pPr>
            <w:r w:rsidDel="00000000" w:rsidR="00000000" w:rsidRPr="00000000">
              <w:rPr>
                <w:rtl w:val="0"/>
              </w:rPr>
            </w:r>
          </w:p>
        </w:tc>
        <w:tc>
          <w:tcPr/>
          <w:p w:rsidR="00000000" w:rsidDel="00000000" w:rsidP="00000000" w:rsidRDefault="00000000" w:rsidRPr="00000000" w14:paraId="000000DF">
            <w:pPr>
              <w:widowControl w:val="0"/>
              <w:shd w:fill="ffffff" w:val="clear"/>
              <w:tabs>
                <w:tab w:val="left" w:leader="none" w:pos="851"/>
                <w:tab w:val="left" w:leader="none" w:pos="1021"/>
              </w:tabs>
              <w:spacing w:after="120" w:before="120" w:lineRule="auto"/>
              <w:ind w:firstLine="37"/>
              <w:jc w:val="both"/>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Điều 17a. Cơ chế đặc thù thu hút đầu tư của các địa phương</w:t>
            </w:r>
          </w:p>
          <w:p w:rsidR="00000000" w:rsidDel="00000000" w:rsidP="00000000" w:rsidRDefault="00000000" w:rsidRPr="00000000" w14:paraId="000000E0">
            <w:pPr>
              <w:widowControl w:val="0"/>
              <w:shd w:fill="ffffff" w:val="clear"/>
              <w:tabs>
                <w:tab w:val="left" w:leader="none" w:pos="851"/>
                <w:tab w:val="left" w:leader="none" w:pos="1021"/>
              </w:tabs>
              <w:spacing w:after="120" w:before="120" w:lineRule="auto"/>
              <w:ind w:firstLine="37"/>
              <w:jc w:val="both"/>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1. Căn cứ khả năng cân đối ngân sách và định hướng phát triển kinh tế - xã hội trong từng thời kỳ, Hội đồng nhân dân các tỉnh, thành phố trực thuộc trung ương quyết định sử dụng ngân sách của địa phương để hỗ trợ chi phí theo quy định tại khoản 3 Điều 14 của Luật này nhằm thu hút các dự án đầu tư chiến lược, có tác động lớn đến phát triển kinh tế - xã hội của địa phương. Tiêu chí, điều kiện, quy trình, thủ tục, mức hỗ trợ do Hội đồng nhân dân các tỉnh, thành phố trực thuộc trung ương quyết định.</w:t>
            </w:r>
          </w:p>
          <w:p w:rsidR="00000000" w:rsidDel="00000000" w:rsidP="00000000" w:rsidRDefault="00000000" w:rsidRPr="00000000" w14:paraId="000000E1">
            <w:pPr>
              <w:spacing w:after="120" w:before="120" w:lineRule="auto"/>
              <w:ind w:firstLine="37"/>
              <w:jc w:val="both"/>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2. Hội đồng nhân dân các địa phương là đô thị đặc biệt theo quy định của pháp luật về phát triển đô thị được quyết định áp dụng các cơ chế, thủ tục đặc thù về đầu tư giải phóng mặt bằng, giao đất, cho thuê đất, thuê mặt nước, xây dựng, phòng cháy chữa cháy cho các dự án đầu tư quy định tại điểm b khoản 4 Điều 17 của Luật này.</w:t>
            </w:r>
          </w:p>
        </w:tc>
        <w:tc>
          <w:tcPr/>
          <w:p w:rsidR="00000000" w:rsidDel="00000000" w:rsidP="00000000" w:rsidRDefault="00000000" w:rsidRPr="00000000" w14:paraId="000000E2">
            <w:pPr>
              <w:widowControl w:val="0"/>
              <w:spacing w:after="120" w:before="120" w:lineRule="auto"/>
              <w:ind w:firstLine="34"/>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Nghị quyết 10-NQ/TW đặt ra các nhiệm vụ về: (i) xây dựng cơ chế chính sách cho phép các địa phương sử dụng ngân sách địa phương để hỗ trợ chi phí cho doanh nghiệp đầu tư nước ngoài đào tạo lao động tại cơ sở đào tạo của doanh nghiệp ở trong và ngoài nước; (ii) Cơ chế phản ứng nhanh, linh hoạt; quy trình thủ tục đầu tư đặc thù, riêng biệt và cơ chế ưu đãi cho các dự án, cụm ngành, hệ sinh thái thuộc lĩnh vực ưu tiên cốt lõi, tác động liên vùng, có tiềm năng dẫn dắt chuỗi cung ứng khu vực và toàn cầu.</w:t>
            </w:r>
          </w:p>
          <w:p w:rsidR="00000000" w:rsidDel="00000000" w:rsidP="00000000" w:rsidRDefault="00000000" w:rsidRPr="00000000" w14:paraId="000000E3">
            <w:pPr>
              <w:widowControl w:val="0"/>
              <w:spacing w:after="120" w:before="120" w:lineRule="auto"/>
              <w:ind w:firstLine="34"/>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Do đó, việc bổ sung Điều 17a nhằm tăng tính chủ động, tự chủ và khả năng cạnh tranh của địa phương trong thu hút các dự án đầu tư chiến lược, phù hợp với điều kiện và định hướng phát triển của từng địa phương; đồng thời, cho phép các đô thị đặc biệt được áp dụng một số cơ chế, thủ tục đặc thù về đầu tư, giải phóng mặt bằng, đất đai, xây dựng và phòng cháy, chữa cháy đối với các dự án thuộc các ngành, lĩnh vực cốt lõi ưu tiên theo Nghị quyết số 10-NQ/TW…, qua đó tạo môi trường đầu tư thuận lợi, linh hoạt và phát huy lợi thế của từng địa phương.</w:t>
            </w:r>
          </w:p>
        </w:tc>
      </w:tr>
      <w:tr>
        <w:trPr>
          <w:cantSplit w:val="0"/>
          <w:tblHeader w:val="0"/>
        </w:trPr>
        <w:tc>
          <w:tcPr/>
          <w:p w:rsidR="00000000" w:rsidDel="00000000" w:rsidP="00000000" w:rsidRDefault="00000000" w:rsidRPr="00000000" w14:paraId="000000E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120" w:line="278.00000000000006" w:lineRule="auto"/>
              <w:ind w:left="0" w:right="0" w:firstLine="0"/>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tl w:val="0"/>
              </w:rPr>
            </w:r>
          </w:p>
        </w:tc>
        <w:tc>
          <w:tcPr/>
          <w:p w:rsidR="00000000" w:rsidDel="00000000" w:rsidP="00000000" w:rsidRDefault="00000000" w:rsidRPr="00000000" w14:paraId="000000E5">
            <w:pPr>
              <w:spacing w:after="120" w:before="120" w:lineRule="auto"/>
              <w:jc w:val="both"/>
              <w:rPr>
                <w:rFonts w:ascii="Times New Roman" w:cs="Times New Roman" w:eastAsia="Times New Roman" w:hAnsi="Times New Roman"/>
                <w:b w:val="1"/>
                <w:bCs w:val="1"/>
                <w:sz w:val="26"/>
                <w:szCs w:val="26"/>
              </w:rPr>
            </w:pPr>
            <w:r w:rsidDel="00000000" w:rsidR="00000000" w:rsidRPr="00000000">
              <w:rPr>
                <w:rtl w:val="0"/>
              </w:rPr>
            </w:r>
          </w:p>
        </w:tc>
        <w:tc>
          <w:tcPr/>
          <w:bookmarkStart w:colFirst="0" w:colLast="0" w:name="bookmark=id.8a50ohautv4l" w:id="9"/>
          <w:bookmarkEnd w:id="9"/>
          <w:p w:rsidR="00000000" w:rsidDel="00000000" w:rsidP="00000000" w:rsidRDefault="00000000" w:rsidRPr="00000000" w14:paraId="000000E6">
            <w:pPr>
              <w:widowControl w:val="0"/>
              <w:shd w:fill="ffffff" w:val="clear"/>
              <w:tabs>
                <w:tab w:val="left" w:leader="none" w:pos="851"/>
                <w:tab w:val="left" w:leader="none" w:pos="1021"/>
              </w:tabs>
              <w:spacing w:after="120" w:before="120" w:lineRule="auto"/>
              <w:ind w:firstLine="37"/>
              <w:jc w:val="both"/>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Điều 23. Lựa chọn nhà đầu tư thực hiện dự án đầu tư</w:t>
            </w:r>
          </w:p>
          <w:p w:rsidR="00000000" w:rsidDel="00000000" w:rsidP="00000000" w:rsidRDefault="00000000" w:rsidRPr="00000000" w14:paraId="000000E7">
            <w:pPr>
              <w:widowControl w:val="0"/>
              <w:shd w:fill="ffffff" w:val="clear"/>
              <w:tabs>
                <w:tab w:val="left" w:leader="none" w:pos="851"/>
                <w:tab w:val="left" w:leader="none" w:pos="1021"/>
              </w:tabs>
              <w:spacing w:after="120" w:before="120" w:lineRule="auto"/>
              <w:ind w:firstLine="37"/>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4. Đối với dự án đầu tư thuộc diện chấp thuận chủ trương đầu tư, cơ quan có thẩm quyền chấp thuận chủ trương đầu tư đồng thời chấp thuận nhà đầu tư không thông qua đấu giá quyền sử dụng đất, đấu thầu lựa chọn nhà đầu tư trong các trường hợp sau đây:</w:t>
            </w:r>
          </w:p>
          <w:p w:rsidR="00000000" w:rsidDel="00000000" w:rsidP="00000000" w:rsidRDefault="00000000" w:rsidRPr="00000000" w14:paraId="000000E8">
            <w:pPr>
              <w:widowControl w:val="0"/>
              <w:shd w:fill="ffffff" w:val="clear"/>
              <w:tabs>
                <w:tab w:val="left" w:leader="none" w:pos="851"/>
                <w:tab w:val="left" w:leader="none" w:pos="1021"/>
              </w:tabs>
              <w:spacing w:after="120" w:before="120" w:lineRule="auto"/>
              <w:ind w:firstLine="37"/>
              <w:jc w:val="both"/>
              <w:rPr>
                <w:rFonts w:ascii="Times New Roman" w:cs="Times New Roman" w:eastAsia="Times New Roman" w:hAnsi="Times New Roman"/>
                <w:b w:val="1"/>
                <w:bCs w:val="1"/>
                <w:sz w:val="26"/>
                <w:szCs w:val="26"/>
              </w:rPr>
            </w:pPr>
            <w:r w:rsidDel="00000000" w:rsidR="00000000" w:rsidRPr="00000000">
              <w:rPr>
                <w:rtl w:val="0"/>
              </w:rPr>
            </w:r>
          </w:p>
        </w:tc>
        <w:tc>
          <w:tcPr/>
          <w:p w:rsidR="00000000" w:rsidDel="00000000" w:rsidP="00000000" w:rsidRDefault="00000000" w:rsidRPr="00000000" w14:paraId="000000E9">
            <w:pPr>
              <w:widowControl w:val="0"/>
              <w:shd w:fill="ffffff" w:val="clear"/>
              <w:tabs>
                <w:tab w:val="left" w:leader="none" w:pos="851"/>
                <w:tab w:val="left" w:leader="none" w:pos="1021"/>
              </w:tabs>
              <w:spacing w:after="120" w:before="120" w:lineRule="auto"/>
              <w:ind w:firstLine="37"/>
              <w:jc w:val="both"/>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Điều 23. Lựa chọn nhà đầu tư thực hiện dự án đầu tư</w:t>
            </w:r>
          </w:p>
          <w:p w:rsidR="00000000" w:rsidDel="00000000" w:rsidP="00000000" w:rsidRDefault="00000000" w:rsidRPr="00000000" w14:paraId="000000EA">
            <w:pPr>
              <w:widowControl w:val="0"/>
              <w:shd w:fill="ffffff" w:val="clear"/>
              <w:tabs>
                <w:tab w:val="left" w:leader="none" w:pos="851"/>
                <w:tab w:val="left" w:leader="none" w:pos="1021"/>
              </w:tabs>
              <w:spacing w:after="120" w:before="120" w:lineRule="auto"/>
              <w:ind w:firstLine="37"/>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4. Đối với dự án đầu tư thuộc diện chấp thuận chủ trương đầu tư, cơ quan có thẩm quyền chấp thuận chủ trương đầu tư đồng thời chấp thuận nhà đầu tư không thông qua đấu giá quyền sử dụng đất, đấu thầu lựa chọn nhà đầu tư trong các trường hợp sau đây:</w:t>
            </w:r>
          </w:p>
          <w:p w:rsidR="00000000" w:rsidDel="00000000" w:rsidP="00000000" w:rsidRDefault="00000000" w:rsidRPr="00000000" w14:paraId="000000EB">
            <w:pPr>
              <w:widowControl w:val="0"/>
              <w:shd w:fill="ffffff" w:val="clear"/>
              <w:tabs>
                <w:tab w:val="left" w:leader="none" w:pos="851"/>
                <w:tab w:val="left" w:leader="none" w:pos="1021"/>
              </w:tabs>
              <w:spacing w:after="120" w:before="120" w:lineRule="auto"/>
              <w:ind w:firstLine="37"/>
              <w:jc w:val="both"/>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đ) Trường hợp khác không thuộc diện đấu giá, đấu thầu theo quy định của pháp luật.</w:t>
            </w:r>
          </w:p>
        </w:tc>
        <w:tc>
          <w:tcPr/>
          <w:p w:rsidR="00000000" w:rsidDel="00000000" w:rsidP="00000000" w:rsidRDefault="00000000" w:rsidRPr="00000000" w14:paraId="000000EC">
            <w:pPr>
              <w:widowControl w:val="0"/>
              <w:spacing w:after="120" w:before="12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Theo quy định của Luật Đầu tư, dự án có đề nghị Nhà nước giao khu vực biển phải thực hiện thủ tục chấp thuận chủ trương đầu tư và lựa chọn nhà đầu tư theo một trong các hình thức quy định tại Điều 23 của Luật này. Tuy nhiên, quy định về lựa chọn nhà đầu tư nêu trên chủ yếu vẫn là các dự án có sử dụng đất, </w:t>
            </w:r>
            <w:r w:rsidDel="00000000" w:rsidR="00000000" w:rsidRPr="00000000">
              <w:rPr>
                <w:rFonts w:ascii="Times New Roman" w:cs="Times New Roman" w:eastAsia="Times New Roman" w:hAnsi="Times New Roman"/>
                <w:b w:val="1"/>
                <w:bCs w:val="1"/>
                <w:sz w:val="26"/>
                <w:szCs w:val="26"/>
                <w:rtl w:val="0"/>
              </w:rPr>
              <w:t xml:space="preserve">chưa bao gồm các dự án sử dụng khu vực biển</w:t>
            </w:r>
            <w:r w:rsidDel="00000000" w:rsidR="00000000" w:rsidRPr="00000000">
              <w:rPr>
                <w:rFonts w:ascii="Times New Roman" w:cs="Times New Roman" w:eastAsia="Times New Roman" w:hAnsi="Times New Roman"/>
                <w:sz w:val="26"/>
                <w:szCs w:val="26"/>
                <w:rtl w:val="0"/>
              </w:rPr>
              <w:t xml:space="preserve">, dẫn đến vướng mắc trong việc xác định hình thức lựa chọn nhà đầu tư thực hiện dự án sử dụng khu vực biển.</w:t>
            </w:r>
          </w:p>
          <w:p w:rsidR="00000000" w:rsidDel="00000000" w:rsidP="00000000" w:rsidRDefault="00000000" w:rsidRPr="00000000" w14:paraId="000000ED">
            <w:pPr>
              <w:widowControl w:val="0"/>
              <w:spacing w:after="120" w:before="12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Bên cạnh đó, theo thông tin của một số địa phương</w:t>
            </w:r>
            <w:r w:rsidDel="00000000" w:rsidR="00000000" w:rsidRPr="00000000">
              <w:rPr>
                <w:rFonts w:ascii="Times New Roman" w:cs="Times New Roman" w:eastAsia="Times New Roman" w:hAnsi="Times New Roman"/>
                <w:sz w:val="26"/>
                <w:szCs w:val="26"/>
                <w:vertAlign w:val="superscript"/>
              </w:rPr>
              <w:footnoteReference w:customMarkFollows="0" w:id="2"/>
            </w:r>
            <w:r w:rsidDel="00000000" w:rsidR="00000000" w:rsidRPr="00000000">
              <w:rPr>
                <w:rFonts w:ascii="Times New Roman" w:cs="Times New Roman" w:eastAsia="Times New Roman" w:hAnsi="Times New Roman"/>
                <w:sz w:val="26"/>
                <w:szCs w:val="26"/>
                <w:rtl w:val="0"/>
              </w:rPr>
              <w:t xml:space="preserve">, thực tế một số dự án nuôi trồng thuỷ sản, hoạt động kinh doanh dịch vụ vui chơi giải trí ven biển có đề nghị giao khu vực biển với </w:t>
            </w:r>
            <w:r w:rsidDel="00000000" w:rsidR="00000000" w:rsidRPr="00000000">
              <w:rPr>
                <w:rFonts w:ascii="Times New Roman" w:cs="Times New Roman" w:eastAsia="Times New Roman" w:hAnsi="Times New Roman"/>
                <w:b w:val="1"/>
                <w:bCs w:val="1"/>
                <w:sz w:val="26"/>
                <w:szCs w:val="26"/>
                <w:rtl w:val="0"/>
              </w:rPr>
              <w:t xml:space="preserve">quy mô nhỏ của người dân, hộ gia đình </w:t>
            </w:r>
            <w:r w:rsidDel="00000000" w:rsidR="00000000" w:rsidRPr="00000000">
              <w:rPr>
                <w:rFonts w:ascii="Times New Roman" w:cs="Times New Roman" w:eastAsia="Times New Roman" w:hAnsi="Times New Roman"/>
                <w:sz w:val="26"/>
                <w:szCs w:val="26"/>
                <w:rtl w:val="0"/>
              </w:rPr>
              <w:t xml:space="preserve">trước đây chỉ cần thực hiện thủ tục giao khu vực biển theo pháp luật về giao khu vực biển, pháp luật về thuỷ sản; nhưng hiện nay theo quy định tại khoản 10 Điều 24 Luật Đầu tư 2025, toàn bộ các dự án nuôi trồng thuỷ sản, hoạt động kinh doanh dịch vụ vui chơi giải trí ven biển có đề nghị giao khu vực biển không phân biệt quy mô đều phải thực hiện thủ tục chấp thuận chủ trương đầu tư của Chủ tịch Uỷ ban nhân dân cấp tỉnh. Điều này dẫn đến gia tăng các thủ tục không thật sự cần thiết, tạo gánh nặng cho người dân, đặc biệt là các hộ gia đình, cá nhân nuôi trong thuỷ sản nhỏ lẻ.</w:t>
            </w:r>
          </w:p>
          <w:p w:rsidR="00000000" w:rsidDel="00000000" w:rsidP="00000000" w:rsidRDefault="00000000" w:rsidRPr="00000000" w14:paraId="000000EE">
            <w:pPr>
              <w:widowControl w:val="0"/>
              <w:spacing w:after="120" w:before="12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Trên cơ sở đó, dự kiến sửa đổi theo hướng: </w:t>
            </w:r>
          </w:p>
          <w:p w:rsidR="00000000" w:rsidDel="00000000" w:rsidP="00000000" w:rsidRDefault="00000000" w:rsidRPr="00000000" w14:paraId="000000EF">
            <w:pPr>
              <w:widowControl w:val="0"/>
              <w:spacing w:after="120" w:before="12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(i) Bổ sung “Trường hợp khác không thuộc diện đấu giá, đấu thầu theo quy định của pháp luật” tại khoản 4 Điều 23 Luật Đầu tư 2025 nhằm tạo cơ sở pháp lý để cơ quan nhà nước có thẩm quyền xem xét, quyết định chấp thuận chủ trương đầu tư đồng thời chấp thuận nhà đầu tư đối với dự án có đề nghị giao khu vực biển;</w:t>
            </w:r>
          </w:p>
          <w:p w:rsidR="00000000" w:rsidDel="00000000" w:rsidP="00000000" w:rsidRDefault="00000000" w:rsidRPr="00000000" w14:paraId="000000F0">
            <w:pPr>
              <w:widowControl w:val="0"/>
              <w:spacing w:after="120" w:before="12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(ii) Bổ sung trường hợp loại trừ không phải thực hiện thủ tục chấp thuận chủ trương đầu tư đối với dự án có đề nghị Nhà nước giao khu vực biển tại khoản 10 Điều 24 Luật Đầu tư 2025 theo hướng “Dự án đầu tư có đề nghị Nhà nước giao khu vực biển, </w:t>
            </w:r>
            <w:r w:rsidDel="00000000" w:rsidR="00000000" w:rsidRPr="00000000">
              <w:rPr>
                <w:rFonts w:ascii="Times New Roman" w:cs="Times New Roman" w:eastAsia="Times New Roman" w:hAnsi="Times New Roman"/>
                <w:b w:val="1"/>
                <w:bCs w:val="1"/>
                <w:i w:val="1"/>
                <w:iCs w:val="1"/>
                <w:sz w:val="26"/>
                <w:szCs w:val="26"/>
                <w:rtl w:val="0"/>
              </w:rPr>
              <w:t xml:space="preserve">trừ trường hợp khác theo quy định của Chính phủ</w:t>
            </w:r>
            <w:r w:rsidDel="00000000" w:rsidR="00000000" w:rsidRPr="00000000">
              <w:rPr>
                <w:rFonts w:ascii="Times New Roman" w:cs="Times New Roman" w:eastAsia="Times New Roman" w:hAnsi="Times New Roman"/>
                <w:sz w:val="26"/>
                <w:szCs w:val="26"/>
                <w:rtl w:val="0"/>
              </w:rPr>
              <w:t xml:space="preserve">” để loại trừ các dự án nuôi trồng thuỷ sản, dịch vụ giải trí nhỏ lẻ của người dân, hộ gia đình.</w:t>
            </w:r>
          </w:p>
        </w:tc>
      </w:tr>
      <w:tr>
        <w:trPr>
          <w:cantSplit w:val="0"/>
          <w:tblHeader w:val="0"/>
        </w:trPr>
        <w:tc>
          <w:tcPr/>
          <w:p w:rsidR="00000000" w:rsidDel="00000000" w:rsidP="00000000" w:rsidRDefault="00000000" w:rsidRPr="00000000" w14:paraId="000000F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120" w:line="278.00000000000006" w:lineRule="auto"/>
              <w:ind w:left="0" w:right="0" w:firstLine="0"/>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tl w:val="0"/>
              </w:rPr>
            </w:r>
          </w:p>
        </w:tc>
        <w:tc>
          <w:tcPr/>
          <w:p w:rsidR="00000000" w:rsidDel="00000000" w:rsidP="00000000" w:rsidRDefault="00000000" w:rsidRPr="00000000" w14:paraId="000000F2">
            <w:pPr>
              <w:spacing w:after="120" w:before="120" w:lineRule="auto"/>
              <w:jc w:val="both"/>
              <w:rPr>
                <w:rFonts w:ascii="Times New Roman" w:cs="Times New Roman" w:eastAsia="Times New Roman" w:hAnsi="Times New Roman"/>
                <w:b w:val="1"/>
                <w:bCs w:val="1"/>
                <w:sz w:val="26"/>
                <w:szCs w:val="26"/>
              </w:rPr>
            </w:pPr>
            <w:r w:rsidDel="00000000" w:rsidR="00000000" w:rsidRPr="00000000">
              <w:rPr>
                <w:rtl w:val="0"/>
              </w:rPr>
            </w:r>
          </w:p>
        </w:tc>
        <w:tc>
          <w:tcPr/>
          <w:bookmarkStart w:colFirst="0" w:colLast="0" w:name="bookmark=id.3wbjx8onqde" w:id="10"/>
          <w:bookmarkEnd w:id="10"/>
          <w:p w:rsidR="00000000" w:rsidDel="00000000" w:rsidP="00000000" w:rsidRDefault="00000000" w:rsidRPr="00000000" w14:paraId="000000F3">
            <w:pPr>
              <w:spacing w:after="120" w:before="120" w:lineRule="auto"/>
              <w:jc w:val="both"/>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Điều 28. Thủ tục đầu tư đặc biệt</w:t>
            </w:r>
          </w:p>
          <w:p w:rsidR="00000000" w:rsidDel="00000000" w:rsidP="00000000" w:rsidRDefault="00000000" w:rsidRPr="00000000" w14:paraId="000000F4">
            <w:pPr>
              <w:spacing w:after="120" w:before="120" w:lineRule="auto"/>
              <w:jc w:val="both"/>
              <w:rPr>
                <w:rFonts w:ascii="Times New Roman" w:cs="Times New Roman" w:eastAsia="Times New Roman" w:hAnsi="Times New Roman"/>
                <w:b w:val="1"/>
                <w:bCs w:val="1"/>
                <w:sz w:val="26"/>
                <w:szCs w:val="26"/>
              </w:rPr>
            </w:pPr>
            <w:r w:rsidDel="00000000" w:rsidR="00000000" w:rsidRPr="00000000">
              <w:rPr>
                <w:rtl w:val="0"/>
              </w:rPr>
            </w:r>
          </w:p>
        </w:tc>
        <w:tc>
          <w:tcPr/>
          <w:p w:rsidR="00000000" w:rsidDel="00000000" w:rsidP="00000000" w:rsidRDefault="00000000" w:rsidRPr="00000000" w14:paraId="000000F5">
            <w:pPr>
              <w:spacing w:after="120" w:before="120" w:lineRule="auto"/>
              <w:jc w:val="both"/>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Điều 28. Thủ tục đầu tư đặc biệt</w:t>
            </w:r>
          </w:p>
          <w:p w:rsidR="00000000" w:rsidDel="00000000" w:rsidP="00000000" w:rsidRDefault="00000000" w:rsidRPr="00000000" w14:paraId="000000F6">
            <w:pPr>
              <w:spacing w:after="120" w:before="120" w:lineRule="auto"/>
              <w:jc w:val="both"/>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1a. Trường hợp dự án thuộc một trong các ngành, lĩnh vực quy định tại điểm b khoản 4 Điều 17 của Luật này và nằm ngoài khu công nghiệp, khu chế xuất, khu công nghệ cao, khu công nghệ số tập trung, khu thương mại tự do, trung tâm tài chính quốc tế và khu chức năng trong khu kinh tế, nhà đầu tư được lựa chọn đăng ký đầu tư theo quy định tại Điều này đối với dự án đầu tư.</w:t>
            </w:r>
          </w:p>
        </w:tc>
        <w:tc>
          <w:tcPr/>
          <w:p w:rsidR="00000000" w:rsidDel="00000000" w:rsidP="00000000" w:rsidRDefault="00000000" w:rsidRPr="00000000" w14:paraId="000000F7">
            <w:pPr>
              <w:widowControl w:val="0"/>
              <w:spacing w:after="120" w:before="120" w:lineRule="auto"/>
              <w:ind w:firstLine="34"/>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Nghị quyết 10-NQ/TW đặt ra yêu cầu về đơn giản hoá thủ tục hành chính nhằm thu hút các dự án đầu tư nước ngoài. Trên cơ sở đó, dự thảo Luật dự kiến áp dụng quy trình thủ tục đầu tư đặc biệt và cơ chế ưu đãi cho các dự án công nghệ chiến lược có quy mô lớn, tác động liên vùng, có tiềm năng dẫn dắt chuỗi cung ứng khu vực và toàn cầu, dự án công nghệ cao có cam kết chuyển giao công nghệ cho doanh nghiệp Việt Nam.</w:t>
            </w:r>
          </w:p>
          <w:p w:rsidR="00000000" w:rsidDel="00000000" w:rsidP="00000000" w:rsidRDefault="00000000" w:rsidRPr="00000000" w14:paraId="000000F8">
            <w:pPr>
              <w:widowControl w:val="0"/>
              <w:spacing w:after="120" w:before="120" w:lineRule="auto"/>
              <w:ind w:firstLine="34"/>
              <w:jc w:val="both"/>
              <w:rPr>
                <w:rFonts w:ascii="Times New Roman" w:cs="Times New Roman" w:eastAsia="Times New Roman" w:hAnsi="Times New Roman"/>
                <w:sz w:val="26"/>
                <w:szCs w:val="26"/>
              </w:rPr>
            </w:pPr>
            <w:r w:rsidDel="00000000" w:rsidR="00000000" w:rsidRPr="00000000">
              <w:rPr>
                <w:rtl w:val="0"/>
              </w:rPr>
            </w:r>
          </w:p>
        </w:tc>
      </w:tr>
      <w:tr>
        <w:trPr>
          <w:cantSplit w:val="0"/>
          <w:tblHeader w:val="0"/>
        </w:trPr>
        <w:tc>
          <w:tcPr/>
          <w:p w:rsidR="00000000" w:rsidDel="00000000" w:rsidP="00000000" w:rsidRDefault="00000000" w:rsidRPr="00000000" w14:paraId="000000F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120" w:line="278.00000000000006" w:lineRule="auto"/>
              <w:ind w:left="0" w:right="0" w:firstLine="0"/>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tl w:val="0"/>
              </w:rPr>
            </w:r>
          </w:p>
        </w:tc>
        <w:tc>
          <w:tcPr/>
          <w:p w:rsidR="00000000" w:rsidDel="00000000" w:rsidP="00000000" w:rsidRDefault="00000000" w:rsidRPr="00000000" w14:paraId="000000FA">
            <w:pPr>
              <w:spacing w:after="120" w:before="120" w:lineRule="auto"/>
              <w:jc w:val="both"/>
              <w:rPr>
                <w:rFonts w:ascii="Times New Roman" w:cs="Times New Roman" w:eastAsia="Times New Roman" w:hAnsi="Times New Roman"/>
                <w:b w:val="1"/>
                <w:bCs w:val="1"/>
                <w:sz w:val="26"/>
                <w:szCs w:val="26"/>
              </w:rPr>
            </w:pPr>
            <w:r w:rsidDel="00000000" w:rsidR="00000000" w:rsidRPr="00000000">
              <w:rPr>
                <w:rtl w:val="0"/>
              </w:rPr>
            </w:r>
          </w:p>
        </w:tc>
        <w:tc>
          <w:tcPr/>
          <w:bookmarkStart w:colFirst="0" w:colLast="0" w:name="bookmark=id.butvnc2zhorj" w:id="11"/>
          <w:bookmarkEnd w:id="11"/>
          <w:p w:rsidR="00000000" w:rsidDel="00000000" w:rsidP="00000000" w:rsidRDefault="00000000" w:rsidRPr="00000000" w14:paraId="000000FB">
            <w:pPr>
              <w:spacing w:after="120" w:before="120" w:lineRule="auto"/>
              <w:jc w:val="both"/>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Điều 31. Thời hạn hoạt động, tiến độ thực hiện của dự án đầu tư</w:t>
            </w:r>
          </w:p>
          <w:p w:rsidR="00000000" w:rsidDel="00000000" w:rsidP="00000000" w:rsidRDefault="00000000" w:rsidRPr="00000000" w14:paraId="000000FC">
            <w:pPr>
              <w:spacing w:after="120" w:before="12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2. Thời hạn hoạt động của dự án đầu tư ngoài khu kinh tế không quá 50 năm. Dự án đầu tư thực hiện tại địa bàn có điều kiện kinh tế - xã hội khó khăn, địa bàn có điều kiện kinh tế - xã hội đặc biệt khó khăn hoặc dự án đầu tư có vốn đầu tư lớn nhưng thu hồi vốn chậm; dự án đầu tư xây dựng và kinh doanh kết cấu hạ tầng khu công nghệ cao, khu công nghiệp công nghệ cao, khu công nghệ số tập trung; dự án thuộc diện ưu đãi, hỗ trợ đầu tư đặc biệt quy định tại </w:t>
            </w:r>
            <w:bookmarkStart w:colFirst="0" w:colLast="0" w:name="bookmark=id.ep6pwf3u3a9r" w:id="12"/>
            <w:bookmarkEnd w:id="12"/>
            <w:r w:rsidDel="00000000" w:rsidR="00000000" w:rsidRPr="00000000">
              <w:rPr>
                <w:rFonts w:ascii="Times New Roman" w:cs="Times New Roman" w:eastAsia="Times New Roman" w:hAnsi="Times New Roman"/>
                <w:sz w:val="26"/>
                <w:szCs w:val="26"/>
                <w:rtl w:val="0"/>
              </w:rPr>
              <w:t xml:space="preserve">khoản 2 Điều 17 của Luật này thì thời hạn hoạt động của dự án đầu tư có thể dài hơn nhưng không quá 70 năm.</w:t>
            </w:r>
          </w:p>
        </w:tc>
        <w:tc>
          <w:tcPr/>
          <w:p w:rsidR="00000000" w:rsidDel="00000000" w:rsidP="00000000" w:rsidRDefault="00000000" w:rsidRPr="00000000" w14:paraId="000000FD">
            <w:pPr>
              <w:spacing w:after="120" w:before="120" w:lineRule="auto"/>
              <w:jc w:val="both"/>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Điều 31. Thời hạn hoạt động, tiến độ thực hiện của dự án đầu tư</w:t>
            </w:r>
          </w:p>
          <w:p w:rsidR="00000000" w:rsidDel="00000000" w:rsidP="00000000" w:rsidRDefault="00000000" w:rsidRPr="00000000" w14:paraId="000000FE">
            <w:pPr>
              <w:spacing w:after="120" w:before="12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2. Thời hạn hoạt động của dự án đầu tư ngoài khu kinh tế không quá 50 năm. Dự án đầu tư thực hiện tại địa bàn có điều kiện kinh tế - xã hội khó khăn, địa bàn có điều kiện kinh tế - xã hội đặc biệt khó khăn hoặc dự án đầu tư có vốn đầu tư lớn nhưng thu hồi vốn chậm; dự án đầu tư xây dựng và kinh doanh kết cấu hạ tầng khu công nghệ cao, khu công nghiệp công nghệ cao, </w:t>
            </w:r>
            <w:r w:rsidDel="00000000" w:rsidR="00000000" w:rsidRPr="00000000">
              <w:rPr>
                <w:rFonts w:ascii="Times New Roman" w:cs="Times New Roman" w:eastAsia="Times New Roman" w:hAnsi="Times New Roman"/>
                <w:b w:val="1"/>
                <w:bCs w:val="1"/>
                <w:sz w:val="26"/>
                <w:szCs w:val="26"/>
                <w:rtl w:val="0"/>
              </w:rPr>
              <w:t xml:space="preserve">khu công nghiệp sinh thái,</w:t>
            </w:r>
            <w:r w:rsidDel="00000000" w:rsidR="00000000" w:rsidRPr="00000000">
              <w:rPr>
                <w:rFonts w:ascii="Times New Roman" w:cs="Times New Roman" w:eastAsia="Times New Roman" w:hAnsi="Times New Roman"/>
                <w:sz w:val="26"/>
                <w:szCs w:val="26"/>
                <w:rtl w:val="0"/>
              </w:rPr>
              <w:t xml:space="preserve"> khu công nghệ số tập trung; dự án thuộc diện ưu đãi, hỗ trợ đầu tư đặc biệt quy định tại khoản 2 </w:t>
            </w:r>
            <w:r w:rsidDel="00000000" w:rsidR="00000000" w:rsidRPr="00000000">
              <w:rPr>
                <w:rFonts w:ascii="Times New Roman" w:cs="Times New Roman" w:eastAsia="Times New Roman" w:hAnsi="Times New Roman"/>
                <w:b w:val="1"/>
                <w:bCs w:val="1"/>
                <w:sz w:val="26"/>
                <w:szCs w:val="26"/>
                <w:rtl w:val="0"/>
              </w:rPr>
              <w:t xml:space="preserve">và điểm b khoản 4 </w:t>
            </w:r>
            <w:r w:rsidDel="00000000" w:rsidR="00000000" w:rsidRPr="00000000">
              <w:rPr>
                <w:rFonts w:ascii="Times New Roman" w:cs="Times New Roman" w:eastAsia="Times New Roman" w:hAnsi="Times New Roman"/>
                <w:sz w:val="26"/>
                <w:szCs w:val="26"/>
                <w:rtl w:val="0"/>
              </w:rPr>
              <w:t xml:space="preserve">Điều 17 của Luật này thì thời hạn hoạt động của dự án đầu tư có thể dài hơn nhưng không quá 70 năm.</w:t>
            </w:r>
          </w:p>
        </w:tc>
        <w:tc>
          <w:tcPr/>
          <w:p w:rsidR="00000000" w:rsidDel="00000000" w:rsidP="00000000" w:rsidRDefault="00000000" w:rsidRPr="00000000" w14:paraId="000000FF">
            <w:pPr>
              <w:spacing w:after="120" w:before="120" w:lineRule="auto"/>
              <w:jc w:val="both"/>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sz w:val="26"/>
                <w:szCs w:val="26"/>
                <w:rtl w:val="0"/>
              </w:rPr>
              <w:t xml:space="preserve">Nghị quyết 10-NQ/TW đặt ra mục tiêu về tỷ lệ khu công nghiệp sinh thái, bao gồm chuyển đổi và thành lập mới chiếm khoảng 10% tổng số khu công nghiệp trên cả nước. Theo đó, việc cho phép các dự án đầu tư xây dựng và kinh doanh kết cấu hạ tầng khu công nghiệp sinh thái được áp dụng thời hạn hoạt động lên đến 70 năm nhằm khuyến khích nhà đầu tư phát triển, chuyển đổi khu công nghiệp theo hướng sinh thái, xanh và bền vững; tạo điều kiện thu hồi vốn và nâng cao hiệu quả đầu tư đối với các dự án này do vốn lớn và thời gian hoàn vốn dài, qua đó góp phần thực hiện mục tiêu phát triển khu công nghiệp sinh thái.</w:t>
            </w:r>
            <w:r w:rsidDel="00000000" w:rsidR="00000000" w:rsidRPr="00000000">
              <w:rPr>
                <w:rtl w:val="0"/>
              </w:rPr>
            </w:r>
          </w:p>
        </w:tc>
      </w:tr>
      <w:tr>
        <w:trPr>
          <w:cantSplit w:val="0"/>
          <w:tblHeader w:val="0"/>
        </w:trPr>
        <w:tc>
          <w:tcPr/>
          <w:p w:rsidR="00000000" w:rsidDel="00000000" w:rsidP="00000000" w:rsidRDefault="00000000" w:rsidRPr="00000000" w14:paraId="0000010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120" w:line="278.00000000000006" w:lineRule="auto"/>
              <w:ind w:left="0" w:right="0" w:firstLine="0"/>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tl w:val="0"/>
              </w:rPr>
            </w:r>
          </w:p>
        </w:tc>
        <w:tc>
          <w:tcPr/>
          <w:p w:rsidR="00000000" w:rsidDel="00000000" w:rsidP="00000000" w:rsidRDefault="00000000" w:rsidRPr="00000000" w14:paraId="00000101">
            <w:pPr>
              <w:spacing w:after="120" w:before="120" w:lineRule="auto"/>
              <w:jc w:val="both"/>
              <w:rPr>
                <w:rFonts w:ascii="Times New Roman" w:cs="Times New Roman" w:eastAsia="Times New Roman" w:hAnsi="Times New Roman"/>
                <w:b w:val="1"/>
                <w:bCs w:val="1"/>
                <w:sz w:val="26"/>
                <w:szCs w:val="26"/>
              </w:rPr>
            </w:pPr>
            <w:r w:rsidDel="00000000" w:rsidR="00000000" w:rsidRPr="00000000">
              <w:rPr>
                <w:rtl w:val="0"/>
              </w:rPr>
            </w:r>
          </w:p>
        </w:tc>
        <w:tc>
          <w:tcPr/>
          <w:p w:rsidR="00000000" w:rsidDel="00000000" w:rsidP="00000000" w:rsidRDefault="00000000" w:rsidRPr="00000000" w14:paraId="00000102">
            <w:pPr>
              <w:spacing w:after="120" w:before="120" w:lineRule="auto"/>
              <w:jc w:val="both"/>
              <w:rPr>
                <w:rFonts w:ascii="Times New Roman" w:cs="Times New Roman" w:eastAsia="Times New Roman" w:hAnsi="Times New Roman"/>
                <w:b w:val="1"/>
                <w:bCs w:val="1"/>
                <w:sz w:val="26"/>
                <w:szCs w:val="26"/>
              </w:rPr>
            </w:pPr>
            <w:r w:rsidDel="00000000" w:rsidR="00000000" w:rsidRPr="00000000">
              <w:rPr>
                <w:rtl w:val="0"/>
              </w:rPr>
            </w:r>
          </w:p>
        </w:tc>
        <w:tc>
          <w:tcPr/>
          <w:p w:rsidR="00000000" w:rsidDel="00000000" w:rsidP="00000000" w:rsidRDefault="00000000" w:rsidRPr="00000000" w14:paraId="00000103">
            <w:pPr>
              <w:widowControl w:val="0"/>
              <w:shd w:fill="ffffff" w:val="clear"/>
              <w:tabs>
                <w:tab w:val="left" w:leader="none" w:pos="851"/>
                <w:tab w:val="left" w:leader="none" w:pos="1021"/>
              </w:tabs>
              <w:spacing w:after="120" w:before="120" w:lineRule="auto"/>
              <w:ind w:firstLine="37"/>
              <w:jc w:val="both"/>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Điều 44a. Quản lý nhà nước đối với dự án đầu tư</w:t>
            </w:r>
          </w:p>
          <w:p w:rsidR="00000000" w:rsidDel="00000000" w:rsidP="00000000" w:rsidRDefault="00000000" w:rsidRPr="00000000" w14:paraId="00000104">
            <w:pPr>
              <w:widowControl w:val="0"/>
              <w:shd w:fill="ffffff" w:val="clear"/>
              <w:tabs>
                <w:tab w:val="left" w:leader="none" w:pos="851"/>
                <w:tab w:val="left" w:leader="none" w:pos="1021"/>
              </w:tabs>
              <w:spacing w:after="120" w:before="120" w:lineRule="auto"/>
              <w:ind w:firstLine="37"/>
              <w:jc w:val="both"/>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1. Việc quản lý nhà nước đối với dự án đầu tư được thực hiện theo toàn bộ vòng đời của dự án, bao gồm các giai đoạn sau: </w:t>
            </w:r>
          </w:p>
          <w:p w:rsidR="00000000" w:rsidDel="00000000" w:rsidP="00000000" w:rsidRDefault="00000000" w:rsidRPr="00000000" w14:paraId="00000105">
            <w:pPr>
              <w:widowControl w:val="0"/>
              <w:shd w:fill="ffffff" w:val="clear"/>
              <w:tabs>
                <w:tab w:val="left" w:leader="none" w:pos="851"/>
                <w:tab w:val="left" w:leader="none" w:pos="1021"/>
              </w:tabs>
              <w:spacing w:after="120" w:before="120" w:lineRule="auto"/>
              <w:ind w:firstLine="37"/>
              <w:jc w:val="both"/>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a) Xúc tiến đầu tư;</w:t>
            </w:r>
          </w:p>
          <w:p w:rsidR="00000000" w:rsidDel="00000000" w:rsidP="00000000" w:rsidRDefault="00000000" w:rsidRPr="00000000" w14:paraId="00000106">
            <w:pPr>
              <w:widowControl w:val="0"/>
              <w:shd w:fill="ffffff" w:val="clear"/>
              <w:tabs>
                <w:tab w:val="left" w:leader="none" w:pos="851"/>
                <w:tab w:val="left" w:leader="none" w:pos="1021"/>
              </w:tabs>
              <w:spacing w:after="120" w:before="120" w:lineRule="auto"/>
              <w:ind w:firstLine="37"/>
              <w:jc w:val="both"/>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b) Lựa chọn nhà đầu tư;</w:t>
            </w:r>
          </w:p>
          <w:p w:rsidR="00000000" w:rsidDel="00000000" w:rsidP="00000000" w:rsidRDefault="00000000" w:rsidRPr="00000000" w14:paraId="00000107">
            <w:pPr>
              <w:widowControl w:val="0"/>
              <w:shd w:fill="ffffff" w:val="clear"/>
              <w:tabs>
                <w:tab w:val="left" w:leader="none" w:pos="851"/>
                <w:tab w:val="left" w:leader="none" w:pos="1021"/>
              </w:tabs>
              <w:spacing w:after="120" w:before="120" w:lineRule="auto"/>
              <w:ind w:firstLine="37"/>
              <w:jc w:val="both"/>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c) Quyết định chủ trương đầu tư và cấp Giấy chứng nhận đăng ký đầu tư;</w:t>
            </w:r>
          </w:p>
          <w:p w:rsidR="00000000" w:rsidDel="00000000" w:rsidP="00000000" w:rsidRDefault="00000000" w:rsidRPr="00000000" w14:paraId="00000108">
            <w:pPr>
              <w:widowControl w:val="0"/>
              <w:shd w:fill="ffffff" w:val="clear"/>
              <w:tabs>
                <w:tab w:val="left" w:leader="none" w:pos="851"/>
                <w:tab w:val="left" w:leader="none" w:pos="1021"/>
              </w:tabs>
              <w:spacing w:after="120" w:before="120" w:lineRule="auto"/>
              <w:ind w:firstLine="37"/>
              <w:jc w:val="both"/>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d) Triển khai thực hiện dự án;</w:t>
            </w:r>
          </w:p>
          <w:p w:rsidR="00000000" w:rsidDel="00000000" w:rsidP="00000000" w:rsidRDefault="00000000" w:rsidRPr="00000000" w14:paraId="00000109">
            <w:pPr>
              <w:widowControl w:val="0"/>
              <w:shd w:fill="ffffff" w:val="clear"/>
              <w:tabs>
                <w:tab w:val="left" w:leader="none" w:pos="851"/>
                <w:tab w:val="left" w:leader="none" w:pos="1021"/>
              </w:tabs>
              <w:spacing w:after="120" w:before="120" w:lineRule="auto"/>
              <w:ind w:firstLine="37"/>
              <w:jc w:val="both"/>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đ) Theo dõi, đánh giá, hỗ trợ trong quá trình hoạt động;</w:t>
            </w:r>
          </w:p>
          <w:p w:rsidR="00000000" w:rsidDel="00000000" w:rsidP="00000000" w:rsidRDefault="00000000" w:rsidRPr="00000000" w14:paraId="0000010A">
            <w:pPr>
              <w:widowControl w:val="0"/>
              <w:shd w:fill="ffffff" w:val="clear"/>
              <w:tabs>
                <w:tab w:val="left" w:leader="none" w:pos="851"/>
                <w:tab w:val="left" w:leader="none" w:pos="1021"/>
              </w:tabs>
              <w:spacing w:after="120" w:before="120" w:lineRule="auto"/>
              <w:ind w:firstLine="37"/>
              <w:jc w:val="both"/>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e) Điều chỉnh, mở rộng dự án;</w:t>
            </w:r>
          </w:p>
          <w:p w:rsidR="00000000" w:rsidDel="00000000" w:rsidP="00000000" w:rsidRDefault="00000000" w:rsidRPr="00000000" w14:paraId="0000010B">
            <w:pPr>
              <w:widowControl w:val="0"/>
              <w:shd w:fill="ffffff" w:val="clear"/>
              <w:tabs>
                <w:tab w:val="left" w:leader="none" w:pos="851"/>
                <w:tab w:val="left" w:leader="none" w:pos="1021"/>
              </w:tabs>
              <w:spacing w:after="120" w:before="120" w:lineRule="auto"/>
              <w:ind w:firstLine="37"/>
              <w:jc w:val="both"/>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g) Chấm dứt hoạt động dự án.</w:t>
            </w:r>
          </w:p>
          <w:p w:rsidR="00000000" w:rsidDel="00000000" w:rsidP="00000000" w:rsidRDefault="00000000" w:rsidRPr="00000000" w14:paraId="0000010C">
            <w:pPr>
              <w:spacing w:after="120" w:before="120" w:lineRule="auto"/>
              <w:ind w:firstLine="37"/>
              <w:jc w:val="both"/>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2. Các bộ, cơ quan ngang bộ, Ủy ban nhân dân các tỉnh, thành phố trực thuộc trung ương triển khai đồng bộ các hoạt động hỗ trợ, giám sát, kiểm tra, đánh giá đầu tư theo chức năng, nhiệm vụ, thẩm quyền theo quy định tại Điều 44 của Luật này.</w:t>
            </w:r>
          </w:p>
        </w:tc>
        <w:tc>
          <w:tcPr/>
          <w:p w:rsidR="00000000" w:rsidDel="00000000" w:rsidP="00000000" w:rsidRDefault="00000000" w:rsidRPr="00000000" w14:paraId="0000010D">
            <w:pPr>
              <w:widowControl w:val="0"/>
              <w:spacing w:after="120" w:before="12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Nghị quyết 10-NQ/TW đặt ra nhiệm vụ quản lý nhà nước về việc tổ chức thực hiện Bộ tiêu chí đánh giá hiệu quả kinh tế có vốn đầu tư nước ngoài đối với cả Trung ương và địa phương; lấy chất lượng, hiệu quả, công nghệ, đổi mới sáng tạo, đào tạo người Việt Nam, phát triển nhà cung ứng, đóng góp ngân sách nhà nước, bảo vệ môi trường, tuân thủ pháp luật và an ninh kinh tế làm tiêu chí chủ yếu. Do đó, dự thảo đưa ra các quy định mang tiếng nguyên tắc về việc đánh giá hiệu quả hoạt động đầu tư trên cơ sở quan điểm chỉ đạo tại Nghị quyết số 10-NQ/TW về việc “lấy chất lượng, hiệu quả, chuyển giao công nghệ, tham gia chuỗi cung ứng, giá trị gia tăng,… làm tiêu chí chủ yếu”. Đồng thời, giao Thủ tướng Chính phủ quy định bộ chỉ tiêu, phương pháp và cơ chế theo dõi nhằm bảo đảm thống nhất trong đánh giá trên phạm vi cả nước.</w:t>
            </w:r>
          </w:p>
        </w:tc>
      </w:tr>
      <w:tr>
        <w:trPr>
          <w:cantSplit w:val="0"/>
          <w:tblHeader w:val="0"/>
        </w:trPr>
        <w:tc>
          <w:tcPr/>
          <w:p w:rsidR="00000000" w:rsidDel="00000000" w:rsidP="00000000" w:rsidRDefault="00000000" w:rsidRPr="00000000" w14:paraId="0000010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120" w:line="278.00000000000006" w:lineRule="auto"/>
              <w:ind w:left="0" w:right="0" w:firstLine="0"/>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tl w:val="0"/>
              </w:rPr>
            </w:r>
          </w:p>
        </w:tc>
        <w:tc>
          <w:tcPr/>
          <w:p w:rsidR="00000000" w:rsidDel="00000000" w:rsidP="00000000" w:rsidRDefault="00000000" w:rsidRPr="00000000" w14:paraId="0000010F">
            <w:pPr>
              <w:spacing w:after="120" w:before="120" w:lineRule="auto"/>
              <w:jc w:val="both"/>
              <w:rPr>
                <w:rFonts w:ascii="Times New Roman" w:cs="Times New Roman" w:eastAsia="Times New Roman" w:hAnsi="Times New Roman"/>
                <w:b w:val="1"/>
                <w:bCs w:val="1"/>
                <w:sz w:val="26"/>
                <w:szCs w:val="26"/>
              </w:rPr>
            </w:pPr>
            <w:r w:rsidDel="00000000" w:rsidR="00000000" w:rsidRPr="00000000">
              <w:rPr>
                <w:rtl w:val="0"/>
              </w:rPr>
            </w:r>
          </w:p>
        </w:tc>
        <w:tc>
          <w:tcPr/>
          <w:bookmarkStart w:colFirst="0" w:colLast="0" w:name="bookmark=id.xbymxfctbda7" w:id="13"/>
          <w:bookmarkEnd w:id="13"/>
          <w:p w:rsidR="00000000" w:rsidDel="00000000" w:rsidP="00000000" w:rsidRDefault="00000000" w:rsidRPr="00000000" w14:paraId="00000110">
            <w:pPr>
              <w:spacing w:after="120" w:before="120" w:lineRule="auto"/>
              <w:jc w:val="both"/>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Điều 45. Kiểm tra, giám sát, đánh giá đầu tư</w:t>
            </w:r>
          </w:p>
          <w:p w:rsidR="00000000" w:rsidDel="00000000" w:rsidP="00000000" w:rsidRDefault="00000000" w:rsidRPr="00000000" w14:paraId="00000111">
            <w:pPr>
              <w:spacing w:after="120" w:before="120" w:lineRule="auto"/>
              <w:jc w:val="both"/>
              <w:rPr>
                <w:rFonts w:ascii="Times New Roman" w:cs="Times New Roman" w:eastAsia="Times New Roman" w:hAnsi="Times New Roman"/>
                <w:b w:val="1"/>
                <w:bCs w:val="1"/>
                <w:sz w:val="26"/>
                <w:szCs w:val="26"/>
              </w:rPr>
            </w:pPr>
            <w:r w:rsidDel="00000000" w:rsidR="00000000" w:rsidRPr="00000000">
              <w:rPr>
                <w:rtl w:val="0"/>
              </w:rPr>
            </w:r>
          </w:p>
        </w:tc>
        <w:tc>
          <w:tcPr/>
          <w:p w:rsidR="00000000" w:rsidDel="00000000" w:rsidP="00000000" w:rsidRDefault="00000000" w:rsidRPr="00000000" w14:paraId="00000112">
            <w:pPr>
              <w:spacing w:after="120" w:before="120" w:lineRule="auto"/>
              <w:jc w:val="both"/>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Điều 45. Kiểm tra, giám sát, đánh giá đầu tư</w:t>
            </w:r>
          </w:p>
          <w:p w:rsidR="00000000" w:rsidDel="00000000" w:rsidP="00000000" w:rsidRDefault="00000000" w:rsidRPr="00000000" w14:paraId="00000113">
            <w:pPr>
              <w:widowControl w:val="0"/>
              <w:shd w:fill="ffffff" w:val="clear"/>
              <w:tabs>
                <w:tab w:val="left" w:leader="none" w:pos="851"/>
                <w:tab w:val="left" w:leader="none" w:pos="1021"/>
              </w:tabs>
              <w:spacing w:after="120" w:before="120" w:lineRule="auto"/>
              <w:ind w:firstLine="37"/>
              <w:jc w:val="both"/>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6a) Đánh giá hiệu quả hoạt động đầu tư</w:t>
            </w:r>
          </w:p>
          <w:p w:rsidR="00000000" w:rsidDel="00000000" w:rsidP="00000000" w:rsidRDefault="00000000" w:rsidRPr="00000000" w14:paraId="00000114">
            <w:pPr>
              <w:widowControl w:val="0"/>
              <w:shd w:fill="ffffff" w:val="clear"/>
              <w:tabs>
                <w:tab w:val="left" w:leader="none" w:pos="851"/>
                <w:tab w:val="left" w:leader="none" w:pos="1021"/>
              </w:tabs>
              <w:spacing w:after="120" w:before="120" w:lineRule="auto"/>
              <w:ind w:firstLine="37"/>
              <w:jc w:val="both"/>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a) Hiệu quả hoạt động đầu tư được đánh giá trên cơ sở chất lượng, hiệu quả, tính bền vững và mức độ đóng góp thực chất của dự án đầu tư đối với phát triển kinh tế - xã hội, nâng cao năng lực cạnh tranh và năng lực tự chủ của nền kinh tế.</w:t>
            </w:r>
          </w:p>
          <w:p w:rsidR="00000000" w:rsidDel="00000000" w:rsidP="00000000" w:rsidRDefault="00000000" w:rsidRPr="00000000" w14:paraId="00000115">
            <w:pPr>
              <w:widowControl w:val="0"/>
              <w:shd w:fill="ffffff" w:val="clear"/>
              <w:tabs>
                <w:tab w:val="left" w:leader="none" w:pos="851"/>
                <w:tab w:val="left" w:leader="none" w:pos="1021"/>
              </w:tabs>
              <w:spacing w:after="120" w:before="120" w:lineRule="auto"/>
              <w:ind w:firstLine="37"/>
              <w:jc w:val="both"/>
              <w:rPr>
                <w:rFonts w:ascii="Times New Roman" w:cs="Times New Roman" w:eastAsia="Times New Roman" w:hAnsi="Times New Roman"/>
                <w:b w:val="1"/>
                <w:bCs w:val="1"/>
                <w:strike w:val="1"/>
                <w:sz w:val="26"/>
                <w:szCs w:val="26"/>
              </w:rPr>
            </w:pPr>
            <w:r w:rsidDel="00000000" w:rsidR="00000000" w:rsidRPr="00000000">
              <w:rPr>
                <w:rFonts w:ascii="Times New Roman" w:cs="Times New Roman" w:eastAsia="Times New Roman" w:hAnsi="Times New Roman"/>
                <w:b w:val="1"/>
                <w:bCs w:val="1"/>
                <w:sz w:val="26"/>
                <w:szCs w:val="26"/>
                <w:rtl w:val="0"/>
              </w:rPr>
              <w:t xml:space="preserve">b) Việc đánh giá hiệu quả hoạt động đầu tư phải bảo đảm khách quan, toàn diện, công khai, minh bạch; kết hợp giữa đánh giá định lượng và định tính; lấy hiệu quả thực chất, giá trị gia tăng và tác động lan tỏa làm căn cứ chủ yếu để xây dựng, điều chỉnh và tổ chức thực hiện chính sách phát triển kinh tế có vốn đầu tư nước ngoài.</w:t>
            </w:r>
            <w:r w:rsidDel="00000000" w:rsidR="00000000" w:rsidRPr="00000000">
              <w:rPr>
                <w:rtl w:val="0"/>
              </w:rPr>
            </w:r>
          </w:p>
          <w:p w:rsidR="00000000" w:rsidDel="00000000" w:rsidP="00000000" w:rsidRDefault="00000000" w:rsidRPr="00000000" w14:paraId="00000116">
            <w:pPr>
              <w:spacing w:after="120" w:before="120" w:lineRule="auto"/>
              <w:ind w:firstLine="37"/>
              <w:jc w:val="both"/>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c) Thủ tướng Chính phủ quy định nội dung, tiêu chí, phương pháp đánh giá và cơ chế theo dõi hiệu quả hoạt động đầu tư.</w:t>
            </w:r>
          </w:p>
        </w:tc>
        <w:tc>
          <w:tcPr/>
          <w:p w:rsidR="00000000" w:rsidDel="00000000" w:rsidP="00000000" w:rsidRDefault="00000000" w:rsidRPr="00000000" w14:paraId="00000117">
            <w:pPr>
              <w:spacing w:after="120" w:before="120" w:lineRule="auto"/>
              <w:jc w:val="both"/>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sz w:val="26"/>
                <w:szCs w:val="26"/>
                <w:rtl w:val="0"/>
              </w:rPr>
              <w:t xml:space="preserve">Nghị quyết 10-NQ/TW đặt ra nhiệm vụ quản lý nhà nước về việc tổ chức thực hiện Bộ tiêu chí đánh giá hiệu quả kinh tế có vốn đầu tư nước ngoài đối với cả Trung ương và địa phương; lấy chất lượng, hiệu quả, công nghệ, đổi mới sáng tạo, đào tạo người Việt Nam, phát triển nhà cung ứng, đóng góp ngân sách nhà nước, bảo vệ môi trường, tuân thủ pháp luật và an ninh kinh tế làm tiêu chí chủ yếu. Do đó, dự thảo đưa ra các quy định mang tiếng nguyên tắc về việc đánh giá hiệu quả hoạt động đầu tư trên cơ sở quan điểm chỉ đạo tại Nghị quyết số 10-NQ/TW về việc “lấy chất lượng, hiệu quả, chuyển giao công nghệ, tham gia chuỗi cung ứng, giá trị gia tăng,… làm tiêu chí chủ yếu”. Đồng thời, giao Thủ tướng Chính phủ quy định bộ chỉ tiêu, phương pháp và cơ chế theo dõi nhằm bảo đảm thống nhất trong đánh giá trên phạm vi cả nước.</w:t>
            </w:r>
            <w:r w:rsidDel="00000000" w:rsidR="00000000" w:rsidRPr="00000000">
              <w:rPr>
                <w:rtl w:val="0"/>
              </w:rPr>
            </w:r>
          </w:p>
        </w:tc>
      </w:tr>
      <w:tr>
        <w:trPr>
          <w:cantSplit w:val="0"/>
          <w:tblHeader w:val="0"/>
        </w:trPr>
        <w:tc>
          <w:tcPr/>
          <w:p w:rsidR="00000000" w:rsidDel="00000000" w:rsidP="00000000" w:rsidRDefault="00000000" w:rsidRPr="00000000" w14:paraId="0000011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120" w:line="278.00000000000006" w:lineRule="auto"/>
              <w:ind w:left="0" w:right="0" w:firstLine="0"/>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tl w:val="0"/>
              </w:rPr>
            </w:r>
          </w:p>
        </w:tc>
        <w:tc>
          <w:tcPr/>
          <w:p w:rsidR="00000000" w:rsidDel="00000000" w:rsidP="00000000" w:rsidRDefault="00000000" w:rsidRPr="00000000" w14:paraId="00000119">
            <w:pPr>
              <w:spacing w:after="120" w:before="120" w:lineRule="auto"/>
              <w:jc w:val="both"/>
              <w:rPr>
                <w:rFonts w:ascii="Times New Roman" w:cs="Times New Roman" w:eastAsia="Times New Roman" w:hAnsi="Times New Roman"/>
                <w:b w:val="1"/>
                <w:bCs w:val="1"/>
                <w:sz w:val="26"/>
                <w:szCs w:val="26"/>
              </w:rPr>
            </w:pPr>
            <w:r w:rsidDel="00000000" w:rsidR="00000000" w:rsidRPr="00000000">
              <w:rPr>
                <w:rtl w:val="0"/>
              </w:rPr>
            </w:r>
          </w:p>
        </w:tc>
        <w:tc>
          <w:tcPr/>
          <w:bookmarkStart w:colFirst="0" w:colLast="0" w:name="bookmark=id.saoszkv7rdrk" w:id="14"/>
          <w:bookmarkEnd w:id="14"/>
          <w:p w:rsidR="00000000" w:rsidDel="00000000" w:rsidP="00000000" w:rsidRDefault="00000000" w:rsidRPr="00000000" w14:paraId="0000011A">
            <w:pPr>
              <w:spacing w:after="120" w:before="120" w:lineRule="auto"/>
              <w:jc w:val="both"/>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Điều 46. Hệ thống thông tin quốc gia về đầu tư</w:t>
            </w:r>
          </w:p>
          <w:p w:rsidR="00000000" w:rsidDel="00000000" w:rsidP="00000000" w:rsidRDefault="00000000" w:rsidRPr="00000000" w14:paraId="0000011B">
            <w:pPr>
              <w:spacing w:after="120" w:before="120" w:lineRule="auto"/>
              <w:jc w:val="both"/>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11C">
            <w:pPr>
              <w:spacing w:after="120" w:before="120" w:lineRule="auto"/>
              <w:jc w:val="both"/>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11D">
            <w:pPr>
              <w:spacing w:after="120" w:before="12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 Hệ thống thông tin quốc gia về đầu tư bao gồm:</w:t>
            </w:r>
          </w:p>
          <w:p w:rsidR="00000000" w:rsidDel="00000000" w:rsidP="00000000" w:rsidRDefault="00000000" w:rsidRPr="00000000" w14:paraId="0000011E">
            <w:pPr>
              <w:spacing w:after="120" w:before="12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a) Hệ thống thông tin quốc gia về đầu tư trong nước;</w:t>
            </w:r>
          </w:p>
          <w:p w:rsidR="00000000" w:rsidDel="00000000" w:rsidP="00000000" w:rsidRDefault="00000000" w:rsidRPr="00000000" w14:paraId="0000011F">
            <w:pPr>
              <w:spacing w:after="120" w:before="12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b) Hệ thống thông tin quốc gia về đầu tư nước ngoài vào Việt Nam;</w:t>
            </w:r>
          </w:p>
          <w:p w:rsidR="00000000" w:rsidDel="00000000" w:rsidP="00000000" w:rsidRDefault="00000000" w:rsidRPr="00000000" w14:paraId="00000120">
            <w:pPr>
              <w:spacing w:after="120" w:before="12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c) Hệ thống thông tin quốc gia về đầu tư của Việt Nam ra nước ngoài;</w:t>
            </w:r>
          </w:p>
          <w:p w:rsidR="00000000" w:rsidDel="00000000" w:rsidP="00000000" w:rsidRDefault="00000000" w:rsidRPr="00000000" w14:paraId="00000121">
            <w:pPr>
              <w:spacing w:after="120" w:before="12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d) Hệ thống thông tin quốc gia về xúc tiến đầu tư;</w:t>
            </w:r>
          </w:p>
          <w:p w:rsidR="00000000" w:rsidDel="00000000" w:rsidP="00000000" w:rsidRDefault="00000000" w:rsidRPr="00000000" w14:paraId="00000122">
            <w:pPr>
              <w:spacing w:after="120" w:before="12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đ) Hệ thống thông tin quốc gia về khu công nghiệp, khu kinh tế;</w:t>
            </w:r>
          </w:p>
          <w:p w:rsidR="00000000" w:rsidDel="00000000" w:rsidP="00000000" w:rsidRDefault="00000000" w:rsidRPr="00000000" w14:paraId="00000123">
            <w:pPr>
              <w:spacing w:after="120" w:before="12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e) Hệ thống thông tin quốc gia về các nội dung quản lý đầu tư khác.</w:t>
            </w:r>
          </w:p>
          <w:p w:rsidR="00000000" w:rsidDel="00000000" w:rsidP="00000000" w:rsidRDefault="00000000" w:rsidRPr="00000000" w14:paraId="00000124">
            <w:pPr>
              <w:spacing w:after="120" w:before="120" w:lineRule="auto"/>
              <w:jc w:val="both"/>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125">
            <w:pPr>
              <w:spacing w:after="120" w:before="120" w:lineRule="auto"/>
              <w:jc w:val="both"/>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126">
            <w:pPr>
              <w:spacing w:after="120" w:before="120" w:lineRule="auto"/>
              <w:jc w:val="both"/>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127">
            <w:pPr>
              <w:spacing w:after="120" w:before="120" w:lineRule="auto"/>
              <w:jc w:val="both"/>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128">
            <w:pPr>
              <w:spacing w:after="120" w:before="120" w:lineRule="auto"/>
              <w:jc w:val="both"/>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129">
            <w:pPr>
              <w:spacing w:after="120" w:before="120" w:lineRule="auto"/>
              <w:jc w:val="both"/>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12A">
            <w:pPr>
              <w:spacing w:after="120" w:before="120" w:lineRule="auto"/>
              <w:jc w:val="both"/>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12B">
            <w:pPr>
              <w:spacing w:after="120" w:before="120" w:lineRule="auto"/>
              <w:jc w:val="both"/>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12C">
            <w:pPr>
              <w:spacing w:after="120" w:before="12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2. Bộ Tài chính chủ trì, phối hợp với các cơ quan có liên quan xây dựng và vận hành Hệ thống thông tin quốc gia về đầu tư; xây dựng cơ sở dữ liệu quốc gia về đầu tư; đánh giá việc vận hành hệ thống của cơ quan quản lý nhà nước về đầu tư ở trung ương và địa phương.</w:t>
            </w:r>
          </w:p>
          <w:p w:rsidR="00000000" w:rsidDel="00000000" w:rsidP="00000000" w:rsidRDefault="00000000" w:rsidRPr="00000000" w14:paraId="0000012D">
            <w:pPr>
              <w:spacing w:after="120" w:before="120" w:lineRule="auto"/>
              <w:jc w:val="both"/>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12E">
            <w:pPr>
              <w:spacing w:after="120" w:before="12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3. Cơ quan quản lý nhà nước về đầu tư và nhà đầu tư có trách nhiệm cập nhật đầy đủ, kịp thời, chính xác các thông tin liên quan vào Hệ thống thông tin quốc gia về đầu tư.</w:t>
            </w:r>
          </w:p>
          <w:p w:rsidR="00000000" w:rsidDel="00000000" w:rsidP="00000000" w:rsidRDefault="00000000" w:rsidRPr="00000000" w14:paraId="0000012F">
            <w:pPr>
              <w:spacing w:after="120" w:before="120" w:lineRule="auto"/>
              <w:jc w:val="both"/>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130">
            <w:pPr>
              <w:spacing w:after="120" w:before="120" w:lineRule="auto"/>
              <w:jc w:val="both"/>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131">
            <w:pPr>
              <w:spacing w:after="120" w:before="12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4. Thông tin về dự án đầu tư lưu trữ tại Hệ thống thông tin quốc gia về đầu tư có giá trị pháp lý là thông tin gốc về dự án đầu tư.</w:t>
            </w:r>
          </w:p>
          <w:p w:rsidR="00000000" w:rsidDel="00000000" w:rsidP="00000000" w:rsidRDefault="00000000" w:rsidRPr="00000000" w14:paraId="00000132">
            <w:pPr>
              <w:spacing w:after="120" w:before="120" w:lineRule="auto"/>
              <w:jc w:val="both"/>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133">
            <w:pPr>
              <w:spacing w:after="120" w:before="120" w:lineRule="auto"/>
              <w:jc w:val="both"/>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134">
            <w:pPr>
              <w:spacing w:after="120" w:before="120" w:lineRule="auto"/>
              <w:jc w:val="both"/>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135">
            <w:pPr>
              <w:spacing w:after="120" w:before="120" w:lineRule="auto"/>
              <w:jc w:val="both"/>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136">
            <w:pPr>
              <w:spacing w:after="120" w:before="120" w:lineRule="auto"/>
              <w:jc w:val="both"/>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137">
            <w:pPr>
              <w:spacing w:after="120" w:before="120" w:lineRule="auto"/>
              <w:jc w:val="both"/>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138">
            <w:pPr>
              <w:spacing w:after="120" w:before="120" w:lineRule="auto"/>
              <w:jc w:val="both"/>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139">
            <w:pPr>
              <w:spacing w:after="120" w:before="120" w:lineRule="auto"/>
              <w:jc w:val="both"/>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13A">
            <w:pPr>
              <w:spacing w:after="120" w:before="120" w:lineRule="auto"/>
              <w:jc w:val="both"/>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13B">
            <w:pPr>
              <w:spacing w:after="120" w:before="120" w:lineRule="auto"/>
              <w:jc w:val="both"/>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13C">
            <w:pPr>
              <w:spacing w:after="120" w:before="120" w:lineRule="auto"/>
              <w:jc w:val="both"/>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13D">
            <w:pPr>
              <w:spacing w:after="120" w:before="120" w:lineRule="auto"/>
              <w:jc w:val="both"/>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13E">
            <w:pPr>
              <w:spacing w:after="120" w:before="120" w:lineRule="auto"/>
              <w:jc w:val="both"/>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13F">
            <w:pPr>
              <w:spacing w:after="120" w:before="120" w:lineRule="auto"/>
              <w:jc w:val="both"/>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140">
            <w:pPr>
              <w:spacing w:after="120" w:before="120" w:lineRule="auto"/>
              <w:jc w:val="both"/>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141">
            <w:pPr>
              <w:spacing w:after="120" w:before="120" w:lineRule="auto"/>
              <w:jc w:val="both"/>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142">
            <w:pPr>
              <w:spacing w:after="120" w:before="120" w:lineRule="auto"/>
              <w:jc w:val="both"/>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143">
            <w:pPr>
              <w:spacing w:after="120" w:before="120" w:lineRule="auto"/>
              <w:jc w:val="both"/>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144">
            <w:pPr>
              <w:spacing w:after="120" w:before="120" w:lineRule="auto"/>
              <w:jc w:val="both"/>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145">
            <w:pPr>
              <w:spacing w:after="120" w:before="120" w:lineRule="auto"/>
              <w:jc w:val="both"/>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146">
            <w:pPr>
              <w:spacing w:after="120" w:before="120" w:lineRule="auto"/>
              <w:jc w:val="both"/>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sz w:val="26"/>
                <w:szCs w:val="26"/>
                <w:rtl w:val="0"/>
              </w:rPr>
              <w:t xml:space="preserve">5. Chính phủ quy định chi tiết về hệ thống thông tin quốc gia về đầu tư.</w:t>
            </w:r>
            <w:r w:rsidDel="00000000" w:rsidR="00000000" w:rsidRPr="00000000">
              <w:rPr>
                <w:rtl w:val="0"/>
              </w:rPr>
            </w:r>
          </w:p>
        </w:tc>
        <w:tc>
          <w:tcPr/>
          <w:p w:rsidR="00000000" w:rsidDel="00000000" w:rsidP="00000000" w:rsidRDefault="00000000" w:rsidRPr="00000000" w14:paraId="00000147">
            <w:pPr>
              <w:widowControl w:val="0"/>
              <w:shd w:fill="ffffff" w:val="clear"/>
              <w:tabs>
                <w:tab w:val="left" w:leader="none" w:pos="851"/>
                <w:tab w:val="left" w:leader="none" w:pos="1021"/>
              </w:tabs>
              <w:spacing w:after="120" w:before="12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bCs w:val="1"/>
                <w:sz w:val="26"/>
                <w:szCs w:val="26"/>
                <w:rtl w:val="0"/>
              </w:rPr>
              <w:t xml:space="preserve">Điều 46. Xây dựng nền tảng số, cơ sở dữ liệu lớn về đầu tư trực tiếp nước ngoài tích hợp trên Cổng đầu tư một cửa quốc gia</w:t>
            </w:r>
            <w:r w:rsidDel="00000000" w:rsidR="00000000" w:rsidRPr="00000000">
              <w:rPr>
                <w:rtl w:val="0"/>
              </w:rPr>
            </w:r>
          </w:p>
          <w:p w:rsidR="00000000" w:rsidDel="00000000" w:rsidP="00000000" w:rsidRDefault="00000000" w:rsidRPr="00000000" w14:paraId="00000148">
            <w:pPr>
              <w:widowControl w:val="0"/>
              <w:shd w:fill="ffffff" w:val="clear"/>
              <w:tabs>
                <w:tab w:val="left" w:leader="none" w:pos="851"/>
                <w:tab w:val="left" w:leader="none" w:pos="1021"/>
              </w:tabs>
              <w:spacing w:after="120" w:before="12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 Hệ thống thông tin quốc gia về đầu tư bao gồm:</w:t>
            </w:r>
          </w:p>
          <w:p w:rsidR="00000000" w:rsidDel="00000000" w:rsidP="00000000" w:rsidRDefault="00000000" w:rsidRPr="00000000" w14:paraId="00000149">
            <w:pPr>
              <w:widowControl w:val="0"/>
              <w:shd w:fill="ffffff" w:val="clear"/>
              <w:tabs>
                <w:tab w:val="left" w:leader="none" w:pos="851"/>
                <w:tab w:val="left" w:leader="none" w:pos="1021"/>
              </w:tabs>
              <w:spacing w:after="120" w:before="12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a) Hệ thống thông tin quốc gia về đầu tư trong nước;</w:t>
            </w:r>
          </w:p>
          <w:p w:rsidR="00000000" w:rsidDel="00000000" w:rsidP="00000000" w:rsidRDefault="00000000" w:rsidRPr="00000000" w14:paraId="0000014A">
            <w:pPr>
              <w:widowControl w:val="0"/>
              <w:shd w:fill="ffffff" w:val="clear"/>
              <w:tabs>
                <w:tab w:val="left" w:leader="none" w:pos="851"/>
                <w:tab w:val="left" w:leader="none" w:pos="1021"/>
              </w:tabs>
              <w:spacing w:after="120" w:before="12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b) Hệ thống thông tin quốc gia về đầu tư nước ngoài vào Việt Nam;</w:t>
            </w:r>
          </w:p>
          <w:p w:rsidR="00000000" w:rsidDel="00000000" w:rsidP="00000000" w:rsidRDefault="00000000" w:rsidRPr="00000000" w14:paraId="0000014B">
            <w:pPr>
              <w:widowControl w:val="0"/>
              <w:shd w:fill="ffffff" w:val="clear"/>
              <w:tabs>
                <w:tab w:val="left" w:leader="none" w:pos="851"/>
                <w:tab w:val="left" w:leader="none" w:pos="1021"/>
              </w:tabs>
              <w:spacing w:after="120" w:before="12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c) Hệ thống thông tin quốc gia về đầu tư của Việt Nam ra nước ngoài;</w:t>
            </w:r>
          </w:p>
          <w:p w:rsidR="00000000" w:rsidDel="00000000" w:rsidP="00000000" w:rsidRDefault="00000000" w:rsidRPr="00000000" w14:paraId="0000014C">
            <w:pPr>
              <w:widowControl w:val="0"/>
              <w:shd w:fill="ffffff" w:val="clear"/>
              <w:tabs>
                <w:tab w:val="left" w:leader="none" w:pos="851"/>
                <w:tab w:val="left" w:leader="none" w:pos="1021"/>
              </w:tabs>
              <w:spacing w:after="120" w:before="12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d) Hệ thống thông tin quốc gia về xúc tiến đầu tư;</w:t>
            </w:r>
          </w:p>
          <w:p w:rsidR="00000000" w:rsidDel="00000000" w:rsidP="00000000" w:rsidRDefault="00000000" w:rsidRPr="00000000" w14:paraId="0000014D">
            <w:pPr>
              <w:widowControl w:val="0"/>
              <w:shd w:fill="ffffff" w:val="clear"/>
              <w:tabs>
                <w:tab w:val="left" w:leader="none" w:pos="851"/>
                <w:tab w:val="left" w:leader="none" w:pos="1021"/>
              </w:tabs>
              <w:spacing w:after="120" w:before="12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đ) Hệ thống thông tin quốc gia về khu công nghiệp, khu kinh tế;</w:t>
            </w:r>
          </w:p>
          <w:p w:rsidR="00000000" w:rsidDel="00000000" w:rsidP="00000000" w:rsidRDefault="00000000" w:rsidRPr="00000000" w14:paraId="0000014E">
            <w:pPr>
              <w:widowControl w:val="0"/>
              <w:shd w:fill="ffffff" w:val="clear"/>
              <w:tabs>
                <w:tab w:val="left" w:leader="none" w:pos="851"/>
                <w:tab w:val="left" w:leader="none" w:pos="1021"/>
              </w:tabs>
              <w:spacing w:after="120" w:before="12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e) Hệ thống thông tin quốc gia về các nội dung quản lý đầu tư khác.</w:t>
            </w:r>
          </w:p>
          <w:p w:rsidR="00000000" w:rsidDel="00000000" w:rsidP="00000000" w:rsidRDefault="00000000" w:rsidRPr="00000000" w14:paraId="0000014F">
            <w:pPr>
              <w:widowControl w:val="0"/>
              <w:shd w:fill="ffffff" w:val="clear"/>
              <w:tabs>
                <w:tab w:val="left" w:leader="none" w:pos="851"/>
                <w:tab w:val="left" w:leader="none" w:pos="1021"/>
              </w:tabs>
              <w:spacing w:after="120" w:before="12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bCs w:val="1"/>
                <w:sz w:val="26"/>
                <w:szCs w:val="26"/>
                <w:rtl w:val="0"/>
              </w:rPr>
              <w:t xml:space="preserve">1a. Cơ sở dữ liệu quốc gia về đầu tư gồm các cơ sở dữ liệu thành phần phục vụ quản lý các lĩnh vực đầu tư quy định tại khoản 1 Điều này. Cơ sở dữ liệu quốc gia về đầu tư được tích hợp, đồng bộ, kết nối và chia sẻ với cơ sở dữ liệu quốc gia, cơ sở dữ liệu chuyên ngành và hệ thống thông tin của các cơ quan có liên quan theo quy định của pháp luật.</w:t>
            </w:r>
            <w:r w:rsidDel="00000000" w:rsidR="00000000" w:rsidRPr="00000000">
              <w:rPr>
                <w:rtl w:val="0"/>
              </w:rPr>
            </w:r>
          </w:p>
          <w:p w:rsidR="00000000" w:rsidDel="00000000" w:rsidP="00000000" w:rsidRDefault="00000000" w:rsidRPr="00000000" w14:paraId="00000150">
            <w:pPr>
              <w:spacing w:after="120" w:before="120" w:lineRule="auto"/>
              <w:jc w:val="both"/>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sz w:val="26"/>
                <w:szCs w:val="26"/>
                <w:rtl w:val="0"/>
              </w:rPr>
              <w:t xml:space="preserve">2. Bộ Tài chính chủ trì xây dựng, </w:t>
            </w:r>
            <w:r w:rsidDel="00000000" w:rsidR="00000000" w:rsidRPr="00000000">
              <w:rPr>
                <w:rFonts w:ascii="Times New Roman" w:cs="Times New Roman" w:eastAsia="Times New Roman" w:hAnsi="Times New Roman"/>
                <w:b w:val="1"/>
                <w:bCs w:val="1"/>
                <w:sz w:val="26"/>
                <w:szCs w:val="26"/>
                <w:rtl w:val="0"/>
              </w:rPr>
              <w:t xml:space="preserve">quản lý</w:t>
            </w:r>
            <w:r w:rsidDel="00000000" w:rsidR="00000000" w:rsidRPr="00000000">
              <w:rPr>
                <w:rFonts w:ascii="Times New Roman" w:cs="Times New Roman" w:eastAsia="Times New Roman" w:hAnsi="Times New Roman"/>
                <w:sz w:val="26"/>
                <w:szCs w:val="26"/>
                <w:rtl w:val="0"/>
              </w:rPr>
              <w:t xml:space="preserve"> và vận hành </w:t>
            </w:r>
            <w:r w:rsidDel="00000000" w:rsidR="00000000" w:rsidRPr="00000000">
              <w:rPr>
                <w:rFonts w:ascii="Times New Roman" w:cs="Times New Roman" w:eastAsia="Times New Roman" w:hAnsi="Times New Roman"/>
                <w:b w:val="1"/>
                <w:bCs w:val="1"/>
                <w:sz w:val="26"/>
                <w:szCs w:val="26"/>
                <w:rtl w:val="0"/>
              </w:rPr>
              <w:t xml:space="preserve">Cổng đầu tư một cửa quốc gia; phối hợp với các bộ, cơ quan ngang bộ và Ủy ban nhân dân các tỉnh, thành phố, cơ quan quản lý nhà nước về đầu tư tổ chức kết nối, chia sẻ và đồng bộ dữ liệu đầu tư trên phạm vi toàn quốc. </w:t>
            </w:r>
          </w:p>
          <w:p w:rsidR="00000000" w:rsidDel="00000000" w:rsidP="00000000" w:rsidRDefault="00000000" w:rsidRPr="00000000" w14:paraId="00000151">
            <w:pPr>
              <w:spacing w:after="120" w:before="120" w:lineRule="auto"/>
              <w:jc w:val="both"/>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3. Các bộ, cơ quan ngang bộ và Ủy ban nhân dân các tỉnh, thành phố</w:t>
            </w:r>
            <w:r w:rsidDel="00000000" w:rsidR="00000000" w:rsidRPr="00000000">
              <w:rPr>
                <w:rFonts w:ascii="Times New Roman" w:cs="Times New Roman" w:eastAsia="Times New Roman" w:hAnsi="Times New Roman"/>
                <w:sz w:val="26"/>
                <w:szCs w:val="26"/>
                <w:rtl w:val="0"/>
              </w:rPr>
              <w:t xml:space="preserve">, cơ quan quản lý nhà nước về đầu tư và nhà đầu tư</w:t>
            </w:r>
            <w:r w:rsidDel="00000000" w:rsidR="00000000" w:rsidRPr="00000000">
              <w:rPr>
                <w:rFonts w:ascii="Times New Roman" w:cs="Times New Roman" w:eastAsia="Times New Roman" w:hAnsi="Times New Roman"/>
                <w:b w:val="1"/>
                <w:bCs w:val="1"/>
                <w:sz w:val="26"/>
                <w:szCs w:val="26"/>
                <w:rtl w:val="0"/>
              </w:rPr>
              <w:t xml:space="preserve"> </w:t>
            </w:r>
            <w:r w:rsidDel="00000000" w:rsidR="00000000" w:rsidRPr="00000000">
              <w:rPr>
                <w:rFonts w:ascii="Times New Roman" w:cs="Times New Roman" w:eastAsia="Times New Roman" w:hAnsi="Times New Roman"/>
                <w:sz w:val="26"/>
                <w:szCs w:val="26"/>
                <w:rtl w:val="0"/>
              </w:rPr>
              <w:t xml:space="preserve">có trách nhiệm cập nhật,</w:t>
            </w:r>
            <w:r w:rsidDel="00000000" w:rsidR="00000000" w:rsidRPr="00000000">
              <w:rPr>
                <w:rFonts w:ascii="Times New Roman" w:cs="Times New Roman" w:eastAsia="Times New Roman" w:hAnsi="Times New Roman"/>
                <w:b w:val="1"/>
                <w:bCs w:val="1"/>
                <w:sz w:val="26"/>
                <w:szCs w:val="26"/>
                <w:rtl w:val="0"/>
              </w:rPr>
              <w:t xml:space="preserve"> cung cấp và được quyền khai thác dữ liệu trên Cổng đầu tư một cửa quốc gia theo phân cấp quản lý, bảo đảm đầy đủ, chính xác, kịp thời. </w:t>
            </w:r>
          </w:p>
          <w:p w:rsidR="00000000" w:rsidDel="00000000" w:rsidP="00000000" w:rsidRDefault="00000000" w:rsidRPr="00000000" w14:paraId="00000152">
            <w:pPr>
              <w:spacing w:after="120" w:before="12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4. Thông tin về dự án đầu tư lưu trữ tại </w:t>
            </w:r>
            <w:r w:rsidDel="00000000" w:rsidR="00000000" w:rsidRPr="00000000">
              <w:rPr>
                <w:rFonts w:ascii="Times New Roman" w:cs="Times New Roman" w:eastAsia="Times New Roman" w:hAnsi="Times New Roman"/>
                <w:b w:val="1"/>
                <w:bCs w:val="1"/>
                <w:sz w:val="26"/>
                <w:szCs w:val="26"/>
                <w:rtl w:val="0"/>
              </w:rPr>
              <w:t xml:space="preserve">Cơ sở dữ liệu quốc gia về đầu tư</w:t>
            </w:r>
            <w:r w:rsidDel="00000000" w:rsidR="00000000" w:rsidRPr="00000000">
              <w:rPr>
                <w:rFonts w:ascii="Times New Roman" w:cs="Times New Roman" w:eastAsia="Times New Roman" w:hAnsi="Times New Roman"/>
                <w:sz w:val="26"/>
                <w:szCs w:val="26"/>
                <w:rtl w:val="0"/>
              </w:rPr>
              <w:t xml:space="preserve"> có giá trị pháp lý là thông tin gốc về dự án đầu tư.</w:t>
            </w:r>
          </w:p>
          <w:p w:rsidR="00000000" w:rsidDel="00000000" w:rsidP="00000000" w:rsidRDefault="00000000" w:rsidRPr="00000000" w14:paraId="00000153">
            <w:pPr>
              <w:spacing w:after="120" w:before="120" w:lineRule="auto"/>
              <w:jc w:val="both"/>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4a. Tổ chức, cá nhân được khai thác thông tin trong Cơ sở dữ liệu quốc gia về đầu tư trong phạm vi dữ liệu được phép tiếp cận theo quy định. Việc cung cấp, khai thác và sử dụng dữ liệu thực hiện theo quy định của pháp luật về phí, lệ phí và pháp luật có liên quan:</w:t>
            </w:r>
          </w:p>
          <w:p w:rsidR="00000000" w:rsidDel="00000000" w:rsidP="00000000" w:rsidRDefault="00000000" w:rsidRPr="00000000" w14:paraId="00000154">
            <w:pPr>
              <w:spacing w:after="120" w:before="120" w:lineRule="auto"/>
              <w:jc w:val="both"/>
              <w:rPr>
                <w:rFonts w:ascii="Times New Roman" w:cs="Times New Roman" w:eastAsia="Times New Roman" w:hAnsi="Times New Roman"/>
                <w:b w:val="1"/>
                <w:bCs w:val="1"/>
                <w:color w:val="000000"/>
                <w:sz w:val="26"/>
                <w:szCs w:val="26"/>
              </w:rPr>
            </w:pPr>
            <w:r w:rsidDel="00000000" w:rsidR="00000000" w:rsidRPr="00000000">
              <w:rPr>
                <w:rFonts w:ascii="Times New Roman" w:cs="Times New Roman" w:eastAsia="Times New Roman" w:hAnsi="Times New Roman"/>
                <w:b w:val="1"/>
                <w:bCs w:val="1"/>
                <w:color w:val="000000"/>
                <w:sz w:val="26"/>
                <w:szCs w:val="26"/>
                <w:rtl w:val="0"/>
              </w:rPr>
              <w:t xml:space="preserve">a) Tổ chức, cá nhân có quyền đề nghị Cơ quan quản lý nhà nước về đầu tư và Cơ quan đăng ký đầu tư cung cấp thông tin được lưu giữ trên Cơ sở dữ liệu quốc gia về đầu tư và phải nộp phí theo quy định của pháp luật.</w:t>
            </w:r>
          </w:p>
          <w:p w:rsidR="00000000" w:rsidDel="00000000" w:rsidP="00000000" w:rsidRDefault="00000000" w:rsidRPr="00000000" w14:paraId="00000155">
            <w:pPr>
              <w:shd w:fill="ffffff" w:val="clear"/>
              <w:spacing w:after="120" w:before="120" w:lineRule="auto"/>
              <w:jc w:val="both"/>
              <w:rPr>
                <w:rFonts w:ascii="Times New Roman" w:cs="Times New Roman" w:eastAsia="Times New Roman" w:hAnsi="Times New Roman"/>
                <w:b w:val="1"/>
                <w:bCs w:val="1"/>
                <w:color w:val="000000"/>
                <w:sz w:val="26"/>
                <w:szCs w:val="26"/>
              </w:rPr>
            </w:pPr>
            <w:r w:rsidDel="00000000" w:rsidR="00000000" w:rsidRPr="00000000">
              <w:rPr>
                <w:rFonts w:ascii="Times New Roman" w:cs="Times New Roman" w:eastAsia="Times New Roman" w:hAnsi="Times New Roman"/>
                <w:b w:val="1"/>
                <w:bCs w:val="1"/>
                <w:color w:val="000000"/>
                <w:sz w:val="26"/>
                <w:szCs w:val="26"/>
                <w:rtl w:val="0"/>
              </w:rPr>
              <w:t xml:space="preserve">b) Cơ quan quản lý nhà nước về đầu tư và Cơ quan đăng ký đầu tư có nghĩa vụ cung cấp đầy đủ và kịp thời thông tin theo quy định tại khoản 3 Điều này.</w:t>
            </w:r>
          </w:p>
          <w:p w:rsidR="00000000" w:rsidDel="00000000" w:rsidP="00000000" w:rsidRDefault="00000000" w:rsidRPr="00000000" w14:paraId="00000156">
            <w:pPr>
              <w:shd w:fill="ffffff" w:val="clear"/>
              <w:spacing w:after="120" w:before="120" w:lineRule="auto"/>
              <w:jc w:val="both"/>
              <w:rPr>
                <w:rFonts w:ascii="Times New Roman" w:cs="Times New Roman" w:eastAsia="Times New Roman" w:hAnsi="Times New Roman"/>
                <w:b w:val="1"/>
                <w:bCs w:val="1"/>
                <w:color w:val="000000"/>
                <w:sz w:val="26"/>
                <w:szCs w:val="26"/>
              </w:rPr>
            </w:pPr>
            <w:r w:rsidDel="00000000" w:rsidR="00000000" w:rsidRPr="00000000">
              <w:rPr>
                <w:rFonts w:ascii="Times New Roman" w:cs="Times New Roman" w:eastAsia="Times New Roman" w:hAnsi="Times New Roman"/>
                <w:b w:val="1"/>
                <w:bCs w:val="1"/>
                <w:color w:val="000000"/>
                <w:sz w:val="26"/>
                <w:szCs w:val="26"/>
                <w:rtl w:val="0"/>
              </w:rPr>
              <w:t xml:space="preserve">c) Bộ Tài chính chủ trì hướng dẫn về mức thu, chế độ thu, nộp, quản lý và sử dụng phí cung cấp thông tin, bảo đảm việc nâng cấp, duy trì, vận hành Cổng một cửa đầu tư quốc gia.</w:t>
            </w:r>
          </w:p>
          <w:p w:rsidR="00000000" w:rsidDel="00000000" w:rsidP="00000000" w:rsidRDefault="00000000" w:rsidRPr="00000000" w14:paraId="00000157">
            <w:pPr>
              <w:spacing w:after="120" w:before="120" w:lineRule="auto"/>
              <w:jc w:val="both"/>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color w:val="000000"/>
                <w:sz w:val="26"/>
                <w:szCs w:val="26"/>
                <w:rtl w:val="0"/>
              </w:rPr>
              <w:t xml:space="preserve">5. Chính phủ quy định chi tiết về </w:t>
            </w:r>
            <w:r w:rsidDel="00000000" w:rsidR="00000000" w:rsidRPr="00000000">
              <w:rPr>
                <w:rFonts w:ascii="Times New Roman" w:cs="Times New Roman" w:eastAsia="Times New Roman" w:hAnsi="Times New Roman"/>
                <w:strike w:val="1"/>
                <w:color w:val="000000"/>
                <w:sz w:val="26"/>
                <w:szCs w:val="26"/>
                <w:rtl w:val="0"/>
              </w:rPr>
              <w:t xml:space="preserve">hệ thống thông tin quốc gia về đầu tư</w:t>
            </w:r>
            <w:r w:rsidDel="00000000" w:rsidR="00000000" w:rsidRPr="00000000">
              <w:rPr>
                <w:rFonts w:ascii="Times New Roman" w:cs="Times New Roman" w:eastAsia="Times New Roman" w:hAnsi="Times New Roman"/>
                <w:sz w:val="26"/>
                <w:szCs w:val="26"/>
                <w:rtl w:val="0"/>
              </w:rPr>
              <w:t xml:space="preserve"> </w:t>
            </w:r>
            <w:r w:rsidDel="00000000" w:rsidR="00000000" w:rsidRPr="00000000">
              <w:rPr>
                <w:rFonts w:ascii="Times New Roman" w:cs="Times New Roman" w:eastAsia="Times New Roman" w:hAnsi="Times New Roman"/>
                <w:b w:val="1"/>
                <w:bCs w:val="1"/>
                <w:color w:val="000000"/>
                <w:sz w:val="26"/>
                <w:szCs w:val="26"/>
                <w:rtl w:val="0"/>
              </w:rPr>
              <w:t xml:space="preserve">Cổng một cửa đầu tư quốc gia</w:t>
            </w:r>
            <w:r w:rsidDel="00000000" w:rsidR="00000000" w:rsidRPr="00000000">
              <w:rPr>
                <w:rFonts w:ascii="Times New Roman" w:cs="Times New Roman" w:eastAsia="Times New Roman" w:hAnsi="Times New Roman"/>
                <w:color w:val="000000"/>
                <w:sz w:val="26"/>
                <w:szCs w:val="26"/>
                <w:rtl w:val="0"/>
              </w:rPr>
              <w:t xml:space="preserve">.</w:t>
            </w:r>
            <w:r w:rsidDel="00000000" w:rsidR="00000000" w:rsidRPr="00000000">
              <w:rPr>
                <w:rtl w:val="0"/>
              </w:rPr>
            </w:r>
          </w:p>
        </w:tc>
        <w:tc>
          <w:tcPr/>
          <w:p w:rsidR="00000000" w:rsidDel="00000000" w:rsidP="00000000" w:rsidRDefault="00000000" w:rsidRPr="00000000" w14:paraId="00000158">
            <w:pPr>
              <w:widowControl w:val="0"/>
              <w:spacing w:after="120" w:before="120" w:lineRule="auto"/>
              <w:ind w:firstLine="27"/>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Hoàn thiện cơ sở pháp lý cho việc xây dựng, quản lý và vận hành Cổng một cửa đầu tư quốc gia, đồng thời xác lập rõ cấu trúc và cơ chế vận hành của Cơ sở dữ liệu quốc gia về đầu tư theo hướng gồm các cơ sở dữ liệu thành phần, được tích hợp, đồng bộ, kết nối và chia sẻ với các cơ sở dữ liệu quốc gia, cơ sở dữ liệu chuyên ngành và hệ thống thông tin có liên quan; xác định giá trị pháp lý của thông tin về dự án đầu tư và trách nhiệm của các cơ quan, tổ chức, nhà đầu tư trong cập nhật, cung cấp, khai thác và sử dụng dữ liệu.</w:t>
            </w:r>
          </w:p>
          <w:p w:rsidR="00000000" w:rsidDel="00000000" w:rsidP="00000000" w:rsidRDefault="00000000" w:rsidRPr="00000000" w14:paraId="00000159">
            <w:pPr>
              <w:spacing w:after="120" w:before="120" w:lineRule="auto"/>
              <w:jc w:val="both"/>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sz w:val="26"/>
                <w:szCs w:val="26"/>
                <w:rtl w:val="0"/>
              </w:rPr>
              <w:t xml:space="preserve">- Tạo cơ sở để kế thừa, tích hợp các chức năng, thông tin và dữ liệu của Hệ thống thông tin quốc gia về đầu tư và các hệ thống hiện có, tránh đầu tư, xây dựng các hệ thống độc lập, trùng lặp, phân tán dữ liệu; thực hiện nguyên tắc kết nối, chia sẻ và tái sử dụng dữ liệu, giảm yêu cầu nhà đầu tư cung cấp lại thông tin đã có; qua đó chuyển dần từ quản lý đầu tư dựa trên hồ sơ sang quản lý dựa trên dữ liệu, nâng cao hiệu quả quản lý nhà nước và chất lượng phục vụ nhà đầu tư.</w:t>
            </w:r>
            <w:r w:rsidDel="00000000" w:rsidR="00000000" w:rsidRPr="00000000">
              <w:rPr>
                <w:rtl w:val="0"/>
              </w:rPr>
            </w:r>
          </w:p>
        </w:tc>
      </w:tr>
      <w:tr>
        <w:trPr>
          <w:cantSplit w:val="0"/>
          <w:tblHeader w:val="0"/>
        </w:trPr>
        <w:tc>
          <w:tcPr/>
          <w:p w:rsidR="00000000" w:rsidDel="00000000" w:rsidP="00000000" w:rsidRDefault="00000000" w:rsidRPr="00000000" w14:paraId="0000015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120" w:line="278.00000000000006" w:lineRule="auto"/>
              <w:ind w:left="0" w:right="0" w:firstLine="0"/>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tl w:val="0"/>
              </w:rPr>
            </w:r>
          </w:p>
        </w:tc>
        <w:tc>
          <w:tcPr/>
          <w:p w:rsidR="00000000" w:rsidDel="00000000" w:rsidP="00000000" w:rsidRDefault="00000000" w:rsidRPr="00000000" w14:paraId="0000015B">
            <w:pPr>
              <w:spacing w:after="120" w:before="120" w:lineRule="auto"/>
              <w:jc w:val="both"/>
              <w:rPr>
                <w:rFonts w:ascii="Times New Roman" w:cs="Times New Roman" w:eastAsia="Times New Roman" w:hAnsi="Times New Roman"/>
                <w:b w:val="1"/>
                <w:bCs w:val="1"/>
                <w:sz w:val="26"/>
                <w:szCs w:val="26"/>
              </w:rPr>
            </w:pPr>
            <w:r w:rsidDel="00000000" w:rsidR="00000000" w:rsidRPr="00000000">
              <w:rPr>
                <w:rtl w:val="0"/>
              </w:rPr>
            </w:r>
          </w:p>
        </w:tc>
        <w:tc>
          <w:tcPr/>
          <w:bookmarkStart w:colFirst="0" w:colLast="0" w:name="bookmark=id.4dav8836k6gu" w:id="15"/>
          <w:bookmarkEnd w:id="15"/>
          <w:p w:rsidR="00000000" w:rsidDel="00000000" w:rsidP="00000000" w:rsidRDefault="00000000" w:rsidRPr="00000000" w14:paraId="0000015C">
            <w:pPr>
              <w:spacing w:after="120" w:before="120" w:lineRule="auto"/>
              <w:jc w:val="both"/>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Điều 49. Hoạt động xúc tiến đầu tư</w:t>
            </w:r>
          </w:p>
          <w:p w:rsidR="00000000" w:rsidDel="00000000" w:rsidP="00000000" w:rsidRDefault="00000000" w:rsidRPr="00000000" w14:paraId="0000015D">
            <w:pPr>
              <w:spacing w:after="120" w:before="12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 Chính phủ chỉ đạo xây dựng, tổ chức thực hiện chính sách, định hướng xúc tiến đầu tư nhằm thúc đẩy, tạo thuận lợi cho hoạt động đầu tư theo ngành, vùng và đối tác phù hợp với chiến lược, quy hoạch, kế hoạch và mục tiêu phát triển kinh tế - xã hội trong từng thời kỳ; bảo đảm thực hiện các chương trình, hoạt động xúc tiến đầu tư có tính liên vùng, liên ngành, gắn kết với xúc tiến thương mại và xúc tiến du lịch.</w:t>
            </w:r>
          </w:p>
        </w:tc>
        <w:tc>
          <w:tcPr/>
          <w:p w:rsidR="00000000" w:rsidDel="00000000" w:rsidP="00000000" w:rsidRDefault="00000000" w:rsidRPr="00000000" w14:paraId="0000015E">
            <w:pPr>
              <w:spacing w:after="120" w:before="120" w:lineRule="auto"/>
              <w:jc w:val="both"/>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Điều 49. Hoạt động xúc tiến đầu tư</w:t>
            </w:r>
          </w:p>
          <w:p w:rsidR="00000000" w:rsidDel="00000000" w:rsidP="00000000" w:rsidRDefault="00000000" w:rsidRPr="00000000" w14:paraId="0000015F">
            <w:pPr>
              <w:spacing w:after="120" w:before="120" w:lineRule="auto"/>
              <w:jc w:val="both"/>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sz w:val="26"/>
                <w:szCs w:val="26"/>
                <w:rtl w:val="0"/>
              </w:rPr>
              <w:t xml:space="preserve">1. Chính phủ chỉ đạo xây dựng, tổ chức thực hiện chính sách, định hướng xúc tiến đầu tư nhằm thúc đẩy, tạo thuận lợi cho hoạt động đầu tư theo ngành, vùng và đối tác phù hợp với chiến lược, quy hoạch, kế hoạch và mục tiêu phát triển kinh tế - xã hội trong từng thời kỳ; bảo đảm thực hiện các chương trình, hoạt động xúc tiến đầu tư có tính liên vùng, liên ngành, gắn kết với xúc tiến thương mại và xúc tiến du lịch </w:t>
            </w:r>
            <w:r w:rsidDel="00000000" w:rsidR="00000000" w:rsidRPr="00000000">
              <w:rPr>
                <w:rFonts w:ascii="Times New Roman" w:cs="Times New Roman" w:eastAsia="Times New Roman" w:hAnsi="Times New Roman"/>
                <w:b w:val="1"/>
                <w:bCs w:val="1"/>
                <w:sz w:val="26"/>
                <w:szCs w:val="26"/>
                <w:rtl w:val="0"/>
              </w:rPr>
              <w:t xml:space="preserve">và thu hút đầu tư theo số lượng sang thu hút có chọn lọc, lấy chất lượng, hiệu quả, đổi mới sáng tạo, chuyển giao công nghệ, phát triển nguồn nhân lực, tác động lan tỏa, liên kết và đóng góp thực chất cho phát triển kinh tế - xã hội làm mục tiêu chủ yếu.</w:t>
            </w:r>
          </w:p>
        </w:tc>
        <w:tc>
          <w:tcPr/>
          <w:p w:rsidR="00000000" w:rsidDel="00000000" w:rsidP="00000000" w:rsidRDefault="00000000" w:rsidRPr="00000000" w14:paraId="00000160">
            <w:pPr>
              <w:spacing w:after="120" w:before="120" w:lineRule="auto"/>
              <w:jc w:val="both"/>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sz w:val="26"/>
                <w:szCs w:val="26"/>
                <w:rtl w:val="0"/>
              </w:rPr>
              <w:t xml:space="preserve">Hoàn thiện quy định về hoạt động xúc tiến đầu tư theo hướng thu hút đầu tư theo số lượng sang thu hút có chọn lọc, lấy chất lượng, hiệu quả, đổi mới sáng tạo, chuyển giao công nghệ, phát triển nguồn nhân lực, tác động lan tỏa, liên kết và đóng góp thực chất cho phát triển kinh tế - xã hội làm mục tiêu chủ yếu.</w:t>
            </w:r>
            <w:r w:rsidDel="00000000" w:rsidR="00000000" w:rsidRPr="00000000">
              <w:rPr>
                <w:rtl w:val="0"/>
              </w:rPr>
            </w:r>
          </w:p>
        </w:tc>
      </w:tr>
    </w:tbl>
    <w:p w:rsidR="00000000" w:rsidDel="00000000" w:rsidP="00000000" w:rsidRDefault="00000000" w:rsidRPr="00000000" w14:paraId="00000161">
      <w:pPr>
        <w:spacing w:after="120" w:line="320" w:lineRule="auto"/>
        <w:jc w:val="both"/>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162">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63">
      <w:pPr>
        <w:rPr>
          <w:rFonts w:ascii="Times New Roman" w:cs="Times New Roman" w:eastAsia="Times New Roman" w:hAnsi="Times New Roman"/>
          <w:sz w:val="28"/>
          <w:szCs w:val="28"/>
        </w:rPr>
      </w:pPr>
      <w:r w:rsidDel="00000000" w:rsidR="00000000" w:rsidRPr="00000000">
        <w:rPr>
          <w:rtl w:val="0"/>
        </w:rPr>
      </w:r>
    </w:p>
    <w:sectPr>
      <w:headerReference r:id="rId9" w:type="default"/>
      <w:pgSz w:h="11906" w:w="16838" w:orient="landscape"/>
      <w:pgMar w:bottom="851" w:top="851" w:left="1418" w:right="820"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Arial"/>
  <w:font w:name="Times New Roman"/>
</w:fonts>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1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Dự kiến một số ngành, nghề sau: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Sản xuất tàu bay và tàu vũ trụ; Dịch vụ chụp ảnh đặc biệt ngoại trừ chụp ảnh trên không; Kinh doanh dịch vụ giám định sở hữu trí tuệ; Dịch vụ khác, bao gồm các hoạt động sau: Kiểm tra vận đơn, dịch vụ môi giới vận tải hàng hóa, kiểm định hàng hóa, dịch vụ lấy mẫu và xác định trọng lượng; dịch vụ nhận và chấp nhận hàng; dịch vụ chuẩn bị chứng từ vận tải; Dịch vụ quảng cáo; Dịch vụ kế toán, kiểm toán và ghi sổ kế toán; Dịch vụ đại lý lữ hành và điều hành tour du lịch; Dịch vụ thẩm định giá; Dịch vụ chụp ảnh chân dung; Dịch vụ triển lãm; Dịch vụ hội chợ và triển lãm thương mại; Dịch vụ đại lý làm thủ tục hải quan.</w:t>
      </w:r>
      <w:r w:rsidDel="00000000" w:rsidR="00000000" w:rsidRPr="00000000">
        <w:rPr>
          <w:rtl w:val="0"/>
        </w:rPr>
      </w:r>
    </w:p>
  </w:footnote>
  <w:footnote w:id="1">
    <w:p w:rsidR="00000000" w:rsidDel="00000000" w:rsidP="00000000" w:rsidRDefault="00000000" w:rsidRPr="00000000" w14:paraId="000001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Cụ thể hóa tổng vốn đầu tư và tiến độ giải ngân tại Nghị định, dự kiến tổng vốn 15.000 tỷ đồng, giải ngân 10.000 tỷ đồng trong vòng 5 năm.</w:t>
      </w:r>
      <w:r w:rsidDel="00000000" w:rsidR="00000000" w:rsidRPr="00000000">
        <w:rPr>
          <w:rtl w:val="0"/>
        </w:rPr>
      </w:r>
    </w:p>
  </w:footnote>
  <w:footnote w:id="2">
    <w:p w:rsidR="00000000" w:rsidDel="00000000" w:rsidP="00000000" w:rsidRDefault="00000000" w:rsidRPr="00000000" w14:paraId="000001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 Quảng Ninh, An Giang…</w:t>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6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16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4"/>
        <w:szCs w:val="24"/>
        <w:lang w:val="en"/>
      </w:rPr>
    </w:rPrDefault>
    <w:pPrDefault>
      <w:pPr>
        <w:spacing w:after="160" w:line="278.0000000000000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Calibri" w:cs="Calibri" w:eastAsia="Calibri" w:hAnsi="Calibri"/>
      <w:color w:val="2f5496"/>
      <w:sz w:val="40"/>
      <w:szCs w:val="40"/>
    </w:rPr>
  </w:style>
  <w:style w:type="paragraph" w:styleId="Heading2">
    <w:name w:val="heading 2"/>
    <w:basedOn w:val="Normal"/>
    <w:next w:val="Normal"/>
    <w:pPr>
      <w:keepNext w:val="1"/>
      <w:keepLines w:val="1"/>
      <w:spacing w:after="80" w:before="160" w:lineRule="auto"/>
    </w:pPr>
    <w:rPr>
      <w:rFonts w:ascii="Calibri" w:cs="Calibri" w:eastAsia="Calibri" w:hAnsi="Calibri"/>
      <w:color w:val="2f5496"/>
      <w:sz w:val="32"/>
      <w:szCs w:val="32"/>
    </w:rPr>
  </w:style>
  <w:style w:type="paragraph" w:styleId="Heading3">
    <w:name w:val="heading 3"/>
    <w:basedOn w:val="Normal"/>
    <w:next w:val="Normal"/>
    <w:pPr>
      <w:keepNext w:val="1"/>
      <w:keepLines w:val="1"/>
      <w:spacing w:after="80" w:before="160" w:lineRule="auto"/>
    </w:pPr>
    <w:rPr>
      <w:color w:val="2f5496"/>
      <w:sz w:val="28"/>
      <w:szCs w:val="28"/>
    </w:rPr>
  </w:style>
  <w:style w:type="paragraph" w:styleId="Heading4">
    <w:name w:val="heading 4"/>
    <w:basedOn w:val="Normal"/>
    <w:next w:val="Normal"/>
    <w:pPr>
      <w:keepNext w:val="1"/>
      <w:keepLines w:val="1"/>
      <w:spacing w:after="40" w:before="80" w:lineRule="auto"/>
    </w:pPr>
    <w:rPr>
      <w:i w:val="1"/>
      <w:iCs w:val="1"/>
      <w:color w:val="2f5496"/>
    </w:rPr>
  </w:style>
  <w:style w:type="paragraph" w:styleId="Heading5">
    <w:name w:val="heading 5"/>
    <w:basedOn w:val="Normal"/>
    <w:next w:val="Normal"/>
    <w:pPr>
      <w:keepNext w:val="1"/>
      <w:keepLines w:val="1"/>
      <w:spacing w:after="40" w:before="80" w:lineRule="auto"/>
    </w:pPr>
    <w:rPr>
      <w:color w:val="2f5496"/>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Calibri" w:cs="Calibri" w:eastAsia="Calibri" w:hAnsi="Calibri"/>
      <w:sz w:val="56"/>
      <w:szCs w:val="56"/>
    </w:rPr>
  </w:style>
  <w:style w:type="paragraph" w:styleId="Heading7">
    <w:name w:val="heading 7"/>
    <w:basedOn w:val="Normal"/>
    <w:next w:val="Normal"/>
    <w:link w:val="Heading7Char"/>
    <w:uiPriority w:val="9"/>
    <w:semiHidden w:val="1"/>
    <w:unhideWhenUsed w:val="1"/>
    <w:qFormat w:val="1"/>
    <w:rsid w:val="00CC0673"/>
    <w:pPr>
      <w:keepNext w:val="1"/>
      <w:keepLines w:val="1"/>
      <w:spacing w:after="0" w:before="40"/>
      <w:outlineLvl w:val="6"/>
    </w:pPr>
    <w:rPr>
      <w:rFonts w:cstheme="majorBidi" w:eastAsiaTheme="majorEastAsia"/>
      <w:color w:val="595959" w:themeColor="text1" w:themeTint="0000A6"/>
    </w:rPr>
  </w:style>
  <w:style w:type="paragraph" w:styleId="Heading8">
    <w:name w:val="heading 8"/>
    <w:basedOn w:val="Normal"/>
    <w:next w:val="Normal"/>
    <w:link w:val="Heading8Char"/>
    <w:uiPriority w:val="9"/>
    <w:semiHidden w:val="1"/>
    <w:unhideWhenUsed w:val="1"/>
    <w:qFormat w:val="1"/>
    <w:rsid w:val="00CC0673"/>
    <w:pPr>
      <w:keepNext w:val="1"/>
      <w:keepLines w:val="1"/>
      <w:spacing w:after="0"/>
      <w:outlineLvl w:val="7"/>
    </w:pPr>
    <w:rPr>
      <w:rFonts w:cstheme="majorBidi" w:eastAsiaTheme="majorEastAsia"/>
      <w:i w:val="1"/>
      <w:iCs w:val="1"/>
      <w:color w:val="272727" w:themeColor="text1" w:themeTint="0000D8"/>
    </w:rPr>
  </w:style>
  <w:style w:type="paragraph" w:styleId="Heading9">
    <w:name w:val="heading 9"/>
    <w:basedOn w:val="Normal"/>
    <w:next w:val="Normal"/>
    <w:link w:val="Heading9Char"/>
    <w:uiPriority w:val="9"/>
    <w:semiHidden w:val="1"/>
    <w:unhideWhenUsed w:val="1"/>
    <w:qFormat w:val="1"/>
    <w:rsid w:val="00CC0673"/>
    <w:pPr>
      <w:keepNext w:val="1"/>
      <w:keepLines w:val="1"/>
      <w:spacing w:after="0"/>
      <w:outlineLvl w:val="8"/>
    </w:pPr>
    <w:rPr>
      <w:rFonts w:cstheme="majorBidi" w:eastAsiaTheme="majorEastAsia"/>
      <w:color w:val="272727" w:themeColor="text1" w:themeTint="0000D8"/>
    </w:rPr>
  </w:style>
  <w:style w:type="character" w:styleId="DefaultParagraphFont" w:default="1">
    <w:name w:val="Default Paragraph Font"/>
    <w:uiPriority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eading1Char" w:customStyle="1">
    <w:name w:val="Heading 1 Char"/>
    <w:basedOn w:val="DefaultParagraphFont"/>
    <w:link w:val="Heading1"/>
    <w:uiPriority w:val="9"/>
    <w:rsid w:val="00CC0673"/>
    <w:rPr>
      <w:rFonts w:asciiTheme="majorHAnsi" w:cstheme="majorBidi" w:eastAsiaTheme="majorEastAsia" w:hAnsiTheme="majorHAnsi"/>
      <w:color w:val="2f5496" w:themeColor="accent1" w:themeShade="0000BF"/>
      <w:sz w:val="40"/>
      <w:szCs w:val="40"/>
    </w:rPr>
  </w:style>
  <w:style w:type="character" w:styleId="Heading2Char" w:customStyle="1">
    <w:name w:val="Heading 2 Char"/>
    <w:basedOn w:val="DefaultParagraphFont"/>
    <w:link w:val="Heading2"/>
    <w:uiPriority w:val="9"/>
    <w:semiHidden w:val="1"/>
    <w:rsid w:val="00CC0673"/>
    <w:rPr>
      <w:rFonts w:asciiTheme="majorHAnsi" w:cstheme="majorBidi" w:eastAsiaTheme="majorEastAsia" w:hAnsiTheme="majorHAnsi"/>
      <w:color w:val="2f5496" w:themeColor="accent1" w:themeShade="0000BF"/>
      <w:sz w:val="32"/>
      <w:szCs w:val="32"/>
    </w:rPr>
  </w:style>
  <w:style w:type="character" w:styleId="Heading3Char" w:customStyle="1">
    <w:name w:val="Heading 3 Char"/>
    <w:basedOn w:val="DefaultParagraphFont"/>
    <w:link w:val="Heading3"/>
    <w:uiPriority w:val="9"/>
    <w:semiHidden w:val="1"/>
    <w:rsid w:val="00CC0673"/>
    <w:rPr>
      <w:rFonts w:cstheme="majorBidi" w:eastAsiaTheme="majorEastAsia"/>
      <w:color w:val="2f5496" w:themeColor="accent1" w:themeShade="0000BF"/>
      <w:sz w:val="28"/>
      <w:szCs w:val="28"/>
    </w:rPr>
  </w:style>
  <w:style w:type="character" w:styleId="Heading4Char" w:customStyle="1">
    <w:name w:val="Heading 4 Char"/>
    <w:basedOn w:val="DefaultParagraphFont"/>
    <w:link w:val="Heading4"/>
    <w:uiPriority w:val="9"/>
    <w:rsid w:val="00CC0673"/>
    <w:rPr>
      <w:rFonts w:cstheme="majorBidi" w:eastAsiaTheme="majorEastAsia"/>
      <w:i w:val="1"/>
      <w:iCs w:val="1"/>
      <w:color w:val="2f5496" w:themeColor="accent1" w:themeShade="0000BF"/>
    </w:rPr>
  </w:style>
  <w:style w:type="character" w:styleId="Heading5Char" w:customStyle="1">
    <w:name w:val="Heading 5 Char"/>
    <w:basedOn w:val="DefaultParagraphFont"/>
    <w:link w:val="Heading5"/>
    <w:uiPriority w:val="9"/>
    <w:semiHidden w:val="1"/>
    <w:rsid w:val="00CC0673"/>
    <w:rPr>
      <w:rFonts w:cstheme="majorBidi" w:eastAsiaTheme="majorEastAsia"/>
      <w:color w:val="2f5496" w:themeColor="accent1" w:themeShade="0000BF"/>
    </w:rPr>
  </w:style>
  <w:style w:type="character" w:styleId="Heading6Char" w:customStyle="1">
    <w:name w:val="Heading 6 Char"/>
    <w:basedOn w:val="DefaultParagraphFont"/>
    <w:link w:val="Heading6"/>
    <w:uiPriority w:val="9"/>
    <w:semiHidden w:val="1"/>
    <w:rsid w:val="00CC0673"/>
    <w:rPr>
      <w:rFonts w:cstheme="majorBidi" w:eastAsiaTheme="majorEastAsia"/>
      <w:i w:val="1"/>
      <w:iCs w:val="1"/>
      <w:color w:val="595959" w:themeColor="text1" w:themeTint="0000A6"/>
    </w:rPr>
  </w:style>
  <w:style w:type="character" w:styleId="Heading7Char" w:customStyle="1">
    <w:name w:val="Heading 7 Char"/>
    <w:basedOn w:val="DefaultParagraphFont"/>
    <w:link w:val="Heading7"/>
    <w:uiPriority w:val="9"/>
    <w:semiHidden w:val="1"/>
    <w:rsid w:val="00CC0673"/>
    <w:rPr>
      <w:rFonts w:cstheme="majorBidi" w:eastAsiaTheme="majorEastAsia"/>
      <w:color w:val="595959" w:themeColor="text1" w:themeTint="0000A6"/>
    </w:rPr>
  </w:style>
  <w:style w:type="character" w:styleId="Heading8Char" w:customStyle="1">
    <w:name w:val="Heading 8 Char"/>
    <w:basedOn w:val="DefaultParagraphFont"/>
    <w:link w:val="Heading8"/>
    <w:uiPriority w:val="9"/>
    <w:semiHidden w:val="1"/>
    <w:rsid w:val="00CC0673"/>
    <w:rPr>
      <w:rFonts w:cstheme="majorBidi" w:eastAsiaTheme="majorEastAsia"/>
      <w:i w:val="1"/>
      <w:iCs w:val="1"/>
      <w:color w:val="272727" w:themeColor="text1" w:themeTint="0000D8"/>
    </w:rPr>
  </w:style>
  <w:style w:type="character" w:styleId="Heading9Char" w:customStyle="1">
    <w:name w:val="Heading 9 Char"/>
    <w:basedOn w:val="DefaultParagraphFont"/>
    <w:link w:val="Heading9"/>
    <w:uiPriority w:val="9"/>
    <w:semiHidden w:val="1"/>
    <w:rsid w:val="00CC0673"/>
    <w:rPr>
      <w:rFonts w:cstheme="majorBidi" w:eastAsiaTheme="majorEastAsia"/>
      <w:color w:val="272727" w:themeColor="text1" w:themeTint="0000D8"/>
    </w:rPr>
  </w:style>
  <w:style w:type="character" w:styleId="TitleChar" w:customStyle="1">
    <w:name w:val="Title Char"/>
    <w:basedOn w:val="DefaultParagraphFont"/>
    <w:link w:val="Title"/>
    <w:uiPriority w:val="10"/>
    <w:rsid w:val="00CC0673"/>
    <w:rPr>
      <w:rFonts w:asciiTheme="majorHAnsi" w:cstheme="majorBidi" w:eastAsiaTheme="majorEastAsia" w:hAnsiTheme="majorHAnsi"/>
      <w:spacing w:val="-10"/>
      <w:kern w:val="28"/>
      <w:sz w:val="56"/>
      <w:szCs w:val="56"/>
    </w:rPr>
  </w:style>
  <w:style w:type="character" w:styleId="SubtitleChar" w:customStyle="1">
    <w:name w:val="Subtitle Char"/>
    <w:basedOn w:val="DefaultParagraphFont"/>
    <w:link w:val="Subtitle"/>
    <w:uiPriority w:val="11"/>
    <w:rsid w:val="00CC0673"/>
    <w:rPr>
      <w:rFonts w:cstheme="majorBidi" w:eastAsiaTheme="majorEastAsia"/>
      <w:color w:val="595959" w:themeColor="text1" w:themeTint="0000A6"/>
      <w:spacing w:val="15"/>
      <w:sz w:val="28"/>
      <w:szCs w:val="28"/>
    </w:rPr>
  </w:style>
  <w:style w:type="paragraph" w:styleId="Quote">
    <w:name w:val="Quote"/>
    <w:basedOn w:val="Normal"/>
    <w:next w:val="Normal"/>
    <w:link w:val="QuoteChar"/>
    <w:uiPriority w:val="29"/>
    <w:qFormat w:val="1"/>
    <w:rsid w:val="00CC0673"/>
    <w:pPr>
      <w:spacing w:before="160"/>
      <w:jc w:val="center"/>
    </w:pPr>
    <w:rPr>
      <w:i w:val="1"/>
      <w:iCs w:val="1"/>
      <w:color w:val="404040" w:themeColor="text1" w:themeTint="0000BF"/>
    </w:rPr>
  </w:style>
  <w:style w:type="character" w:styleId="QuoteChar" w:customStyle="1">
    <w:name w:val="Quote Char"/>
    <w:basedOn w:val="DefaultParagraphFont"/>
    <w:link w:val="Quote"/>
    <w:uiPriority w:val="29"/>
    <w:rsid w:val="00CC0673"/>
    <w:rPr>
      <w:i w:val="1"/>
      <w:iCs w:val="1"/>
      <w:color w:val="404040" w:themeColor="text1" w:themeTint="0000BF"/>
    </w:rPr>
  </w:style>
  <w:style w:type="paragraph" w:styleId="ListParagraph">
    <w:name w:val="List Paragraph"/>
    <w:basedOn w:val="Normal"/>
    <w:uiPriority w:val="34"/>
    <w:qFormat w:val="1"/>
    <w:rsid w:val="00CC0673"/>
    <w:pPr>
      <w:ind w:left="720"/>
      <w:contextualSpacing w:val="1"/>
    </w:pPr>
  </w:style>
  <w:style w:type="character" w:styleId="IntenseEmphasis">
    <w:name w:val="Intense Emphasis"/>
    <w:basedOn w:val="DefaultParagraphFont"/>
    <w:uiPriority w:val="21"/>
    <w:qFormat w:val="1"/>
    <w:rsid w:val="00CC0673"/>
    <w:rPr>
      <w:i w:val="1"/>
      <w:iCs w:val="1"/>
      <w:color w:val="2f5496" w:themeColor="accent1" w:themeShade="0000BF"/>
    </w:rPr>
  </w:style>
  <w:style w:type="paragraph" w:styleId="IntenseQuote">
    <w:name w:val="Intense Quote"/>
    <w:basedOn w:val="Normal"/>
    <w:next w:val="Normal"/>
    <w:link w:val="IntenseQuoteChar"/>
    <w:uiPriority w:val="30"/>
    <w:qFormat w:val="1"/>
    <w:rsid w:val="00CC0673"/>
    <w:pPr>
      <w:pBdr>
        <w:top w:color="2f5496" w:space="10" w:sz="4" w:themeColor="accent1" w:themeShade="0000BF" w:val="single"/>
        <w:bottom w:color="2f5496" w:space="10" w:sz="4" w:themeColor="accent1" w:themeShade="0000BF" w:val="single"/>
      </w:pBdr>
      <w:spacing w:after="360" w:before="360"/>
      <w:ind w:left="864" w:right="864"/>
      <w:jc w:val="center"/>
    </w:pPr>
    <w:rPr>
      <w:i w:val="1"/>
      <w:iCs w:val="1"/>
      <w:color w:val="2f5496" w:themeColor="accent1" w:themeShade="0000BF"/>
    </w:rPr>
  </w:style>
  <w:style w:type="character" w:styleId="IntenseQuoteChar" w:customStyle="1">
    <w:name w:val="Intense Quote Char"/>
    <w:basedOn w:val="DefaultParagraphFont"/>
    <w:link w:val="IntenseQuote"/>
    <w:uiPriority w:val="30"/>
    <w:rsid w:val="00CC0673"/>
    <w:rPr>
      <w:i w:val="1"/>
      <w:iCs w:val="1"/>
      <w:color w:val="2f5496" w:themeColor="accent1" w:themeShade="0000BF"/>
    </w:rPr>
  </w:style>
  <w:style w:type="character" w:styleId="IntenseReference">
    <w:name w:val="Intense Reference"/>
    <w:basedOn w:val="DefaultParagraphFont"/>
    <w:uiPriority w:val="32"/>
    <w:qFormat w:val="1"/>
    <w:rsid w:val="00CC0673"/>
    <w:rPr>
      <w:b w:val="1"/>
      <w:bCs w:val="1"/>
      <w:smallCaps w:val="1"/>
      <w:color w:val="2f5496" w:themeColor="accent1" w:themeShade="0000BF"/>
      <w:spacing w:val="5"/>
    </w:rPr>
  </w:style>
  <w:style w:type="table" w:styleId="TableGrid">
    <w:name w:val="Table Grid"/>
    <w:basedOn w:val="TableNormal"/>
    <w:uiPriority w:val="39"/>
    <w:rsid w:val="00A7165E"/>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FootnoteText">
    <w:name w:val="footnote text"/>
    <w:aliases w:val=" Char, Char Char Char,Footnote Text Char Char Char Char Char,Footnote Text Char Char Char Char Char Char Ch, Char Char Char Char Char Char Char,Footnote Text Char Char Char Char Char Char Ch Char Char Char,Char Char,f,Char,single spa,fn,C"/>
    <w:basedOn w:val="Normal"/>
    <w:link w:val="FootnoteTextChar"/>
    <w:uiPriority w:val="99"/>
    <w:unhideWhenUsed w:val="1"/>
    <w:qFormat w:val="1"/>
    <w:rsid w:val="006E1138"/>
    <w:pPr>
      <w:spacing w:after="0" w:line="240" w:lineRule="auto"/>
    </w:pPr>
    <w:rPr>
      <w:sz w:val="20"/>
      <w:szCs w:val="20"/>
    </w:rPr>
  </w:style>
  <w:style w:type="character" w:styleId="FootnoteTextChar" w:customStyle="1">
    <w:name w:val="Footnote Text Char"/>
    <w:aliases w:val=" Char Char, Char Char Char Char,Footnote Text Char Char Char Char Char Char,Footnote Text Char Char Char Char Char Char Ch Char, Char Char Char Char Char Char Char Char,Char Char Char,f Char,Char Char1,single spa Char,fn Char,C Char"/>
    <w:basedOn w:val="DefaultParagraphFont"/>
    <w:link w:val="FootnoteText"/>
    <w:uiPriority w:val="99"/>
    <w:qFormat w:val="1"/>
    <w:rsid w:val="006E1138"/>
    <w:rPr>
      <w:sz w:val="20"/>
      <w:szCs w:val="20"/>
    </w:rPr>
  </w:style>
  <w:style w:type="character" w:styleId="FootnoteReference">
    <w:name w:val="footnote reference"/>
    <w:aliases w:val="Footnote,Footnote text,ftref,BearingPoint,16 Point,Superscript 6 Point,fr,Footnote Text1,Ref,de nota al pie,Footnote + Arial,10 pt,Black,Footnote Text11,(NECG) Footnote Reference, BVI fnr,footnote ref,BVI fnr,de nota al p,SUPERS,R,4,4_G"/>
    <w:link w:val="CharChar1CharCharCharChar1CharCharCharCharCharCharCharChar"/>
    <w:uiPriority w:val="99"/>
    <w:qFormat w:val="1"/>
    <w:rsid w:val="006E1138"/>
    <w:rPr>
      <w:vertAlign w:val="superscript"/>
    </w:rPr>
  </w:style>
  <w:style w:type="paragraph" w:styleId="Header">
    <w:name w:val="header"/>
    <w:basedOn w:val="Normal"/>
    <w:link w:val="HeaderChar"/>
    <w:uiPriority w:val="99"/>
    <w:unhideWhenUsed w:val="1"/>
    <w:rsid w:val="00087151"/>
    <w:pPr>
      <w:tabs>
        <w:tab w:val="center" w:pos="4680"/>
        <w:tab w:val="right" w:pos="9360"/>
      </w:tabs>
      <w:spacing w:after="0" w:line="240" w:lineRule="auto"/>
    </w:pPr>
  </w:style>
  <w:style w:type="character" w:styleId="HeaderChar" w:customStyle="1">
    <w:name w:val="Header Char"/>
    <w:basedOn w:val="DefaultParagraphFont"/>
    <w:link w:val="Header"/>
    <w:uiPriority w:val="99"/>
    <w:rsid w:val="00087151"/>
  </w:style>
  <w:style w:type="paragraph" w:styleId="Footer">
    <w:name w:val="footer"/>
    <w:basedOn w:val="Normal"/>
    <w:link w:val="FooterChar"/>
    <w:uiPriority w:val="99"/>
    <w:unhideWhenUsed w:val="1"/>
    <w:rsid w:val="00087151"/>
    <w:pPr>
      <w:tabs>
        <w:tab w:val="center" w:pos="4680"/>
        <w:tab w:val="right" w:pos="9360"/>
      </w:tabs>
      <w:spacing w:after="0" w:line="240" w:lineRule="auto"/>
    </w:pPr>
  </w:style>
  <w:style w:type="character" w:styleId="FooterChar" w:customStyle="1">
    <w:name w:val="Footer Char"/>
    <w:basedOn w:val="DefaultParagraphFont"/>
    <w:link w:val="Footer"/>
    <w:uiPriority w:val="99"/>
    <w:rsid w:val="00087151"/>
  </w:style>
  <w:style w:type="character" w:styleId="Hyperlink">
    <w:name w:val="Hyperlink"/>
    <w:basedOn w:val="DefaultParagraphFont"/>
    <w:uiPriority w:val="99"/>
    <w:unhideWhenUsed w:val="1"/>
    <w:rsid w:val="004A12C2"/>
    <w:rPr>
      <w:color w:val="0563c1" w:themeColor="hyperlink"/>
      <w:u w:val="single"/>
    </w:rPr>
  </w:style>
  <w:style w:type="character" w:styleId="UnresolvedMention1" w:customStyle="1">
    <w:name w:val="Unresolved Mention1"/>
    <w:basedOn w:val="DefaultParagraphFont"/>
    <w:uiPriority w:val="99"/>
    <w:semiHidden w:val="1"/>
    <w:unhideWhenUsed w:val="1"/>
    <w:rsid w:val="004A12C2"/>
    <w:rPr>
      <w:color w:val="605e5c"/>
      <w:shd w:color="auto" w:fill="e1dfdd" w:val="clear"/>
    </w:rPr>
  </w:style>
  <w:style w:type="paragraph" w:styleId="Revision">
    <w:name w:val="Revision"/>
    <w:hidden w:val="1"/>
    <w:uiPriority w:val="99"/>
    <w:semiHidden w:val="1"/>
    <w:rsid w:val="005075A0"/>
    <w:pPr>
      <w:spacing w:after="0" w:line="240" w:lineRule="auto"/>
    </w:pPr>
  </w:style>
  <w:style w:type="paragraph" w:styleId="CharChar1CharCharCharChar1CharCharCharCharCharCharCharChar" w:customStyle="1">
    <w:name w:val="Char Char1 Char Char Char Char1 Char Char Char Char Char Char Char Char"/>
    <w:aliases w:val="Char Char1 Char Char Char Char1 Char Char Char Char Char Char Char Char Char Char Char Char"/>
    <w:basedOn w:val="Normal"/>
    <w:next w:val="Normal"/>
    <w:link w:val="FootnoteReference"/>
    <w:uiPriority w:val="99"/>
    <w:qFormat w:val="1"/>
    <w:rsid w:val="00616A3E"/>
    <w:pPr>
      <w:spacing w:line="240" w:lineRule="exact"/>
    </w:pPr>
    <w:rPr>
      <w:vertAlign w:val="superscript"/>
    </w:rPr>
  </w:style>
  <w:style w:type="paragraph" w:styleId="16PointChar" w:customStyle="1">
    <w:name w:val="16 Point Char"/>
    <w:aliases w:val="Superscript 6 Point Char,ftref Char,BVI fnr Char,Footnote Reference Number Char,Normal + Font:9 Point Char,Superscript 3 Point Times Char,Footnote Char,Footnote text Char,BearingPoint Char,fr Char,Footnote Text1 Char,Ref Char,R Ch"/>
    <w:basedOn w:val="Normal"/>
    <w:next w:val="Normal"/>
    <w:uiPriority w:val="99"/>
    <w:qFormat w:val="1"/>
    <w:rsid w:val="007D3585"/>
    <w:pPr>
      <w:widowControl w:val="0"/>
      <w:spacing w:line="240" w:lineRule="exact"/>
    </w:pPr>
    <w:rPr>
      <w:rFonts w:eastAsia="Times New Roman"/>
      <w:sz w:val="22"/>
      <w:szCs w:val="22"/>
      <w:vertAlign w:val="superscript"/>
      <w:lang w:val="vi-VN"/>
    </w:rPr>
  </w:style>
  <w:style w:type="character" w:styleId="fontstyle01" w:customStyle="1">
    <w:name w:val="fontstyle01"/>
    <w:rsid w:val="001F77F1"/>
    <w:rPr>
      <w:rFonts w:ascii="Times New Roman" w:cs="Times New Roman" w:hAnsi="Times New Roman" w:hint="default"/>
      <w:b w:val="0"/>
      <w:bCs w:val="0"/>
      <w:i w:val="0"/>
      <w:iCs w:val="0"/>
      <w:color w:val="000000"/>
      <w:sz w:val="24"/>
      <w:szCs w:val="24"/>
    </w:rPr>
  </w:style>
  <w:style w:type="character" w:styleId="UnresolvedMention">
    <w:name w:val="Unresolved Mention"/>
    <w:basedOn w:val="DefaultParagraphFont"/>
    <w:uiPriority w:val="99"/>
    <w:semiHidden w:val="1"/>
    <w:unhideWhenUsed w:val="1"/>
    <w:rsid w:val="00D51501"/>
    <w:rPr>
      <w:color w:val="605e5c"/>
      <w:shd w:color="auto" w:fill="e1dfdd" w:val="clear"/>
    </w:rPr>
  </w:style>
  <w:style w:type="paragraph" w:styleId="Subtitle">
    <w:name w:val="Subtitle"/>
    <w:basedOn w:val="Normal"/>
    <w:next w:val="Normal"/>
    <w:pPr/>
    <w:rPr>
      <w:color w:val="595959"/>
      <w:sz w:val="28"/>
      <w:szCs w:val="2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1.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MZyzYMxdP105JZ0yrfSoip3rEAw==">CgMxLjAyDmlkLjU2NGFrdHlxOWdqMg9pZC43YzNscmcydXdwZTQyD2lkLjNueGRxNm1iOWRzMTIPaWQuazFscWl3bDRna2g3Mg9pZC4zMnlobWFiY2t1bGcyD2lkLnQ5ZThjcXg0enRndzIPaWQuNzJoNGJkNGMybjd0Mg9pZC5xaHR3bmZ2Y2FmZTAyD2lkLm5id2VtcmhyMWxoZTIPaWQuOGE1MG9oYXV0djRsMg5pZC4zd2JqeDhvbnFkZTIPaWQuYnV0dm5jMnpob3JqMg9pZC5lcDZwd2YzdTNhOXIyD2lkLnhieW14ZmN0YmRhNzIPaWQuc2Fvc3prdjdyZHJrMg9pZC40ZGF2ODgzNms2Z3U4AHIhMWhyc1NRd3dOczF4N05qcFRsd0Z5dDB0M2FmSU1GZjhF</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2026-04-30T10:00:00Z</dcterms:created>
  <dc:creator>Cao Thi Thuy Hang</dc:creator>
</cp:coreProperties>
</file>