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ED2" w:rsidRDefault="002A5ED2" w:rsidP="00077833">
      <w:pPr>
        <w:ind w:firstLine="720"/>
        <w:jc w:val="both"/>
        <w:rPr>
          <w:b/>
          <w:sz w:val="28"/>
          <w:szCs w:val="28"/>
        </w:rPr>
      </w:pPr>
      <w:r>
        <w:rPr>
          <w:b/>
          <w:sz w:val="28"/>
          <w:szCs w:val="28"/>
        </w:rPr>
        <w:t>Phụ lục 1</w:t>
      </w:r>
    </w:p>
    <w:p w:rsidR="002A5ED2" w:rsidRDefault="002A5ED2" w:rsidP="00077833">
      <w:pPr>
        <w:ind w:firstLine="720"/>
        <w:jc w:val="both"/>
        <w:rPr>
          <w:b/>
          <w:sz w:val="28"/>
          <w:szCs w:val="28"/>
        </w:rPr>
      </w:pPr>
    </w:p>
    <w:p w:rsidR="00364D50" w:rsidRPr="00077833" w:rsidRDefault="00077833" w:rsidP="00F6280F">
      <w:pPr>
        <w:ind w:firstLine="720"/>
        <w:jc w:val="center"/>
        <w:rPr>
          <w:b/>
          <w:sz w:val="28"/>
          <w:szCs w:val="28"/>
        </w:rPr>
      </w:pPr>
      <w:r w:rsidRPr="00077833">
        <w:rPr>
          <w:b/>
          <w:sz w:val="28"/>
          <w:szCs w:val="28"/>
        </w:rPr>
        <w:t xml:space="preserve">Chính sách tài chính hiện hành liên quan đến tài </w:t>
      </w:r>
      <w:r>
        <w:rPr>
          <w:b/>
          <w:sz w:val="28"/>
          <w:szCs w:val="28"/>
        </w:rPr>
        <w:t>nguyên</w:t>
      </w:r>
    </w:p>
    <w:p w:rsidR="00077833" w:rsidRPr="00077833" w:rsidRDefault="00077833" w:rsidP="00077833">
      <w:pPr>
        <w:ind w:firstLine="720"/>
        <w:jc w:val="both"/>
        <w:rPr>
          <w:b/>
          <w:sz w:val="28"/>
          <w:szCs w:val="28"/>
        </w:rPr>
      </w:pPr>
    </w:p>
    <w:p w:rsidR="00077833" w:rsidRDefault="00B315EE" w:rsidP="00077833">
      <w:pPr>
        <w:spacing w:before="120" w:after="120"/>
        <w:ind w:firstLine="720"/>
        <w:jc w:val="both"/>
        <w:rPr>
          <w:sz w:val="28"/>
          <w:szCs w:val="28"/>
        </w:rPr>
      </w:pPr>
      <w:r>
        <w:rPr>
          <w:b/>
          <w:sz w:val="28"/>
          <w:szCs w:val="28"/>
        </w:rPr>
        <w:t>I</w:t>
      </w:r>
      <w:r w:rsidR="00077833" w:rsidRPr="00077833">
        <w:rPr>
          <w:b/>
          <w:sz w:val="28"/>
          <w:szCs w:val="28"/>
        </w:rPr>
        <w:t xml:space="preserve">. </w:t>
      </w:r>
      <w:r w:rsidR="005D6F49">
        <w:rPr>
          <w:b/>
          <w:sz w:val="28"/>
          <w:szCs w:val="28"/>
        </w:rPr>
        <w:t>Tại k</w:t>
      </w:r>
      <w:r w:rsidR="00077833" w:rsidRPr="00077833">
        <w:rPr>
          <w:b/>
          <w:sz w:val="28"/>
          <w:szCs w:val="28"/>
        </w:rPr>
        <w:t>hâu cấp phép:</w:t>
      </w:r>
      <w:r w:rsidR="00077833">
        <w:rPr>
          <w:sz w:val="28"/>
          <w:szCs w:val="28"/>
        </w:rPr>
        <w:t xml:space="preserve"> </w:t>
      </w:r>
    </w:p>
    <w:p w:rsidR="00077833" w:rsidRDefault="00077833" w:rsidP="00077833">
      <w:pPr>
        <w:spacing w:before="120" w:after="120"/>
        <w:ind w:firstLine="720"/>
        <w:jc w:val="both"/>
        <w:rPr>
          <w:sz w:val="28"/>
          <w:szCs w:val="28"/>
        </w:rPr>
      </w:pPr>
      <w:r>
        <w:rPr>
          <w:sz w:val="28"/>
          <w:szCs w:val="28"/>
        </w:rPr>
        <w:t>Để được cấp phép doanh nghiệp phải lập hồ sơ đề nghị cơ quan có thẩm quyền cấp giấy phép khai thác khoáng sản và phải thực hiện nộp các khoản tiền sau:</w:t>
      </w:r>
    </w:p>
    <w:p w:rsidR="00077833" w:rsidRDefault="00B315EE" w:rsidP="00077833">
      <w:pPr>
        <w:spacing w:before="120" w:after="120"/>
        <w:ind w:firstLine="720"/>
        <w:jc w:val="both"/>
        <w:rPr>
          <w:sz w:val="28"/>
          <w:szCs w:val="28"/>
        </w:rPr>
      </w:pPr>
      <w:r w:rsidRPr="00B315EE">
        <w:rPr>
          <w:b/>
          <w:bCs/>
          <w:sz w:val="28"/>
          <w:szCs w:val="28"/>
        </w:rPr>
        <w:t>1.</w:t>
      </w:r>
      <w:r w:rsidR="00077833" w:rsidRPr="00B315EE">
        <w:rPr>
          <w:b/>
          <w:bCs/>
          <w:sz w:val="28"/>
          <w:szCs w:val="28"/>
        </w:rPr>
        <w:t xml:space="preserve"> Lệ phí cấp giấy phép khoáng sản</w:t>
      </w:r>
      <w:r w:rsidR="00077833">
        <w:rPr>
          <w:sz w:val="28"/>
          <w:szCs w:val="28"/>
        </w:rPr>
        <w:t>: Đang thực hiện theo Thông tư số 10/2024/TT-BTC của</w:t>
      </w:r>
      <w:r w:rsidR="00077833" w:rsidRPr="00077833">
        <w:rPr>
          <w:sz w:val="28"/>
          <w:szCs w:val="28"/>
        </w:rPr>
        <w:t xml:space="preserve"> Bộ Tài chính quy định về mức thu, chế độ thu, nộp, quản lý và sử dụng phí thẩm định đánh giá trữ lượng khoáng sản và lệ phí cấp giấy phép hoạt động khoáng sản</w:t>
      </w:r>
      <w:r w:rsidR="00077833">
        <w:rPr>
          <w:sz w:val="28"/>
          <w:szCs w:val="28"/>
        </w:rPr>
        <w:t>. Theo đó, mức thu lệ phí quy định từ 1.000.000 đồng – 100.000.000 đồng/giấy phép/loại khoáng sản được cấp phép khai thác.</w:t>
      </w:r>
    </w:p>
    <w:p w:rsidR="00C132C9" w:rsidRDefault="00C132C9" w:rsidP="00077833">
      <w:pPr>
        <w:spacing w:before="120" w:after="120"/>
        <w:ind w:firstLine="720"/>
        <w:jc w:val="both"/>
        <w:rPr>
          <w:sz w:val="28"/>
          <w:szCs w:val="28"/>
        </w:rPr>
      </w:pPr>
      <w:r>
        <w:rPr>
          <w:sz w:val="28"/>
          <w:szCs w:val="28"/>
        </w:rPr>
        <w:t xml:space="preserve">Số tiền này nộp 01 lần khi được cấp giấy phép, không ảnh hưởng </w:t>
      </w:r>
      <w:r w:rsidR="00A91DBB">
        <w:rPr>
          <w:sz w:val="28"/>
          <w:szCs w:val="28"/>
        </w:rPr>
        <w:t>nhiều</w:t>
      </w:r>
      <w:r>
        <w:rPr>
          <w:sz w:val="28"/>
          <w:szCs w:val="28"/>
        </w:rPr>
        <w:t xml:space="preserve"> đến hoạt động khai thác khoáng sản của doanh nghiệp.</w:t>
      </w:r>
    </w:p>
    <w:p w:rsidR="00F6280F" w:rsidRDefault="00B315EE" w:rsidP="00077833">
      <w:pPr>
        <w:spacing w:before="120" w:after="120"/>
        <w:ind w:firstLine="720"/>
        <w:jc w:val="both"/>
        <w:rPr>
          <w:b/>
          <w:bCs/>
          <w:sz w:val="28"/>
          <w:szCs w:val="28"/>
        </w:rPr>
      </w:pPr>
      <w:r w:rsidRPr="00B315EE">
        <w:rPr>
          <w:b/>
          <w:bCs/>
          <w:sz w:val="28"/>
          <w:szCs w:val="28"/>
        </w:rPr>
        <w:t>2.</w:t>
      </w:r>
      <w:r w:rsidR="00077833" w:rsidRPr="00B315EE">
        <w:rPr>
          <w:b/>
          <w:bCs/>
          <w:sz w:val="28"/>
          <w:szCs w:val="28"/>
        </w:rPr>
        <w:t xml:space="preserve"> Tiền cấp quyền khai thác</w:t>
      </w:r>
    </w:p>
    <w:p w:rsidR="00077833" w:rsidRPr="00F6280F" w:rsidRDefault="00F6280F" w:rsidP="00F6280F">
      <w:pPr>
        <w:spacing w:before="120" w:after="120"/>
        <w:ind w:firstLine="720"/>
        <w:jc w:val="both"/>
        <w:rPr>
          <w:b/>
          <w:bCs/>
          <w:i/>
          <w:sz w:val="28"/>
          <w:szCs w:val="28"/>
        </w:rPr>
      </w:pPr>
      <w:r w:rsidRPr="00F6280F">
        <w:rPr>
          <w:b/>
          <w:bCs/>
          <w:i/>
          <w:sz w:val="28"/>
          <w:szCs w:val="28"/>
        </w:rPr>
        <w:t>2.1. Đối với khoảng sản</w:t>
      </w:r>
      <w:r>
        <w:rPr>
          <w:b/>
          <w:bCs/>
          <w:i/>
          <w:sz w:val="28"/>
          <w:szCs w:val="28"/>
        </w:rPr>
        <w:t xml:space="preserve">: </w:t>
      </w:r>
      <w:r w:rsidR="00077833">
        <w:rPr>
          <w:sz w:val="28"/>
          <w:szCs w:val="28"/>
        </w:rPr>
        <w:t xml:space="preserve">Đang thực hiện theo quy định tại </w:t>
      </w:r>
      <w:r w:rsidR="00077833" w:rsidRPr="00CA46EF">
        <w:rPr>
          <w:bCs/>
          <w:sz w:val="28"/>
          <w:szCs w:val="28"/>
        </w:rPr>
        <w:t xml:space="preserve">Nghị định số 193/2025/NĐ-CP của Chính phủ quy định chi tiết </w:t>
      </w:r>
      <w:r w:rsidR="00077833">
        <w:rPr>
          <w:bCs/>
          <w:sz w:val="28"/>
          <w:szCs w:val="28"/>
        </w:rPr>
        <w:t>một</w:t>
      </w:r>
      <w:r w:rsidR="00077833" w:rsidRPr="00CA46EF">
        <w:rPr>
          <w:bCs/>
          <w:sz w:val="28"/>
          <w:szCs w:val="28"/>
        </w:rPr>
        <w:t xml:space="preserve"> số điều và biện pháp thi hành Luật Địa chất và Khoáng sản</w:t>
      </w:r>
      <w:r w:rsidR="00C132C9">
        <w:rPr>
          <w:rStyle w:val="FootnoteReference"/>
          <w:bCs/>
          <w:sz w:val="28"/>
          <w:szCs w:val="28"/>
        </w:rPr>
        <w:footnoteReference w:id="1"/>
      </w:r>
      <w:r w:rsidR="00077833">
        <w:rPr>
          <w:bCs/>
          <w:sz w:val="28"/>
          <w:szCs w:val="28"/>
        </w:rPr>
        <w:t>.</w:t>
      </w:r>
    </w:p>
    <w:p w:rsidR="002E39A9" w:rsidRDefault="002E39A9" w:rsidP="00077833">
      <w:pPr>
        <w:spacing w:before="120" w:after="120"/>
        <w:ind w:firstLine="720"/>
        <w:jc w:val="both"/>
        <w:rPr>
          <w:sz w:val="28"/>
          <w:szCs w:val="28"/>
        </w:rPr>
      </w:pPr>
      <w:r w:rsidRPr="002E39A9">
        <w:rPr>
          <w:b/>
          <w:i/>
          <w:sz w:val="28"/>
          <w:szCs w:val="28"/>
        </w:rPr>
        <w:t>Trước tháng 7/2025,</w:t>
      </w:r>
      <w:r>
        <w:rPr>
          <w:sz w:val="28"/>
          <w:szCs w:val="28"/>
        </w:rPr>
        <w:t xml:space="preserve"> tiền cấp quyền khai thác khoáng sản được tính theo trữ lượng khoáng sản được cấp phép khai thác trong toàn bộ thời gian của giấy phép; nộp một lần hay một số lần nhưng hoàn thành trước 50% thời hạn của giấy phép. </w:t>
      </w:r>
    </w:p>
    <w:p w:rsidR="00F6280F" w:rsidRDefault="002E39A9" w:rsidP="00077833">
      <w:pPr>
        <w:spacing w:before="120" w:after="120"/>
        <w:ind w:firstLine="720"/>
        <w:jc w:val="both"/>
        <w:rPr>
          <w:sz w:val="28"/>
          <w:szCs w:val="28"/>
        </w:rPr>
      </w:pPr>
      <w:r>
        <w:rPr>
          <w:sz w:val="28"/>
          <w:szCs w:val="28"/>
        </w:rPr>
        <w:t xml:space="preserve">Do số tiền phải nộp lớn phải nộp trước cho thời gian khai thác khoáng sản, gây khó khăn về nguồn tài chính cho doanh nghiệp được cấp phép; một số trường hợp trả lại giấy phép hoặc bị thu hồi giấy phép trước thời hạn lại chưa có quy định về hoàn trả tiền cấp quyền khai thác khoáng sản đã nộp nên phát sinh kiến nghị của doanh nghiệp. </w:t>
      </w:r>
    </w:p>
    <w:p w:rsidR="002E39A9" w:rsidRDefault="002E39A9" w:rsidP="00077833">
      <w:pPr>
        <w:spacing w:before="120" w:after="120"/>
        <w:ind w:firstLine="720"/>
        <w:jc w:val="both"/>
        <w:rPr>
          <w:i/>
          <w:sz w:val="28"/>
          <w:szCs w:val="28"/>
        </w:rPr>
      </w:pPr>
      <w:r>
        <w:rPr>
          <w:sz w:val="28"/>
          <w:szCs w:val="28"/>
        </w:rPr>
        <w:lastRenderedPageBreak/>
        <w:t xml:space="preserve">Do đó, tại Nghị định số 193/2025/NĐ-CP </w:t>
      </w:r>
      <w:r w:rsidRPr="002E39A9">
        <w:rPr>
          <w:i/>
          <w:sz w:val="28"/>
          <w:szCs w:val="28"/>
        </w:rPr>
        <w:t>(có hiệu lực thi hành kể từ ngày 01/7/2025)</w:t>
      </w:r>
      <w:r>
        <w:rPr>
          <w:sz w:val="28"/>
          <w:szCs w:val="28"/>
        </w:rPr>
        <w:t>, quy định</w:t>
      </w:r>
      <w:r w:rsidR="00A91DBB">
        <w:rPr>
          <w:sz w:val="28"/>
          <w:szCs w:val="28"/>
        </w:rPr>
        <w:t xml:space="preserve"> </w:t>
      </w:r>
      <w:r w:rsidRPr="002E39A9">
        <w:rPr>
          <w:i/>
          <w:sz w:val="28"/>
          <w:szCs w:val="28"/>
        </w:rPr>
        <w:t>tiền cấp quyền tính nộp hằng năm theo sản lượng tài nguyên</w:t>
      </w:r>
      <w:r>
        <w:rPr>
          <w:i/>
          <w:sz w:val="28"/>
          <w:szCs w:val="28"/>
        </w:rPr>
        <w:t xml:space="preserve"> thực tế</w:t>
      </w:r>
      <w:r w:rsidRPr="002E39A9">
        <w:rPr>
          <w:i/>
          <w:sz w:val="28"/>
          <w:szCs w:val="28"/>
        </w:rPr>
        <w:t xml:space="preserve"> khai thác trong năm</w:t>
      </w:r>
      <w:r>
        <w:rPr>
          <w:i/>
          <w:sz w:val="28"/>
          <w:szCs w:val="28"/>
        </w:rPr>
        <w:t>.</w:t>
      </w:r>
    </w:p>
    <w:p w:rsidR="00DC47CC" w:rsidRDefault="00DC47CC" w:rsidP="00DC47CC">
      <w:pPr>
        <w:spacing w:before="120" w:after="120"/>
        <w:ind w:firstLine="709"/>
        <w:jc w:val="both"/>
        <w:rPr>
          <w:bCs/>
          <w:sz w:val="28"/>
          <w:szCs w:val="28"/>
          <w:lang w:val="pt-BR"/>
        </w:rPr>
      </w:pPr>
      <w:r>
        <w:rPr>
          <w:bCs/>
          <w:sz w:val="28"/>
          <w:szCs w:val="28"/>
          <w:lang w:val="pt-BR"/>
        </w:rPr>
        <w:t xml:space="preserve">* Tại Báo cáo hoạt động quản lý nhà nước về hoạt động khoáng sản năm 2025 của Bộ Nông nghiệp và Môi trường nêu: </w:t>
      </w:r>
    </w:p>
    <w:p w:rsidR="00DC47CC" w:rsidRDefault="00DC47CC" w:rsidP="00DC47CC">
      <w:pPr>
        <w:spacing w:before="120" w:after="120"/>
        <w:ind w:firstLine="709"/>
        <w:jc w:val="both"/>
        <w:rPr>
          <w:color w:val="000000"/>
          <w:sz w:val="28"/>
          <w:szCs w:val="28"/>
        </w:rPr>
      </w:pPr>
      <w:r>
        <w:rPr>
          <w:bCs/>
          <w:sz w:val="28"/>
          <w:szCs w:val="28"/>
          <w:lang w:val="pt-BR"/>
        </w:rPr>
        <w:t xml:space="preserve">+ </w:t>
      </w:r>
      <w:r w:rsidRPr="00A505F6">
        <w:rPr>
          <w:color w:val="000000"/>
          <w:sz w:val="28"/>
          <w:szCs w:val="28"/>
          <w:lang w:val="vi-VN"/>
        </w:rPr>
        <w:t>Theo số liệu thống kê từ báo cáo của 32/34 tỉnh, thành phố, tính đến hết tháng 12 năm 2025, tổng số giấy phép thăm dò, khai thác khoáng sản đang còn hiệu lực trên địa bàn các địa phương báo cáo là 3.516 giấy phép, cụ thể:</w:t>
      </w:r>
      <w:r w:rsidRPr="00A505F6">
        <w:rPr>
          <w:color w:val="000000"/>
          <w:sz w:val="28"/>
          <w:szCs w:val="28"/>
        </w:rPr>
        <w:t xml:space="preserve"> </w:t>
      </w:r>
      <w:r w:rsidRPr="00A505F6">
        <w:rPr>
          <w:color w:val="000000"/>
          <w:sz w:val="28"/>
          <w:szCs w:val="28"/>
          <w:lang w:val="vi-VN"/>
        </w:rPr>
        <w:t xml:space="preserve">(1) Số giấy phép do Bộ </w:t>
      </w:r>
      <w:r>
        <w:rPr>
          <w:color w:val="000000"/>
          <w:sz w:val="28"/>
          <w:szCs w:val="28"/>
        </w:rPr>
        <w:t>NN&amp;MT</w:t>
      </w:r>
      <w:r w:rsidRPr="00A505F6">
        <w:rPr>
          <w:color w:val="000000"/>
          <w:sz w:val="28"/>
          <w:szCs w:val="28"/>
          <w:lang w:val="vi-VN"/>
        </w:rPr>
        <w:t xml:space="preserve"> cấp còn hiệu lực: 459 giấy phép</w:t>
      </w:r>
      <w:r w:rsidRPr="00A505F6">
        <w:rPr>
          <w:color w:val="000000"/>
          <w:sz w:val="28"/>
          <w:szCs w:val="28"/>
        </w:rPr>
        <w:t xml:space="preserve">; </w:t>
      </w:r>
      <w:r w:rsidRPr="00A505F6">
        <w:rPr>
          <w:color w:val="000000"/>
          <w:sz w:val="28"/>
          <w:szCs w:val="28"/>
          <w:lang w:val="vi-VN"/>
        </w:rPr>
        <w:t xml:space="preserve">(2) Số giấy phép do </w:t>
      </w:r>
      <w:r w:rsidRPr="00A505F6">
        <w:rPr>
          <w:color w:val="000000"/>
          <w:sz w:val="28"/>
          <w:szCs w:val="28"/>
        </w:rPr>
        <w:t>UBND</w:t>
      </w:r>
      <w:r w:rsidRPr="00A505F6">
        <w:rPr>
          <w:color w:val="000000"/>
          <w:sz w:val="28"/>
          <w:szCs w:val="28"/>
          <w:lang w:val="vi-VN"/>
        </w:rPr>
        <w:t xml:space="preserve"> các tỉnh cấp còn hiệu lực: 3.057 giấy phép</w:t>
      </w:r>
      <w:r w:rsidRPr="00A505F6">
        <w:rPr>
          <w:color w:val="000000"/>
          <w:sz w:val="28"/>
          <w:szCs w:val="28"/>
        </w:rPr>
        <w:t>.</w:t>
      </w:r>
    </w:p>
    <w:p w:rsidR="00C132C9" w:rsidRPr="00DC47CC" w:rsidRDefault="00DC47CC" w:rsidP="00DC47CC">
      <w:pPr>
        <w:spacing w:before="120" w:after="120"/>
        <w:ind w:firstLine="720"/>
        <w:jc w:val="both"/>
        <w:rPr>
          <w:color w:val="000000"/>
          <w:sz w:val="28"/>
          <w:szCs w:val="28"/>
        </w:rPr>
      </w:pPr>
      <w:r>
        <w:rPr>
          <w:color w:val="000000"/>
          <w:sz w:val="28"/>
          <w:szCs w:val="28"/>
        </w:rPr>
        <w:t>+ Số tiền cấp quyền khai thác khoáng sản khoảng 6.388 tỷ đồng/năm.</w:t>
      </w:r>
    </w:p>
    <w:p w:rsidR="00F6280F" w:rsidRDefault="00F6280F" w:rsidP="00F6280F">
      <w:pPr>
        <w:spacing w:before="120" w:after="120"/>
        <w:ind w:firstLine="720"/>
        <w:jc w:val="both"/>
        <w:rPr>
          <w:sz w:val="28"/>
          <w:szCs w:val="28"/>
        </w:rPr>
      </w:pPr>
      <w:r w:rsidRPr="00F6280F">
        <w:rPr>
          <w:b/>
          <w:sz w:val="28"/>
          <w:szCs w:val="28"/>
        </w:rPr>
        <w:t xml:space="preserve">2.2. Đối với nước: </w:t>
      </w:r>
      <w:r w:rsidRPr="00F6280F">
        <w:rPr>
          <w:sz w:val="28"/>
          <w:szCs w:val="28"/>
        </w:rPr>
        <w:t>Đang</w:t>
      </w:r>
      <w:r>
        <w:rPr>
          <w:b/>
          <w:sz w:val="28"/>
          <w:szCs w:val="28"/>
        </w:rPr>
        <w:t xml:space="preserve"> </w:t>
      </w:r>
      <w:r w:rsidRPr="00F6280F">
        <w:rPr>
          <w:sz w:val="28"/>
          <w:szCs w:val="28"/>
        </w:rPr>
        <w:t>thực hiện theo quy định tại Nghị định 54/2024/NĐ-CP ngày 16/5/2024 quy định việc hành nghề khoan nước dưới đất, kê khai, đăng ký, cấp phép, dịch vụ tài nguyên nước và tiền cấp quyền khai thác tài nguyên nước.</w:t>
      </w:r>
    </w:p>
    <w:p w:rsidR="00F6280F" w:rsidRDefault="00F6280F" w:rsidP="00077833">
      <w:pPr>
        <w:spacing w:before="120" w:after="120"/>
        <w:ind w:firstLine="720"/>
        <w:jc w:val="both"/>
        <w:rPr>
          <w:color w:val="000000"/>
          <w:sz w:val="28"/>
          <w:szCs w:val="28"/>
        </w:rPr>
      </w:pPr>
      <w:r w:rsidRPr="00F6280F">
        <w:rPr>
          <w:color w:val="000000"/>
          <w:sz w:val="28"/>
          <w:szCs w:val="28"/>
        </w:rPr>
        <w:t>Tổ chức, cá nhân khai thác tài nguyên nước thuộc trường hợp phải cấp phép khai thác nước mặt, nước dưới đất phải nộp tiền cấp quyền khai thác tài nguyên nước trong các trường hợp sau đây: Khai thác nước mặt để phát điện có mục đích thương mại;  Khai thác nước mặt, nước dưới đất để phục vụ hoạt động sản xuất (bao gồm cả nước làm mát máy, thiết bị, tạo hơi, gia nhiệt), kinh doanh, dịch vụ, cấp cho nông nghiệp, nuôi trồng thuỷ sản, cấp cho sinh hoạt.</w:t>
      </w:r>
    </w:p>
    <w:p w:rsidR="00F6280F" w:rsidRPr="00F6280F" w:rsidRDefault="00F6280F" w:rsidP="00077833">
      <w:pPr>
        <w:spacing w:before="120" w:after="120"/>
        <w:ind w:firstLine="720"/>
        <w:jc w:val="both"/>
        <w:rPr>
          <w:sz w:val="28"/>
          <w:szCs w:val="28"/>
        </w:rPr>
      </w:pPr>
      <w:r w:rsidRPr="00F6280F">
        <w:rPr>
          <w:sz w:val="28"/>
          <w:szCs w:val="28"/>
          <w:shd w:val="clear" w:color="auto" w:fill="FFFFFF"/>
        </w:rPr>
        <w:t>Tiền cấp quyền khai thác tài nguyên nước được nộp hằng năm theo số tiền được ghi trong quyết định phê duyệt tiền cấp quyền khai thác tài nguyên nước. Căn cứ khả năng của mình, chủ giấy phép lựa chọn phương thức nộp tiền một lần trong năm, hai lần trong năm hoặc nộp một lần cho cả thời gian được phê duyệt.</w:t>
      </w:r>
    </w:p>
    <w:p w:rsidR="005D6F49" w:rsidRDefault="00B315EE" w:rsidP="005D6F49">
      <w:pPr>
        <w:spacing w:before="120" w:after="120"/>
        <w:ind w:firstLine="720"/>
        <w:jc w:val="both"/>
        <w:rPr>
          <w:sz w:val="28"/>
          <w:szCs w:val="28"/>
        </w:rPr>
      </w:pPr>
      <w:r>
        <w:rPr>
          <w:b/>
          <w:sz w:val="28"/>
          <w:szCs w:val="28"/>
        </w:rPr>
        <w:t>II</w:t>
      </w:r>
      <w:r w:rsidR="005D6F49" w:rsidRPr="00077833">
        <w:rPr>
          <w:b/>
          <w:sz w:val="28"/>
          <w:szCs w:val="28"/>
        </w:rPr>
        <w:t xml:space="preserve">. </w:t>
      </w:r>
      <w:r w:rsidR="005D6F49">
        <w:rPr>
          <w:b/>
          <w:sz w:val="28"/>
          <w:szCs w:val="28"/>
        </w:rPr>
        <w:t>Tại k</w:t>
      </w:r>
      <w:r w:rsidR="005D6F49" w:rsidRPr="00077833">
        <w:rPr>
          <w:b/>
          <w:sz w:val="28"/>
          <w:szCs w:val="28"/>
        </w:rPr>
        <w:t xml:space="preserve">hâu </w:t>
      </w:r>
      <w:r w:rsidR="005D6F49">
        <w:rPr>
          <w:b/>
          <w:sz w:val="28"/>
          <w:szCs w:val="28"/>
        </w:rPr>
        <w:t>khai thác</w:t>
      </w:r>
      <w:r w:rsidR="005D6F49">
        <w:rPr>
          <w:sz w:val="28"/>
          <w:szCs w:val="28"/>
        </w:rPr>
        <w:t xml:space="preserve"> </w:t>
      </w:r>
    </w:p>
    <w:p w:rsidR="005D6F49" w:rsidRDefault="005D6F49" w:rsidP="00077833">
      <w:pPr>
        <w:spacing w:before="120" w:after="120"/>
        <w:ind w:firstLine="720"/>
        <w:jc w:val="both"/>
        <w:rPr>
          <w:sz w:val="28"/>
          <w:szCs w:val="28"/>
        </w:rPr>
      </w:pPr>
      <w:r>
        <w:rPr>
          <w:sz w:val="28"/>
          <w:szCs w:val="28"/>
        </w:rPr>
        <w:t>Khi doanh nghiệp được cấp giấy phép khai thác và thực hiện khai thác khoáng sản, doanh nghiệp phải nộp các khoản thuế, phí sau:</w:t>
      </w:r>
    </w:p>
    <w:p w:rsidR="005D6F49" w:rsidRDefault="00B315EE" w:rsidP="00077833">
      <w:pPr>
        <w:spacing w:before="120" w:after="120"/>
        <w:ind w:firstLine="720"/>
        <w:jc w:val="both"/>
        <w:rPr>
          <w:sz w:val="28"/>
          <w:szCs w:val="28"/>
        </w:rPr>
      </w:pPr>
      <w:r w:rsidRPr="00B315EE">
        <w:rPr>
          <w:b/>
          <w:bCs/>
          <w:sz w:val="28"/>
          <w:szCs w:val="28"/>
        </w:rPr>
        <w:t>1.</w:t>
      </w:r>
      <w:r w:rsidR="005D6F49" w:rsidRPr="00B315EE">
        <w:rPr>
          <w:b/>
          <w:bCs/>
          <w:sz w:val="28"/>
          <w:szCs w:val="28"/>
        </w:rPr>
        <w:t xml:space="preserve"> Thuế tài nguyên</w:t>
      </w:r>
      <w:r w:rsidR="005D6F49">
        <w:rPr>
          <w:sz w:val="28"/>
          <w:szCs w:val="28"/>
        </w:rPr>
        <w:t>: Tính và thu theo khối lượng tài nguyên thực tế khai thác. Số thuế phải nộp = Sản lượng tài nguyên khai thác trong kỳ x giá tính thuế x thuế suất.</w:t>
      </w:r>
    </w:p>
    <w:p w:rsidR="005D6F49" w:rsidRDefault="005D6F49" w:rsidP="00077833">
      <w:pPr>
        <w:spacing w:before="120" w:after="120"/>
        <w:ind w:firstLine="720"/>
        <w:jc w:val="both"/>
        <w:rPr>
          <w:sz w:val="28"/>
          <w:szCs w:val="28"/>
        </w:rPr>
      </w:pPr>
      <w:r>
        <w:rPr>
          <w:sz w:val="28"/>
          <w:szCs w:val="28"/>
        </w:rPr>
        <w:t>- Sản lượng tài nguyên tính thuế xác định cho 03 trường hợp: (i) khoáng sản nguyên khai (khai thác lên bán được ngay); (</w:t>
      </w:r>
      <w:r w:rsidR="00CA1B50">
        <w:rPr>
          <w:sz w:val="28"/>
          <w:szCs w:val="28"/>
        </w:rPr>
        <w:t>ii</w:t>
      </w:r>
      <w:r>
        <w:rPr>
          <w:sz w:val="28"/>
          <w:szCs w:val="28"/>
        </w:rPr>
        <w:t>) khoáng sản thu được sau sàng tuyển, phân loại (đối với trường hợp phải qua sàng tuyển, phân loại);</w:t>
      </w:r>
      <w:r w:rsidR="00CA1B50">
        <w:rPr>
          <w:sz w:val="28"/>
          <w:szCs w:val="28"/>
        </w:rPr>
        <w:t xml:space="preserve"> (iii)</w:t>
      </w:r>
      <w:r>
        <w:rPr>
          <w:sz w:val="28"/>
          <w:szCs w:val="28"/>
        </w:rPr>
        <w:t xml:space="preserve"> qua chế biến (quy đổi từ sản phẩm đầu ra về lượng khoáng sản đưa vào sản xuất, chế biến thông qua </w:t>
      </w:r>
      <w:r w:rsidRPr="005D6F49">
        <w:rPr>
          <w:i/>
          <w:sz w:val="28"/>
          <w:szCs w:val="28"/>
        </w:rPr>
        <w:t>định</w:t>
      </w:r>
      <w:r w:rsidR="00CA1B50">
        <w:rPr>
          <w:i/>
          <w:sz w:val="28"/>
          <w:szCs w:val="28"/>
        </w:rPr>
        <w:t xml:space="preserve"> mức</w:t>
      </w:r>
      <w:r w:rsidRPr="005D6F49">
        <w:rPr>
          <w:i/>
          <w:sz w:val="28"/>
          <w:szCs w:val="28"/>
        </w:rPr>
        <w:t xml:space="preserve"> sử dụng tài nguyên</w:t>
      </w:r>
      <w:r>
        <w:rPr>
          <w:sz w:val="28"/>
          <w:szCs w:val="28"/>
        </w:rPr>
        <w:t>).</w:t>
      </w:r>
    </w:p>
    <w:p w:rsidR="005D6F49" w:rsidRDefault="005D6F49" w:rsidP="00077833">
      <w:pPr>
        <w:spacing w:before="120" w:after="120"/>
        <w:ind w:firstLine="720"/>
        <w:jc w:val="both"/>
        <w:rPr>
          <w:sz w:val="28"/>
          <w:szCs w:val="28"/>
        </w:rPr>
      </w:pPr>
      <w:r>
        <w:rPr>
          <w:sz w:val="28"/>
          <w:szCs w:val="28"/>
        </w:rPr>
        <w:t xml:space="preserve">- Giá tính thuế tài nguyên: (i) Trường hợp có giá bán tính theo giá bán (không bao gồm thuế GTGT); </w:t>
      </w:r>
      <w:r w:rsidR="00C132C9">
        <w:rPr>
          <w:sz w:val="28"/>
          <w:szCs w:val="28"/>
        </w:rPr>
        <w:t xml:space="preserve">(ii) </w:t>
      </w:r>
      <w:r>
        <w:rPr>
          <w:sz w:val="28"/>
          <w:szCs w:val="28"/>
        </w:rPr>
        <w:t xml:space="preserve">không có giá bán thì </w:t>
      </w:r>
      <w:r w:rsidR="00C132C9">
        <w:rPr>
          <w:sz w:val="28"/>
          <w:szCs w:val="28"/>
        </w:rPr>
        <w:t xml:space="preserve">sử dụng giá bán của sản phẩm tương tự bán trên thị trường khu vực, cuối cùng là </w:t>
      </w:r>
      <w:r>
        <w:rPr>
          <w:sz w:val="28"/>
          <w:szCs w:val="28"/>
        </w:rPr>
        <w:t xml:space="preserve">sử dụng giá tính thuế </w:t>
      </w:r>
      <w:r>
        <w:rPr>
          <w:sz w:val="28"/>
          <w:szCs w:val="28"/>
        </w:rPr>
        <w:lastRenderedPageBreak/>
        <w:t xml:space="preserve">do UBND cấp tỉnh quy định; </w:t>
      </w:r>
      <w:r w:rsidR="00C132C9">
        <w:rPr>
          <w:sz w:val="28"/>
          <w:szCs w:val="28"/>
        </w:rPr>
        <w:t xml:space="preserve">(iii) Trường hợp đưa vào sản xuất, chế biến thì sử dụng </w:t>
      </w:r>
      <w:r w:rsidR="00CA1B50">
        <w:rPr>
          <w:sz w:val="28"/>
          <w:szCs w:val="28"/>
        </w:rPr>
        <w:t>giá</w:t>
      </w:r>
      <w:r w:rsidR="00C132C9">
        <w:rPr>
          <w:sz w:val="28"/>
          <w:szCs w:val="28"/>
        </w:rPr>
        <w:t xml:space="preserve"> bán sản phẩm trừ chi phí của khâu chế biến; (iv) tài nguyên xuất khẩu thì sử dụng giá xuất khẩu trừ thuế xuất khẩu (nếu có) và chi phí vận chuyển từ nơi khai thác đến nơi xuất khẩu.</w:t>
      </w:r>
    </w:p>
    <w:p w:rsidR="00C132C9" w:rsidRDefault="00C132C9" w:rsidP="00077833">
      <w:pPr>
        <w:spacing w:before="120" w:after="120"/>
        <w:ind w:firstLine="720"/>
        <w:jc w:val="both"/>
        <w:rPr>
          <w:sz w:val="28"/>
          <w:szCs w:val="28"/>
        </w:rPr>
      </w:pPr>
      <w:r>
        <w:rPr>
          <w:sz w:val="28"/>
          <w:szCs w:val="28"/>
        </w:rPr>
        <w:t>- Thuế suất: Luật quy định Khung và giao UBTVQH quy định mức cụ thể; đối với khoáng sản kim loại khung từ 5-25%.</w:t>
      </w:r>
    </w:p>
    <w:p w:rsidR="002E39A9" w:rsidRDefault="00B315EE" w:rsidP="00077833">
      <w:pPr>
        <w:spacing w:before="120" w:after="120"/>
        <w:ind w:firstLine="720"/>
        <w:jc w:val="both"/>
        <w:rPr>
          <w:sz w:val="28"/>
          <w:szCs w:val="28"/>
        </w:rPr>
      </w:pPr>
      <w:r w:rsidRPr="00B315EE">
        <w:rPr>
          <w:b/>
          <w:bCs/>
          <w:sz w:val="28"/>
          <w:szCs w:val="28"/>
        </w:rPr>
        <w:t>2.</w:t>
      </w:r>
      <w:r w:rsidR="00B97ADD" w:rsidRPr="00B315EE">
        <w:rPr>
          <w:b/>
          <w:bCs/>
          <w:sz w:val="28"/>
          <w:szCs w:val="28"/>
        </w:rPr>
        <w:t xml:space="preserve"> Thuế BVMT</w:t>
      </w:r>
      <w:r w:rsidR="00B97ADD">
        <w:rPr>
          <w:sz w:val="28"/>
          <w:szCs w:val="28"/>
        </w:rPr>
        <w:t xml:space="preserve"> thu đối với than</w:t>
      </w:r>
    </w:p>
    <w:p w:rsidR="00B97ADD" w:rsidRDefault="00B97ADD" w:rsidP="00077833">
      <w:pPr>
        <w:spacing w:before="120" w:after="120"/>
        <w:ind w:firstLine="720"/>
        <w:jc w:val="both"/>
        <w:rPr>
          <w:sz w:val="28"/>
          <w:szCs w:val="28"/>
        </w:rPr>
      </w:pPr>
      <w:r>
        <w:rPr>
          <w:sz w:val="28"/>
          <w:szCs w:val="28"/>
        </w:rPr>
        <w:t xml:space="preserve">Số thuế phải nộp = Sản lượng than khai thác trong kỳ x Mức thuế cố định </w:t>
      </w:r>
    </w:p>
    <w:p w:rsidR="00B97ADD" w:rsidRDefault="00B97ADD" w:rsidP="00077833">
      <w:pPr>
        <w:spacing w:before="120" w:after="120"/>
        <w:ind w:firstLine="720"/>
        <w:jc w:val="both"/>
        <w:rPr>
          <w:sz w:val="28"/>
          <w:szCs w:val="28"/>
        </w:rPr>
      </w:pPr>
      <w:r>
        <w:rPr>
          <w:sz w:val="28"/>
          <w:szCs w:val="28"/>
        </w:rPr>
        <w:t>Luật thuế BVMT quy định khung mức thuế đối với than từ 10.000 – 30.000 đồng/tấn; giao UBTVQH quy định mức thuế cụ thể trong Khung.</w:t>
      </w:r>
    </w:p>
    <w:p w:rsidR="00B97ADD" w:rsidRDefault="00B97ADD" w:rsidP="00077833">
      <w:pPr>
        <w:spacing w:before="120" w:after="120"/>
        <w:ind w:firstLine="720"/>
        <w:jc w:val="both"/>
        <w:rPr>
          <w:sz w:val="28"/>
          <w:szCs w:val="28"/>
        </w:rPr>
      </w:pPr>
      <w:r>
        <w:rPr>
          <w:sz w:val="28"/>
          <w:szCs w:val="28"/>
        </w:rPr>
        <w:t>Cơ bản quá trình thực hiện thu thuế không phát sinh vướng mắc về chính sách.</w:t>
      </w:r>
    </w:p>
    <w:p w:rsidR="00B97ADD" w:rsidRDefault="00B315EE" w:rsidP="00077833">
      <w:pPr>
        <w:spacing w:before="120" w:after="120"/>
        <w:ind w:firstLine="720"/>
        <w:jc w:val="both"/>
        <w:rPr>
          <w:sz w:val="28"/>
          <w:szCs w:val="28"/>
        </w:rPr>
      </w:pPr>
      <w:r w:rsidRPr="00B315EE">
        <w:rPr>
          <w:b/>
          <w:bCs/>
          <w:sz w:val="28"/>
          <w:szCs w:val="28"/>
        </w:rPr>
        <w:t>3.</w:t>
      </w:r>
      <w:r w:rsidR="00B97ADD" w:rsidRPr="00B315EE">
        <w:rPr>
          <w:b/>
          <w:bCs/>
          <w:sz w:val="28"/>
          <w:szCs w:val="28"/>
        </w:rPr>
        <w:t xml:space="preserve"> Phí BVMT đối với khai thác khoáng sản</w:t>
      </w:r>
      <w:r w:rsidR="00B97ADD">
        <w:rPr>
          <w:sz w:val="28"/>
          <w:szCs w:val="28"/>
        </w:rPr>
        <w:t>: Đang thực hiện theo Nghị định số 27/2023/NĐ-CP của Chính phủ.</w:t>
      </w:r>
    </w:p>
    <w:p w:rsidR="00B97ADD" w:rsidRDefault="00B97ADD" w:rsidP="00077833">
      <w:pPr>
        <w:spacing w:before="120" w:after="120"/>
        <w:ind w:firstLine="720"/>
        <w:jc w:val="both"/>
        <w:rPr>
          <w:sz w:val="28"/>
          <w:szCs w:val="28"/>
        </w:rPr>
      </w:pPr>
      <w:r>
        <w:rPr>
          <w:sz w:val="28"/>
          <w:szCs w:val="28"/>
        </w:rPr>
        <w:t>Số phí phải nộp = Sản lượng khoáng sản nguyên khai khai thác trong kỳ  x Mức phí cố định/đơn vị sản phẩm (tấn, m</w:t>
      </w:r>
      <w:r w:rsidR="00E94259" w:rsidRPr="00E94259">
        <w:rPr>
          <w:sz w:val="28"/>
          <w:szCs w:val="28"/>
          <w:vertAlign w:val="superscript"/>
        </w:rPr>
        <w:t>3</w:t>
      </w:r>
      <w:r w:rsidR="00E94259">
        <w:rPr>
          <w:sz w:val="28"/>
          <w:szCs w:val="28"/>
        </w:rPr>
        <w:t>).</w:t>
      </w:r>
      <w:r>
        <w:rPr>
          <w:sz w:val="28"/>
          <w:szCs w:val="28"/>
        </w:rPr>
        <w:t xml:space="preserve"> </w:t>
      </w:r>
    </w:p>
    <w:p w:rsidR="00B97ADD" w:rsidRDefault="00B97ADD" w:rsidP="00077833">
      <w:pPr>
        <w:spacing w:before="120" w:after="120"/>
        <w:ind w:firstLine="720"/>
        <w:jc w:val="both"/>
        <w:rPr>
          <w:sz w:val="28"/>
          <w:szCs w:val="28"/>
        </w:rPr>
      </w:pPr>
      <w:r>
        <w:rPr>
          <w:sz w:val="28"/>
          <w:szCs w:val="28"/>
        </w:rPr>
        <w:t xml:space="preserve">Nghị định quy định Khung mức phí </w:t>
      </w:r>
      <w:r w:rsidR="00E94259">
        <w:rPr>
          <w:sz w:val="28"/>
          <w:szCs w:val="28"/>
        </w:rPr>
        <w:t>giao HĐND cấp tỉnh quy định mức phí cụ thể trong Khung.</w:t>
      </w:r>
    </w:p>
    <w:p w:rsidR="00E94259" w:rsidRDefault="00E94259" w:rsidP="00077833">
      <w:pPr>
        <w:spacing w:before="120" w:after="120"/>
        <w:ind w:firstLine="720"/>
        <w:jc w:val="both"/>
        <w:rPr>
          <w:sz w:val="28"/>
          <w:szCs w:val="28"/>
        </w:rPr>
      </w:pPr>
      <w:r>
        <w:rPr>
          <w:sz w:val="28"/>
          <w:szCs w:val="28"/>
        </w:rPr>
        <w:t>* Theo số liệu Cục Thuế cung cấp: Số thu NSNN từ phí BVMT khoảng 6.000 tỷ đồng/năm.</w:t>
      </w:r>
    </w:p>
    <w:p w:rsidR="00E94259" w:rsidRDefault="00E94259" w:rsidP="00E94259">
      <w:pPr>
        <w:spacing w:before="120" w:after="120"/>
        <w:ind w:firstLine="720"/>
        <w:jc w:val="both"/>
        <w:rPr>
          <w:sz w:val="28"/>
          <w:szCs w:val="28"/>
        </w:rPr>
      </w:pPr>
      <w:r w:rsidRPr="00B315EE">
        <w:rPr>
          <w:b/>
          <w:bCs/>
          <w:sz w:val="28"/>
          <w:szCs w:val="28"/>
        </w:rPr>
        <w:t>4</w:t>
      </w:r>
      <w:r w:rsidR="00B315EE" w:rsidRPr="00B315EE">
        <w:rPr>
          <w:b/>
          <w:bCs/>
          <w:sz w:val="28"/>
          <w:szCs w:val="28"/>
        </w:rPr>
        <w:t>.</w:t>
      </w:r>
      <w:r w:rsidRPr="00B315EE">
        <w:rPr>
          <w:b/>
          <w:bCs/>
          <w:sz w:val="28"/>
          <w:szCs w:val="28"/>
        </w:rPr>
        <w:t xml:space="preserve"> Thuế GTGT</w:t>
      </w:r>
      <w:r>
        <w:rPr>
          <w:sz w:val="28"/>
          <w:szCs w:val="28"/>
        </w:rPr>
        <w:t>: số thuế phải nộp = Doanh thu bán tài nguyên x Thuế suất (10%).</w:t>
      </w:r>
    </w:p>
    <w:p w:rsidR="00E94259" w:rsidRDefault="00E94259" w:rsidP="00E94259">
      <w:pPr>
        <w:spacing w:before="120" w:after="120"/>
        <w:ind w:firstLine="720"/>
        <w:jc w:val="both"/>
        <w:rPr>
          <w:color w:val="000000"/>
          <w:sz w:val="28"/>
          <w:szCs w:val="28"/>
        </w:rPr>
      </w:pPr>
      <w:r w:rsidRPr="00B315EE">
        <w:rPr>
          <w:b/>
          <w:bCs/>
          <w:sz w:val="28"/>
          <w:szCs w:val="28"/>
        </w:rPr>
        <w:t>5</w:t>
      </w:r>
      <w:r w:rsidR="00B315EE" w:rsidRPr="00B315EE">
        <w:rPr>
          <w:b/>
          <w:bCs/>
          <w:sz w:val="28"/>
          <w:szCs w:val="28"/>
        </w:rPr>
        <w:t>.</w:t>
      </w:r>
      <w:r w:rsidRPr="00B315EE">
        <w:rPr>
          <w:b/>
          <w:bCs/>
          <w:sz w:val="28"/>
          <w:szCs w:val="28"/>
        </w:rPr>
        <w:t xml:space="preserve"> Thuế </w:t>
      </w:r>
      <w:r w:rsidR="00B315EE">
        <w:rPr>
          <w:b/>
          <w:bCs/>
          <w:sz w:val="28"/>
          <w:szCs w:val="28"/>
        </w:rPr>
        <w:t>x</w:t>
      </w:r>
      <w:r w:rsidRPr="00B315EE">
        <w:rPr>
          <w:b/>
          <w:bCs/>
          <w:sz w:val="28"/>
          <w:szCs w:val="28"/>
        </w:rPr>
        <w:t>uất khẩu</w:t>
      </w:r>
      <w:r>
        <w:rPr>
          <w:sz w:val="28"/>
          <w:szCs w:val="28"/>
        </w:rPr>
        <w:t>:</w:t>
      </w:r>
      <w:r w:rsidRPr="00E94259">
        <w:rPr>
          <w:color w:val="000000"/>
          <w:sz w:val="28"/>
          <w:szCs w:val="28"/>
          <w:lang w:val="vi-VN"/>
        </w:rPr>
        <w:t xml:space="preserve"> </w:t>
      </w:r>
      <w:r>
        <w:rPr>
          <w:color w:val="000000"/>
          <w:sz w:val="28"/>
          <w:szCs w:val="28"/>
        </w:rPr>
        <w:t>sản phẩm khoáng sản được phép xuất khẩu phải nộp thuế xuất khẩu theo quy định pháp luật về thuế xuất khẩu</w:t>
      </w:r>
    </w:p>
    <w:p w:rsidR="00E94259" w:rsidRDefault="00E94259" w:rsidP="00E94259">
      <w:pPr>
        <w:spacing w:before="120" w:after="120"/>
        <w:ind w:firstLine="720"/>
        <w:jc w:val="both"/>
        <w:rPr>
          <w:color w:val="000000"/>
          <w:sz w:val="28"/>
          <w:szCs w:val="28"/>
        </w:rPr>
      </w:pPr>
      <w:r>
        <w:rPr>
          <w:color w:val="000000"/>
          <w:sz w:val="28"/>
          <w:szCs w:val="28"/>
        </w:rPr>
        <w:t xml:space="preserve">Số thuế xuất khẩu phải nộp = Doanh thu x </w:t>
      </w:r>
      <w:r w:rsidRPr="00DF6C5E">
        <w:rPr>
          <w:color w:val="000000"/>
          <w:sz w:val="28"/>
          <w:szCs w:val="28"/>
          <w:lang w:val="vi-VN"/>
        </w:rPr>
        <w:t>thuế suất</w:t>
      </w:r>
    </w:p>
    <w:p w:rsidR="00E94259" w:rsidRDefault="00E94259" w:rsidP="00077833">
      <w:pPr>
        <w:spacing w:before="120" w:after="120"/>
        <w:ind w:firstLine="720"/>
        <w:jc w:val="both"/>
        <w:rPr>
          <w:sz w:val="28"/>
          <w:szCs w:val="28"/>
        </w:rPr>
      </w:pPr>
      <w:r w:rsidRPr="00B315EE">
        <w:rPr>
          <w:b/>
          <w:bCs/>
          <w:sz w:val="28"/>
          <w:szCs w:val="28"/>
        </w:rPr>
        <w:t>6</w:t>
      </w:r>
      <w:r w:rsidR="00B315EE" w:rsidRPr="00B315EE">
        <w:rPr>
          <w:b/>
          <w:bCs/>
          <w:sz w:val="28"/>
          <w:szCs w:val="28"/>
        </w:rPr>
        <w:t>.</w:t>
      </w:r>
      <w:r w:rsidRPr="00B315EE">
        <w:rPr>
          <w:b/>
          <w:bCs/>
          <w:sz w:val="28"/>
          <w:szCs w:val="28"/>
        </w:rPr>
        <w:t xml:space="preserve"> Thuế TNDN</w:t>
      </w:r>
      <w:r>
        <w:rPr>
          <w:sz w:val="28"/>
          <w:szCs w:val="28"/>
        </w:rPr>
        <w:t xml:space="preserve"> đối với doanh nghiệp khai thác, chế biến khoáng sản</w:t>
      </w:r>
    </w:p>
    <w:p w:rsidR="00E94259" w:rsidRDefault="00E94259" w:rsidP="00077833">
      <w:pPr>
        <w:spacing w:before="120" w:after="120"/>
        <w:ind w:firstLine="720"/>
        <w:jc w:val="both"/>
        <w:rPr>
          <w:sz w:val="28"/>
          <w:szCs w:val="28"/>
        </w:rPr>
      </w:pPr>
      <w:r>
        <w:rPr>
          <w:sz w:val="28"/>
          <w:szCs w:val="28"/>
        </w:rPr>
        <w:t xml:space="preserve">Số thuế phải nộp = Lợi nhuận trước thuế x Thuế suất (từ </w:t>
      </w:r>
      <w:r w:rsidR="009712BC">
        <w:rPr>
          <w:sz w:val="28"/>
          <w:szCs w:val="28"/>
        </w:rPr>
        <w:t>20</w:t>
      </w:r>
      <w:r>
        <w:rPr>
          <w:sz w:val="28"/>
          <w:szCs w:val="28"/>
        </w:rPr>
        <w:t>-50%).</w:t>
      </w:r>
    </w:p>
    <w:p w:rsidR="000528BD" w:rsidRPr="00077833" w:rsidRDefault="00B315EE" w:rsidP="00077833">
      <w:pPr>
        <w:spacing w:before="120" w:after="120"/>
        <w:ind w:firstLine="720"/>
        <w:jc w:val="both"/>
        <w:rPr>
          <w:sz w:val="28"/>
          <w:szCs w:val="28"/>
        </w:rPr>
      </w:pPr>
      <w:r>
        <w:rPr>
          <w:sz w:val="28"/>
          <w:szCs w:val="28"/>
        </w:rPr>
        <w:t xml:space="preserve">Luật thuế GTGT, Luật thuế TNDN được Quốc hội thông qua năm 2025, xuất khẩu được điều chỉnh </w:t>
      </w:r>
      <w:r w:rsidR="00BC31B4">
        <w:rPr>
          <w:sz w:val="28"/>
          <w:szCs w:val="28"/>
        </w:rPr>
        <w:t xml:space="preserve">được điều chỉnh linh hoạt, kịp thời đáp ứng chủ trương của của Nhà nước về khoáng sản. Các khoản thuế này không hạch toán riêng được số thu do đó, </w:t>
      </w:r>
      <w:r w:rsidR="00CA1B50">
        <w:rPr>
          <w:sz w:val="28"/>
          <w:szCs w:val="28"/>
        </w:rPr>
        <w:t xml:space="preserve">không </w:t>
      </w:r>
      <w:r w:rsidR="00BC31B4">
        <w:rPr>
          <w:sz w:val="28"/>
          <w:szCs w:val="28"/>
        </w:rPr>
        <w:t>có số liệu chi tiết về số thu NSNN từ 03 khoản thuế này.</w:t>
      </w:r>
    </w:p>
    <w:sectPr w:rsidR="000528BD" w:rsidRPr="00077833" w:rsidSect="00C761E8">
      <w:headerReference w:type="default" r:id="rId8"/>
      <w:pgSz w:w="11907" w:h="16839" w:code="9"/>
      <w:pgMar w:top="1247" w:right="1134" w:bottom="1247"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693" w:rsidRDefault="00B16693" w:rsidP="00B72834">
      <w:r>
        <w:separator/>
      </w:r>
    </w:p>
  </w:endnote>
  <w:endnote w:type="continuationSeparator" w:id="0">
    <w:p w:rsidR="00B16693" w:rsidRDefault="00B16693" w:rsidP="00B728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693" w:rsidRDefault="00B16693" w:rsidP="00B72834">
      <w:r>
        <w:separator/>
      </w:r>
    </w:p>
  </w:footnote>
  <w:footnote w:type="continuationSeparator" w:id="0">
    <w:p w:rsidR="00B16693" w:rsidRDefault="00B16693" w:rsidP="00B72834">
      <w:r>
        <w:continuationSeparator/>
      </w:r>
    </w:p>
  </w:footnote>
  <w:footnote w:id="1">
    <w:p w:rsidR="00E94259" w:rsidRPr="002E39A9" w:rsidRDefault="00E94259" w:rsidP="00F6280F">
      <w:pPr>
        <w:ind w:firstLine="720"/>
        <w:jc w:val="both"/>
        <w:rPr>
          <w:bCs/>
        </w:rPr>
      </w:pPr>
      <w:r>
        <w:rPr>
          <w:rStyle w:val="FootnoteReference"/>
        </w:rPr>
        <w:footnoteRef/>
      </w:r>
      <w:r>
        <w:t xml:space="preserve"> </w:t>
      </w:r>
      <w:r w:rsidRPr="002E39A9">
        <w:rPr>
          <w:bCs/>
        </w:rPr>
        <w:t>Tại Điều 132 Nghị định số 193/2025/NĐ-CP quy định:</w:t>
      </w:r>
    </w:p>
    <w:p w:rsidR="00E94259" w:rsidRPr="002E39A9" w:rsidRDefault="00E94259" w:rsidP="00F6280F">
      <w:pPr>
        <w:ind w:firstLine="720"/>
        <w:jc w:val="both"/>
        <w:rPr>
          <w:i/>
        </w:rPr>
      </w:pPr>
      <w:r w:rsidRPr="002E39A9">
        <w:rPr>
          <w:i/>
        </w:rPr>
        <w:t>1. Tiền cấp quyền khai thác khoáng sản được tính theo công thức sau:</w:t>
      </w:r>
    </w:p>
    <w:p w:rsidR="00E94259" w:rsidRPr="002E39A9" w:rsidRDefault="00E94259" w:rsidP="00F6280F">
      <w:pPr>
        <w:ind w:firstLine="720"/>
        <w:jc w:val="both"/>
        <w:rPr>
          <w:i/>
        </w:rPr>
      </w:pPr>
      <w:r w:rsidRPr="002E39A9">
        <w:rPr>
          <w:i/>
        </w:rPr>
        <w:t>T = Q x G x R  Trong đó:</w:t>
      </w:r>
    </w:p>
    <w:p w:rsidR="00E94259" w:rsidRPr="002E39A9" w:rsidRDefault="00E94259" w:rsidP="00F6280F">
      <w:pPr>
        <w:ind w:firstLine="720"/>
        <w:jc w:val="both"/>
        <w:rPr>
          <w:i/>
        </w:rPr>
      </w:pPr>
      <w:r w:rsidRPr="002E39A9">
        <w:rPr>
          <w:i/>
        </w:rPr>
        <w:t>T - Số tiền cấp quyền khai thác khoáng sản;</w:t>
      </w:r>
    </w:p>
    <w:p w:rsidR="00E94259" w:rsidRPr="002E39A9" w:rsidRDefault="00E94259" w:rsidP="00F6280F">
      <w:pPr>
        <w:ind w:firstLine="720"/>
        <w:jc w:val="both"/>
        <w:rPr>
          <w:i/>
        </w:rPr>
      </w:pPr>
      <w:r w:rsidRPr="002E39A9">
        <w:rPr>
          <w:i/>
        </w:rPr>
        <w:t>Q - Trữ lượng, khối lượng khoáng sản tính tiền cấp quyền khai thác khoáng sản;</w:t>
      </w:r>
    </w:p>
    <w:p w:rsidR="00E94259" w:rsidRPr="002E39A9" w:rsidRDefault="00E94259" w:rsidP="00F6280F">
      <w:pPr>
        <w:ind w:firstLine="720"/>
        <w:jc w:val="both"/>
        <w:rPr>
          <w:i/>
        </w:rPr>
      </w:pPr>
      <w:r w:rsidRPr="002E39A9">
        <w:rPr>
          <w:i/>
        </w:rPr>
        <w:t xml:space="preserve">G - Giá tính tiền cấp quyền khai thác khoáng sản là </w:t>
      </w:r>
      <w:bookmarkStart w:id="0" w:name="khoan_1_134"/>
      <w:r w:rsidRPr="002E39A9">
        <w:rPr>
          <w:i/>
        </w:rPr>
        <w:t>giá của đơn vị khoáng sản nguyên khai, được xác định trên cơ sở giá tính thuế tài nguyên và hệ số quy đổi. </w:t>
      </w:r>
      <w:bookmarkEnd w:id="0"/>
      <w:r w:rsidRPr="002E39A9">
        <w:rPr>
          <w:i/>
        </w:rPr>
        <w:t xml:space="preserve"> </w:t>
      </w:r>
    </w:p>
    <w:p w:rsidR="00E94259" w:rsidRDefault="00E94259" w:rsidP="00F6280F">
      <w:pPr>
        <w:ind w:firstLine="720"/>
        <w:jc w:val="both"/>
      </w:pPr>
      <w:r w:rsidRPr="002E39A9">
        <w:rPr>
          <w:i/>
        </w:rPr>
        <w:t>R - Tỷ lệ thu tiền cấp quyền khai thác khoáng sản (R) theo quy định tại Phụ lục III ban hành kèm theo Nghị định này đối với khu vực không đấu giá quyền khai thác khoáng sản; tỷ lệ thu tiền cấp quyền khai thác khoáng sản trúng đấu giá đối với khu vực đấu giá quyền khai thác khoáng sản</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259" w:rsidRDefault="00E94259" w:rsidP="008F1F00">
    <w:pPr>
      <w:pStyle w:val="Header"/>
    </w:pPr>
  </w:p>
  <w:p w:rsidR="00E94259" w:rsidRDefault="00E942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75033F"/>
    <w:multiLevelType w:val="hybridMultilevel"/>
    <w:tmpl w:val="87E0392A"/>
    <w:lvl w:ilvl="0" w:tplc="87CABAB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70A11"/>
    <w:rsid w:val="00013125"/>
    <w:rsid w:val="00023D49"/>
    <w:rsid w:val="00024B63"/>
    <w:rsid w:val="00025D39"/>
    <w:rsid w:val="00033D8E"/>
    <w:rsid w:val="000357AD"/>
    <w:rsid w:val="0003763A"/>
    <w:rsid w:val="00041149"/>
    <w:rsid w:val="000467AF"/>
    <w:rsid w:val="00050547"/>
    <w:rsid w:val="000528BD"/>
    <w:rsid w:val="00063E34"/>
    <w:rsid w:val="000668F7"/>
    <w:rsid w:val="00067F68"/>
    <w:rsid w:val="00070125"/>
    <w:rsid w:val="00073235"/>
    <w:rsid w:val="00073A34"/>
    <w:rsid w:val="00077833"/>
    <w:rsid w:val="00087C3C"/>
    <w:rsid w:val="000A1864"/>
    <w:rsid w:val="000B07E4"/>
    <w:rsid w:val="000D01D8"/>
    <w:rsid w:val="000D39E1"/>
    <w:rsid w:val="000E7AE4"/>
    <w:rsid w:val="000F2ECA"/>
    <w:rsid w:val="000F46EA"/>
    <w:rsid w:val="000F6433"/>
    <w:rsid w:val="00102A8E"/>
    <w:rsid w:val="00104BBF"/>
    <w:rsid w:val="00106984"/>
    <w:rsid w:val="00114679"/>
    <w:rsid w:val="00116735"/>
    <w:rsid w:val="00125793"/>
    <w:rsid w:val="00133FE0"/>
    <w:rsid w:val="00143FD1"/>
    <w:rsid w:val="00144450"/>
    <w:rsid w:val="00153B4B"/>
    <w:rsid w:val="00161787"/>
    <w:rsid w:val="00166ACD"/>
    <w:rsid w:val="00184C59"/>
    <w:rsid w:val="00186B6D"/>
    <w:rsid w:val="0019277B"/>
    <w:rsid w:val="001A6840"/>
    <w:rsid w:val="001B331A"/>
    <w:rsid w:val="001B3BC4"/>
    <w:rsid w:val="001B592F"/>
    <w:rsid w:val="001C0D90"/>
    <w:rsid w:val="001C6E7D"/>
    <w:rsid w:val="001E397A"/>
    <w:rsid w:val="001F42A4"/>
    <w:rsid w:val="0020711B"/>
    <w:rsid w:val="00210A3F"/>
    <w:rsid w:val="0021276C"/>
    <w:rsid w:val="00216837"/>
    <w:rsid w:val="00232AB6"/>
    <w:rsid w:val="00236071"/>
    <w:rsid w:val="002473E4"/>
    <w:rsid w:val="002758EE"/>
    <w:rsid w:val="00280A00"/>
    <w:rsid w:val="00284D7C"/>
    <w:rsid w:val="0029242B"/>
    <w:rsid w:val="002A1DD3"/>
    <w:rsid w:val="002A5ED2"/>
    <w:rsid w:val="002E28C6"/>
    <w:rsid w:val="002E39A9"/>
    <w:rsid w:val="002E4039"/>
    <w:rsid w:val="002F449B"/>
    <w:rsid w:val="002F58CD"/>
    <w:rsid w:val="003003F2"/>
    <w:rsid w:val="0030795C"/>
    <w:rsid w:val="0031594F"/>
    <w:rsid w:val="003168BD"/>
    <w:rsid w:val="0033665B"/>
    <w:rsid w:val="00336B44"/>
    <w:rsid w:val="00340384"/>
    <w:rsid w:val="003554CB"/>
    <w:rsid w:val="00364D50"/>
    <w:rsid w:val="003748EC"/>
    <w:rsid w:val="003773E0"/>
    <w:rsid w:val="00380006"/>
    <w:rsid w:val="0038174E"/>
    <w:rsid w:val="00386FD2"/>
    <w:rsid w:val="003A0821"/>
    <w:rsid w:val="003A23B4"/>
    <w:rsid w:val="003A6A7F"/>
    <w:rsid w:val="003C1FB5"/>
    <w:rsid w:val="003D3B4C"/>
    <w:rsid w:val="003D3E7B"/>
    <w:rsid w:val="003D5A74"/>
    <w:rsid w:val="003F29CC"/>
    <w:rsid w:val="00420D76"/>
    <w:rsid w:val="00421AD8"/>
    <w:rsid w:val="00430AFC"/>
    <w:rsid w:val="004327AE"/>
    <w:rsid w:val="004442DC"/>
    <w:rsid w:val="00444AFE"/>
    <w:rsid w:val="00447480"/>
    <w:rsid w:val="00454096"/>
    <w:rsid w:val="00465B6E"/>
    <w:rsid w:val="004712FD"/>
    <w:rsid w:val="0047234B"/>
    <w:rsid w:val="00481467"/>
    <w:rsid w:val="00484E39"/>
    <w:rsid w:val="00496C6F"/>
    <w:rsid w:val="004A0843"/>
    <w:rsid w:val="004B1EF3"/>
    <w:rsid w:val="004C3407"/>
    <w:rsid w:val="004C5EA6"/>
    <w:rsid w:val="00503833"/>
    <w:rsid w:val="00510D94"/>
    <w:rsid w:val="00534BE0"/>
    <w:rsid w:val="0053745B"/>
    <w:rsid w:val="0053763C"/>
    <w:rsid w:val="00564508"/>
    <w:rsid w:val="00565D92"/>
    <w:rsid w:val="00570A11"/>
    <w:rsid w:val="005770C8"/>
    <w:rsid w:val="005772D0"/>
    <w:rsid w:val="00593143"/>
    <w:rsid w:val="005C1D9D"/>
    <w:rsid w:val="005C4549"/>
    <w:rsid w:val="005C4A72"/>
    <w:rsid w:val="005C7C0B"/>
    <w:rsid w:val="005D0209"/>
    <w:rsid w:val="005D1937"/>
    <w:rsid w:val="005D6F49"/>
    <w:rsid w:val="005E64DE"/>
    <w:rsid w:val="005F076C"/>
    <w:rsid w:val="005F2071"/>
    <w:rsid w:val="00602908"/>
    <w:rsid w:val="00605F59"/>
    <w:rsid w:val="00607FC5"/>
    <w:rsid w:val="006100B1"/>
    <w:rsid w:val="00615018"/>
    <w:rsid w:val="00632B8D"/>
    <w:rsid w:val="006359FB"/>
    <w:rsid w:val="00635ACF"/>
    <w:rsid w:val="00655045"/>
    <w:rsid w:val="00655A4E"/>
    <w:rsid w:val="00664DA8"/>
    <w:rsid w:val="006751AE"/>
    <w:rsid w:val="0068731A"/>
    <w:rsid w:val="006920CB"/>
    <w:rsid w:val="00695ADA"/>
    <w:rsid w:val="006A4FB0"/>
    <w:rsid w:val="006A7D5D"/>
    <w:rsid w:val="006C08BC"/>
    <w:rsid w:val="006C1A1A"/>
    <w:rsid w:val="006C70A4"/>
    <w:rsid w:val="006C7784"/>
    <w:rsid w:val="006E210B"/>
    <w:rsid w:val="006E2B94"/>
    <w:rsid w:val="006E3DB6"/>
    <w:rsid w:val="006F796F"/>
    <w:rsid w:val="00701F57"/>
    <w:rsid w:val="00703CC4"/>
    <w:rsid w:val="007132B8"/>
    <w:rsid w:val="007163E2"/>
    <w:rsid w:val="007225F9"/>
    <w:rsid w:val="007304D2"/>
    <w:rsid w:val="00741713"/>
    <w:rsid w:val="007555E3"/>
    <w:rsid w:val="00765CD2"/>
    <w:rsid w:val="00776DA5"/>
    <w:rsid w:val="00790FF6"/>
    <w:rsid w:val="00792314"/>
    <w:rsid w:val="00793CC1"/>
    <w:rsid w:val="007A7D73"/>
    <w:rsid w:val="007B15A1"/>
    <w:rsid w:val="007B48F4"/>
    <w:rsid w:val="007C1CD8"/>
    <w:rsid w:val="007D6D29"/>
    <w:rsid w:val="0081108B"/>
    <w:rsid w:val="00814F85"/>
    <w:rsid w:val="00821ADC"/>
    <w:rsid w:val="00822099"/>
    <w:rsid w:val="008332A4"/>
    <w:rsid w:val="0085073B"/>
    <w:rsid w:val="008547A2"/>
    <w:rsid w:val="00862EB5"/>
    <w:rsid w:val="00867C18"/>
    <w:rsid w:val="00870953"/>
    <w:rsid w:val="008739B4"/>
    <w:rsid w:val="00874E70"/>
    <w:rsid w:val="008927C9"/>
    <w:rsid w:val="008A4D0D"/>
    <w:rsid w:val="008B3681"/>
    <w:rsid w:val="008C6B7F"/>
    <w:rsid w:val="008D250A"/>
    <w:rsid w:val="008D5C58"/>
    <w:rsid w:val="008E58B0"/>
    <w:rsid w:val="008E667E"/>
    <w:rsid w:val="008F1F00"/>
    <w:rsid w:val="008F71DD"/>
    <w:rsid w:val="00903424"/>
    <w:rsid w:val="0090454A"/>
    <w:rsid w:val="00905144"/>
    <w:rsid w:val="00911560"/>
    <w:rsid w:val="00925686"/>
    <w:rsid w:val="00927746"/>
    <w:rsid w:val="00932E6C"/>
    <w:rsid w:val="00933517"/>
    <w:rsid w:val="00936A5F"/>
    <w:rsid w:val="009446EF"/>
    <w:rsid w:val="00952A2A"/>
    <w:rsid w:val="00953523"/>
    <w:rsid w:val="009549DA"/>
    <w:rsid w:val="009619E8"/>
    <w:rsid w:val="009712BC"/>
    <w:rsid w:val="00976EC2"/>
    <w:rsid w:val="009877F5"/>
    <w:rsid w:val="009A58A6"/>
    <w:rsid w:val="009A5D16"/>
    <w:rsid w:val="009B122D"/>
    <w:rsid w:val="009D21CA"/>
    <w:rsid w:val="009D29B2"/>
    <w:rsid w:val="009D7E1D"/>
    <w:rsid w:val="009F2346"/>
    <w:rsid w:val="00A048E2"/>
    <w:rsid w:val="00A11041"/>
    <w:rsid w:val="00A32DA6"/>
    <w:rsid w:val="00A33E22"/>
    <w:rsid w:val="00A343A3"/>
    <w:rsid w:val="00A45A85"/>
    <w:rsid w:val="00A54F63"/>
    <w:rsid w:val="00A60D4B"/>
    <w:rsid w:val="00A631A7"/>
    <w:rsid w:val="00A6645A"/>
    <w:rsid w:val="00A72DB1"/>
    <w:rsid w:val="00A811F3"/>
    <w:rsid w:val="00A911AA"/>
    <w:rsid w:val="00A91DBB"/>
    <w:rsid w:val="00AA1E5F"/>
    <w:rsid w:val="00AA518B"/>
    <w:rsid w:val="00AB0AA2"/>
    <w:rsid w:val="00AC618D"/>
    <w:rsid w:val="00AE0CA5"/>
    <w:rsid w:val="00AF611B"/>
    <w:rsid w:val="00AF68E4"/>
    <w:rsid w:val="00B11F8B"/>
    <w:rsid w:val="00B16693"/>
    <w:rsid w:val="00B22E7E"/>
    <w:rsid w:val="00B2528E"/>
    <w:rsid w:val="00B315EE"/>
    <w:rsid w:val="00B46169"/>
    <w:rsid w:val="00B5088D"/>
    <w:rsid w:val="00B72834"/>
    <w:rsid w:val="00B92BC6"/>
    <w:rsid w:val="00B92D1F"/>
    <w:rsid w:val="00B94465"/>
    <w:rsid w:val="00B97ADD"/>
    <w:rsid w:val="00BA42C6"/>
    <w:rsid w:val="00BB569E"/>
    <w:rsid w:val="00BB7EAC"/>
    <w:rsid w:val="00BC31B4"/>
    <w:rsid w:val="00BD08EA"/>
    <w:rsid w:val="00BD35C8"/>
    <w:rsid w:val="00BE2AB6"/>
    <w:rsid w:val="00BE7E2C"/>
    <w:rsid w:val="00C04D85"/>
    <w:rsid w:val="00C102C2"/>
    <w:rsid w:val="00C11EBD"/>
    <w:rsid w:val="00C132C9"/>
    <w:rsid w:val="00C13301"/>
    <w:rsid w:val="00C15E8B"/>
    <w:rsid w:val="00C237D7"/>
    <w:rsid w:val="00C26098"/>
    <w:rsid w:val="00C42742"/>
    <w:rsid w:val="00C52187"/>
    <w:rsid w:val="00C55F64"/>
    <w:rsid w:val="00C56499"/>
    <w:rsid w:val="00C60FE6"/>
    <w:rsid w:val="00C647C5"/>
    <w:rsid w:val="00C72AB1"/>
    <w:rsid w:val="00C73101"/>
    <w:rsid w:val="00C761E8"/>
    <w:rsid w:val="00C76EA8"/>
    <w:rsid w:val="00C8145A"/>
    <w:rsid w:val="00C81E1C"/>
    <w:rsid w:val="00C96424"/>
    <w:rsid w:val="00CA1B50"/>
    <w:rsid w:val="00CA2A24"/>
    <w:rsid w:val="00CA6C16"/>
    <w:rsid w:val="00CA71CA"/>
    <w:rsid w:val="00CB1A01"/>
    <w:rsid w:val="00CB1B53"/>
    <w:rsid w:val="00CC32F9"/>
    <w:rsid w:val="00CC69DF"/>
    <w:rsid w:val="00CD36E0"/>
    <w:rsid w:val="00CD4796"/>
    <w:rsid w:val="00D11E24"/>
    <w:rsid w:val="00D31602"/>
    <w:rsid w:val="00D35BA5"/>
    <w:rsid w:val="00D413BD"/>
    <w:rsid w:val="00D55072"/>
    <w:rsid w:val="00D654AD"/>
    <w:rsid w:val="00DA3A3F"/>
    <w:rsid w:val="00DA5626"/>
    <w:rsid w:val="00DA6183"/>
    <w:rsid w:val="00DA6B29"/>
    <w:rsid w:val="00DA76B6"/>
    <w:rsid w:val="00DB3291"/>
    <w:rsid w:val="00DC47CC"/>
    <w:rsid w:val="00DD04BA"/>
    <w:rsid w:val="00DE05F0"/>
    <w:rsid w:val="00DF1732"/>
    <w:rsid w:val="00E360EE"/>
    <w:rsid w:val="00E46276"/>
    <w:rsid w:val="00E52B04"/>
    <w:rsid w:val="00E54943"/>
    <w:rsid w:val="00E56208"/>
    <w:rsid w:val="00E67293"/>
    <w:rsid w:val="00E8285F"/>
    <w:rsid w:val="00E85CFC"/>
    <w:rsid w:val="00E908C5"/>
    <w:rsid w:val="00E94259"/>
    <w:rsid w:val="00E952DA"/>
    <w:rsid w:val="00E95C86"/>
    <w:rsid w:val="00EA422D"/>
    <w:rsid w:val="00EC6F74"/>
    <w:rsid w:val="00EE7CF9"/>
    <w:rsid w:val="00EF067C"/>
    <w:rsid w:val="00EF2A0D"/>
    <w:rsid w:val="00F0039A"/>
    <w:rsid w:val="00F17967"/>
    <w:rsid w:val="00F209CF"/>
    <w:rsid w:val="00F2117E"/>
    <w:rsid w:val="00F2383E"/>
    <w:rsid w:val="00F314BB"/>
    <w:rsid w:val="00F33B98"/>
    <w:rsid w:val="00F35F9E"/>
    <w:rsid w:val="00F55BC1"/>
    <w:rsid w:val="00F562FC"/>
    <w:rsid w:val="00F6280F"/>
    <w:rsid w:val="00F6564B"/>
    <w:rsid w:val="00F67EA5"/>
    <w:rsid w:val="00F763DA"/>
    <w:rsid w:val="00F76F62"/>
    <w:rsid w:val="00F776D0"/>
    <w:rsid w:val="00FA030A"/>
    <w:rsid w:val="00FB0DEE"/>
    <w:rsid w:val="00FC3FCC"/>
    <w:rsid w:val="00FC6AFF"/>
    <w:rsid w:val="00FF19B7"/>
    <w:rsid w:val="00FF2178"/>
    <w:rsid w:val="00FF6B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ADA"/>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F6280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4D5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Char Char Char Char Char Char Char Char Char Char Char,Char Char Char Char Char Char Char Char Char Char Char Char Char Char Char,Char Char Cha, Char,Normal (Web) Char Char Char Char Char"/>
    <w:basedOn w:val="Normal"/>
    <w:link w:val="NormalWebChar"/>
    <w:uiPriority w:val="99"/>
    <w:unhideWhenUsed/>
    <w:qFormat/>
    <w:rsid w:val="00635ACF"/>
    <w:pPr>
      <w:spacing w:before="100" w:beforeAutospacing="1" w:after="100" w:afterAutospacing="1"/>
    </w:pPr>
  </w:style>
  <w:style w:type="character" w:customStyle="1" w:styleId="NormalWebChar">
    <w:name w:val="Normal (Web) Char"/>
    <w:aliases w:val="Char Char Char Char Char Char Char Char Char Char Char1,Char Char Char Char Char Char Char Char Char Char Char Char,Char Char Char Char Char Char Char Char Char Char Char Char Char Char Char Char,Char Char Cha Char, Char Char"/>
    <w:link w:val="NormalWeb"/>
    <w:uiPriority w:val="99"/>
    <w:qFormat/>
    <w:locked/>
    <w:rsid w:val="00655A4E"/>
    <w:rPr>
      <w:rFonts w:ascii="Times New Roman" w:eastAsia="Times New Roman" w:hAnsi="Times New Roman" w:cs="Times New Roman"/>
      <w:sz w:val="24"/>
      <w:szCs w:val="24"/>
    </w:rPr>
  </w:style>
  <w:style w:type="paragraph" w:styleId="FootnoteText">
    <w:name w:val="footnote text"/>
    <w:aliases w:val="Footnote Text Char1 Char,Footnote Text Char Char Char,Footnote Text Char1 Char Char Char,Footnote Text Char Char Char Char Char,Footnote Text Char1 Char Char Char Char Char,Footnote Text Char Char Char Char Char Char Ch,fn,single space,ft"/>
    <w:basedOn w:val="Normal"/>
    <w:link w:val="FootnoteTextChar"/>
    <w:uiPriority w:val="99"/>
    <w:unhideWhenUsed/>
    <w:qFormat/>
    <w:rsid w:val="00B72834"/>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n Char,single space Char,ft Char"/>
    <w:basedOn w:val="DefaultParagraphFont"/>
    <w:link w:val="FootnoteText"/>
    <w:uiPriority w:val="99"/>
    <w:semiHidden/>
    <w:rsid w:val="00B72834"/>
    <w:rPr>
      <w:rFonts w:ascii="Times New Roman" w:eastAsia="Times New Roman" w:hAnsi="Times New Roman" w:cs="Times New Roman"/>
      <w:sz w:val="20"/>
      <w:szCs w:val="20"/>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e,R"/>
    <w:basedOn w:val="DefaultParagraphFont"/>
    <w:unhideWhenUsed/>
    <w:qFormat/>
    <w:rsid w:val="00B72834"/>
    <w:rPr>
      <w:vertAlign w:val="superscript"/>
    </w:rPr>
  </w:style>
  <w:style w:type="character" w:styleId="Hyperlink">
    <w:name w:val="Hyperlink"/>
    <w:basedOn w:val="DefaultParagraphFont"/>
    <w:uiPriority w:val="99"/>
    <w:unhideWhenUsed/>
    <w:rsid w:val="00A343A3"/>
    <w:rPr>
      <w:color w:val="0000FF" w:themeColor="hyperlink"/>
      <w:u w:val="single"/>
    </w:rPr>
  </w:style>
  <w:style w:type="paragraph" w:styleId="Header">
    <w:name w:val="header"/>
    <w:basedOn w:val="Normal"/>
    <w:link w:val="HeaderChar"/>
    <w:uiPriority w:val="99"/>
    <w:unhideWhenUsed/>
    <w:rsid w:val="006F796F"/>
    <w:pPr>
      <w:tabs>
        <w:tab w:val="center" w:pos="4680"/>
        <w:tab w:val="right" w:pos="9360"/>
      </w:tabs>
    </w:pPr>
  </w:style>
  <w:style w:type="character" w:customStyle="1" w:styleId="HeaderChar">
    <w:name w:val="Header Char"/>
    <w:basedOn w:val="DefaultParagraphFont"/>
    <w:link w:val="Header"/>
    <w:uiPriority w:val="99"/>
    <w:rsid w:val="006F796F"/>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6F796F"/>
    <w:pPr>
      <w:tabs>
        <w:tab w:val="center" w:pos="4680"/>
        <w:tab w:val="right" w:pos="9360"/>
      </w:tabs>
    </w:pPr>
  </w:style>
  <w:style w:type="character" w:customStyle="1" w:styleId="FooterChar">
    <w:name w:val="Footer Char"/>
    <w:basedOn w:val="DefaultParagraphFont"/>
    <w:link w:val="Footer"/>
    <w:uiPriority w:val="99"/>
    <w:semiHidden/>
    <w:rsid w:val="006F796F"/>
    <w:rPr>
      <w:rFonts w:ascii="Times New Roman" w:eastAsia="Times New Roman" w:hAnsi="Times New Roman" w:cs="Times New Roman"/>
      <w:sz w:val="24"/>
      <w:szCs w:val="24"/>
    </w:rPr>
  </w:style>
  <w:style w:type="character" w:customStyle="1" w:styleId="Bodytext">
    <w:name w:val="Body text_"/>
    <w:basedOn w:val="DefaultParagraphFont"/>
    <w:link w:val="BodyText1"/>
    <w:rsid w:val="004712FD"/>
    <w:rPr>
      <w:rFonts w:ascii="Times New Roman" w:eastAsia="Times New Roman" w:hAnsi="Times New Roman" w:cs="Times New Roman"/>
      <w:sz w:val="26"/>
      <w:szCs w:val="26"/>
    </w:rPr>
  </w:style>
  <w:style w:type="paragraph" w:customStyle="1" w:styleId="BodyText1">
    <w:name w:val="Body Text1"/>
    <w:basedOn w:val="Normal"/>
    <w:link w:val="Bodytext"/>
    <w:qFormat/>
    <w:rsid w:val="004712FD"/>
    <w:pPr>
      <w:widowControl w:val="0"/>
      <w:spacing w:after="40" w:line="298" w:lineRule="auto"/>
      <w:ind w:firstLine="400"/>
    </w:pPr>
    <w:rPr>
      <w:sz w:val="26"/>
      <w:szCs w:val="26"/>
    </w:rPr>
  </w:style>
  <w:style w:type="paragraph" w:styleId="BodyText0">
    <w:name w:val="Body Text"/>
    <w:basedOn w:val="Normal"/>
    <w:link w:val="BodyTextChar"/>
    <w:uiPriority w:val="99"/>
    <w:semiHidden/>
    <w:unhideWhenUsed/>
    <w:rsid w:val="005F2071"/>
    <w:pPr>
      <w:spacing w:after="120"/>
    </w:pPr>
  </w:style>
  <w:style w:type="character" w:customStyle="1" w:styleId="BodyTextChar">
    <w:name w:val="Body Text Char"/>
    <w:basedOn w:val="DefaultParagraphFont"/>
    <w:link w:val="BodyText0"/>
    <w:uiPriority w:val="99"/>
    <w:semiHidden/>
    <w:rsid w:val="005F2071"/>
    <w:rPr>
      <w:rFonts w:ascii="Times New Roman" w:eastAsia="Times New Roman" w:hAnsi="Times New Roman" w:cs="Times New Roman"/>
      <w:sz w:val="24"/>
      <w:szCs w:val="24"/>
    </w:rPr>
  </w:style>
  <w:style w:type="paragraph" w:customStyle="1" w:styleId="Normal1">
    <w:name w:val="Normal1"/>
    <w:rsid w:val="007A7D73"/>
    <w:pPr>
      <w:spacing w:after="0"/>
    </w:pPr>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9"/>
    <w:rsid w:val="00F6280F"/>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76446186">
      <w:bodyDiv w:val="1"/>
      <w:marLeft w:val="0"/>
      <w:marRight w:val="0"/>
      <w:marTop w:val="0"/>
      <w:marBottom w:val="0"/>
      <w:divBdr>
        <w:top w:val="none" w:sz="0" w:space="0" w:color="auto"/>
        <w:left w:val="none" w:sz="0" w:space="0" w:color="auto"/>
        <w:bottom w:val="none" w:sz="0" w:space="0" w:color="auto"/>
        <w:right w:val="none" w:sz="0" w:space="0" w:color="auto"/>
      </w:divBdr>
    </w:div>
    <w:div w:id="276330304">
      <w:bodyDiv w:val="1"/>
      <w:marLeft w:val="0"/>
      <w:marRight w:val="0"/>
      <w:marTop w:val="0"/>
      <w:marBottom w:val="0"/>
      <w:divBdr>
        <w:top w:val="none" w:sz="0" w:space="0" w:color="auto"/>
        <w:left w:val="none" w:sz="0" w:space="0" w:color="auto"/>
        <w:bottom w:val="none" w:sz="0" w:space="0" w:color="auto"/>
        <w:right w:val="none" w:sz="0" w:space="0" w:color="auto"/>
      </w:divBdr>
      <w:divsChild>
        <w:div w:id="120656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8359156">
      <w:bodyDiv w:val="1"/>
      <w:marLeft w:val="0"/>
      <w:marRight w:val="0"/>
      <w:marTop w:val="0"/>
      <w:marBottom w:val="0"/>
      <w:divBdr>
        <w:top w:val="none" w:sz="0" w:space="0" w:color="auto"/>
        <w:left w:val="none" w:sz="0" w:space="0" w:color="auto"/>
        <w:bottom w:val="none" w:sz="0" w:space="0" w:color="auto"/>
        <w:right w:val="none" w:sz="0" w:space="0" w:color="auto"/>
      </w:divBdr>
      <w:divsChild>
        <w:div w:id="1844662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4467170">
      <w:bodyDiv w:val="1"/>
      <w:marLeft w:val="0"/>
      <w:marRight w:val="0"/>
      <w:marTop w:val="0"/>
      <w:marBottom w:val="0"/>
      <w:divBdr>
        <w:top w:val="none" w:sz="0" w:space="0" w:color="auto"/>
        <w:left w:val="none" w:sz="0" w:space="0" w:color="auto"/>
        <w:bottom w:val="none" w:sz="0" w:space="0" w:color="auto"/>
        <w:right w:val="none" w:sz="0" w:space="0" w:color="auto"/>
      </w:divBdr>
    </w:div>
    <w:div w:id="613250877">
      <w:bodyDiv w:val="1"/>
      <w:marLeft w:val="0"/>
      <w:marRight w:val="0"/>
      <w:marTop w:val="0"/>
      <w:marBottom w:val="0"/>
      <w:divBdr>
        <w:top w:val="none" w:sz="0" w:space="0" w:color="auto"/>
        <w:left w:val="none" w:sz="0" w:space="0" w:color="auto"/>
        <w:bottom w:val="none" w:sz="0" w:space="0" w:color="auto"/>
        <w:right w:val="none" w:sz="0" w:space="0" w:color="auto"/>
      </w:divBdr>
    </w:div>
    <w:div w:id="625549132">
      <w:bodyDiv w:val="1"/>
      <w:marLeft w:val="0"/>
      <w:marRight w:val="0"/>
      <w:marTop w:val="0"/>
      <w:marBottom w:val="0"/>
      <w:divBdr>
        <w:top w:val="none" w:sz="0" w:space="0" w:color="auto"/>
        <w:left w:val="none" w:sz="0" w:space="0" w:color="auto"/>
        <w:bottom w:val="none" w:sz="0" w:space="0" w:color="auto"/>
        <w:right w:val="none" w:sz="0" w:space="0" w:color="auto"/>
      </w:divBdr>
    </w:div>
    <w:div w:id="796459676">
      <w:bodyDiv w:val="1"/>
      <w:marLeft w:val="0"/>
      <w:marRight w:val="0"/>
      <w:marTop w:val="0"/>
      <w:marBottom w:val="0"/>
      <w:divBdr>
        <w:top w:val="none" w:sz="0" w:space="0" w:color="auto"/>
        <w:left w:val="none" w:sz="0" w:space="0" w:color="auto"/>
        <w:bottom w:val="none" w:sz="0" w:space="0" w:color="auto"/>
        <w:right w:val="none" w:sz="0" w:space="0" w:color="auto"/>
      </w:divBdr>
    </w:div>
    <w:div w:id="954486346">
      <w:bodyDiv w:val="1"/>
      <w:marLeft w:val="0"/>
      <w:marRight w:val="0"/>
      <w:marTop w:val="0"/>
      <w:marBottom w:val="0"/>
      <w:divBdr>
        <w:top w:val="none" w:sz="0" w:space="0" w:color="auto"/>
        <w:left w:val="none" w:sz="0" w:space="0" w:color="auto"/>
        <w:bottom w:val="none" w:sz="0" w:space="0" w:color="auto"/>
        <w:right w:val="none" w:sz="0" w:space="0" w:color="auto"/>
      </w:divBdr>
    </w:div>
    <w:div w:id="988704293">
      <w:bodyDiv w:val="1"/>
      <w:marLeft w:val="0"/>
      <w:marRight w:val="0"/>
      <w:marTop w:val="0"/>
      <w:marBottom w:val="0"/>
      <w:divBdr>
        <w:top w:val="none" w:sz="0" w:space="0" w:color="auto"/>
        <w:left w:val="none" w:sz="0" w:space="0" w:color="auto"/>
        <w:bottom w:val="none" w:sz="0" w:space="0" w:color="auto"/>
        <w:right w:val="none" w:sz="0" w:space="0" w:color="auto"/>
      </w:divBdr>
    </w:div>
    <w:div w:id="1076242503">
      <w:bodyDiv w:val="1"/>
      <w:marLeft w:val="0"/>
      <w:marRight w:val="0"/>
      <w:marTop w:val="0"/>
      <w:marBottom w:val="0"/>
      <w:divBdr>
        <w:top w:val="none" w:sz="0" w:space="0" w:color="auto"/>
        <w:left w:val="none" w:sz="0" w:space="0" w:color="auto"/>
        <w:bottom w:val="none" w:sz="0" w:space="0" w:color="auto"/>
        <w:right w:val="none" w:sz="0" w:space="0" w:color="auto"/>
      </w:divBdr>
    </w:div>
    <w:div w:id="1411462413">
      <w:bodyDiv w:val="1"/>
      <w:marLeft w:val="0"/>
      <w:marRight w:val="0"/>
      <w:marTop w:val="0"/>
      <w:marBottom w:val="0"/>
      <w:divBdr>
        <w:top w:val="none" w:sz="0" w:space="0" w:color="auto"/>
        <w:left w:val="none" w:sz="0" w:space="0" w:color="auto"/>
        <w:bottom w:val="none" w:sz="0" w:space="0" w:color="auto"/>
        <w:right w:val="none" w:sz="0" w:space="0" w:color="auto"/>
      </w:divBdr>
    </w:div>
    <w:div w:id="1781339916">
      <w:bodyDiv w:val="1"/>
      <w:marLeft w:val="0"/>
      <w:marRight w:val="0"/>
      <w:marTop w:val="0"/>
      <w:marBottom w:val="0"/>
      <w:divBdr>
        <w:top w:val="none" w:sz="0" w:space="0" w:color="auto"/>
        <w:left w:val="none" w:sz="0" w:space="0" w:color="auto"/>
        <w:bottom w:val="none" w:sz="0" w:space="0" w:color="auto"/>
        <w:right w:val="none" w:sz="0" w:space="0" w:color="auto"/>
      </w:divBdr>
      <w:divsChild>
        <w:div w:id="1827820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370473">
      <w:bodyDiv w:val="1"/>
      <w:marLeft w:val="0"/>
      <w:marRight w:val="0"/>
      <w:marTop w:val="0"/>
      <w:marBottom w:val="0"/>
      <w:divBdr>
        <w:top w:val="none" w:sz="0" w:space="0" w:color="auto"/>
        <w:left w:val="none" w:sz="0" w:space="0" w:color="auto"/>
        <w:bottom w:val="none" w:sz="0" w:space="0" w:color="auto"/>
        <w:right w:val="none" w:sz="0" w:space="0" w:color="auto"/>
      </w:divBdr>
      <w:divsChild>
        <w:div w:id="1596011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2FAE5D-D822-4434-8A61-4F88F318A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Ngoc Anh3</dc:creator>
  <cp:lastModifiedBy>Dao Thanh Phuong</cp:lastModifiedBy>
  <cp:revision>7</cp:revision>
  <cp:lastPrinted>2026-07-09T07:17:00Z</cp:lastPrinted>
  <dcterms:created xsi:type="dcterms:W3CDTF">2026-07-01T02:16:00Z</dcterms:created>
  <dcterms:modified xsi:type="dcterms:W3CDTF">2026-07-09T07:27:00Z</dcterms:modified>
</cp:coreProperties>
</file>