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10" w:type="dxa"/>
        <w:jc w:val="center"/>
        <w:tblLook w:val="01E0"/>
      </w:tblPr>
      <w:tblGrid>
        <w:gridCol w:w="4705"/>
        <w:gridCol w:w="3202"/>
        <w:gridCol w:w="3203"/>
      </w:tblGrid>
      <w:tr w:rsidR="00671F30" w:rsidRPr="00D06ED9" w:rsidTr="0076777E">
        <w:trPr>
          <w:trHeight w:val="840"/>
          <w:jc w:val="center"/>
        </w:trPr>
        <w:tc>
          <w:tcPr>
            <w:tcW w:w="4705" w:type="dxa"/>
          </w:tcPr>
          <w:p w:rsidR="00671F30" w:rsidRPr="00D06ED9" w:rsidRDefault="00671F30" w:rsidP="0076777E">
            <w:pPr>
              <w:spacing w:before="60" w:after="60"/>
              <w:ind w:left="-113" w:right="-113"/>
              <w:jc w:val="center"/>
              <w:rPr>
                <w:bCs/>
                <w:sz w:val="26"/>
                <w:szCs w:val="26"/>
              </w:rPr>
            </w:pPr>
            <w:r w:rsidRPr="00D06ED9">
              <w:rPr>
                <w:bCs/>
                <w:sz w:val="26"/>
                <w:szCs w:val="26"/>
              </w:rPr>
              <w:t xml:space="preserve">BỘ TÀI CHÍNH </w:t>
            </w:r>
          </w:p>
          <w:p w:rsidR="00671F30" w:rsidRPr="00D06ED9" w:rsidRDefault="00671F30" w:rsidP="0076777E">
            <w:pPr>
              <w:spacing w:before="60" w:after="60"/>
              <w:ind w:left="-113" w:right="-113"/>
              <w:jc w:val="center"/>
              <w:rPr>
                <w:b/>
                <w:sz w:val="2"/>
                <w:szCs w:val="2"/>
              </w:rPr>
            </w:pPr>
            <w:r w:rsidRPr="00D06ED9">
              <w:rPr>
                <w:b/>
                <w:bCs/>
                <w:sz w:val="26"/>
                <w:szCs w:val="26"/>
              </w:rPr>
              <w:t>VỤ TÀI CHÍNH – KINH TẾ NGÀNH</w:t>
            </w:r>
          </w:p>
          <w:p w:rsidR="00671F30" w:rsidRPr="00D06ED9" w:rsidRDefault="00671F30" w:rsidP="0076777E">
            <w:pPr>
              <w:spacing w:before="60" w:after="60"/>
              <w:ind w:left="-113" w:right="-113"/>
              <w:jc w:val="center"/>
              <w:rPr>
                <w:b/>
                <w:sz w:val="2"/>
                <w:szCs w:val="2"/>
              </w:rPr>
            </w:pPr>
          </w:p>
          <w:p w:rsidR="00671F30" w:rsidRPr="00D06ED9" w:rsidRDefault="002A48BC" w:rsidP="0076777E">
            <w:pPr>
              <w:spacing w:before="60" w:after="60"/>
              <w:ind w:left="-113" w:right="-113"/>
              <w:jc w:val="center"/>
              <w:rPr>
                <w:b/>
                <w:sz w:val="2"/>
                <w:szCs w:val="2"/>
              </w:rPr>
            </w:pPr>
            <w:r>
              <w:rPr>
                <w:b/>
                <w:noProof/>
                <w:sz w:val="2"/>
                <w:szCs w:val="2"/>
              </w:rPr>
              <w:pict>
                <v:shapetype id="_x0000_t32" coordsize="21600,21600" o:spt="32" o:oned="t" path="m,l21600,21600e" filled="f">
                  <v:path arrowok="t" fillok="f" o:connecttype="none"/>
                  <o:lock v:ext="edit" shapetype="t"/>
                </v:shapetype>
                <v:shape id="AutoShape 9" o:spid="_x0000_s1027" type="#_x0000_t32" style="position:absolute;left:0;text-align:left;margin-left:54.2pt;margin-top:.05pt;width:118.9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4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"/>
              </w:pict>
            </w:r>
          </w:p>
        </w:tc>
        <w:tc>
          <w:tcPr>
            <w:tcW w:w="6405" w:type="dxa"/>
            <w:gridSpan w:val="2"/>
          </w:tcPr>
          <w:p w:rsidR="00671F30" w:rsidRPr="00D06ED9" w:rsidRDefault="00671F30" w:rsidP="0076777E">
            <w:pPr>
              <w:spacing w:before="60" w:after="60"/>
              <w:ind w:right="-108" w:hanging="108"/>
              <w:jc w:val="center"/>
              <w:rPr>
                <w:b/>
                <w:sz w:val="24"/>
                <w:szCs w:val="24"/>
              </w:rPr>
            </w:pPr>
            <w:r w:rsidRPr="00D06ED9">
              <w:rPr>
                <w:b/>
                <w:sz w:val="26"/>
                <w:szCs w:val="26"/>
              </w:rPr>
              <w:t>CỘNG HÒA XÃ HỘI CHỦ NGHĨA VIỆT NAM</w:t>
            </w:r>
          </w:p>
          <w:p w:rsidR="00671F30" w:rsidRPr="00D06ED9" w:rsidRDefault="00671F30" w:rsidP="0076777E">
            <w:pPr>
              <w:spacing w:before="60" w:after="60"/>
              <w:ind w:right="-108" w:hanging="108"/>
              <w:jc w:val="center"/>
              <w:rPr>
                <w:b/>
                <w:sz w:val="24"/>
                <w:szCs w:val="24"/>
              </w:rPr>
            </w:pPr>
            <w:r w:rsidRPr="00D06ED9">
              <w:rPr>
                <w:b/>
              </w:rPr>
              <w:t>Độc lập - Tự do - Hạnh phúc</w:t>
            </w:r>
          </w:p>
          <w:p w:rsidR="00671F30" w:rsidRPr="00D06ED9" w:rsidRDefault="00671F30" w:rsidP="0076777E">
            <w:pPr>
              <w:spacing w:before="60" w:after="60"/>
              <w:ind w:right="-108" w:hanging="108"/>
              <w:jc w:val="center"/>
              <w:rPr>
                <w:b/>
                <w:sz w:val="2"/>
                <w:szCs w:val="2"/>
              </w:rPr>
            </w:pPr>
          </w:p>
          <w:p w:rsidR="00671F30" w:rsidRPr="00D06ED9" w:rsidRDefault="002A48BC" w:rsidP="0076777E">
            <w:pPr>
              <w:spacing w:before="60" w:after="60"/>
              <w:ind w:right="-108" w:hanging="108"/>
              <w:jc w:val="center"/>
              <w:rPr>
                <w:b/>
                <w:sz w:val="2"/>
                <w:szCs w:val="2"/>
              </w:rPr>
            </w:pPr>
            <w:r w:rsidRPr="002A48BC">
              <w:rPr>
                <w:bCs/>
                <w:noProof/>
                <w:sz w:val="26"/>
                <w:szCs w:val="26"/>
              </w:rPr>
              <w:pict>
                <v:shape id="Straight Arrow Connector 3" o:spid="_x0000_s1026" type="#_x0000_t32" style="position:absolute;left:0;text-align:left;margin-left:68.15pt;margin-top:-.35pt;width:17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"/>
              </w:pict>
            </w:r>
          </w:p>
          <w:p w:rsidR="00671F30" w:rsidRPr="00D06ED9" w:rsidRDefault="00671F30" w:rsidP="0076777E">
            <w:pPr>
              <w:spacing w:before="60" w:after="60"/>
              <w:ind w:right="-108" w:hanging="108"/>
              <w:rPr>
                <w:b/>
                <w:sz w:val="2"/>
                <w:szCs w:val="2"/>
              </w:rPr>
            </w:pPr>
          </w:p>
        </w:tc>
      </w:tr>
      <w:tr w:rsidR="00671F30" w:rsidRPr="00D06ED9" w:rsidTr="0076777E">
        <w:trPr>
          <w:trHeight w:val="442"/>
          <w:jc w:val="center"/>
        </w:trPr>
        <w:tc>
          <w:tcPr>
            <w:tcW w:w="4705" w:type="dxa"/>
          </w:tcPr>
          <w:p w:rsidR="00671F30" w:rsidRPr="00D06ED9" w:rsidRDefault="00671F30" w:rsidP="0076777E">
            <w:pPr>
              <w:spacing w:before="60" w:after="60"/>
              <w:ind w:left="-113" w:right="-113"/>
              <w:jc w:val="center"/>
              <w:rPr>
                <w:bCs/>
                <w:noProof/>
                <w:sz w:val="26"/>
                <w:szCs w:val="26"/>
              </w:rPr>
            </w:pPr>
            <w:r w:rsidRPr="00D06ED9">
              <w:rPr>
                <w:bCs/>
                <w:noProof/>
                <w:sz w:val="26"/>
                <w:szCs w:val="26"/>
              </w:rPr>
              <w:t xml:space="preserve">Số:         /PT-KTN    </w:t>
            </w:r>
          </w:p>
        </w:tc>
        <w:tc>
          <w:tcPr>
            <w:tcW w:w="6405" w:type="dxa"/>
            <w:gridSpan w:val="2"/>
          </w:tcPr>
          <w:p w:rsidR="00671F30" w:rsidRPr="00D06ED9" w:rsidRDefault="00671F30" w:rsidP="001147F0">
            <w:pPr>
              <w:spacing w:before="60" w:after="60"/>
              <w:ind w:right="-108" w:hanging="108"/>
              <w:jc w:val="center"/>
              <w:rPr>
                <w:b/>
                <w:sz w:val="24"/>
                <w:szCs w:val="24"/>
              </w:rPr>
            </w:pPr>
            <w:r w:rsidRPr="00D06ED9">
              <w:rPr>
                <w:i/>
              </w:rPr>
              <w:t>Hà Nội, ngày</w:t>
            </w:r>
            <w:r w:rsidRPr="00D06ED9">
              <w:rPr>
                <w:i/>
                <w:lang w:val="vi-VN"/>
              </w:rPr>
              <w:t xml:space="preserve"> </w:t>
            </w:r>
            <w:r>
              <w:rPr>
                <w:i/>
              </w:rPr>
              <w:t xml:space="preserve">  </w:t>
            </w:r>
            <w:r w:rsidRPr="00D06ED9">
              <w:rPr>
                <w:i/>
              </w:rPr>
              <w:t xml:space="preserve"> tháng </w:t>
            </w:r>
            <w:r w:rsidR="001147F0">
              <w:rPr>
                <w:i/>
              </w:rPr>
              <w:t>7</w:t>
            </w:r>
            <w:r w:rsidRPr="00D06ED9">
              <w:rPr>
                <w:i/>
              </w:rPr>
              <w:t xml:space="preserve"> năm</w:t>
            </w:r>
            <w:r w:rsidRPr="00D06ED9">
              <w:rPr>
                <w:i/>
                <w:lang w:val="vi-VN"/>
              </w:rPr>
              <w:t xml:space="preserve"> </w:t>
            </w:r>
            <w:r w:rsidRPr="00D06ED9">
              <w:rPr>
                <w:i/>
              </w:rPr>
              <w:t>2026</w:t>
            </w:r>
          </w:p>
        </w:tc>
      </w:tr>
      <w:tr w:rsidR="00671F30" w:rsidRPr="00D06ED9" w:rsidTr="0076777E">
        <w:trPr>
          <w:trHeight w:val="442"/>
          <w:jc w:val="center"/>
        </w:trPr>
        <w:tc>
          <w:tcPr>
            <w:tcW w:w="4705" w:type="dxa"/>
          </w:tcPr>
          <w:p w:rsidR="00671F30" w:rsidRPr="00D06ED9" w:rsidRDefault="00671F30" w:rsidP="00671F30">
            <w:pPr>
              <w:spacing w:before="120" w:after="60"/>
              <w:ind w:left="-113" w:right="-113"/>
              <w:rPr>
                <w:bCs/>
                <w:noProof/>
                <w:sz w:val="26"/>
                <w:szCs w:val="26"/>
              </w:rPr>
            </w:pPr>
            <w:r w:rsidRPr="00D06ED9">
              <w:rPr>
                <w:iCs/>
                <w:color w:val="000000"/>
                <w:lang w:val="nl-NL"/>
              </w:rPr>
              <w:t xml:space="preserve">            </w:t>
            </w:r>
          </w:p>
        </w:tc>
        <w:tc>
          <w:tcPr>
            <w:tcW w:w="3202" w:type="dxa"/>
          </w:tcPr>
          <w:p w:rsidR="00671F30" w:rsidRPr="00D06ED9" w:rsidRDefault="00671F30" w:rsidP="0076777E">
            <w:pPr>
              <w:spacing w:before="120" w:after="60" w:line="20" w:lineRule="atLeast"/>
              <w:ind w:right="532"/>
              <w:jc w:val="center"/>
              <w:rPr>
                <w:iCs/>
                <w:color w:val="000000"/>
                <w:sz w:val="24"/>
                <w:szCs w:val="24"/>
                <w:lang w:val="nl-NL"/>
              </w:rPr>
            </w:pPr>
          </w:p>
        </w:tc>
        <w:tc>
          <w:tcPr>
            <w:tcW w:w="3203" w:type="dxa"/>
          </w:tcPr>
          <w:p w:rsidR="00671F30" w:rsidRPr="00D06ED9" w:rsidRDefault="00671F30" w:rsidP="0076777E">
            <w:pPr>
              <w:spacing w:before="120" w:after="60"/>
              <w:ind w:right="-108"/>
              <w:rPr>
                <w:sz w:val="24"/>
                <w:szCs w:val="24"/>
              </w:rPr>
            </w:pPr>
            <w:r w:rsidRPr="00D06ED9">
              <w:rPr>
                <w:iCs/>
                <w:color w:val="000000"/>
                <w:lang w:val="nl-NL"/>
              </w:rPr>
              <w:t xml:space="preserve">Độ khẩn:                                 </w:t>
            </w:r>
          </w:p>
        </w:tc>
      </w:tr>
    </w:tbl>
    <w:p w:rsidR="00671F30" w:rsidRDefault="00671F30" w:rsidP="00671F30">
      <w:pPr>
        <w:spacing w:after="60" w:line="276" w:lineRule="auto"/>
        <w:jc w:val="center"/>
        <w:rPr>
          <w:b/>
        </w:rPr>
      </w:pPr>
    </w:p>
    <w:p w:rsidR="001147F0" w:rsidRDefault="001147F0" w:rsidP="00671F30">
      <w:pPr>
        <w:spacing w:after="60" w:line="276" w:lineRule="auto"/>
        <w:jc w:val="center"/>
        <w:rPr>
          <w:b/>
        </w:rPr>
      </w:pPr>
    </w:p>
    <w:p w:rsidR="00671F30" w:rsidRPr="00D06ED9" w:rsidRDefault="00671F30" w:rsidP="00671F30">
      <w:pPr>
        <w:spacing w:after="60" w:line="276" w:lineRule="auto"/>
        <w:jc w:val="center"/>
        <w:rPr>
          <w:b/>
        </w:rPr>
      </w:pPr>
      <w:r>
        <w:rPr>
          <w:b/>
        </w:rPr>
        <w:t xml:space="preserve">TỜ </w:t>
      </w:r>
      <w:r w:rsidRPr="00D06ED9">
        <w:rPr>
          <w:b/>
        </w:rPr>
        <w:t xml:space="preserve">TRÌNH </w:t>
      </w:r>
      <w:r>
        <w:rPr>
          <w:b/>
        </w:rPr>
        <w:t>BỘ</w:t>
      </w:r>
    </w:p>
    <w:p w:rsidR="00671F30" w:rsidRPr="00671F30" w:rsidRDefault="00671F30" w:rsidP="00671F30">
      <w:pPr>
        <w:spacing w:before="120"/>
        <w:ind w:firstLine="720"/>
        <w:jc w:val="both"/>
        <w:rPr>
          <w:i/>
        </w:rPr>
      </w:pPr>
      <w:r w:rsidRPr="00671F30">
        <w:rPr>
          <w:i/>
        </w:rPr>
        <w:t xml:space="preserve">Xin ý kiến các Bộ, địa phương về dự thảo Thông tư của Bộ Tài chính thay thế </w:t>
      </w:r>
      <w:r w:rsidRPr="00671F30">
        <w:rPr>
          <w:i/>
          <w:color w:val="000000"/>
        </w:rPr>
        <w:t>Thông tư số 28/2018/TT-BTC ngày 28/3/2018 của Bộ Tài chính hướng dẫn lập, quản lý, sử dụng kinh phí khuyến công và Thông tư số 64/2024/TT-BTC ngày 28/6/2024 sửa đổi, bổ sung một số điều của Thông tư số 28/2018/TT-BTC.</w:t>
      </w:r>
    </w:p>
    <w:p w:rsidR="00671F30" w:rsidRDefault="00671F30" w:rsidP="00671F30">
      <w:pPr>
        <w:spacing w:line="340" w:lineRule="exact"/>
        <w:rPr>
          <w:b/>
          <w:sz w:val="24"/>
          <w:szCs w:val="24"/>
        </w:rPr>
      </w:pPr>
    </w:p>
    <w:p w:rsidR="001147F0" w:rsidRPr="00D06ED9" w:rsidRDefault="001147F0" w:rsidP="00671F30">
      <w:pPr>
        <w:spacing w:line="340" w:lineRule="exact"/>
        <w:rPr>
          <w:b/>
          <w:sz w:val="24"/>
          <w:szCs w:val="24"/>
        </w:rPr>
      </w:pPr>
    </w:p>
    <w:p w:rsidR="00671F30" w:rsidRDefault="00671F30" w:rsidP="00671F30">
      <w:pPr>
        <w:spacing w:line="340" w:lineRule="exact"/>
        <w:rPr>
          <w:b/>
          <w:sz w:val="24"/>
          <w:szCs w:val="24"/>
        </w:rPr>
      </w:pPr>
    </w:p>
    <w:tbl>
      <w:tblPr>
        <w:tblW w:w="9639" w:type="dxa"/>
        <w:jc w:val="center"/>
        <w:tblInd w:w="-10" w:type="dxa"/>
        <w:tblLayout w:type="fixed"/>
        <w:tblLook w:val="01E0"/>
      </w:tblPr>
      <w:tblGrid>
        <w:gridCol w:w="9639"/>
      </w:tblGrid>
      <w:tr w:rsidR="00671F30" w:rsidRPr="00D06ED9" w:rsidTr="00671F30">
        <w:trPr>
          <w:trHeight w:val="7286"/>
          <w:jc w:val="center"/>
        </w:trPr>
        <w:tc>
          <w:tcPr>
            <w:tcW w:w="9639" w:type="dxa"/>
          </w:tcPr>
          <w:p w:rsidR="00671F30" w:rsidRPr="00153C3A" w:rsidRDefault="00671F30" w:rsidP="00671F30">
            <w:pPr>
              <w:widowControl w:val="0"/>
              <w:spacing w:before="60"/>
              <w:ind w:firstLine="518"/>
              <w:jc w:val="both"/>
              <w:rPr>
                <w:b/>
                <w:color w:val="000000" w:themeColor="text1"/>
                <w:lang w:val="nl-NL"/>
              </w:rPr>
            </w:pPr>
            <w:r>
              <w:rPr>
                <w:b/>
                <w:color w:val="000000" w:themeColor="text1"/>
                <w:lang w:val="nl-NL"/>
              </w:rPr>
              <w:t>I. Căn cứ pháp lý và sự cần thiết ban hành Thông tư</w:t>
            </w:r>
          </w:p>
          <w:p w:rsidR="00671F30" w:rsidRDefault="00671F30" w:rsidP="00671F30">
            <w:pPr>
              <w:spacing w:before="60"/>
              <w:ind w:firstLine="518"/>
              <w:jc w:val="both"/>
              <w:rPr>
                <w:b/>
                <w:color w:val="000000" w:themeColor="text1"/>
                <w:lang w:val="nl-NL"/>
              </w:rPr>
            </w:pPr>
            <w:r w:rsidRPr="00BB5BF4">
              <w:rPr>
                <w:rFonts w:eastAsia="Calibri"/>
              </w:rPr>
              <w:t>Thực hiện quy định của Luật Ban hành văn bản quy phạm pháp luật năm 2025 và các văn bản hướng dẫn</w:t>
            </w:r>
            <w:r>
              <w:rPr>
                <w:rFonts w:eastAsia="Calibri"/>
              </w:rPr>
              <w:t xml:space="preserve">; căn cứ </w:t>
            </w:r>
            <w:r>
              <w:rPr>
                <w:color w:val="000000" w:themeColor="text1"/>
                <w:lang w:val="nl-NL"/>
              </w:rPr>
              <w:t>Nghị định số 235/2025/NĐ-CP ngày 27/8/2025 của Chính phủ sửa đổi, bổ sung một số điều của Nghị định số 45/2012/NĐ-CP</w:t>
            </w:r>
            <w:r>
              <w:rPr>
                <w:rFonts w:eastAsia="Calibri"/>
              </w:rPr>
              <w:t xml:space="preserve"> ngày 21/5/2012 của Chính phủ về khuyến công</w:t>
            </w:r>
            <w:r>
              <w:rPr>
                <w:rStyle w:val="FootnoteReference"/>
                <w:rFonts w:eastAsia="Calibri"/>
              </w:rPr>
              <w:footnoteReference w:id="1"/>
            </w:r>
            <w:r>
              <w:rPr>
                <w:rFonts w:eastAsia="Calibri"/>
              </w:rPr>
              <w:t xml:space="preserve">; trên cơ sở </w:t>
            </w:r>
            <w:r w:rsidRPr="00253EF5">
              <w:rPr>
                <w:color w:val="000000" w:themeColor="text1"/>
              </w:rPr>
              <w:t>Chương trình khuyến công quốc gia giai đoạn 2026-2030</w:t>
            </w:r>
            <w:r>
              <w:rPr>
                <w:color w:val="000000" w:themeColor="text1"/>
              </w:rPr>
              <w:t xml:space="preserve"> (phê duyệt tại Quyết định số 2646/QĐ-BCT ngày 23/9/2025 của Bộ Công Thương); </w:t>
            </w:r>
            <w:r>
              <w:rPr>
                <w:rFonts w:eastAsia="Calibri"/>
              </w:rPr>
              <w:t xml:space="preserve">phân công của Lãnh đạo Bộ tại </w:t>
            </w:r>
            <w:r w:rsidRPr="009E5995">
              <w:rPr>
                <w:rFonts w:eastAsia="Calibri"/>
              </w:rPr>
              <w:t>Tờ trình Bộ số 95/PT-PC</w:t>
            </w:r>
            <w:r>
              <w:rPr>
                <w:rFonts w:eastAsia="Calibri"/>
              </w:rPr>
              <w:t xml:space="preserve"> ngày 26/02/2026 của Vụ Pháp chế</w:t>
            </w:r>
            <w:r>
              <w:rPr>
                <w:rStyle w:val="FootnoteReference"/>
                <w:rFonts w:eastAsia="Calibri"/>
              </w:rPr>
              <w:footnoteReference w:id="2"/>
            </w:r>
            <w:r>
              <w:rPr>
                <w:rFonts w:eastAsia="Calibri"/>
                <w:color w:val="000000" w:themeColor="text1"/>
                <w:kern w:val="2"/>
              </w:rPr>
              <w:t xml:space="preserve">; Vụ Tài chính - Kinh tế ngành (Vụ TCKTN) </w:t>
            </w:r>
            <w:r w:rsidRPr="00306F92">
              <w:rPr>
                <w:rFonts w:eastAsia="Calibri"/>
              </w:rPr>
              <w:t xml:space="preserve">dự thảo Thông tư của Bộ trưởng Bộ Tài chính </w:t>
            </w:r>
            <w:r w:rsidRPr="00994D72">
              <w:rPr>
                <w:rFonts w:eastAsia="Calibri"/>
              </w:rPr>
              <w:t>hướng dẫn lập, quản lý và sử dụng kinh phí khuyến công</w:t>
            </w:r>
            <w:r>
              <w:rPr>
                <w:rFonts w:eastAsia="Calibri"/>
              </w:rPr>
              <w:t xml:space="preserve"> (thay thế Thông tư số 28/2012/TT-BTC và Thông tư số 64/2024/TT-BTC) để gửi lấy ý kiến các Bộ, địa phương. Vụ TCKTN báo cáo Bộ như sau:</w:t>
            </w:r>
          </w:p>
          <w:p w:rsidR="00671F30" w:rsidRDefault="00671F30" w:rsidP="00671F30">
            <w:pPr>
              <w:spacing w:before="60"/>
              <w:ind w:firstLine="518"/>
              <w:jc w:val="both"/>
              <w:rPr>
                <w:b/>
                <w:color w:val="000000" w:themeColor="text1"/>
                <w:lang w:val="nl-NL"/>
              </w:rPr>
            </w:pPr>
            <w:r w:rsidRPr="009E5384">
              <w:rPr>
                <w:b/>
                <w:color w:val="000000" w:themeColor="text1"/>
                <w:lang w:val="nl-NL"/>
              </w:rPr>
              <w:t>1.</w:t>
            </w:r>
            <w:r>
              <w:rPr>
                <w:b/>
                <w:color w:val="000000" w:themeColor="text1"/>
                <w:lang w:val="nl-NL"/>
              </w:rPr>
              <w:t xml:space="preserve"> Căn cứ pháp lý</w:t>
            </w:r>
          </w:p>
          <w:p w:rsidR="00671F30" w:rsidRDefault="00671F30" w:rsidP="00671F30">
            <w:pPr>
              <w:spacing w:before="60"/>
              <w:ind w:firstLine="518"/>
              <w:jc w:val="both"/>
              <w:rPr>
                <w:i/>
                <w:color w:val="000000" w:themeColor="text1"/>
              </w:rPr>
            </w:pPr>
            <w:r>
              <w:rPr>
                <w:color w:val="000000" w:themeColor="text1"/>
                <w:lang w:val="nl-NL"/>
              </w:rPr>
              <w:t>- Năm 2012,</w:t>
            </w:r>
            <w:r>
              <w:rPr>
                <w:color w:val="000000" w:themeColor="text1"/>
              </w:rPr>
              <w:t xml:space="preserve"> Chính phủ ban hành </w:t>
            </w:r>
            <w:r w:rsidRPr="00572E89">
              <w:rPr>
                <w:color w:val="000000" w:themeColor="text1"/>
              </w:rPr>
              <w:t>Nghị định </w:t>
            </w:r>
            <w:r>
              <w:rPr>
                <w:color w:val="000000" w:themeColor="text1"/>
              </w:rPr>
              <w:t>45/2012/NĐ-CP</w:t>
            </w:r>
            <w:r w:rsidRPr="00572E89">
              <w:rPr>
                <w:color w:val="000000" w:themeColor="text1"/>
              </w:rPr>
              <w:t> ngày 2</w:t>
            </w:r>
            <w:r>
              <w:rPr>
                <w:color w:val="000000" w:themeColor="text1"/>
              </w:rPr>
              <w:t>1</w:t>
            </w:r>
            <w:r w:rsidRPr="00572E89">
              <w:rPr>
                <w:color w:val="000000" w:themeColor="text1"/>
              </w:rPr>
              <w:t>/</w:t>
            </w:r>
            <w:r>
              <w:rPr>
                <w:color w:val="000000" w:themeColor="text1"/>
              </w:rPr>
              <w:t>5</w:t>
            </w:r>
            <w:r w:rsidRPr="00572E89">
              <w:rPr>
                <w:color w:val="000000" w:themeColor="text1"/>
              </w:rPr>
              <w:t>/20</w:t>
            </w:r>
            <w:r>
              <w:rPr>
                <w:color w:val="000000" w:themeColor="text1"/>
              </w:rPr>
              <w:t xml:space="preserve">12 về khuyến công, trong đó khoản 5 Điều 14 </w:t>
            </w:r>
            <w:r w:rsidRPr="00572E89">
              <w:rPr>
                <w:color w:val="000000" w:themeColor="text1"/>
              </w:rPr>
              <w:t>Nghị định </w:t>
            </w:r>
            <w:r>
              <w:rPr>
                <w:color w:val="000000" w:themeColor="text1"/>
              </w:rPr>
              <w:t xml:space="preserve">giao </w:t>
            </w:r>
            <w:r w:rsidRPr="00452846">
              <w:rPr>
                <w:i/>
                <w:color w:val="000000" w:themeColor="text1"/>
              </w:rPr>
              <w:t>“Bộ Tài chính chủ trì, phối hợp với Bộ Công Thương hướng dẫn trình tự lập, quản lý và sử dụng kinh phí khuyến công quốc gia và kinh phí khuyến công địa phương.”</w:t>
            </w:r>
            <w:r>
              <w:rPr>
                <w:i/>
                <w:color w:val="000000" w:themeColor="text1"/>
              </w:rPr>
              <w:t>.</w:t>
            </w:r>
          </w:p>
          <w:p w:rsidR="00671F30" w:rsidRDefault="00671F30" w:rsidP="00671F30">
            <w:pPr>
              <w:spacing w:before="60"/>
              <w:ind w:firstLine="518"/>
              <w:jc w:val="both"/>
              <w:rPr>
                <w:i/>
                <w:color w:val="000000" w:themeColor="text1"/>
              </w:rPr>
            </w:pPr>
            <w:r>
              <w:rPr>
                <w:color w:val="000000" w:themeColor="text1"/>
              </w:rPr>
              <w:t xml:space="preserve">Căn cứ nhiệm vụ được giao, Bộ Tài chính đã ban hành </w:t>
            </w:r>
            <w:r w:rsidRPr="004705B5">
              <w:rPr>
                <w:color w:val="000000" w:themeColor="text1"/>
              </w:rPr>
              <w:t>Thông</w:t>
            </w:r>
            <w:r w:rsidRPr="001135F3">
              <w:rPr>
                <w:color w:val="000000" w:themeColor="text1"/>
                <w:lang w:val="nl-NL"/>
              </w:rPr>
              <w:t xml:space="preserve"> tư số </w:t>
            </w:r>
            <w:r>
              <w:rPr>
                <w:rFonts w:eastAsia="Calibri"/>
                <w:color w:val="000000" w:themeColor="text1"/>
              </w:rPr>
              <w:t>28/2018/TT-BTC ngày 28/3/2018</w:t>
            </w:r>
            <w:r w:rsidRPr="001135F3">
              <w:rPr>
                <w:rFonts w:eastAsia="Calibri"/>
                <w:color w:val="000000" w:themeColor="text1"/>
              </w:rPr>
              <w:t xml:space="preserve"> </w:t>
            </w:r>
            <w:r>
              <w:rPr>
                <w:color w:val="000000"/>
              </w:rPr>
              <w:t>hướng dẫn lập, quản lý, sử dụng kinh phí khuyến công và Thông tư số 64/2024/TT-BTC ngày 28/6/2024 sửa đổi, bổ sung một số điều của Thông tư số 28/2018/TT-BTC.</w:t>
            </w:r>
          </w:p>
          <w:p w:rsidR="00671F30" w:rsidRDefault="00671F30" w:rsidP="00671F30">
            <w:pPr>
              <w:spacing w:before="60"/>
              <w:ind w:firstLine="518"/>
              <w:jc w:val="both"/>
              <w:rPr>
                <w:rFonts w:eastAsia="Calibri"/>
              </w:rPr>
            </w:pPr>
            <w:r>
              <w:rPr>
                <w:color w:val="000000" w:themeColor="text1"/>
                <w:lang w:val="nl-NL"/>
              </w:rPr>
              <w:t xml:space="preserve">- Năm 2025, Chính phủ ban hành Nghị định số 235/2025/NĐ-CP ngày </w:t>
            </w:r>
            <w:r>
              <w:rPr>
                <w:color w:val="000000" w:themeColor="text1"/>
                <w:lang w:val="nl-NL"/>
              </w:rPr>
              <w:lastRenderedPageBreak/>
              <w:t xml:space="preserve">27/8/2025 sửa đổi, bổ sung một số điều của Nghị định số 45/2012/NĐ-CP, trong đó tại điểm b khoản 11 Điều 1 bổ sung khoản 1a sau khoản 1 Điều 15 Nghị định số 45/2012/NĐ-CP về trách nhiệm của Bộ Công Thương, Bộ Tài chính như sau: </w:t>
            </w:r>
            <w:r w:rsidRPr="00253EF5">
              <w:rPr>
                <w:i/>
                <w:color w:val="000000" w:themeColor="text1"/>
                <w:lang w:val="nl-NL"/>
              </w:rPr>
              <w:t xml:space="preserve">“1a. Căn cứ chương trình khuyến công quốc gia từng giai đoạn và kế hoạch khuyến công quốc gia hằng năm do Bộ Công Thương phê duyệt, trên cơ sở đề xuất của Bộ Công Thương và các bộ, ngành liên quan, Bộ Tài chính tổng hợp, bố trí trong dự toán hằng năm của ngân sách trung ương, trình cấp có thẩm quyền xem xét, quyết định theo quy định của Luật Ngân sách nhà nước, Luật Đầu tư công </w:t>
            </w:r>
            <w:r w:rsidRPr="005965C3">
              <w:rPr>
                <w:b/>
                <w:i/>
                <w:color w:val="000000" w:themeColor="text1"/>
                <w:lang w:val="nl-NL"/>
              </w:rPr>
              <w:t>và các văn bản hướng dẫn thực hiện; hướng dẫn lập, quản lý và sử dụng kinh phí khuyến công</w:t>
            </w:r>
            <w:r w:rsidRPr="00253EF5">
              <w:rPr>
                <w:i/>
                <w:color w:val="000000" w:themeColor="text1"/>
                <w:lang w:val="nl-NL"/>
              </w:rPr>
              <w:t>.”</w:t>
            </w:r>
            <w:r>
              <w:rPr>
                <w:rFonts w:eastAsia="Calibri"/>
              </w:rPr>
              <w:t xml:space="preserve">. </w:t>
            </w:r>
          </w:p>
          <w:p w:rsidR="00671F30" w:rsidRDefault="00671F30" w:rsidP="00671F30">
            <w:pPr>
              <w:spacing w:before="60"/>
              <w:ind w:firstLine="518"/>
              <w:jc w:val="both"/>
              <w:rPr>
                <w:color w:val="000000" w:themeColor="text1"/>
                <w:lang w:val="nl-NL"/>
              </w:rPr>
            </w:pPr>
            <w:r>
              <w:rPr>
                <w:color w:val="000000" w:themeColor="text1"/>
                <w:lang w:val="nl-NL"/>
              </w:rPr>
              <w:t>Ngoài ra, Nghị định số 235/2025/NĐ-CP đã sửa đổi, bổ sung các nội dung sau:</w:t>
            </w:r>
          </w:p>
          <w:p w:rsidR="00671F30" w:rsidRDefault="00671F30" w:rsidP="00671F30">
            <w:pPr>
              <w:spacing w:before="60"/>
              <w:jc w:val="both"/>
              <w:rPr>
                <w:color w:val="000000" w:themeColor="text1"/>
                <w:lang w:val="nl-NL"/>
              </w:rPr>
            </w:pPr>
            <w:r>
              <w:rPr>
                <w:color w:val="000000" w:themeColor="text1"/>
                <w:lang w:val="nl-NL"/>
              </w:rPr>
              <w:t xml:space="preserve">       + Về đối tượng áp dụng: Quy định cụ thể đối tượng áp dụng là các </w:t>
            </w:r>
            <w:r w:rsidRPr="009469A9">
              <w:rPr>
                <w:color w:val="000000"/>
              </w:rPr>
              <w:t>cơ sở công nghiệp nông thôn</w:t>
            </w:r>
            <w:r>
              <w:rPr>
                <w:color w:val="000000"/>
              </w:rPr>
              <w:t xml:space="preserve"> (DNNVV, hợp tác xã, tổ hợp tác, hộ kinh doanh trực tiếp đầu tư, làng nghề được công nhận) tại điểm a khoản 2 Điều 1 Nghị định số 45/2012/NĐ-CP; bổ sung cơ sở </w:t>
            </w:r>
            <w:r w:rsidRPr="00CB374B">
              <w:rPr>
                <w:i/>
                <w:color w:val="000000"/>
              </w:rPr>
              <w:t>sản xuất và tiêu dùng bền vững; doanh nghiệp, hợp tác xã là chủ đầu tư xây dựng hạ tầng cụm công nghiệp</w:t>
            </w:r>
            <w:r>
              <w:rPr>
                <w:i/>
                <w:color w:val="000000"/>
              </w:rPr>
              <w:t xml:space="preserve">; </w:t>
            </w:r>
            <w:r>
              <w:rPr>
                <w:color w:val="000000"/>
              </w:rPr>
              <w:t>cập nhật danh mục ngành nghề được hưởng chính sách khuyến công.</w:t>
            </w:r>
          </w:p>
          <w:p w:rsidR="00671F30" w:rsidRDefault="00671F30" w:rsidP="00671F30">
            <w:pPr>
              <w:spacing w:before="60"/>
              <w:ind w:firstLine="518"/>
              <w:jc w:val="both"/>
              <w:rPr>
                <w:i/>
                <w:color w:val="000000"/>
              </w:rPr>
            </w:pPr>
            <w:r>
              <w:rPr>
                <w:color w:val="000000" w:themeColor="text1"/>
                <w:lang w:val="nl-NL"/>
              </w:rPr>
              <w:t xml:space="preserve">+ Về nội dung chi: </w:t>
            </w:r>
            <w:r>
              <w:rPr>
                <w:color w:val="000000"/>
              </w:rPr>
              <w:t>sửa đổi, bổ sung nội dung</w:t>
            </w:r>
            <w:r w:rsidRPr="001C05DA">
              <w:rPr>
                <w:color w:val="000000"/>
              </w:rPr>
              <w:t xml:space="preserve"> </w:t>
            </w:r>
            <w:r w:rsidRPr="001C05DA">
              <w:rPr>
                <w:i/>
                <w:color w:val="000000"/>
              </w:rPr>
              <w:t>hỗ trợ đào tạo nghề theo nhu cầu của các cơ sở công nghiệp nông thôn để tạo việc làm và nâng cao tay nghề cho người lao động</w:t>
            </w:r>
            <w:r>
              <w:rPr>
                <w:i/>
                <w:color w:val="000000"/>
              </w:rPr>
              <w:t xml:space="preserve"> </w:t>
            </w:r>
            <w:r w:rsidRPr="001C05DA">
              <w:rPr>
                <w:color w:val="000000"/>
              </w:rPr>
              <w:t>(</w:t>
            </w:r>
            <w:r>
              <w:rPr>
                <w:color w:val="000000"/>
              </w:rPr>
              <w:t xml:space="preserve">tại </w:t>
            </w:r>
            <w:r w:rsidRPr="001C05DA">
              <w:rPr>
                <w:color w:val="000000"/>
              </w:rPr>
              <w:t>khoản 1 Điều 4)</w:t>
            </w:r>
            <w:r>
              <w:rPr>
                <w:i/>
                <w:color w:val="000000"/>
              </w:rPr>
              <w:t>;</w:t>
            </w:r>
            <w:r>
              <w:rPr>
                <w:color w:val="000000"/>
              </w:rPr>
              <w:t xml:space="preserve"> bổ sung nội dung </w:t>
            </w:r>
            <w:r w:rsidRPr="00CB374B">
              <w:rPr>
                <w:i/>
                <w:color w:val="000000"/>
              </w:rPr>
              <w:t xml:space="preserve">sản xuất và tiêu dùng bền vững; </w:t>
            </w:r>
            <w:r>
              <w:rPr>
                <w:i/>
                <w:color w:val="000000"/>
              </w:rPr>
              <w:t xml:space="preserve">chuyển đổi số trong hoạt động khuyến công </w:t>
            </w:r>
            <w:r w:rsidRPr="001C05DA">
              <w:rPr>
                <w:color w:val="000000"/>
              </w:rPr>
              <w:t xml:space="preserve">(tại khoản </w:t>
            </w:r>
            <w:r>
              <w:rPr>
                <w:color w:val="000000"/>
              </w:rPr>
              <w:t>3</w:t>
            </w:r>
            <w:r w:rsidRPr="001C05DA">
              <w:rPr>
                <w:color w:val="000000"/>
              </w:rPr>
              <w:t xml:space="preserve"> Điều 4)</w:t>
            </w:r>
            <w:r>
              <w:rPr>
                <w:i/>
                <w:color w:val="000000"/>
              </w:rPr>
              <w:t>;</w:t>
            </w:r>
            <w:r>
              <w:rPr>
                <w:color w:val="000000"/>
              </w:rPr>
              <w:t xml:space="preserve"> sửa đổi, bổ sung </w:t>
            </w:r>
            <w:r w:rsidRPr="009D4186">
              <w:rPr>
                <w:i/>
                <w:color w:val="000000"/>
              </w:rPr>
              <w:t>hỗ trợ các hoạt động xét tặng, trao tặng danh hiệu nghệ Nhân nhân dân, Nghệ nhân ưu tú trong lĩnh vực nghề thủ công mỹ nghệ. Hỗ trợ tổ chức các hoạt động truyền nghề, tập nghề, phổ biến kinh nghiệm phát triển nghề của các Nghệ nhân nhân dân, Nghệ nhân ưu tú trong lĩnh vực nghề thủ công mỹ nghệ</w:t>
            </w:r>
            <w:r>
              <w:rPr>
                <w:i/>
                <w:color w:val="000000"/>
              </w:rPr>
              <w:t xml:space="preserve"> </w:t>
            </w:r>
            <w:r w:rsidRPr="009D4186">
              <w:rPr>
                <w:color w:val="000000"/>
              </w:rPr>
              <w:t>(</w:t>
            </w:r>
            <w:r>
              <w:rPr>
                <w:color w:val="000000"/>
              </w:rPr>
              <w:t>tại khoản 4 Điều 4</w:t>
            </w:r>
            <w:r w:rsidRPr="009D4186">
              <w:rPr>
                <w:color w:val="000000"/>
              </w:rPr>
              <w:t>)</w:t>
            </w:r>
            <w:r>
              <w:rPr>
                <w:color w:val="000000"/>
              </w:rPr>
              <w:t>; bổ sung một số hoạt động xúc tiến đầu tư phát triển cụm công nghiệp, gồm:</w:t>
            </w:r>
            <w:r w:rsidRPr="009D4186">
              <w:rPr>
                <w:color w:val="000000"/>
              </w:rPr>
              <w:t xml:space="preserve"> </w:t>
            </w:r>
            <w:r w:rsidRPr="009D4186">
              <w:rPr>
                <w:i/>
                <w:color w:val="000000"/>
              </w:rPr>
              <w:t>tổ chức các hội nghị, hội thảo, diễn đàn xúc tiến đầu tư phát triển cụm công nghiệp; hỗ trợ công nghệ, máy móc thiết bị xử lý nước thải, khí thải tại các cụm công nghiệp, cơ sở công nghiệp nông thôn</w:t>
            </w:r>
            <w:r>
              <w:rPr>
                <w:i/>
                <w:color w:val="000000"/>
              </w:rPr>
              <w:t xml:space="preserve"> </w:t>
            </w:r>
            <w:r w:rsidRPr="009D4186">
              <w:rPr>
                <w:color w:val="000000"/>
              </w:rPr>
              <w:t>(</w:t>
            </w:r>
            <w:r>
              <w:rPr>
                <w:color w:val="000000"/>
              </w:rPr>
              <w:t>tại khoản 7 Điều 4</w:t>
            </w:r>
            <w:r w:rsidRPr="009D4186">
              <w:rPr>
                <w:color w:val="000000"/>
              </w:rPr>
              <w:t>)</w:t>
            </w:r>
            <w:r>
              <w:rPr>
                <w:i/>
                <w:color w:val="000000"/>
              </w:rPr>
              <w:t xml:space="preserve">. </w:t>
            </w:r>
          </w:p>
          <w:p w:rsidR="00671F30" w:rsidRPr="00DF3EB4" w:rsidRDefault="00671F30" w:rsidP="00671F30">
            <w:pPr>
              <w:spacing w:before="60"/>
              <w:ind w:firstLine="518"/>
              <w:jc w:val="both"/>
              <w:rPr>
                <w:color w:val="000000" w:themeColor="text1"/>
                <w:lang w:val="nl-NL"/>
              </w:rPr>
            </w:pPr>
            <w:r>
              <w:rPr>
                <w:color w:val="000000"/>
              </w:rPr>
              <w:t xml:space="preserve">+ Sửa đổi một số thuật ngữ, tên gọi đơn vị chủ trì hoạt động khuyến công tại Bộ Công Thương và các địa phương (Cục ĐKC, </w:t>
            </w:r>
            <w:r w:rsidRPr="00DF3EB4">
              <w:rPr>
                <w:color w:val="000000"/>
              </w:rPr>
              <w:t>Đơn vị sự nghiệp công lập thực hiện nhiệm vụ khuyến công</w:t>
            </w:r>
            <w:r>
              <w:rPr>
                <w:color w:val="000000"/>
              </w:rPr>
              <w:t>).</w:t>
            </w:r>
          </w:p>
          <w:p w:rsidR="00671F30" w:rsidRDefault="00671F30" w:rsidP="00671F30">
            <w:pPr>
              <w:spacing w:before="60"/>
              <w:ind w:firstLine="518"/>
              <w:jc w:val="both"/>
              <w:rPr>
                <w:color w:val="000000" w:themeColor="text1"/>
              </w:rPr>
            </w:pPr>
            <w:r>
              <w:rPr>
                <w:rFonts w:eastAsia="Calibri"/>
              </w:rPr>
              <w:t>Theo quy định trên, đ</w:t>
            </w:r>
            <w:r w:rsidRPr="00253EF5">
              <w:rPr>
                <w:color w:val="000000" w:themeColor="text1"/>
              </w:rPr>
              <w:t>ối với nhiệm vụ giao Bộ Công Thương thực hiện: Hiện nay, Bộ Công Thương đã xây dựng Chương trình khuyến công quốc gia giai đoạn 2026-2030</w:t>
            </w:r>
            <w:r>
              <w:rPr>
                <w:color w:val="000000" w:themeColor="text1"/>
              </w:rPr>
              <w:t xml:space="preserve"> (phê duyệt tại Quyết định số 2646/QĐ-BCT ngày 23/9/2025 của Bộ Công Thương)</w:t>
            </w:r>
            <w:r w:rsidRPr="00253EF5">
              <w:rPr>
                <w:color w:val="000000" w:themeColor="text1"/>
              </w:rPr>
              <w:t xml:space="preserve">. </w:t>
            </w:r>
            <w:r>
              <w:rPr>
                <w:color w:val="000000" w:themeColor="text1"/>
              </w:rPr>
              <w:t>Đ</w:t>
            </w:r>
            <w:r>
              <w:rPr>
                <w:rFonts w:eastAsia="Calibri"/>
              </w:rPr>
              <w:t>ối với nhiệm vụ giao Bộ Tài chính thực hiện: T</w:t>
            </w:r>
            <w:r w:rsidRPr="00354324">
              <w:rPr>
                <w:color w:val="000000" w:themeColor="text1"/>
                <w:lang w:val="nl-NL"/>
              </w:rPr>
              <w:t xml:space="preserve">ại </w:t>
            </w:r>
            <w:r w:rsidRPr="00354324">
              <w:rPr>
                <w:rFonts w:eastAsia="Calibri"/>
                <w:color w:val="000000" w:themeColor="text1"/>
              </w:rPr>
              <w:t xml:space="preserve">Tờ trình Bộ số 95/PT-PC ngày 26/02/2026 của Vụ Pháp chế, </w:t>
            </w:r>
            <w:r>
              <w:rPr>
                <w:color w:val="000000" w:themeColor="text1"/>
              </w:rPr>
              <w:t>Lãnh đạo Bộ</w:t>
            </w:r>
            <w:r w:rsidRPr="00354324">
              <w:rPr>
                <w:color w:val="000000" w:themeColor="text1"/>
              </w:rPr>
              <w:t xml:space="preserve"> </w:t>
            </w:r>
            <w:r>
              <w:rPr>
                <w:color w:val="000000" w:themeColor="text1"/>
              </w:rPr>
              <w:t>giao</w:t>
            </w:r>
            <w:r w:rsidRPr="00354324">
              <w:rPr>
                <w:color w:val="000000" w:themeColor="text1"/>
              </w:rPr>
              <w:t xml:space="preserve"> Vụ </w:t>
            </w:r>
            <w:r>
              <w:rPr>
                <w:color w:val="000000" w:themeColor="text1"/>
              </w:rPr>
              <w:t>TC</w:t>
            </w:r>
            <w:r w:rsidRPr="00354324">
              <w:rPr>
                <w:color w:val="000000" w:themeColor="text1"/>
              </w:rPr>
              <w:t>KTN chủ trì xây dựng Thông tư</w:t>
            </w:r>
            <w:r>
              <w:rPr>
                <w:color w:val="000000" w:themeColor="text1"/>
              </w:rPr>
              <w:t>.</w:t>
            </w:r>
          </w:p>
          <w:p w:rsidR="00671F30" w:rsidRDefault="00671F30" w:rsidP="00671F30">
            <w:pPr>
              <w:spacing w:before="60"/>
              <w:ind w:firstLine="518"/>
              <w:jc w:val="both"/>
              <w:rPr>
                <w:b/>
                <w:color w:val="000000" w:themeColor="text1"/>
                <w:lang w:val="nl-NL"/>
              </w:rPr>
            </w:pPr>
            <w:r w:rsidRPr="00E87C4A">
              <w:rPr>
                <w:b/>
                <w:color w:val="000000" w:themeColor="text1"/>
                <w:lang w:val="nl-NL"/>
              </w:rPr>
              <w:t>2.</w:t>
            </w:r>
            <w:r>
              <w:rPr>
                <w:b/>
                <w:color w:val="000000" w:themeColor="text1"/>
                <w:lang w:val="nl-NL"/>
              </w:rPr>
              <w:t xml:space="preserve"> Cơ sở thực tiễn</w:t>
            </w:r>
          </w:p>
          <w:p w:rsidR="00671F30" w:rsidRDefault="00671F30" w:rsidP="00671F30">
            <w:pPr>
              <w:spacing w:before="60"/>
              <w:ind w:firstLine="518"/>
              <w:jc w:val="both"/>
              <w:rPr>
                <w:rFonts w:eastAsia="Calibri"/>
              </w:rPr>
            </w:pPr>
            <w:r>
              <w:rPr>
                <w:rFonts w:eastAsia="Calibri"/>
              </w:rPr>
              <w:t>Thông tư số 28/2018/TT-BTC quy định nội dung và mức chi ngân sách nhà nước cho hoạt động khuyến công đã được ban hành và thực hiện 08 năm, đến nay không còn phù hợp với thực tế. Do đó, cần thiết phải sửa đổi, bổ sung, thay thế.</w:t>
            </w:r>
          </w:p>
          <w:p w:rsidR="00671F30" w:rsidRPr="006A2011" w:rsidRDefault="00671F30" w:rsidP="00671F30">
            <w:pPr>
              <w:spacing w:before="60"/>
              <w:ind w:firstLine="518"/>
              <w:jc w:val="both"/>
              <w:rPr>
                <w:color w:val="000000" w:themeColor="text1"/>
              </w:rPr>
            </w:pPr>
            <w:r w:rsidRPr="006A2011">
              <w:rPr>
                <w:b/>
                <w:color w:val="000000" w:themeColor="text1"/>
              </w:rPr>
              <w:t xml:space="preserve">3. Căn cứ các nội dung </w:t>
            </w:r>
            <w:r>
              <w:rPr>
                <w:b/>
                <w:color w:val="000000" w:themeColor="text1"/>
              </w:rPr>
              <w:t xml:space="preserve">tại điểm 1, 2 nêu </w:t>
            </w:r>
            <w:r w:rsidRPr="006A2011">
              <w:rPr>
                <w:b/>
                <w:color w:val="000000" w:themeColor="text1"/>
              </w:rPr>
              <w:t>trên,</w:t>
            </w:r>
            <w:r>
              <w:rPr>
                <w:color w:val="000000" w:themeColor="text1"/>
              </w:rPr>
              <w:t xml:space="preserve"> Vụ TCKTN trình Bộ việc ban hành Thông tư </w:t>
            </w:r>
            <w:r w:rsidRPr="00994D72">
              <w:rPr>
                <w:rFonts w:eastAsia="Calibri"/>
              </w:rPr>
              <w:t>hướng dẫn lập, quản lý và sử dụng kinh phí khuyến công</w:t>
            </w:r>
            <w:r>
              <w:rPr>
                <w:rFonts w:eastAsia="Calibri"/>
              </w:rPr>
              <w:t xml:space="preserve"> thay thế </w:t>
            </w:r>
            <w:r>
              <w:rPr>
                <w:rFonts w:eastAsia="Calibri"/>
              </w:rPr>
              <w:lastRenderedPageBreak/>
              <w:t xml:space="preserve">Thông tư số 28/2012/TT-BTC và Thông tư số 64/2024/TT-BTC </w:t>
            </w:r>
            <w:r>
              <w:rPr>
                <w:color w:val="000000" w:themeColor="text1"/>
              </w:rPr>
              <w:t>là cần thiết, có cơ sở pháp lý.</w:t>
            </w:r>
          </w:p>
          <w:p w:rsidR="00671F30" w:rsidRDefault="00671F30" w:rsidP="00671F30">
            <w:pPr>
              <w:spacing w:before="60"/>
              <w:ind w:firstLine="518"/>
              <w:jc w:val="both"/>
              <w:rPr>
                <w:color w:val="000000" w:themeColor="text1"/>
                <w:lang w:val="nl-NL"/>
              </w:rPr>
            </w:pPr>
            <w:r w:rsidRPr="007E06FB">
              <w:rPr>
                <w:b/>
                <w:lang w:val="nl-NL"/>
              </w:rPr>
              <w:t>II. Quá trình xây dựng dự thảo Thông tư</w:t>
            </w:r>
          </w:p>
          <w:p w:rsidR="00671F30" w:rsidRDefault="00671F30" w:rsidP="00671F30">
            <w:pPr>
              <w:spacing w:before="60"/>
              <w:ind w:firstLine="518"/>
              <w:jc w:val="both"/>
              <w:rPr>
                <w:rFonts w:eastAsia="Calibri"/>
                <w:color w:val="000000" w:themeColor="text1"/>
              </w:rPr>
            </w:pPr>
            <w:r w:rsidRPr="00140B9E">
              <w:rPr>
                <w:b/>
                <w:lang w:val="nl-NL"/>
              </w:rPr>
              <w:t>1.</w:t>
            </w:r>
            <w:r w:rsidRPr="007E06FB">
              <w:rPr>
                <w:lang w:val="nl-NL"/>
              </w:rPr>
              <w:t xml:space="preserve"> Vụ </w:t>
            </w:r>
            <w:r>
              <w:rPr>
                <w:lang w:val="nl-NL"/>
              </w:rPr>
              <w:t>TC</w:t>
            </w:r>
            <w:r w:rsidRPr="007E06FB">
              <w:rPr>
                <w:lang w:val="nl-NL"/>
              </w:rPr>
              <w:t>KTN đã trình Bộ có công văn</w:t>
            </w:r>
            <w:r>
              <w:rPr>
                <w:lang w:val="nl-NL"/>
              </w:rPr>
              <w:t xml:space="preserve"> số 18940/BTC-KTN ngày 05/12/2025</w:t>
            </w:r>
            <w:r w:rsidRPr="007E06FB">
              <w:rPr>
                <w:lang w:val="nl-NL"/>
              </w:rPr>
              <w:t xml:space="preserve"> gửi </w:t>
            </w:r>
            <w:r>
              <w:rPr>
                <w:lang w:val="nl-NL"/>
              </w:rPr>
              <w:t xml:space="preserve">Bộ Công Thương để đánh giá tình hình kinh phí thực hiện hoạt động khuyến công và đề xuất các nội dung cần sửa đổi, bổ sung hoặc thay thế tại </w:t>
            </w:r>
            <w:r>
              <w:rPr>
                <w:rFonts w:eastAsia="Calibri"/>
              </w:rPr>
              <w:t>Thông tư số 28/2012/TT-BTC và Thông tư số 64/2024/TT-BTC.</w:t>
            </w:r>
          </w:p>
          <w:p w:rsidR="00671F30" w:rsidRDefault="00671F30" w:rsidP="00671F30">
            <w:pPr>
              <w:spacing w:before="60"/>
              <w:ind w:firstLine="518"/>
              <w:jc w:val="both"/>
              <w:rPr>
                <w:lang w:val="nl-NL"/>
              </w:rPr>
            </w:pPr>
            <w:r w:rsidRPr="00140B9E">
              <w:rPr>
                <w:b/>
                <w:lang w:val="nl-NL"/>
              </w:rPr>
              <w:t>2.</w:t>
            </w:r>
            <w:r>
              <w:rPr>
                <w:lang w:val="nl-NL"/>
              </w:rPr>
              <w:t xml:space="preserve"> Trên cơ sở đánh giá, đề xuất của Bộ Công Thương tại công văn số 539/BCT-ĐCK ngày 26/01/2026 và công văn số 3829/BCT-ĐCK ngày 28/5/2026, Vụ KTN dự thảo Thông tư thay thế gửi lấy ý kiến Vụ Pháp chế, Vụ NSNN để tổng hợp, hoàn thiện dự thảo trình Bộ lấy ý kiến các Bộ, địa phương.</w:t>
            </w:r>
          </w:p>
          <w:p w:rsidR="00671F30" w:rsidRPr="00B10B9B" w:rsidRDefault="00671F30" w:rsidP="00671F30">
            <w:pPr>
              <w:spacing w:before="120" w:after="120" w:line="264" w:lineRule="auto"/>
              <w:contextualSpacing/>
              <w:jc w:val="both"/>
              <w:rPr>
                <w:b/>
                <w:lang w:val="nl-NL"/>
              </w:rPr>
            </w:pPr>
            <w:r>
              <w:rPr>
                <w:b/>
              </w:rPr>
              <w:t xml:space="preserve">        </w:t>
            </w:r>
            <w:r w:rsidRPr="00B10B9B">
              <w:rPr>
                <w:b/>
              </w:rPr>
              <w:t xml:space="preserve">III. </w:t>
            </w:r>
            <w:r w:rsidRPr="00B10B9B">
              <w:rPr>
                <w:b/>
                <w:lang w:val="nl-NL"/>
              </w:rPr>
              <w:t>Về hình thức Thông tư</w:t>
            </w:r>
          </w:p>
          <w:p w:rsidR="00671F30" w:rsidRPr="00B10B9B" w:rsidRDefault="00671F30" w:rsidP="00671F30">
            <w:pPr>
              <w:spacing w:before="120" w:after="120" w:line="264" w:lineRule="auto"/>
              <w:contextualSpacing/>
              <w:jc w:val="both"/>
              <w:rPr>
                <w:lang w:val="nl-NL"/>
              </w:rPr>
            </w:pPr>
            <w:r>
              <w:rPr>
                <w:lang w:val="nl-NL"/>
              </w:rPr>
              <w:t xml:space="preserve">        </w:t>
            </w:r>
            <w:r w:rsidRPr="00707241">
              <w:rPr>
                <w:lang w:val="nl-NL"/>
              </w:rPr>
              <w:t xml:space="preserve">Do dự thảo Thông tư sửa đổi, bổ sung, bãi bỏ </w:t>
            </w:r>
            <w:r>
              <w:rPr>
                <w:lang w:val="nl-NL"/>
              </w:rPr>
              <w:t xml:space="preserve">10/13 Điều, </w:t>
            </w:r>
            <w:r w:rsidRPr="00707241">
              <w:rPr>
                <w:spacing w:val="2"/>
              </w:rPr>
              <w:t>quá</w:t>
            </w:r>
            <w:r w:rsidRPr="00635456">
              <w:rPr>
                <w:spacing w:val="2"/>
              </w:rPr>
              <w:t xml:space="preserve"> một phần hai </w:t>
            </w:r>
            <w:r>
              <w:rPr>
                <w:spacing w:val="2"/>
              </w:rPr>
              <w:t>(1/2) tổng số Đ</w:t>
            </w:r>
            <w:r w:rsidRPr="00635456">
              <w:rPr>
                <w:spacing w:val="2"/>
              </w:rPr>
              <w:t>iều của Thông tư</w:t>
            </w:r>
            <w:r>
              <w:rPr>
                <w:spacing w:val="2"/>
              </w:rPr>
              <w:t xml:space="preserve"> </w:t>
            </w:r>
            <w:r w:rsidRPr="002C15C4">
              <w:t>số</w:t>
            </w:r>
            <w:hyperlink r:id="rId6">
              <w:r w:rsidRPr="002C15C4">
                <w:t xml:space="preserve"> </w:t>
              </w:r>
            </w:hyperlink>
            <w:hyperlink r:id="rId7">
              <w:r>
                <w:t>28/2018//TT-BTC và Thông tư số 64/2024/TT-BTC. Vì vậy, căn cứ</w:t>
              </w:r>
            </w:hyperlink>
            <w:r>
              <w:t xml:space="preserve"> </w:t>
            </w:r>
            <w:r w:rsidRPr="00635456">
              <w:rPr>
                <w:spacing w:val="2"/>
              </w:rPr>
              <w:t>quy định tại khoản 4, Điều 8 Luật Ban hành văn bản quy phạm pháp luật số 64/2025/QH15</w:t>
            </w:r>
            <w:r>
              <w:rPr>
                <w:rStyle w:val="FootnoteReference"/>
                <w:spacing w:val="2"/>
              </w:rPr>
              <w:footnoteReference w:id="3"/>
            </w:r>
            <w:r>
              <w:rPr>
                <w:lang w:val="nl-NL"/>
              </w:rPr>
              <w:t>, Vụ TCKTN</w:t>
            </w:r>
            <w:r w:rsidRPr="00442979">
              <w:rPr>
                <w:lang w:val="nl-NL"/>
              </w:rPr>
              <w:t xml:space="preserve"> trình Bộ ban hành Thông tư dưới hình thức thay thế </w:t>
            </w:r>
            <w:r>
              <w:rPr>
                <w:rFonts w:eastAsia="Calibri"/>
              </w:rPr>
              <w:t>Thông tư số 28/2012/TT-BTC và Thông tư số 64/2024/TT-BTC</w:t>
            </w:r>
          </w:p>
          <w:p w:rsidR="00671F30" w:rsidRDefault="00671F30" w:rsidP="00671F30">
            <w:pPr>
              <w:spacing w:before="60"/>
              <w:ind w:firstLine="518"/>
              <w:jc w:val="both"/>
              <w:rPr>
                <w:b/>
                <w:lang w:val="nl-NL"/>
              </w:rPr>
            </w:pPr>
            <w:r>
              <w:rPr>
                <w:b/>
                <w:lang w:val="nl-NL"/>
              </w:rPr>
              <w:t xml:space="preserve"> IV</w:t>
            </w:r>
            <w:r w:rsidRPr="007E06FB">
              <w:rPr>
                <w:b/>
                <w:lang w:val="nl-NL"/>
              </w:rPr>
              <w:t xml:space="preserve">. </w:t>
            </w:r>
            <w:r>
              <w:rPr>
                <w:b/>
                <w:lang w:val="nl-NL"/>
              </w:rPr>
              <w:t>Bố cục và nội dung cơ bản của dự thảo Thông tư</w:t>
            </w:r>
          </w:p>
          <w:p w:rsidR="00671F30" w:rsidRPr="00140B9E" w:rsidRDefault="00671F30" w:rsidP="00671F30">
            <w:pPr>
              <w:spacing w:before="60"/>
              <w:jc w:val="both"/>
              <w:rPr>
                <w:b/>
                <w:color w:val="000000" w:themeColor="text1"/>
                <w:lang w:val="nl-NL"/>
              </w:rPr>
            </w:pPr>
            <w:r w:rsidRPr="00140B9E">
              <w:rPr>
                <w:color w:val="000000" w:themeColor="text1"/>
                <w:lang w:val="nl-NL"/>
              </w:rPr>
              <w:t xml:space="preserve">        </w:t>
            </w:r>
            <w:r w:rsidRPr="00140B9E">
              <w:rPr>
                <w:b/>
                <w:color w:val="000000" w:themeColor="text1"/>
                <w:lang w:val="nl-NL"/>
              </w:rPr>
              <w:t xml:space="preserve">1. Bố cục dự thảo Thông tư: </w:t>
            </w:r>
          </w:p>
          <w:p w:rsidR="00671F30" w:rsidRPr="006A4967" w:rsidRDefault="00671F30" w:rsidP="00671F30">
            <w:pPr>
              <w:spacing w:before="60"/>
              <w:jc w:val="both"/>
              <w:rPr>
                <w:color w:val="000000" w:themeColor="text1"/>
                <w:lang w:val="nl-NL"/>
              </w:rPr>
            </w:pPr>
            <w:r>
              <w:rPr>
                <w:color w:val="000000" w:themeColor="text1"/>
                <w:lang w:val="nl-NL"/>
              </w:rPr>
              <w:t xml:space="preserve">        </w:t>
            </w:r>
            <w:r w:rsidRPr="006A4967">
              <w:rPr>
                <w:color w:val="000000" w:themeColor="text1"/>
                <w:lang w:val="nl-NL"/>
              </w:rPr>
              <w:t>Dự thảo Thông tư gồm 1</w:t>
            </w:r>
            <w:r>
              <w:rPr>
                <w:color w:val="000000" w:themeColor="text1"/>
                <w:lang w:val="nl-NL"/>
              </w:rPr>
              <w:t>3</w:t>
            </w:r>
            <w:r w:rsidRPr="006A4967">
              <w:rPr>
                <w:color w:val="000000" w:themeColor="text1"/>
                <w:lang w:val="nl-NL"/>
              </w:rPr>
              <w:t xml:space="preserve"> Điều, giảm 02 điều so với </w:t>
            </w:r>
            <w:r>
              <w:rPr>
                <w:color w:val="000000" w:themeColor="text1"/>
                <w:lang w:val="nl-NL"/>
              </w:rPr>
              <w:t>Thông tư số 28/2018/TT-BTC</w:t>
            </w:r>
          </w:p>
          <w:p w:rsidR="00671F30" w:rsidRPr="0023430B" w:rsidRDefault="00671F30" w:rsidP="00671F30">
            <w:pPr>
              <w:spacing w:before="60"/>
              <w:jc w:val="both"/>
              <w:rPr>
                <w:bCs/>
                <w:color w:val="000000"/>
              </w:rPr>
            </w:pPr>
            <w:r>
              <w:rPr>
                <w:bCs/>
                <w:color w:val="000000"/>
              </w:rPr>
              <w:t xml:space="preserve">        </w:t>
            </w:r>
            <w:r w:rsidRPr="0023430B">
              <w:rPr>
                <w:bCs/>
                <w:color w:val="000000"/>
              </w:rPr>
              <w:t>Điều 1. Phạm vi điều chỉnh</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Điều 2. Đối tượng áp dụng</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Điều 3. Nguồn kinh phí bảo đảm hoạt động khuyến công</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Điều 4. Nguyên tắc sử dụng kinh phí khuyến công</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Điều 5. Điều kiện để được hỗ trợ kinh phí khuyến công</w:t>
            </w:r>
          </w:p>
          <w:p w:rsidR="00671F30" w:rsidRDefault="00671F30" w:rsidP="00671F30">
            <w:pPr>
              <w:pStyle w:val="NormalWeb"/>
              <w:shd w:val="clear" w:color="auto" w:fill="FFFFFF"/>
              <w:spacing w:before="0" w:beforeAutospacing="0" w:after="0" w:afterAutospacing="0" w:line="212" w:lineRule="atLeast"/>
              <w:jc w:val="both"/>
              <w:rPr>
                <w:bCs/>
                <w:color w:val="000000"/>
                <w:sz w:val="28"/>
                <w:szCs w:val="28"/>
              </w:rPr>
            </w:pPr>
            <w:r>
              <w:rPr>
                <w:bCs/>
                <w:color w:val="000000"/>
                <w:sz w:val="28"/>
                <w:szCs w:val="28"/>
              </w:rPr>
              <w:t xml:space="preserve">        </w:t>
            </w:r>
            <w:r w:rsidRPr="0023430B">
              <w:rPr>
                <w:bCs/>
                <w:color w:val="000000"/>
                <w:sz w:val="28"/>
                <w:szCs w:val="28"/>
              </w:rPr>
              <w:t xml:space="preserve">Điều 6. Nội dung </w:t>
            </w:r>
            <w:r w:rsidRPr="00F66A28">
              <w:rPr>
                <w:bCs/>
                <w:color w:val="000000"/>
                <w:sz w:val="28"/>
                <w:szCs w:val="28"/>
              </w:rPr>
              <w:t>và mức</w:t>
            </w:r>
            <w:r w:rsidRPr="0023430B">
              <w:rPr>
                <w:bCs/>
                <w:color w:val="000000"/>
                <w:sz w:val="28"/>
                <w:szCs w:val="28"/>
              </w:rPr>
              <w:t xml:space="preserve"> chi hoạt động khuyến công (</w:t>
            </w:r>
            <w:r>
              <w:rPr>
                <w:bCs/>
                <w:color w:val="000000"/>
                <w:sz w:val="28"/>
                <w:szCs w:val="28"/>
              </w:rPr>
              <w:t>gộp các</w:t>
            </w:r>
            <w:r w:rsidRPr="0023430B">
              <w:rPr>
                <w:bCs/>
                <w:color w:val="000000"/>
                <w:sz w:val="28"/>
                <w:szCs w:val="28"/>
              </w:rPr>
              <w:t xml:space="preserve"> Điều 6, 7, 8</w:t>
            </w:r>
            <w:r>
              <w:rPr>
                <w:bCs/>
                <w:color w:val="000000"/>
                <w:sz w:val="28"/>
                <w:szCs w:val="28"/>
              </w:rPr>
              <w:t xml:space="preserve"> của Thông tư số 28/2018/TT-BTC</w:t>
            </w:r>
            <w:r w:rsidRPr="0023430B">
              <w:rPr>
                <w:bCs/>
                <w:color w:val="000000"/>
                <w:sz w:val="28"/>
                <w:szCs w:val="28"/>
              </w:rPr>
              <w:t>)</w:t>
            </w:r>
          </w:p>
          <w:p w:rsidR="00671F30" w:rsidRDefault="00671F30" w:rsidP="00671F30">
            <w:pPr>
              <w:pStyle w:val="NormalWeb"/>
              <w:shd w:val="clear" w:color="auto" w:fill="FFFFFF"/>
              <w:spacing w:before="0" w:beforeAutospacing="0" w:after="0" w:afterAutospacing="0" w:line="212" w:lineRule="atLeast"/>
              <w:jc w:val="both"/>
              <w:rPr>
                <w:bCs/>
                <w:color w:val="000000"/>
                <w:sz w:val="28"/>
                <w:szCs w:val="28"/>
              </w:rPr>
            </w:pPr>
            <w:r>
              <w:rPr>
                <w:bCs/>
                <w:color w:val="000000"/>
                <w:sz w:val="28"/>
                <w:szCs w:val="28"/>
              </w:rPr>
              <w:t xml:space="preserve">        </w:t>
            </w:r>
            <w:r w:rsidRPr="006A4967">
              <w:rPr>
                <w:bCs/>
                <w:color w:val="000000"/>
                <w:sz w:val="28"/>
                <w:szCs w:val="28"/>
              </w:rPr>
              <w:t xml:space="preserve">Điều </w:t>
            </w:r>
            <w:r>
              <w:rPr>
                <w:bCs/>
                <w:color w:val="000000"/>
                <w:sz w:val="28"/>
                <w:szCs w:val="28"/>
              </w:rPr>
              <w:t>7</w:t>
            </w:r>
            <w:r w:rsidRPr="006A4967">
              <w:rPr>
                <w:bCs/>
                <w:color w:val="000000"/>
                <w:sz w:val="28"/>
                <w:szCs w:val="28"/>
              </w:rPr>
              <w:t>. Lập và phân bổ dự toán</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 xml:space="preserve">Điều </w:t>
            </w:r>
            <w:r>
              <w:rPr>
                <w:bCs/>
                <w:color w:val="000000"/>
                <w:sz w:val="28"/>
                <w:szCs w:val="28"/>
              </w:rPr>
              <w:t>8</w:t>
            </w:r>
            <w:r w:rsidRPr="0023430B">
              <w:rPr>
                <w:bCs/>
                <w:color w:val="000000"/>
                <w:sz w:val="28"/>
                <w:szCs w:val="28"/>
              </w:rPr>
              <w:t>. Chấp hành dự toán</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 xml:space="preserve">Điều </w:t>
            </w:r>
            <w:r>
              <w:rPr>
                <w:bCs/>
                <w:color w:val="000000"/>
                <w:sz w:val="28"/>
                <w:szCs w:val="28"/>
              </w:rPr>
              <w:t>9</w:t>
            </w:r>
            <w:r w:rsidRPr="0023430B">
              <w:rPr>
                <w:bCs/>
                <w:color w:val="000000"/>
                <w:sz w:val="28"/>
                <w:szCs w:val="28"/>
              </w:rPr>
              <w:t>. Công tác hạch toán, quyết toán</w:t>
            </w:r>
          </w:p>
          <w:p w:rsidR="00671F30" w:rsidRPr="006A4967" w:rsidRDefault="00671F30" w:rsidP="00671F30">
            <w:pPr>
              <w:pStyle w:val="NormalWeb"/>
              <w:shd w:val="clear" w:color="auto" w:fill="FFFFFF"/>
              <w:spacing w:before="0" w:beforeAutospacing="0" w:after="0" w:afterAutospacing="0" w:line="212" w:lineRule="atLeast"/>
              <w:jc w:val="both"/>
              <w:rPr>
                <w:bCs/>
                <w:color w:val="000000"/>
                <w:sz w:val="28"/>
                <w:szCs w:val="28"/>
              </w:rPr>
            </w:pPr>
            <w:r>
              <w:rPr>
                <w:bCs/>
                <w:color w:val="000000"/>
                <w:sz w:val="28"/>
                <w:szCs w:val="28"/>
              </w:rPr>
              <w:t xml:space="preserve">        </w:t>
            </w:r>
            <w:r w:rsidRPr="006A4967">
              <w:rPr>
                <w:bCs/>
                <w:color w:val="000000"/>
                <w:sz w:val="28"/>
                <w:szCs w:val="28"/>
              </w:rPr>
              <w:t xml:space="preserve">Điều </w:t>
            </w:r>
            <w:r>
              <w:rPr>
                <w:bCs/>
                <w:color w:val="000000"/>
                <w:sz w:val="28"/>
                <w:szCs w:val="28"/>
              </w:rPr>
              <w:t>10</w:t>
            </w:r>
            <w:r w:rsidRPr="006A4967">
              <w:rPr>
                <w:bCs/>
                <w:color w:val="000000"/>
                <w:sz w:val="28"/>
                <w:szCs w:val="28"/>
              </w:rPr>
              <w:t>. Lập, chấp hành và quyết toán</w:t>
            </w:r>
            <w:r>
              <w:rPr>
                <w:bCs/>
                <w:color w:val="000000"/>
                <w:sz w:val="28"/>
                <w:szCs w:val="28"/>
              </w:rPr>
              <w:t xml:space="preserve"> ngân sách nhà nước</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bCs/>
                <w:color w:val="000000"/>
                <w:sz w:val="28"/>
                <w:szCs w:val="28"/>
              </w:rPr>
              <w:t xml:space="preserve">        </w:t>
            </w:r>
            <w:r w:rsidRPr="0023430B">
              <w:rPr>
                <w:bCs/>
                <w:color w:val="000000"/>
                <w:sz w:val="28"/>
                <w:szCs w:val="28"/>
              </w:rPr>
              <w:t>Điều 1</w:t>
            </w:r>
            <w:r>
              <w:rPr>
                <w:bCs/>
                <w:color w:val="000000"/>
                <w:sz w:val="28"/>
                <w:szCs w:val="28"/>
              </w:rPr>
              <w:t>1</w:t>
            </w:r>
            <w:r w:rsidRPr="0023430B">
              <w:rPr>
                <w:bCs/>
                <w:color w:val="000000"/>
                <w:sz w:val="28"/>
                <w:szCs w:val="28"/>
              </w:rPr>
              <w:t>. Kiểm tra, giám sát, thông tin báo cáo</w:t>
            </w:r>
          </w:p>
          <w:p w:rsidR="00671F30" w:rsidRPr="0023430B" w:rsidRDefault="00671F30" w:rsidP="00671F30">
            <w:pPr>
              <w:pStyle w:val="NormalWeb"/>
              <w:shd w:val="clear" w:color="auto" w:fill="FFFFFF"/>
              <w:spacing w:before="0" w:beforeAutospacing="0" w:after="0" w:afterAutospacing="0" w:line="212" w:lineRule="atLeast"/>
              <w:jc w:val="both"/>
              <w:rPr>
                <w:bCs/>
                <w:color w:val="000000"/>
                <w:sz w:val="28"/>
                <w:szCs w:val="28"/>
              </w:rPr>
            </w:pPr>
            <w:r>
              <w:rPr>
                <w:bCs/>
                <w:color w:val="000000"/>
                <w:sz w:val="28"/>
                <w:szCs w:val="28"/>
              </w:rPr>
              <w:t xml:space="preserve">        </w:t>
            </w:r>
            <w:r w:rsidRPr="0023430B">
              <w:rPr>
                <w:bCs/>
                <w:color w:val="000000"/>
                <w:sz w:val="28"/>
                <w:szCs w:val="28"/>
              </w:rPr>
              <w:t>Điều 1</w:t>
            </w:r>
            <w:r>
              <w:rPr>
                <w:bCs/>
                <w:color w:val="000000"/>
                <w:sz w:val="28"/>
                <w:szCs w:val="28"/>
              </w:rPr>
              <w:t>2</w:t>
            </w:r>
            <w:r w:rsidRPr="0023430B">
              <w:rPr>
                <w:bCs/>
                <w:color w:val="000000"/>
                <w:sz w:val="28"/>
                <w:szCs w:val="28"/>
              </w:rPr>
              <w:t>. Tổ chức thực hiện</w:t>
            </w:r>
          </w:p>
          <w:p w:rsidR="00671F30" w:rsidRPr="0023430B" w:rsidRDefault="00671F30" w:rsidP="00671F30">
            <w:pPr>
              <w:pStyle w:val="NormalWeb"/>
              <w:shd w:val="clear" w:color="auto" w:fill="FFFFFF"/>
              <w:spacing w:before="0" w:beforeAutospacing="0" w:after="0" w:afterAutospacing="0" w:line="212" w:lineRule="atLeast"/>
              <w:jc w:val="both"/>
              <w:rPr>
                <w:color w:val="000000"/>
                <w:sz w:val="28"/>
                <w:szCs w:val="28"/>
              </w:rPr>
            </w:pPr>
            <w:r>
              <w:rPr>
                <w:color w:val="000000"/>
                <w:sz w:val="28"/>
                <w:szCs w:val="28"/>
              </w:rPr>
              <w:t xml:space="preserve">        </w:t>
            </w:r>
            <w:r w:rsidRPr="0023430B">
              <w:rPr>
                <w:color w:val="000000"/>
                <w:sz w:val="28"/>
                <w:szCs w:val="28"/>
              </w:rPr>
              <w:t>Điều 1</w:t>
            </w:r>
            <w:r>
              <w:rPr>
                <w:color w:val="000000"/>
                <w:sz w:val="28"/>
                <w:szCs w:val="28"/>
              </w:rPr>
              <w:t>3</w:t>
            </w:r>
            <w:r w:rsidRPr="0023430B">
              <w:rPr>
                <w:color w:val="000000"/>
                <w:sz w:val="28"/>
                <w:szCs w:val="28"/>
              </w:rPr>
              <w:t>. Điều khoản thi hành</w:t>
            </w:r>
          </w:p>
          <w:p w:rsidR="00671F30" w:rsidRPr="00140B9E"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b/>
                <w:lang w:val="nl-NL"/>
              </w:rPr>
            </w:pPr>
            <w:r w:rsidRPr="00140B9E">
              <w:rPr>
                <w:b/>
                <w:lang w:val="nl-NL"/>
              </w:rPr>
              <w:t>2. Nguyên tắc quy định nội dung, mức chi tại dự thảo Thông tư</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pPr>
            <w:r>
              <w:t>- Kế thừa các nội dung quy định hiện hành còn phù hợp tại Thông tư số 28/2018/TT-BTC và Thông tư số 64/2024/TT-BTC.</w:t>
            </w:r>
          </w:p>
          <w:p w:rsidR="00671F30" w:rsidRPr="003B541B"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 Bổ sung thêm nội dung mới được bảo đảm từ ngân sách nhà nước </w:t>
            </w:r>
            <w:r w:rsidRPr="003B541B">
              <w:t xml:space="preserve">tại Thông </w:t>
            </w:r>
            <w:r w:rsidRPr="003B541B">
              <w:lastRenderedPageBreak/>
              <w:t>tư.</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Sửa đổi, bổ sung, cập nhật các văn bản quy phạm pháp luật dẫn chiếu trong Thông tư đã được sửa đổi, bổ sung hoặc thay thế.</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color w:val="000000" w:themeColor="text1"/>
                <w:lang w:val="nl-NL"/>
              </w:rPr>
            </w:pPr>
            <w:r>
              <w:rPr>
                <w:lang w:val="nl-NL"/>
              </w:rPr>
              <w:t xml:space="preserve">- Gộp các nội dung chi, mức chi quy định về khuyến công quốc gia, địa phương vào một điều về nội dung, mức chi hoạt động khuyến công theo quy định tại Nghị định số 235/2025/NĐ-CP. </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color w:val="000000" w:themeColor="text1"/>
                <w:lang w:val="nl-NL"/>
              </w:rPr>
            </w:pPr>
            <w:r>
              <w:rPr>
                <w:color w:val="000000" w:themeColor="text1"/>
                <w:lang w:val="nl-NL"/>
              </w:rPr>
              <w:t>Theo đó, dự thảo Thông tư gồm các nội dung cụ thể sau:</w:t>
            </w:r>
          </w:p>
          <w:p w:rsidR="00671F30" w:rsidRPr="00140B9E"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b/>
                <w:lang w:val="nl-NL"/>
              </w:rPr>
            </w:pPr>
            <w:r w:rsidRPr="00140B9E">
              <w:rPr>
                <w:b/>
                <w:lang w:val="nl-NL"/>
              </w:rPr>
              <w:t>3. Nội dung sửa đổi, bổ sung</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i/>
                <w:color w:val="000000"/>
              </w:rPr>
            </w:pPr>
            <w:r>
              <w:rPr>
                <w:lang w:val="nl-NL"/>
              </w:rPr>
              <w:t xml:space="preserve">a) </w:t>
            </w:r>
            <w:r>
              <w:t xml:space="preserve">Bổ sung nội dung chi (Điều 6 dự thảo Thông tư) để phù hợp với </w:t>
            </w:r>
            <w:r>
              <w:rPr>
                <w:color w:val="000000" w:themeColor="text1"/>
                <w:lang w:val="nl-NL"/>
              </w:rPr>
              <w:t>Nghị định số 235/2025/NĐ-CP</w:t>
            </w:r>
            <w:r>
              <w:t xml:space="preserve">: </w:t>
            </w:r>
            <w:r w:rsidRPr="001C05DA">
              <w:rPr>
                <w:i/>
                <w:color w:val="000000"/>
              </w:rPr>
              <w:t>hỗ trợ đào tạo nghề theo nhu cầu của các cơ sở công nghiệp nông thôn để tạo việc làm và nâng cao tay nghề cho người lao động. Chương trình và hình thức đào tạo nghề chủ yếu là: kèm cặp nghề, truyền nghề, tập nghề; chương trình bồi dưỡng, cập nhật, nâng cao kiến thức, kỹ năng nghề nghiệp; chương trình chuyển giao công nghệ</w:t>
            </w:r>
            <w:r>
              <w:rPr>
                <w:i/>
                <w:color w:val="000000"/>
              </w:rPr>
              <w:t>;</w:t>
            </w:r>
            <w:r>
              <w:rPr>
                <w:color w:val="000000"/>
              </w:rPr>
              <w:t xml:space="preserve"> bổ sung nội dung </w:t>
            </w:r>
            <w:r w:rsidRPr="00CB374B">
              <w:rPr>
                <w:i/>
                <w:color w:val="000000"/>
              </w:rPr>
              <w:t xml:space="preserve">sản xuất và tiêu dùng bền vững; </w:t>
            </w:r>
            <w:r>
              <w:rPr>
                <w:i/>
                <w:color w:val="000000"/>
              </w:rPr>
              <w:t>chuyển đổi số trong hoạt động khuyến công;</w:t>
            </w:r>
            <w:r>
              <w:rPr>
                <w:color w:val="000000"/>
              </w:rPr>
              <w:t xml:space="preserve"> sửa đổi, bổ sung </w:t>
            </w:r>
            <w:r w:rsidRPr="009D4186">
              <w:rPr>
                <w:i/>
                <w:color w:val="000000"/>
              </w:rPr>
              <w:t>hỗ trợ các hoạt động xét tặng, trao tặng danh hiệu nghệ Nhân nhân dân, Nghệ nhân ưu tú trong lĩnh vực nghề thủ công mỹ nghệ. Hỗ trợ tổ chức các hoạt động truyền nghề, tập nghề, phổ biến kinh nghiệm phát triển nghề của các Nghệ nhân nhân dân, Nghệ nhân ưu tú trong lĩnh vực nghề thủ công mỹ nghệ</w:t>
            </w:r>
            <w:r>
              <w:rPr>
                <w:color w:val="000000"/>
              </w:rPr>
              <w:t>; bổ sung một số hoạt động xúc tiến đầu tư phát triển cụm công nghiệp, gồm:</w:t>
            </w:r>
            <w:r w:rsidRPr="009D4186">
              <w:rPr>
                <w:color w:val="000000"/>
              </w:rPr>
              <w:t xml:space="preserve"> </w:t>
            </w:r>
            <w:r w:rsidRPr="009D4186">
              <w:rPr>
                <w:i/>
                <w:color w:val="000000"/>
              </w:rPr>
              <w:t>tổ chức các hội nghị, hội thảo, diễn đàn xúc tiến đầu tư phát triển cụm công nghiệp; hỗ trợ công nghệ, máy móc thiết bị xử lý nước thải, khí thải tại các cụm công nghiệp, cơ sở công nghiệp nông thôn</w:t>
            </w:r>
            <w:r>
              <w:rPr>
                <w:i/>
                <w:color w:val="000000"/>
              </w:rPr>
              <w:t>.</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color w:val="000000"/>
              </w:rPr>
            </w:pPr>
            <w:r>
              <w:rPr>
                <w:color w:val="000000"/>
              </w:rPr>
              <w:t>b)</w:t>
            </w:r>
            <w:r w:rsidRPr="00AB5857">
              <w:rPr>
                <w:color w:val="000000"/>
              </w:rPr>
              <w:t xml:space="preserve"> </w:t>
            </w:r>
            <w:r w:rsidR="00A94197" w:rsidRPr="00AB5857">
              <w:rPr>
                <w:color w:val="000000"/>
              </w:rPr>
              <w:t>Tăng các mức chi cho hoạt động khuyến công</w:t>
            </w:r>
            <w:r w:rsidR="00A94197">
              <w:rPr>
                <w:color w:val="000000"/>
              </w:rPr>
              <w:t xml:space="preserve"> trên cơ sở đối tượng chính sách tăng do gắn với quá trình triển khai, thực hiện nhiệm vụ trọng tâm tại Kết luận số 219-KL/TW ngày 26/11/2025 của Bộ Chính trị về tiếp tục thực hiện Nghị quyết số 19-NQ/TW</w:t>
            </w:r>
            <w:r w:rsidR="00A94197">
              <w:rPr>
                <w:rStyle w:val="FootnoteReference"/>
                <w:color w:val="000000"/>
              </w:rPr>
              <w:footnoteReference w:id="4"/>
            </w:r>
            <w:r w:rsidR="00A94197">
              <w:rPr>
                <w:color w:val="000000"/>
              </w:rPr>
              <w:t xml:space="preserve"> (trong đó có nhiệm vụ khuyến khích, tạo điều kiện để các hộ nông dân tham gia phát triển các hợp tác xã, tổ hợp tác, hội, tổ chức ngành, nghề để sản xuất hàng hóa lớn theo chuỗi) và theo nguyên tắc bảo đảm phù hợp với mức tăng cộng dồn chỉ số CPI giai đoạn 2018-2026 và giai đoạn sau khi ban hành Thông tư (dự kiến thực hiện từ 2026 đến hết 2030) theo kịch bản mục tiêu kiểm soát chỉ số CPI của Chính phủ. Theo đó, điều chỉnh mức tăng chi trung bình là 58%.</w:t>
            </w:r>
          </w:p>
          <w:p w:rsidR="00671F30" w:rsidRPr="00EC1A25"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center"/>
              <w:rPr>
                <w:i/>
                <w:color w:val="000000"/>
              </w:rPr>
            </w:pPr>
            <w:r w:rsidRPr="00EC1A25">
              <w:rPr>
                <w:i/>
                <w:color w:val="000000"/>
              </w:rPr>
              <w:t>(chi tiết theo phụ lục đính kèm)</w:t>
            </w:r>
          </w:p>
          <w:p w:rsidR="00671F30" w:rsidRPr="00AE1A32"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xml:space="preserve"> c) Sửa đổi, bổ sung, cập nhật các văn bản quy phạm pháp luật dẫn chiếu về nội dung, mức chi đã được sửa đổi, bổ sung hoặc thay thế tại phần căn cứ và các Điều 1, Điều 2, Điều 5, Điều 6: C</w:t>
            </w:r>
            <w:r w:rsidRPr="003E46C0">
              <w:rPr>
                <w:lang w:val="nl-NL"/>
              </w:rPr>
              <w:t>hi công tác phí nư</w:t>
            </w:r>
            <w:r>
              <w:rPr>
                <w:lang w:val="nl-NL"/>
              </w:rPr>
              <w:t>ớc ngoài t</w:t>
            </w:r>
            <w:r w:rsidRPr="003E46C0">
              <w:rPr>
                <w:lang w:val="nl-NL"/>
              </w:rPr>
              <w:t>heo Thông tư số 140/2025/TT-BTC (thay thế Thông tư số 102/2012/TT-BTC</w:t>
            </w:r>
            <w:r>
              <w:rPr>
                <w:lang w:val="nl-NL"/>
              </w:rPr>
              <w:t xml:space="preserve">); chi công tác phí, hội nghị trong nước theo </w:t>
            </w:r>
            <w:r w:rsidRPr="003E46C0">
              <w:rPr>
                <w:lang w:val="nl-NL"/>
              </w:rPr>
              <w:t xml:space="preserve">Thông tư số 40/2017/TT-BTC, được sửa </w:t>
            </w:r>
            <w:r w:rsidRPr="00334021">
              <w:rPr>
                <w:lang w:val="vi-VN"/>
              </w:rPr>
              <w:t xml:space="preserve">đổi, bổ sung tại Thông tư số 12/2025/TT-BTC (thay thế Thông tư số 97/2010/TT-BTC); </w:t>
            </w:r>
            <w:r w:rsidRPr="00B35A6F">
              <w:rPr>
                <w:lang w:val="vi-VN"/>
              </w:rPr>
              <w:t>chi điều tra, khảo sát thực tế</w:t>
            </w:r>
            <w:r>
              <w:t xml:space="preserve"> theo </w:t>
            </w:r>
            <w:r w:rsidRPr="00334021">
              <w:rPr>
                <w:lang w:val="vi-VN"/>
              </w:rPr>
              <w:t>Thông tư số 109/2016/TT-BTC, được sửa đổi, bổ sung tại Thông tư số 37/2022/TT-BTC</w:t>
            </w:r>
            <w:r>
              <w:t xml:space="preserve">; </w:t>
            </w:r>
            <w:r w:rsidRPr="004F6034">
              <w:rPr>
                <w:color w:val="000000"/>
              </w:rPr>
              <w:t>Thông tư số 76/2018/TT-BTC ngày 17</w:t>
            </w:r>
            <w:r>
              <w:rPr>
                <w:color w:val="000000"/>
              </w:rPr>
              <w:t>/</w:t>
            </w:r>
            <w:r w:rsidRPr="004F6034">
              <w:rPr>
                <w:color w:val="000000"/>
              </w:rPr>
              <w:t>8</w:t>
            </w:r>
            <w:r>
              <w:rPr>
                <w:color w:val="000000"/>
              </w:rPr>
              <w:t>/</w:t>
            </w:r>
            <w:r w:rsidRPr="004F6034">
              <w:rPr>
                <w:color w:val="000000"/>
              </w:rPr>
              <w:t xml:space="preserve">2018 của Bộ Tài chính hướng dẫn nội dung, mức chi xây dựng chương trình đào tạo, biên </w:t>
            </w:r>
            <w:r w:rsidRPr="004F6034">
              <w:rPr>
                <w:color w:val="000000"/>
              </w:rPr>
              <w:lastRenderedPageBreak/>
              <w:t>soạn giáo trình môn học đối với giáo dục đại học, giáo dục nghề nghiệp</w:t>
            </w:r>
            <w:r>
              <w:rPr>
                <w:color w:val="000000"/>
              </w:rPr>
              <w:t xml:space="preserve">; </w:t>
            </w:r>
            <w:r w:rsidRPr="004F6034">
              <w:rPr>
                <w:color w:val="000000"/>
              </w:rPr>
              <w:t xml:space="preserve">Thông tư số 152/2016/TT-BTC </w:t>
            </w:r>
            <w:r w:rsidRPr="0098256F">
              <w:rPr>
                <w:color w:val="000000"/>
              </w:rPr>
              <w:t>ngày 17</w:t>
            </w:r>
            <w:r>
              <w:rPr>
                <w:color w:val="000000"/>
              </w:rPr>
              <w:t>/</w:t>
            </w:r>
            <w:r w:rsidRPr="0098256F">
              <w:rPr>
                <w:color w:val="000000"/>
              </w:rPr>
              <w:t>10</w:t>
            </w:r>
            <w:r>
              <w:rPr>
                <w:color w:val="000000"/>
              </w:rPr>
              <w:t>/</w:t>
            </w:r>
            <w:r w:rsidRPr="0098256F">
              <w:rPr>
                <w:color w:val="000000"/>
              </w:rPr>
              <w:t>2016 của Bộ Tài chính quy định quản lý và sử dụng kinh phí hỗ trợ đào tạo trình độ sơ cấp và đào tạo dưới 3 tháng</w:t>
            </w:r>
            <w:r>
              <w:rPr>
                <w:color w:val="000000"/>
              </w:rPr>
              <w:t xml:space="preserve"> thay thế </w:t>
            </w:r>
            <w:r w:rsidRPr="00AA5793">
              <w:rPr>
                <w:color w:val="000000"/>
              </w:rPr>
              <w:t>Thông tư số 123/2009/TT-BTC ngày 17</w:t>
            </w:r>
            <w:r>
              <w:rPr>
                <w:color w:val="000000"/>
              </w:rPr>
              <w:t>/</w:t>
            </w:r>
            <w:r w:rsidRPr="00AA5793">
              <w:rPr>
                <w:color w:val="000000"/>
              </w:rPr>
              <w:t>6</w:t>
            </w:r>
            <w:r>
              <w:rPr>
                <w:color w:val="000000"/>
              </w:rPr>
              <w:t>/</w:t>
            </w:r>
            <w:r w:rsidRPr="00AA5793">
              <w:rPr>
                <w:color w:val="000000"/>
              </w:rPr>
              <w:t>2009</w:t>
            </w:r>
            <w:r>
              <w:t>…</w:t>
            </w:r>
          </w:p>
          <w:p w:rsidR="00671F30" w:rsidRPr="00EC1A25"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d) </w:t>
            </w:r>
            <w:r>
              <w:rPr>
                <w:lang w:val="nl-NL"/>
              </w:rPr>
              <w:t xml:space="preserve">Lược bỏ các nội dung chi tại Điều 6 Thông tư không còn được quy định Nghị định số 235/2025/NĐ-CP, gồm: </w:t>
            </w:r>
            <w:r w:rsidRPr="00AA5793">
              <w:rPr>
                <w:lang w:val="nl-NL"/>
              </w:rPr>
              <w:t>hỗ trợ để thành lập hội, hiệp hội ngành nghề cấp vùng và cấp quốc gia</w:t>
            </w:r>
            <w:r>
              <w:rPr>
                <w:lang w:val="nl-NL"/>
              </w:rPr>
              <w:t xml:space="preserve">; </w:t>
            </w:r>
            <w:r w:rsidRPr="00AA5793">
              <w:rPr>
                <w:lang w:val="nl-NL"/>
              </w:rPr>
              <w:t>Chi hỗ trợ để hình thành cụm liên kết doanh nghiệp công nghiệp</w:t>
            </w:r>
            <w:r>
              <w:rPr>
                <w:lang w:val="nl-NL"/>
              </w:rPr>
              <w:t>;</w:t>
            </w:r>
            <w:r w:rsidRPr="00AA5793">
              <w:rPr>
                <w:lang w:val="nl-NL"/>
              </w:rPr>
              <w:t xml:space="preserve"> Chi hỗ trợ lãi suất vốn vay cho các cơ sở công nghiệp nông thôn gây ô nhiễm môi trường di dời vào các khu, cụm công nghiệp</w:t>
            </w:r>
            <w:r>
              <w:rPr>
                <w:lang w:val="nl-NL"/>
              </w:rPr>
              <w:t>;</w:t>
            </w:r>
            <w:r>
              <w:t xml:space="preserve"> </w:t>
            </w:r>
            <w:r w:rsidRPr="00E14A31">
              <w:rPr>
                <w:lang w:val="nl-NL"/>
              </w:rPr>
              <w:t>Chi hỗ trợ lập quy hoạch chi tiết cụm công nghiệp</w:t>
            </w:r>
            <w:r>
              <w:rPr>
                <w:lang w:val="nl-NL"/>
              </w:rPr>
              <w:t xml:space="preserve">; </w:t>
            </w:r>
            <w:r w:rsidRPr="00E14A31">
              <w:rPr>
                <w:lang w:val="nl-NL"/>
              </w:rPr>
              <w:t xml:space="preserve">Chi hỗ trợ đầu tư xây dựng </w:t>
            </w:r>
            <w:r>
              <w:rPr>
                <w:lang w:val="nl-NL"/>
              </w:rPr>
              <w:t xml:space="preserve">kết cấu hạ tầng cụm công nghiệp. </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jc w:val="both"/>
              <w:rPr>
                <w:b/>
                <w:lang w:val="nl-NL"/>
              </w:rPr>
            </w:pPr>
            <w:r>
              <w:rPr>
                <w:lang w:val="nl-NL"/>
              </w:rPr>
              <w:t xml:space="preserve">        </w:t>
            </w:r>
            <w:r w:rsidRPr="006C6B9B">
              <w:rPr>
                <w:b/>
                <w:lang w:val="nl-NL"/>
              </w:rPr>
              <w:t>IV. Nội dung cắt giảm, đơn giản hóa thủ tục hành chính, nội dung phân cấp, phân quyền</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t xml:space="preserve">Dự thảo Thông tư không có quy định mới làm phát sinh thủ tục hành chính thuộc phạm vi điều chỉnh của Nghị định số 63/2010/NĐ-CP ngày 08/6/2010 của Chính phủ về kiểm soát thủ tục hành chính và các Nghị định sửa đổi, bổ sung về kiểm soát thủ tục hành chính hiện hành; </w:t>
            </w:r>
            <w:r>
              <w:rPr>
                <w:lang w:val="nl-NL"/>
              </w:rPr>
              <w:t>không có nội dung quy định về phân cấp, phân quyền.</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b/>
                <w:lang w:val="nl-NL"/>
              </w:rPr>
            </w:pPr>
            <w:r w:rsidRPr="007E06FB">
              <w:rPr>
                <w:b/>
                <w:lang w:val="nl-NL"/>
              </w:rPr>
              <w:t xml:space="preserve">V. </w:t>
            </w:r>
            <w:r>
              <w:rPr>
                <w:b/>
                <w:lang w:val="nl-NL"/>
              </w:rPr>
              <w:t>Dự kiến nguồn lực, điều kiện bảo đảm cho việc thực hiện Thông tư và thời gian trình ban hành</w:t>
            </w:r>
          </w:p>
          <w:p w:rsidR="00671F30" w:rsidRPr="00140B9E" w:rsidRDefault="007F009A"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b/>
              </w:rPr>
            </w:pPr>
            <w:r w:rsidRPr="00140B9E">
              <w:rPr>
                <w:b/>
              </w:rPr>
              <w:t>1.</w:t>
            </w:r>
            <w:r w:rsidR="00671F30" w:rsidRPr="00140B9E">
              <w:rPr>
                <w:b/>
              </w:rPr>
              <w:t xml:space="preserve"> Điều kiện về nguồn nhân lực:</w:t>
            </w:r>
          </w:p>
          <w:p w:rsidR="00671F30" w:rsidRDefault="00671F30"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t>D</w:t>
            </w:r>
            <w:r w:rsidRPr="00646201">
              <w:rPr>
                <w:lang w:val="nl-NL"/>
              </w:rPr>
              <w:t xml:space="preserve">ự kiến khi </w:t>
            </w:r>
            <w:r>
              <w:rPr>
                <w:lang w:val="nl-NL"/>
              </w:rPr>
              <w:t>Thông tư</w:t>
            </w:r>
            <w:r w:rsidRPr="00646201">
              <w:rPr>
                <w:lang w:val="nl-NL"/>
              </w:rPr>
              <w:t xml:space="preserve"> được ban hành, các Bộ, địa phương sử dụng bộ máy tổ chức và nguồn nhân lực hiện có để thực hiện, không làm tăng biên chế. </w:t>
            </w:r>
          </w:p>
          <w:p w:rsidR="00671F30" w:rsidRPr="00140B9E" w:rsidRDefault="007F009A"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rPr>
                <w:b/>
                <w:lang w:val="nl-NL"/>
              </w:rPr>
            </w:pPr>
            <w:r w:rsidRPr="00140B9E">
              <w:rPr>
                <w:b/>
                <w:lang w:val="nl-NL"/>
              </w:rPr>
              <w:t>2.</w:t>
            </w:r>
            <w:r w:rsidR="00671F30" w:rsidRPr="00140B9E">
              <w:rPr>
                <w:b/>
                <w:lang w:val="nl-NL"/>
              </w:rPr>
              <w:t xml:space="preserve"> Điều kiện về nguồn lực tài chính:</w:t>
            </w:r>
          </w:p>
          <w:p w:rsidR="00671F30" w:rsidRDefault="007F009A" w:rsidP="00671F30">
            <w:pPr>
              <w:widowControl w:val="0"/>
              <w:pBdr>
                <w:top w:val="dotted" w:sz="4" w:space="0" w:color="FFFFFF"/>
                <w:left w:val="dotted" w:sz="4" w:space="0" w:color="FFFFFF"/>
                <w:bottom w:val="dotted" w:sz="4" w:space="31" w:color="FFFFFF"/>
                <w:right w:val="dotted" w:sz="4" w:space="0" w:color="FFFFFF"/>
              </w:pBdr>
              <w:spacing w:before="60"/>
              <w:ind w:firstLine="518"/>
              <w:jc w:val="both"/>
            </w:pPr>
            <w:r>
              <w:t>-</w:t>
            </w:r>
            <w:r w:rsidR="00671F30">
              <w:t xml:space="preserve"> Đối với NSTW: Năm 2026, NSTW bố trí cho Bộ Công Thương thực hiện Chương trình quốc gia về khuyến công là 151 tỷ đồng</w:t>
            </w:r>
            <w:r w:rsidR="006C79B0">
              <w:t>.</w:t>
            </w:r>
            <w:r w:rsidR="00671F30">
              <w:t xml:space="preserve"> Với mức chi dự kiến tăng 58% thì kinh phí bố trí cho Chương trình khuyến công quốc gia từ năm 2027 dự kiến là khoảng 240 tỷ đồng.</w:t>
            </w:r>
          </w:p>
          <w:p w:rsidR="00671F30" w:rsidRDefault="007F009A" w:rsidP="00671F30">
            <w:pPr>
              <w:widowControl w:val="0"/>
              <w:pBdr>
                <w:top w:val="dotted" w:sz="4" w:space="0" w:color="FFFFFF"/>
                <w:left w:val="dotted" w:sz="4" w:space="0" w:color="FFFFFF"/>
                <w:bottom w:val="dotted" w:sz="4" w:space="31" w:color="FFFFFF"/>
                <w:right w:val="dotted" w:sz="4" w:space="0" w:color="FFFFFF"/>
              </w:pBdr>
              <w:spacing w:before="60"/>
              <w:ind w:firstLine="516"/>
              <w:jc w:val="both"/>
            </w:pPr>
            <w:r>
              <w:t>-</w:t>
            </w:r>
            <w:r w:rsidR="00671F30">
              <w:t xml:space="preserve"> Đối với NSĐP: Vụ KTN sẽ tổng hợp trên cơ sở ý kiến tham gia của các địa phương.</w:t>
            </w:r>
          </w:p>
          <w:p w:rsidR="00671F30" w:rsidRPr="00671F30" w:rsidRDefault="001147F0" w:rsidP="001147F0">
            <w:pPr>
              <w:widowControl w:val="0"/>
              <w:pBdr>
                <w:top w:val="dotted" w:sz="4" w:space="0" w:color="FFFFFF"/>
                <w:left w:val="dotted" w:sz="4" w:space="0" w:color="FFFFFF"/>
                <w:bottom w:val="dotted" w:sz="4" w:space="31" w:color="FFFFFF"/>
                <w:right w:val="dotted" w:sz="4" w:space="0" w:color="FFFFFF"/>
              </w:pBdr>
              <w:spacing w:before="60"/>
              <w:ind w:firstLine="516"/>
              <w:jc w:val="both"/>
            </w:pPr>
            <w:r>
              <w:t>Kính trình Lãnh đạo Bộ xem xét, quyết định.</w:t>
            </w:r>
            <w:r w:rsidR="005F3455">
              <w:t>/.</w:t>
            </w:r>
          </w:p>
        </w:tc>
      </w:tr>
      <w:tr w:rsidR="00671F30" w:rsidRPr="00D06ED9" w:rsidTr="00671F30">
        <w:trPr>
          <w:trHeight w:val="344"/>
          <w:jc w:val="center"/>
        </w:trPr>
        <w:tc>
          <w:tcPr>
            <w:tcW w:w="9639" w:type="dxa"/>
          </w:tcPr>
          <w:p w:rsidR="00671F30" w:rsidRPr="00D06ED9" w:rsidRDefault="00671F30" w:rsidP="0076777E">
            <w:pPr>
              <w:rPr>
                <w:b/>
                <w:sz w:val="24"/>
              </w:rPr>
            </w:pPr>
          </w:p>
        </w:tc>
      </w:tr>
      <w:tr w:rsidR="00671F30" w:rsidRPr="00D06ED9" w:rsidTr="00671F30">
        <w:trPr>
          <w:trHeight w:val="834"/>
          <w:jc w:val="center"/>
        </w:trPr>
        <w:tc>
          <w:tcPr>
            <w:tcW w:w="9639" w:type="dxa"/>
          </w:tcPr>
          <w:p w:rsidR="00671F30" w:rsidRPr="00D06ED9" w:rsidRDefault="00671F30" w:rsidP="00671F30">
            <w:pPr>
              <w:tabs>
                <w:tab w:val="center" w:pos="4768"/>
              </w:tabs>
              <w:ind w:right="-113"/>
              <w:rPr>
                <w:b/>
                <w:sz w:val="26"/>
                <w:szCs w:val="26"/>
              </w:rPr>
            </w:pPr>
            <w:r w:rsidRPr="00F374F6">
              <w:rPr>
                <w:b/>
                <w:i/>
                <w:sz w:val="22"/>
                <w:szCs w:val="26"/>
              </w:rPr>
              <w:t>Nơi nhận:</w:t>
            </w:r>
            <w:r>
              <w:rPr>
                <w:b/>
                <w:sz w:val="26"/>
                <w:szCs w:val="26"/>
              </w:rPr>
              <w:tab/>
            </w:r>
            <w:r w:rsidRPr="00D06ED9">
              <w:rPr>
                <w:b/>
                <w:sz w:val="26"/>
                <w:szCs w:val="26"/>
              </w:rPr>
              <w:t xml:space="preserve">                                                                            KT. VỤ TRƯỞNG</w:t>
            </w:r>
          </w:p>
          <w:p w:rsidR="00F374F6" w:rsidRDefault="00671F30" w:rsidP="00671F30">
            <w:pPr>
              <w:tabs>
                <w:tab w:val="center" w:pos="4768"/>
              </w:tabs>
              <w:ind w:right="-113"/>
              <w:rPr>
                <w:sz w:val="22"/>
                <w:szCs w:val="26"/>
              </w:rPr>
            </w:pPr>
            <w:r w:rsidRPr="00671F30">
              <w:rPr>
                <w:sz w:val="22"/>
                <w:szCs w:val="26"/>
              </w:rPr>
              <w:t>- Như  trên;</w:t>
            </w:r>
            <w:r w:rsidR="00F374F6" w:rsidRPr="00D06ED9">
              <w:rPr>
                <w:b/>
                <w:sz w:val="26"/>
                <w:szCs w:val="26"/>
              </w:rPr>
              <w:t xml:space="preserve"> </w:t>
            </w:r>
            <w:r w:rsidR="00F374F6">
              <w:rPr>
                <w:b/>
                <w:sz w:val="26"/>
                <w:szCs w:val="26"/>
              </w:rPr>
              <w:t xml:space="preserve">                                                                             </w:t>
            </w:r>
            <w:r w:rsidR="00F374F6" w:rsidRPr="00D06ED9">
              <w:rPr>
                <w:b/>
                <w:sz w:val="26"/>
                <w:szCs w:val="26"/>
              </w:rPr>
              <w:t>PHÓ VỤ TRƯỞNG</w:t>
            </w:r>
          </w:p>
          <w:p w:rsidR="00671F30" w:rsidRPr="00D06ED9" w:rsidRDefault="00F374F6" w:rsidP="00671F30">
            <w:pPr>
              <w:tabs>
                <w:tab w:val="center" w:pos="4768"/>
              </w:tabs>
              <w:ind w:right="-113"/>
              <w:rPr>
                <w:b/>
                <w:sz w:val="26"/>
                <w:szCs w:val="26"/>
                <w:lang w:val="vi-VN"/>
              </w:rPr>
            </w:pPr>
            <w:r>
              <w:rPr>
                <w:sz w:val="22"/>
                <w:szCs w:val="26"/>
              </w:rPr>
              <w:t>- Lưu: NV4.</w:t>
            </w:r>
            <w:r w:rsidR="00671F30" w:rsidRPr="00671F30">
              <w:rPr>
                <w:b/>
                <w:sz w:val="22"/>
                <w:szCs w:val="26"/>
              </w:rPr>
              <w:tab/>
            </w:r>
            <w:r w:rsidR="00671F30" w:rsidRPr="00D06ED9">
              <w:rPr>
                <w:b/>
                <w:sz w:val="26"/>
                <w:szCs w:val="26"/>
              </w:rPr>
              <w:t xml:space="preserve">                                                                            </w:t>
            </w:r>
          </w:p>
          <w:p w:rsidR="00671F30" w:rsidRDefault="00671F30" w:rsidP="00F374F6">
            <w:pPr>
              <w:ind w:left="-113" w:right="-113"/>
              <w:rPr>
                <w:b/>
                <w:sz w:val="24"/>
              </w:rPr>
            </w:pPr>
          </w:p>
          <w:p w:rsidR="00671F30" w:rsidRPr="003F3829" w:rsidRDefault="00671F30" w:rsidP="0076777E">
            <w:pPr>
              <w:ind w:left="-113" w:right="-113"/>
              <w:jc w:val="center"/>
              <w:rPr>
                <w:b/>
                <w:sz w:val="24"/>
              </w:rPr>
            </w:pPr>
          </w:p>
          <w:p w:rsidR="00671F30" w:rsidRDefault="00671F30" w:rsidP="0076777E">
            <w:pPr>
              <w:ind w:left="-113" w:right="-113"/>
              <w:jc w:val="center"/>
              <w:rPr>
                <w:b/>
                <w:sz w:val="24"/>
              </w:rPr>
            </w:pPr>
          </w:p>
          <w:p w:rsidR="00671F30" w:rsidRPr="00931A85" w:rsidRDefault="00671F30" w:rsidP="0076777E">
            <w:pPr>
              <w:ind w:left="-113" w:right="-113"/>
              <w:jc w:val="center"/>
              <w:rPr>
                <w:b/>
                <w:sz w:val="24"/>
              </w:rPr>
            </w:pPr>
          </w:p>
          <w:p w:rsidR="00671F30" w:rsidRPr="00D06ED9" w:rsidRDefault="00671F30" w:rsidP="0076777E">
            <w:pPr>
              <w:ind w:left="-113" w:right="-113"/>
              <w:jc w:val="center"/>
              <w:rPr>
                <w:b/>
                <w:sz w:val="24"/>
                <w:lang w:val="vi-VN"/>
              </w:rPr>
            </w:pPr>
          </w:p>
          <w:p w:rsidR="00671F30" w:rsidRPr="00D06ED9" w:rsidRDefault="00671F30" w:rsidP="0076777E">
            <w:pPr>
              <w:jc w:val="center"/>
              <w:rPr>
                <w:b/>
                <w:bCs/>
                <w:sz w:val="24"/>
              </w:rPr>
            </w:pPr>
            <w:r w:rsidRPr="00D06ED9">
              <w:rPr>
                <w:b/>
                <w:bCs/>
              </w:rPr>
              <w:t xml:space="preserve">                                                             </w:t>
            </w:r>
            <w:r>
              <w:rPr>
                <w:b/>
                <w:bCs/>
              </w:rPr>
              <w:t xml:space="preserve">       Lê Tuấn Anh</w:t>
            </w:r>
          </w:p>
          <w:p w:rsidR="00671F30" w:rsidRPr="00D06ED9" w:rsidRDefault="00671F30" w:rsidP="0076777E">
            <w:pPr>
              <w:widowControl w:val="0"/>
              <w:spacing w:line="340" w:lineRule="exact"/>
              <w:jc w:val="center"/>
              <w:rPr>
                <w:b/>
                <w:sz w:val="24"/>
              </w:rPr>
            </w:pPr>
          </w:p>
        </w:tc>
      </w:tr>
      <w:tr w:rsidR="00671F30" w:rsidRPr="00D06ED9" w:rsidTr="00671F30">
        <w:trPr>
          <w:trHeight w:val="789"/>
          <w:jc w:val="center"/>
        </w:trPr>
        <w:tc>
          <w:tcPr>
            <w:tcW w:w="9639" w:type="dxa"/>
          </w:tcPr>
          <w:p w:rsidR="00671F30" w:rsidRPr="00D06ED9" w:rsidRDefault="00671F30" w:rsidP="0076777E">
            <w:pPr>
              <w:rPr>
                <w:b/>
                <w:sz w:val="24"/>
              </w:rPr>
            </w:pPr>
          </w:p>
        </w:tc>
      </w:tr>
      <w:tr w:rsidR="00671F30" w:rsidRPr="00D06ED9" w:rsidTr="00671F30">
        <w:trPr>
          <w:trHeight w:val="390"/>
          <w:jc w:val="center"/>
        </w:trPr>
        <w:tc>
          <w:tcPr>
            <w:tcW w:w="9639" w:type="dxa"/>
          </w:tcPr>
          <w:p w:rsidR="00671F30" w:rsidRPr="00D06ED9" w:rsidRDefault="00671F30" w:rsidP="0076777E">
            <w:pPr>
              <w:widowControl w:val="0"/>
              <w:spacing w:before="60" w:after="60" w:line="340" w:lineRule="exact"/>
              <w:jc w:val="both"/>
              <w:rPr>
                <w:b/>
                <w:sz w:val="24"/>
                <w:lang w:val="vi-VN"/>
              </w:rPr>
            </w:pPr>
          </w:p>
        </w:tc>
      </w:tr>
    </w:tbl>
    <w:p w:rsidR="00671F30" w:rsidRDefault="00671F30" w:rsidP="00671F30">
      <w:pPr>
        <w:spacing w:before="60" w:after="60" w:line="320" w:lineRule="exact"/>
        <w:jc w:val="center"/>
      </w:pPr>
    </w:p>
    <w:p w:rsidR="00421088" w:rsidRDefault="00421088"/>
    <w:sectPr w:rsidR="00421088" w:rsidSect="00720459">
      <w:headerReference w:type="default" r:id="rId8"/>
      <w:footerReference w:type="even" r:id="rId9"/>
      <w:pgSz w:w="11907" w:h="16840" w:code="9"/>
      <w:pgMar w:top="994" w:right="1138" w:bottom="994" w:left="1530" w:header="461" w:footer="17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F30" w:rsidRDefault="00671F30" w:rsidP="00671F30">
      <w:r>
        <w:separator/>
      </w:r>
    </w:p>
  </w:endnote>
  <w:endnote w:type="continuationSeparator" w:id="0">
    <w:p w:rsidR="00671F30" w:rsidRDefault="00671F30" w:rsidP="0067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262" w:rsidRDefault="002A48BC" w:rsidP="008F6657">
    <w:pPr>
      <w:pStyle w:val="Footer"/>
      <w:framePr w:wrap="around" w:vAnchor="text" w:hAnchor="margin" w:xAlign="center" w:y="1"/>
      <w:rPr>
        <w:rStyle w:val="PageNumber"/>
      </w:rPr>
    </w:pPr>
    <w:r>
      <w:rPr>
        <w:rStyle w:val="PageNumber"/>
      </w:rPr>
      <w:fldChar w:fldCharType="begin"/>
    </w:r>
    <w:r w:rsidR="005E5CA7">
      <w:rPr>
        <w:rStyle w:val="PageNumber"/>
      </w:rPr>
      <w:instrText xml:space="preserve">PAGE  </w:instrText>
    </w:r>
    <w:r>
      <w:rPr>
        <w:rStyle w:val="PageNumber"/>
      </w:rPr>
      <w:fldChar w:fldCharType="end"/>
    </w:r>
  </w:p>
  <w:p w:rsidR="00EB0262" w:rsidRDefault="00140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F30" w:rsidRDefault="00671F30" w:rsidP="00671F30">
      <w:r>
        <w:separator/>
      </w:r>
    </w:p>
  </w:footnote>
  <w:footnote w:type="continuationSeparator" w:id="0">
    <w:p w:rsidR="00671F30" w:rsidRDefault="00671F30" w:rsidP="00671F30">
      <w:r>
        <w:continuationSeparator/>
      </w:r>
    </w:p>
  </w:footnote>
  <w:footnote w:id="1">
    <w:p w:rsidR="00671F30" w:rsidRPr="00452008" w:rsidRDefault="00671F30" w:rsidP="00671F30">
      <w:pPr>
        <w:pStyle w:val="FootnoteText"/>
        <w:jc w:val="both"/>
        <w:rPr>
          <w:sz w:val="20"/>
          <w:szCs w:val="20"/>
        </w:rPr>
      </w:pPr>
      <w:r w:rsidRPr="00452008">
        <w:rPr>
          <w:rStyle w:val="FootnoteReference"/>
          <w:sz w:val="20"/>
          <w:szCs w:val="20"/>
        </w:rPr>
        <w:footnoteRef/>
      </w:r>
      <w:r w:rsidRPr="00452008">
        <w:rPr>
          <w:sz w:val="20"/>
          <w:szCs w:val="20"/>
        </w:rPr>
        <w:t xml:space="preserve"> </w:t>
      </w:r>
      <w:r w:rsidRPr="00452008">
        <w:rPr>
          <w:color w:val="000000" w:themeColor="text1"/>
          <w:sz w:val="20"/>
          <w:szCs w:val="20"/>
          <w:lang w:val="nl-NL"/>
        </w:rPr>
        <w:t xml:space="preserve">Tại điểm b khoản 11 Điều 1 bổ sung khoản 1a sau khoản 1 Điều 15 Nghị định số 45/2012/NĐ-CP như sau: </w:t>
      </w:r>
      <w:r w:rsidRPr="00452008">
        <w:rPr>
          <w:i/>
          <w:color w:val="000000" w:themeColor="text1"/>
          <w:sz w:val="20"/>
          <w:szCs w:val="20"/>
          <w:lang w:val="nl-NL"/>
        </w:rPr>
        <w:t xml:space="preserve">“1a. Căn cứ chương trình khuyến công quốc gia từng giai đoạn và kế hoạch khuyến công quốc gia hằng năm do Bộ Công Thương phê duyệt.. Bộ Tài chính </w:t>
      </w:r>
      <w:r w:rsidRPr="00452008">
        <w:rPr>
          <w:b/>
          <w:i/>
          <w:color w:val="000000" w:themeColor="text1"/>
          <w:sz w:val="20"/>
          <w:szCs w:val="20"/>
          <w:lang w:val="nl-NL"/>
        </w:rPr>
        <w:t>hướng dẫn lập, quản lý và sử dụng kinh phí khuyến công</w:t>
      </w:r>
      <w:r w:rsidRPr="00452008">
        <w:rPr>
          <w:i/>
          <w:color w:val="000000" w:themeColor="text1"/>
          <w:sz w:val="20"/>
          <w:szCs w:val="20"/>
          <w:lang w:val="nl-NL"/>
        </w:rPr>
        <w:t>”</w:t>
      </w:r>
      <w:r w:rsidRPr="00452008">
        <w:rPr>
          <w:rFonts w:eastAsia="Calibri"/>
          <w:sz w:val="20"/>
          <w:szCs w:val="20"/>
        </w:rPr>
        <w:t>.</w:t>
      </w:r>
    </w:p>
  </w:footnote>
  <w:footnote w:id="2">
    <w:p w:rsidR="00671F30" w:rsidRPr="00452008" w:rsidRDefault="00671F30" w:rsidP="00671F30">
      <w:pPr>
        <w:pStyle w:val="FootnoteText"/>
        <w:spacing w:before="60"/>
        <w:jc w:val="both"/>
        <w:rPr>
          <w:sz w:val="20"/>
          <w:szCs w:val="20"/>
        </w:rPr>
      </w:pPr>
      <w:r w:rsidRPr="00452008">
        <w:rPr>
          <w:rStyle w:val="FootnoteReference"/>
          <w:sz w:val="20"/>
          <w:szCs w:val="20"/>
        </w:rPr>
        <w:footnoteRef/>
      </w:r>
      <w:r w:rsidRPr="00452008">
        <w:rPr>
          <w:sz w:val="20"/>
          <w:szCs w:val="20"/>
        </w:rPr>
        <w:t xml:space="preserve"> Trong đó phân công Vụ TCKTN chủ trì xây dựng Thông tư của Bộ trưởng Bộ Tài chính hướng dẫn lập, quản lý và sử dụng kinh phí khuyến công.</w:t>
      </w:r>
    </w:p>
  </w:footnote>
  <w:footnote w:id="3">
    <w:p w:rsidR="00671F30" w:rsidRPr="00CF0E5F" w:rsidRDefault="00671F30" w:rsidP="00671F30">
      <w:pPr>
        <w:pStyle w:val="NormalWeb"/>
        <w:spacing w:before="0" w:beforeAutospacing="0" w:after="0" w:afterAutospacing="0"/>
        <w:jc w:val="both"/>
        <w:rPr>
          <w:color w:val="222222"/>
          <w:sz w:val="20"/>
          <w:szCs w:val="20"/>
        </w:rPr>
      </w:pPr>
      <w:r>
        <w:rPr>
          <w:rStyle w:val="FootnoteReference"/>
        </w:rPr>
        <w:footnoteRef/>
      </w:r>
      <w:r>
        <w:t xml:space="preserve"> </w:t>
      </w:r>
      <w:r w:rsidRPr="00CF0E5F">
        <w:rPr>
          <w:color w:val="222222"/>
          <w:sz w:val="20"/>
          <w:szCs w:val="20"/>
        </w:rPr>
        <w:t>Ban hành văn bản quy phạm pháp luật thay thế văn bản quy phạm pháp luật hiện hành thuộc một trong các trường hợp sau đây: a) Thay đổi cơ bản chính sách, phạm vi điều chỉnh, đối tượng áp dụng, b) Sửa đổi, bổ sung về nội dung quá một phần hai tổng số điều.</w:t>
      </w:r>
    </w:p>
    <w:p w:rsidR="00671F30" w:rsidRPr="00707241" w:rsidRDefault="00671F30" w:rsidP="00671F30">
      <w:pPr>
        <w:pStyle w:val="FootnoteText"/>
      </w:pPr>
    </w:p>
  </w:footnote>
  <w:footnote w:id="4">
    <w:p w:rsidR="00A94197" w:rsidRDefault="00A94197" w:rsidP="00A94197">
      <w:pPr>
        <w:pStyle w:val="FootnoteText"/>
      </w:pPr>
      <w:r>
        <w:rPr>
          <w:rStyle w:val="FootnoteReference"/>
        </w:rPr>
        <w:footnoteRef/>
      </w:r>
      <w:r>
        <w:t xml:space="preserve"> </w:t>
      </w:r>
      <w:r w:rsidRPr="00D85B4C">
        <w:rPr>
          <w:sz w:val="22"/>
        </w:rPr>
        <w:t>Nghị quyết số 19-NQ/TW , ngày 16/6/2022 của Ban Chấp hành Trung ương Đảng khóa XIII về nông nghiệp, nông dân, nông thôn đến năm 2030, tầm nhìn đến năm 2045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262" w:rsidRPr="00143E3D" w:rsidRDefault="002A48BC">
    <w:pPr>
      <w:pStyle w:val="Header"/>
      <w:jc w:val="center"/>
      <w:rPr>
        <w:sz w:val="26"/>
        <w:szCs w:val="26"/>
      </w:rPr>
    </w:pPr>
    <w:r w:rsidRPr="00143E3D">
      <w:rPr>
        <w:sz w:val="26"/>
        <w:szCs w:val="26"/>
      </w:rPr>
      <w:fldChar w:fldCharType="begin"/>
    </w:r>
    <w:r w:rsidR="005E5CA7" w:rsidRPr="00143E3D">
      <w:rPr>
        <w:sz w:val="26"/>
        <w:szCs w:val="26"/>
      </w:rPr>
      <w:instrText xml:space="preserve"> PAGE   \* MERGEFORMAT </w:instrText>
    </w:r>
    <w:r w:rsidRPr="00143E3D">
      <w:rPr>
        <w:sz w:val="26"/>
        <w:szCs w:val="26"/>
      </w:rPr>
      <w:fldChar w:fldCharType="separate"/>
    </w:r>
    <w:r w:rsidR="00140B9E">
      <w:rPr>
        <w:noProof/>
        <w:sz w:val="26"/>
        <w:szCs w:val="26"/>
      </w:rPr>
      <w:t>5</w:t>
    </w:r>
    <w:r w:rsidRPr="00143E3D">
      <w:rPr>
        <w:sz w:val="26"/>
        <w:szCs w:val="26"/>
      </w:rPr>
      <w:fldChar w:fldCharType="end"/>
    </w:r>
  </w:p>
  <w:p w:rsidR="00EB0262" w:rsidRDefault="00140B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671F30"/>
    <w:rsid w:val="001147F0"/>
    <w:rsid w:val="00140B9E"/>
    <w:rsid w:val="001D584E"/>
    <w:rsid w:val="002A48BC"/>
    <w:rsid w:val="002A6E77"/>
    <w:rsid w:val="002C05B4"/>
    <w:rsid w:val="00421088"/>
    <w:rsid w:val="005E5CA7"/>
    <w:rsid w:val="005F3455"/>
    <w:rsid w:val="00671F30"/>
    <w:rsid w:val="006B088B"/>
    <w:rsid w:val="006C79B0"/>
    <w:rsid w:val="007F009A"/>
    <w:rsid w:val="0081729B"/>
    <w:rsid w:val="00A94197"/>
    <w:rsid w:val="00B10FF9"/>
    <w:rsid w:val="00CB78AE"/>
    <w:rsid w:val="00F06769"/>
    <w:rsid w:val="00F37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9"/>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30"/>
    <w:pPr>
      <w:spacing w:after="0" w:line="240" w:lineRule="auto"/>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1F3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71F30"/>
    <w:pPr>
      <w:tabs>
        <w:tab w:val="center" w:pos="4320"/>
        <w:tab w:val="right" w:pos="8640"/>
      </w:tabs>
    </w:pPr>
  </w:style>
  <w:style w:type="character" w:customStyle="1" w:styleId="FooterChar">
    <w:name w:val="Footer Char"/>
    <w:basedOn w:val="DefaultParagraphFont"/>
    <w:link w:val="Footer"/>
    <w:uiPriority w:val="99"/>
    <w:rsid w:val="00671F30"/>
    <w:rPr>
      <w:rFonts w:eastAsia="Times New Roman"/>
      <w:szCs w:val="28"/>
    </w:rPr>
  </w:style>
  <w:style w:type="character" w:styleId="PageNumber">
    <w:name w:val="page number"/>
    <w:basedOn w:val="DefaultParagraphFont"/>
    <w:rsid w:val="00671F30"/>
  </w:style>
  <w:style w:type="paragraph" w:styleId="Header">
    <w:name w:val="header"/>
    <w:basedOn w:val="Normal"/>
    <w:link w:val="HeaderChar"/>
    <w:uiPriority w:val="99"/>
    <w:rsid w:val="00671F30"/>
    <w:pPr>
      <w:tabs>
        <w:tab w:val="center" w:pos="4513"/>
        <w:tab w:val="right" w:pos="9026"/>
      </w:tabs>
    </w:pPr>
  </w:style>
  <w:style w:type="character" w:customStyle="1" w:styleId="HeaderChar">
    <w:name w:val="Header Char"/>
    <w:basedOn w:val="DefaultParagraphFont"/>
    <w:link w:val="Header"/>
    <w:uiPriority w:val="99"/>
    <w:rsid w:val="00671F30"/>
    <w:rPr>
      <w:rFonts w:eastAsia="Times New Roman"/>
      <w:szCs w:val="28"/>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671F30"/>
    <w:rPr>
      <w:sz w:val="24"/>
      <w:szCs w:val="24"/>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qFormat/>
    <w:rsid w:val="00671F30"/>
    <w:rPr>
      <w:rFonts w:eastAsia="Times New Roman"/>
      <w:sz w:val="24"/>
      <w:szCs w:val="24"/>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BVI f"/>
    <w:link w:val="4GCharCharChar"/>
    <w:qFormat/>
    <w:rsid w:val="00671F30"/>
    <w:rPr>
      <w:vertAlign w:val="superscript"/>
    </w:rPr>
  </w:style>
  <w:style w:type="paragraph" w:styleId="NormalWeb">
    <w:name w:val="Normal (Web)"/>
    <w:basedOn w:val="Normal"/>
    <w:unhideWhenUsed/>
    <w:rsid w:val="00671F30"/>
    <w:pPr>
      <w:spacing w:before="100" w:beforeAutospacing="1" w:after="100" w:afterAutospacing="1"/>
    </w:pPr>
    <w:rPr>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671F30"/>
    <w:pPr>
      <w:spacing w:before="100" w:line="240" w:lineRule="exact"/>
    </w:pPr>
    <w:rPr>
      <w:rFonts w:eastAsiaTheme="minorHAnsi"/>
      <w:szCs w:val="22"/>
      <w:vertAlign w:val="superscript"/>
    </w:rPr>
  </w:style>
  <w:style w:type="paragraph" w:styleId="ListParagraph">
    <w:name w:val="List Paragraph"/>
    <w:basedOn w:val="Normal"/>
    <w:uiPriority w:val="34"/>
    <w:qFormat/>
    <w:rsid w:val="00671F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tai-chinh-nha-nuoc/thong-tu-14-2017-tt-btc-quan-ly-su-dung-phi-bao-dam-hang-hai-dich-vu-cong-ich-bao-dam-33313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ai-chinh-nha-nuoc/thong-tu-14-2017-tt-btc-quan-ly-su-dung-phi-bao-dam-hang-hai-dich-vu-cong-ich-bao-dam-33313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Huy Toan</dc:creator>
  <cp:lastModifiedBy>Pham Huy Toan</cp:lastModifiedBy>
  <cp:revision>9</cp:revision>
  <cp:lastPrinted>2026-06-29T00:53:00Z</cp:lastPrinted>
  <dcterms:created xsi:type="dcterms:W3CDTF">2026-06-29T00:42:00Z</dcterms:created>
  <dcterms:modified xsi:type="dcterms:W3CDTF">2026-07-03T10:37:00Z</dcterms:modified>
</cp:coreProperties>
</file>