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4D1E1" w14:textId="77777777" w:rsidR="00040EB7" w:rsidRDefault="00000000">
      <w:pPr>
        <w:pStyle w:val="Heading1"/>
        <w:spacing w:before="0" w:after="80" w:line="276" w:lineRule="auto"/>
        <w:jc w:val="center"/>
      </w:pPr>
      <w:r>
        <w:rPr>
          <w:b w:val="0"/>
          <w:bCs w:val="0"/>
          <w:sz w:val="22"/>
          <w:szCs w:val="22"/>
        </w:rPr>
        <w:t>BÁO CÁO ĐÁNH GIÁ RỦI RO</w:t>
      </w:r>
    </w:p>
    <w:p w14:paraId="64748ACA" w14:textId="77777777" w:rsidR="00040EB7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PHỤC VỤ BAN HÀNH DANH MỤC SẢN PHẨM, HÀNG HÓA RỦI RO TRUNG BÌNH, RỦI RO CAO</w:t>
      </w:r>
    </w:p>
    <w:p w14:paraId="65FD505B" w14:textId="77777777" w:rsidR="00040EB7" w:rsidRDefault="00000000">
      <w:pPr>
        <w:spacing w:after="80" w:line="276" w:lineRule="auto"/>
        <w:jc w:val="center"/>
      </w:pPr>
      <w:r>
        <w:rPr>
          <w:i/>
          <w:iCs/>
          <w:sz w:val="22"/>
          <w:szCs w:val="22"/>
        </w:rPr>
        <w:t>(Theo điểm b khoản 4 Điều 5 Nghị định số 37/2026/NĐ-CP)</w:t>
      </w:r>
    </w:p>
    <w:p w14:paraId="42009F41" w14:textId="77777777" w:rsidR="00040EB7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Sản phẩm: THUỐC ĐỘC</w:t>
      </w:r>
    </w:p>
    <w:p w14:paraId="2CEA658B" w14:textId="77777777" w:rsidR="00040EB7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I. Thông tin chung và mô tả sản phẩm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680"/>
        <w:gridCol w:w="1900"/>
        <w:gridCol w:w="2480"/>
      </w:tblGrid>
      <w:tr w:rsidR="00040EB7" w14:paraId="56B5908C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4652AC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Tên sản phẩm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DE6DC6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độc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25FDE0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Mã HS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895603" w14:textId="37A6D4E5" w:rsidR="00040EB7" w:rsidRDefault="00040EB7">
            <w:pPr>
              <w:spacing w:line="276" w:lineRule="auto"/>
            </w:pPr>
          </w:p>
        </w:tc>
      </w:tr>
      <w:tr w:rsidR="00040EB7" w14:paraId="072DF57A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773470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Mô tả nhận diện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235D8B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chứa dược chất độc theo Danh mục (độc tế bào; biên độ điều trị hẹp)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C86174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Phạm vi sử dụng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4F95AE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Điều trị (ung thư, tim mạch…) theo chỉ định và kiểm soát chặt</w:t>
            </w:r>
          </w:p>
        </w:tc>
      </w:tr>
      <w:tr w:rsidR="00040EB7" w14:paraId="6C20C9CD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2F04D1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Đối tượng sử dụng/chịu tác động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D881F1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Người bệnh; nhân viên y tế (phơi nhiễm nghề nghiệp); nhóm dễ tổn thương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FDE758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Phạm vi áp dụng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A11149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☑ </w:t>
            </w:r>
            <w:proofErr w:type="gramStart"/>
            <w:r>
              <w:rPr>
                <w:sz w:val="22"/>
                <w:szCs w:val="22"/>
              </w:rPr>
              <w:t>SX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NK  ☑</w:t>
            </w:r>
            <w:proofErr w:type="gramEnd"/>
            <w:r>
              <w:rPr>
                <w:sz w:val="22"/>
                <w:szCs w:val="22"/>
              </w:rPr>
              <w:t xml:space="preserve"> Lưu thông</w:t>
            </w:r>
          </w:p>
        </w:tc>
      </w:tr>
      <w:tr w:rsidR="00040EB7" w14:paraId="3DCA3E77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EAA4B9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Kỳ dữ liệu tham chiếu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BE32BD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2021–2025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AD34DC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Nhóm rủi ro đề xuất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D1983E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☐ Trung bình   ☑ Cao</w:t>
            </w:r>
          </w:p>
        </w:tc>
      </w:tr>
    </w:tbl>
    <w:p w14:paraId="12CB4110" w14:textId="77777777" w:rsidR="00040EB7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II. Ý kiến tham vấn</w:t>
      </w:r>
    </w:p>
    <w:p w14:paraId="1A8BC786" w14:textId="77777777" w:rsidR="00040EB7" w:rsidRDefault="00000000">
      <w:pPr>
        <w:spacing w:after="80" w:line="276" w:lineRule="auto"/>
      </w:pPr>
      <w:r>
        <w:rPr>
          <w:sz w:val="22"/>
          <w:szCs w:val="22"/>
        </w:rPr>
        <w:t>Dự kiến tham vấn: cơ quan quản lý dược, cơ sở khám chữa bệnh sử dụng thuốc độc/độc tế bào, đơn vị dược lâm sàng và an toàn người bệnh, hội chuyên ngành và chuyên gia. Nội dung tổng hợp, tiếp thu/giải trình bổ sung sau khi lấy ý kiến.</w:t>
      </w:r>
    </w:p>
    <w:p w14:paraId="7F7228CE" w14:textId="77777777" w:rsidR="00040EB7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III. Phân tích rủi ro và xác định mức độ rủi ro</w:t>
      </w:r>
    </w:p>
    <w:p w14:paraId="599471D4" w14:textId="77777777" w:rsidR="00040EB7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Phân tích mối nguy</w:t>
      </w:r>
    </w:p>
    <w:p w14:paraId="2EDFA9C2" w14:textId="77777777" w:rsidR="00040EB7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Tới sức khỏe con người: ngộ độc cấp/quá liều do biên độ hẹp; độc tính tế bào/gen/sinh sản; phơi nhiễm nghề nghiệp.</w:t>
      </w:r>
    </w:p>
    <w:p w14:paraId="558045DA" w14:textId="77777777" w:rsidR="00040EB7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Tới môi trường: chất thải thuốc độc/độc tế bào.</w:t>
      </w:r>
    </w:p>
    <w:p w14:paraId="350495E3" w14:textId="77777777" w:rsidR="00040EB7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Chuỗi cung ứng: sai sót cấp phát/nhầm lẫn; làm giả, sai hàm lượng.</w:t>
      </w:r>
    </w:p>
    <w:p w14:paraId="0BF6E934" w14:textId="77777777" w:rsidR="00040EB7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Phương pháp chấm C, k, P và lựa chọn Rmax</w:t>
      </w:r>
    </w:p>
    <w:p w14:paraId="1A5D2B29" w14:textId="1642152F" w:rsidR="00040EB7" w:rsidRDefault="00000000">
      <w:pPr>
        <w:spacing w:after="80" w:line="276" w:lineRule="auto"/>
      </w:pPr>
      <w:r>
        <w:rPr>
          <w:sz w:val="22"/>
          <w:szCs w:val="22"/>
        </w:rPr>
        <w:t>Thực hiện theo Phụ lục VI Nghị định 37/2026/NĐ-CP. Hệ số k xác định theo đặc tính độc nội tại của dược chất, đối chiếu trực tiếp mô tả tại Mục III.3. Kết quả k = 1 (Rất nguy hiểm) là rõ ràng nhất: thuốc độc theo định nghĩa gây độc trực tiếp cho người, ảnh hưởng gen/tế bào/sinh sản — nguy hại nội tại, hiện diện ngay cả khi đạt chất lượng và dùng đúng. Bảng chấm chi tiết tại Phiếu chấm điểm.</w:t>
      </w:r>
    </w:p>
    <w:p w14:paraId="034D9160" w14:textId="77777777" w:rsidR="00040EB7" w:rsidRDefault="00000000">
      <w:pPr>
        <w:spacing w:after="80" w:line="276" w:lineRule="auto"/>
      </w:pPr>
      <w:r>
        <w:rPr>
          <w:b/>
          <w:bCs/>
          <w:sz w:val="22"/>
          <w:szCs w:val="22"/>
        </w:rPr>
        <w:t>3. Kết quả xác định mức độ rủi ro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2700"/>
        <w:gridCol w:w="800"/>
        <w:gridCol w:w="700"/>
        <w:gridCol w:w="700"/>
        <w:gridCol w:w="1200"/>
        <w:gridCol w:w="1760"/>
      </w:tblGrid>
      <w:tr w:rsidR="00040EB7" w14:paraId="2E4E91B4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CEBC4F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Đối tượng/tiêu chí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1AF188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 đại diện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B095D2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70619A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5CFFEC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D2FCAA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R=C×k×P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33FBC5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Nguồn/căn cứ</w:t>
            </w:r>
          </w:p>
        </w:tc>
      </w:tr>
      <w:tr w:rsidR="00040EB7" w14:paraId="114C4D08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3877C4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1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5757B8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Ngộ độc/quá liều; độc tính tế bào/gen/sinh sản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CD0C8D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676DD6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EDAB3F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CF5726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16,5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4EF651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DI&amp;ADR; NIOSH</w:t>
            </w:r>
          </w:p>
        </w:tc>
      </w:tr>
      <w:tr w:rsidR="00040EB7" w14:paraId="1DC2FC9B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33E9F3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Tiêu chí 2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A2D209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Chất thải thuốc độc/độc tế bào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609D67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83551A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64BABD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5C948B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BB4E99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QĐ chất thải nguy hại</w:t>
            </w:r>
          </w:p>
        </w:tc>
      </w:tr>
      <w:tr w:rsidR="00040EB7" w14:paraId="662E39E5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61828D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3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DA3690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Sai sót cấp phát; làm giả/sai hàm lượng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6BF5E7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C54C41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0B08F8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63E423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340EF3" w14:textId="77777777" w:rsidR="00040EB7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Báo cáo sai sót dùng thuốc</w:t>
            </w:r>
          </w:p>
        </w:tc>
      </w:tr>
      <w:tr w:rsidR="00040EB7" w14:paraId="579EC439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6FFA2F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Kết luận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DD9771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Rmax = 16,5; tiêu chí quyết định: Tiêu chí 1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07B6FF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043286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130902" w14:textId="77777777" w:rsidR="00040EB7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4D72C2" w14:textId="77777777" w:rsidR="00040EB7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16,5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385EEE" w14:textId="77777777" w:rsidR="00040EB7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Nhóm: CAO</w:t>
            </w:r>
          </w:p>
        </w:tc>
      </w:tr>
    </w:tbl>
    <w:p w14:paraId="00DAB0E7" w14:textId="77777777" w:rsidR="00040EB7" w:rsidRDefault="00000000">
      <w:pPr>
        <w:spacing w:after="80" w:line="276" w:lineRule="auto"/>
      </w:pPr>
      <w:r>
        <w:rPr>
          <w:b/>
          <w:bCs/>
          <w:sz w:val="22"/>
          <w:szCs w:val="22"/>
        </w:rPr>
        <w:t>4. Thông tin cảnh báo từ cơ quan có thẩm quyền và tổ chức quốc tế</w:t>
      </w:r>
    </w:p>
    <w:p w14:paraId="60C13A80" w14:textId="77777777" w:rsidR="00040EB7" w:rsidRDefault="00000000">
      <w:pPr>
        <w:spacing w:after="80" w:line="276" w:lineRule="auto"/>
      </w:pPr>
      <w:r>
        <w:rPr>
          <w:sz w:val="22"/>
          <w:szCs w:val="22"/>
        </w:rPr>
        <w:t>Danh mục thuốc nguy hại NIOSH; USP &lt;800&gt;; khuyến cáo WHO; quản lý thuốc gây quái thai; dữ liệu ngộ độc/sai sót trong nước. Sử dụng làm căn cứ củng cố khi chấm C/P cho Tiêu chí 1 và 3; không phát sinh đối tượng “Tài sản”.</w:t>
      </w:r>
    </w:p>
    <w:p w14:paraId="6FEE1D43" w14:textId="77777777" w:rsidR="00040EB7" w:rsidRDefault="00000000">
      <w:pPr>
        <w:spacing w:after="80" w:line="276" w:lineRule="auto"/>
      </w:pPr>
      <w:r>
        <w:rPr>
          <w:b/>
          <w:bCs/>
          <w:sz w:val="22"/>
          <w:szCs w:val="22"/>
        </w:rPr>
        <w:t>5. Phân loại mức độ rủi ro và kiến nghị biện pháp quản lý</w:t>
      </w:r>
    </w:p>
    <w:p w14:paraId="1CE573B3" w14:textId="77777777" w:rsidR="00040EB7" w:rsidRDefault="00000000">
      <w:pPr>
        <w:spacing w:after="80" w:line="276" w:lineRule="auto"/>
      </w:pPr>
      <w:r>
        <w:rPr>
          <w:i/>
          <w:iCs/>
          <w:sz w:val="22"/>
          <w:szCs w:val="22"/>
        </w:rPr>
        <w:t>5.1. Kết quả phân loại: Rmax = 16,5 ≥ 16 → Nhóm rủi ro CAO (Mục IV Phụ lục VI).</w:t>
      </w:r>
    </w:p>
    <w:p w14:paraId="29946448" w14:textId="5F6C77AC" w:rsidR="00040EB7" w:rsidRDefault="00000000">
      <w:pPr>
        <w:spacing w:after="80" w:line="276" w:lineRule="auto"/>
      </w:pPr>
      <w:r>
        <w:rPr>
          <w:i/>
          <w:iCs/>
          <w:sz w:val="22"/>
          <w:szCs w:val="22"/>
        </w:rPr>
        <w:t>5.2. Kiến nghị biện pháp quản lý</w:t>
      </w:r>
      <w:r w:rsidR="00B01A4A">
        <w:rPr>
          <w:i/>
          <w:iCs/>
          <w:sz w:val="22"/>
          <w:szCs w:val="22"/>
        </w:rPr>
        <w:t xml:space="preserve">: </w:t>
      </w:r>
      <w:r w:rsidR="00B01A4A" w:rsidRPr="00B01A4A">
        <w:rPr>
          <w:i/>
          <w:iCs/>
          <w:sz w:val="22"/>
          <w:szCs w:val="22"/>
        </w:rPr>
        <w:t>thực hiện theo các quy định tại Luật Dược và các văn bản hướng dẫn.</w:t>
      </w:r>
    </w:p>
    <w:p w14:paraId="78AD01CE" w14:textId="10656265" w:rsidR="00040EB7" w:rsidRDefault="00040EB7" w:rsidP="00F912A6">
      <w:pPr>
        <w:spacing w:after="80" w:line="276" w:lineRule="auto"/>
      </w:pPr>
    </w:p>
    <w:sectPr w:rsidR="00040EB7">
      <w:pgSz w:w="12240" w:h="15840"/>
      <w:pgMar w:top="1300" w:right="1200" w:bottom="1300" w:left="1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A2443"/>
    <w:multiLevelType w:val="hybridMultilevel"/>
    <w:tmpl w:val="CE841472"/>
    <w:lvl w:ilvl="0" w:tplc="A4CA5124">
      <w:start w:val="1"/>
      <w:numFmt w:val="bullet"/>
      <w:lvlText w:val="-"/>
      <w:lvlJc w:val="left"/>
      <w:pPr>
        <w:ind w:left="600" w:hanging="280"/>
      </w:pPr>
    </w:lvl>
    <w:lvl w:ilvl="1" w:tplc="41C23FF0">
      <w:numFmt w:val="decimal"/>
      <w:lvlText w:val=""/>
      <w:lvlJc w:val="left"/>
    </w:lvl>
    <w:lvl w:ilvl="2" w:tplc="6FC659B4">
      <w:numFmt w:val="decimal"/>
      <w:lvlText w:val=""/>
      <w:lvlJc w:val="left"/>
    </w:lvl>
    <w:lvl w:ilvl="3" w:tplc="B82039F2">
      <w:numFmt w:val="decimal"/>
      <w:lvlText w:val=""/>
      <w:lvlJc w:val="left"/>
    </w:lvl>
    <w:lvl w:ilvl="4" w:tplc="830A8574">
      <w:numFmt w:val="decimal"/>
      <w:lvlText w:val=""/>
      <w:lvlJc w:val="left"/>
    </w:lvl>
    <w:lvl w:ilvl="5" w:tplc="2356066E">
      <w:numFmt w:val="decimal"/>
      <w:lvlText w:val=""/>
      <w:lvlJc w:val="left"/>
    </w:lvl>
    <w:lvl w:ilvl="6" w:tplc="EB2ED3BA">
      <w:numFmt w:val="decimal"/>
      <w:lvlText w:val=""/>
      <w:lvlJc w:val="left"/>
    </w:lvl>
    <w:lvl w:ilvl="7" w:tplc="2FA88A2C">
      <w:numFmt w:val="decimal"/>
      <w:lvlText w:val=""/>
      <w:lvlJc w:val="left"/>
    </w:lvl>
    <w:lvl w:ilvl="8" w:tplc="4D22A4CA">
      <w:numFmt w:val="decimal"/>
      <w:lvlText w:val=""/>
      <w:lvlJc w:val="left"/>
    </w:lvl>
  </w:abstractNum>
  <w:abstractNum w:abstractNumId="1" w15:restartNumberingAfterBreak="0">
    <w:nsid w:val="2F7565B7"/>
    <w:multiLevelType w:val="hybridMultilevel"/>
    <w:tmpl w:val="C7209850"/>
    <w:lvl w:ilvl="0" w:tplc="C8FC148A">
      <w:start w:val="1"/>
      <w:numFmt w:val="bullet"/>
      <w:lvlText w:val="●"/>
      <w:lvlJc w:val="left"/>
      <w:pPr>
        <w:ind w:left="720" w:hanging="360"/>
      </w:pPr>
    </w:lvl>
    <w:lvl w:ilvl="1" w:tplc="35B49C6C">
      <w:start w:val="1"/>
      <w:numFmt w:val="bullet"/>
      <w:lvlText w:val="○"/>
      <w:lvlJc w:val="left"/>
      <w:pPr>
        <w:ind w:left="1440" w:hanging="360"/>
      </w:pPr>
    </w:lvl>
    <w:lvl w:ilvl="2" w:tplc="7B7A9CEC">
      <w:start w:val="1"/>
      <w:numFmt w:val="bullet"/>
      <w:lvlText w:val="■"/>
      <w:lvlJc w:val="left"/>
      <w:pPr>
        <w:ind w:left="2160" w:hanging="360"/>
      </w:pPr>
    </w:lvl>
    <w:lvl w:ilvl="3" w:tplc="81982560">
      <w:start w:val="1"/>
      <w:numFmt w:val="bullet"/>
      <w:lvlText w:val="●"/>
      <w:lvlJc w:val="left"/>
      <w:pPr>
        <w:ind w:left="2880" w:hanging="360"/>
      </w:pPr>
    </w:lvl>
    <w:lvl w:ilvl="4" w:tplc="5E1E2E16">
      <w:start w:val="1"/>
      <w:numFmt w:val="bullet"/>
      <w:lvlText w:val="○"/>
      <w:lvlJc w:val="left"/>
      <w:pPr>
        <w:ind w:left="3600" w:hanging="360"/>
      </w:pPr>
    </w:lvl>
    <w:lvl w:ilvl="5" w:tplc="56B83DB2">
      <w:start w:val="1"/>
      <w:numFmt w:val="bullet"/>
      <w:lvlText w:val="■"/>
      <w:lvlJc w:val="left"/>
      <w:pPr>
        <w:ind w:left="4320" w:hanging="360"/>
      </w:pPr>
    </w:lvl>
    <w:lvl w:ilvl="6" w:tplc="4D52BB16">
      <w:start w:val="1"/>
      <w:numFmt w:val="bullet"/>
      <w:lvlText w:val="●"/>
      <w:lvlJc w:val="left"/>
      <w:pPr>
        <w:ind w:left="5040" w:hanging="360"/>
      </w:pPr>
    </w:lvl>
    <w:lvl w:ilvl="7" w:tplc="DE2E1168">
      <w:start w:val="1"/>
      <w:numFmt w:val="bullet"/>
      <w:lvlText w:val="●"/>
      <w:lvlJc w:val="left"/>
      <w:pPr>
        <w:ind w:left="5760" w:hanging="360"/>
      </w:pPr>
    </w:lvl>
    <w:lvl w:ilvl="8" w:tplc="2716BCE6">
      <w:start w:val="1"/>
      <w:numFmt w:val="bullet"/>
      <w:lvlText w:val="●"/>
      <w:lvlJc w:val="left"/>
      <w:pPr>
        <w:ind w:left="6480" w:hanging="360"/>
      </w:pPr>
    </w:lvl>
  </w:abstractNum>
  <w:num w:numId="1" w16cid:durableId="1803377718">
    <w:abstractNumId w:val="1"/>
    <w:lvlOverride w:ilvl="0">
      <w:startOverride w:val="1"/>
    </w:lvlOverride>
  </w:num>
  <w:num w:numId="2" w16cid:durableId="12976835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EB7"/>
    <w:rsid w:val="00040EB7"/>
    <w:rsid w:val="008919DE"/>
    <w:rsid w:val="00B01A4A"/>
    <w:rsid w:val="00F9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5A5429"/>
  <w15:docId w15:val="{AF48C7E3-82DE-49B5-BD5C-05249918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00" w:after="14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unhideWhenUsed/>
    <w:qFormat/>
    <w:pPr>
      <w:spacing w:before="160" w:after="100"/>
      <w:outlineLvl w:val="1"/>
    </w:pPr>
    <w:rPr>
      <w:b/>
      <w:bCs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Linh Nguyen</cp:lastModifiedBy>
  <cp:revision>3</cp:revision>
  <dcterms:created xsi:type="dcterms:W3CDTF">2026-06-12T08:50:00Z</dcterms:created>
  <dcterms:modified xsi:type="dcterms:W3CDTF">2026-06-12T09:16:00Z</dcterms:modified>
</cp:coreProperties>
</file>