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5340" w14:textId="77777777" w:rsidR="007C748B" w:rsidRDefault="00000000">
      <w:pPr>
        <w:pStyle w:val="Heading1"/>
        <w:spacing w:before="0" w:after="80" w:line="276" w:lineRule="auto"/>
        <w:jc w:val="center"/>
      </w:pPr>
      <w:r>
        <w:rPr>
          <w:b w:val="0"/>
          <w:bCs w:val="0"/>
          <w:sz w:val="22"/>
          <w:szCs w:val="22"/>
        </w:rPr>
        <w:t>THUYẾT MINH</w:t>
      </w:r>
    </w:p>
    <w:p w14:paraId="372FAF3E" w14:textId="77777777" w:rsidR="007C748B"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3B62B411" w14:textId="77777777" w:rsidR="007C748B" w:rsidRDefault="00000000">
      <w:pPr>
        <w:spacing w:after="80" w:line="276" w:lineRule="auto"/>
        <w:jc w:val="center"/>
      </w:pPr>
      <w:r>
        <w:rPr>
          <w:i/>
          <w:iCs/>
          <w:sz w:val="22"/>
          <w:szCs w:val="22"/>
        </w:rPr>
        <w:t>(Theo điểm a khoản 4 Điều 5 Nghị định số 37/2026/NĐ-CP)</w:t>
      </w:r>
    </w:p>
    <w:p w14:paraId="54A2C225" w14:textId="2BBA3F90" w:rsidR="007C748B" w:rsidRDefault="00000000">
      <w:pPr>
        <w:spacing w:after="80" w:line="276" w:lineRule="auto"/>
        <w:jc w:val="center"/>
      </w:pPr>
      <w:r>
        <w:rPr>
          <w:b/>
          <w:bCs/>
          <w:sz w:val="22"/>
          <w:szCs w:val="22"/>
        </w:rPr>
        <w:t>Sản phẩm: THUỐC HÓA DƯỢC (</w:t>
      </w:r>
      <w:r w:rsidR="00162A77" w:rsidRPr="00162A77">
        <w:rPr>
          <w:b/>
          <w:bCs/>
          <w:sz w:val="22"/>
          <w:szCs w:val="22"/>
        </w:rPr>
        <w:t>trừ các nhóm đã đánh giá riêng</w:t>
      </w:r>
      <w:r>
        <w:rPr>
          <w:b/>
          <w:bCs/>
          <w:sz w:val="22"/>
          <w:szCs w:val="22"/>
        </w:rPr>
        <w:t>)</w:t>
      </w:r>
    </w:p>
    <w:p w14:paraId="02FEFAB5" w14:textId="77777777" w:rsidR="007C748B"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7C748B" w14:paraId="0D1578A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AE4AF80" w14:textId="77777777" w:rsidR="007C748B"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22D6865" w14:textId="77777777" w:rsidR="007C748B" w:rsidRDefault="00000000">
            <w:pPr>
              <w:spacing w:line="276" w:lineRule="auto"/>
            </w:pPr>
            <w:r>
              <w:rPr>
                <w:sz w:val="22"/>
                <w:szCs w:val="22"/>
              </w:rPr>
              <w:t>Thuốc hóa dược nhóm chung còn lại (trừ các nhóm đã đánh giá riêng)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30A9937" w14:textId="77777777" w:rsidR="007C748B"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8A495D8" w14:textId="2325538D" w:rsidR="007C748B" w:rsidRDefault="007C748B">
            <w:pPr>
              <w:spacing w:line="276" w:lineRule="auto"/>
            </w:pPr>
          </w:p>
        </w:tc>
      </w:tr>
      <w:tr w:rsidR="007C748B" w14:paraId="2160E61C"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BC18751" w14:textId="77777777" w:rsidR="007C748B"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70E533" w14:textId="77777777" w:rsidR="007C748B"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815A6E5" w14:textId="77777777" w:rsidR="007C748B"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B0A96E" w14:textId="77777777" w:rsidR="007C748B" w:rsidRDefault="00000000">
            <w:pPr>
              <w:spacing w:line="276" w:lineRule="auto"/>
            </w:pPr>
            <w:r>
              <w:rPr>
                <w:b/>
                <w:bCs/>
                <w:sz w:val="22"/>
                <w:szCs w:val="22"/>
              </w:rPr>
              <w:t>☑ Trung bình   ☐ Cao</w:t>
            </w:r>
          </w:p>
        </w:tc>
      </w:tr>
      <w:tr w:rsidR="007C748B" w14:paraId="4EF1581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D689179" w14:textId="77777777" w:rsidR="007C748B"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A18581" w14:textId="77777777" w:rsidR="007C748B"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28B88B3" w14:textId="77777777" w:rsidR="007C748B"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07DE8B" w14:textId="77777777" w:rsidR="007C748B" w:rsidRDefault="00000000">
            <w:pPr>
              <w:spacing w:line="276" w:lineRule="auto"/>
            </w:pPr>
            <w:r>
              <w:rPr>
                <w:sz w:val="22"/>
                <w:szCs w:val="22"/>
              </w:rPr>
              <w:t>DI &amp; ADR; thu hồi lô; cảnh giác dược; WHO thuốc giả</w:t>
            </w:r>
          </w:p>
        </w:tc>
      </w:tr>
      <w:tr w:rsidR="007C748B" w14:paraId="6C05883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BCD0974" w14:textId="77777777" w:rsidR="007C748B"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F0693B" w14:textId="77777777" w:rsidR="007C748B" w:rsidRDefault="00000000">
            <w:pPr>
              <w:spacing w:line="276" w:lineRule="auto"/>
            </w:pPr>
            <w:r>
              <w:rPr>
                <w:sz w:val="22"/>
                <w:szCs w:val="22"/>
              </w:rPr>
              <w:t>Tiêu chuẩn chất lượng theo hồ sơ đăng ký; Dược điển VN; GMP</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901B7DA" w14:textId="77777777" w:rsidR="007C748B"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1F7019C" w14:textId="77777777" w:rsidR="007C748B" w:rsidRDefault="00000000">
            <w:pPr>
              <w:spacing w:line="276" w:lineRule="auto"/>
            </w:pPr>
            <w:r>
              <w:rPr>
                <w:sz w:val="22"/>
                <w:szCs w:val="22"/>
              </w:rPr>
              <w:t>WHO essential medicines; cảnh giác dược; GMP</w:t>
            </w:r>
          </w:p>
        </w:tc>
      </w:tr>
    </w:tbl>
    <w:p w14:paraId="2B47E8A5" w14:textId="77777777" w:rsidR="007C748B" w:rsidRDefault="00000000">
      <w:pPr>
        <w:pStyle w:val="Heading2"/>
        <w:spacing w:before="0" w:after="80" w:line="276" w:lineRule="auto"/>
      </w:pPr>
      <w:r>
        <w:rPr>
          <w:b w:val="0"/>
          <w:bCs w:val="0"/>
          <w:sz w:val="22"/>
          <w:szCs w:val="22"/>
        </w:rPr>
        <w:t>II. Mô tả ngắn sản phẩm và phạm vi sử dụng</w:t>
      </w:r>
    </w:p>
    <w:p w14:paraId="00B4D830" w14:textId="6A0312B3" w:rsidR="007C748B" w:rsidRDefault="00000000">
      <w:pPr>
        <w:spacing w:after="80" w:line="276" w:lineRule="auto"/>
      </w:pPr>
      <w:r>
        <w:rPr>
          <w:sz w:val="22"/>
          <w:szCs w:val="22"/>
        </w:rPr>
        <w:t xml:space="preserve">Nhóm này gồm thuốc hóa dược thông thường (chủ yếu đường uống, dùng ngoài, nhỏ mắt/mũi…) không thuộc nhóm thuốc phải kiểm soát đặc biệt và không thuộc các nhóm nguy cơ cao đã được tách riêng để đánh giá (sinh phẩm, vắc xin, thuốc gây nghiện, thuốc phóng xạ, thuốc độc, thuốc tiêm truyền, thuốc độc tế bào, hormon sinh dục). </w:t>
      </w:r>
    </w:p>
    <w:p w14:paraId="34D65F89" w14:textId="12F14C00" w:rsidR="007C748B" w:rsidRDefault="00000000">
      <w:pPr>
        <w:spacing w:after="80" w:line="276" w:lineRule="auto"/>
      </w:pPr>
      <w:r>
        <w:rPr>
          <w:sz w:val="22"/>
          <w:szCs w:val="22"/>
        </w:rPr>
        <w:t xml:space="preserve">Khi đạt tiêu chuẩn chất lượng và sử dụng đúng ở liều điều trị, các thuốc này nhìn chung an toàn ở mức chấp nhận được; nguy hại chủ yếu phát sinh từ phản ứng có hại, lỗi chất lượng, quá liều, sai sử dụng, tương tác thuốc và rủi ro chuỗi cung ứng (làm giả, kém chất lượng). </w:t>
      </w:r>
    </w:p>
    <w:p w14:paraId="1F1BEA28" w14:textId="77777777" w:rsidR="007C748B" w:rsidRDefault="00000000">
      <w:pPr>
        <w:pStyle w:val="Heading2"/>
        <w:spacing w:before="0" w:after="80" w:line="276" w:lineRule="auto"/>
      </w:pPr>
      <w:r>
        <w:rPr>
          <w:b w:val="0"/>
          <w:bCs w:val="0"/>
          <w:sz w:val="22"/>
          <w:szCs w:val="22"/>
        </w:rPr>
        <w:t>III. Lý do đưa vào Danh mục quản lý</w:t>
      </w:r>
    </w:p>
    <w:p w14:paraId="0CF2C847" w14:textId="77777777" w:rsidR="007C748B" w:rsidRDefault="00000000">
      <w:pPr>
        <w:spacing w:after="80" w:line="276" w:lineRule="auto"/>
      </w:pPr>
      <w:r>
        <w:rPr>
          <w:b/>
          <w:bCs/>
          <w:sz w:val="22"/>
          <w:szCs w:val="22"/>
        </w:rPr>
        <w:t>1. Căn cứ khoa học</w:t>
      </w:r>
    </w:p>
    <w:p w14:paraId="58FA0F6A" w14:textId="77777777" w:rsidR="007C748B" w:rsidRDefault="00000000">
      <w:pPr>
        <w:spacing w:after="80" w:line="276" w:lineRule="auto"/>
      </w:pPr>
      <w:r>
        <w:rPr>
          <w:i/>
          <w:iCs/>
          <w:sz w:val="22"/>
          <w:szCs w:val="22"/>
        </w:rPr>
        <w:t>1.1. Mối nguy chính và cơ chế phát sinh.</w:t>
      </w:r>
    </w:p>
    <w:p w14:paraId="0C2E3FDF" w14:textId="77777777" w:rsidR="007C748B" w:rsidRDefault="00000000">
      <w:pPr>
        <w:pStyle w:val="ListParagraph"/>
        <w:numPr>
          <w:ilvl w:val="0"/>
          <w:numId w:val="2"/>
        </w:numPr>
        <w:spacing w:after="80" w:line="276" w:lineRule="auto"/>
      </w:pPr>
      <w:r>
        <w:rPr>
          <w:sz w:val="22"/>
          <w:szCs w:val="22"/>
        </w:rPr>
        <w:t>Phản ứng có hại: phần lớn nhẹ và hồi phục; trường hợp nghiêm trọng (dị ứng/phản vệ, phản ứng da nặng, độc gan/thận) hiếm gặp.</w:t>
      </w:r>
    </w:p>
    <w:p w14:paraId="65550E73" w14:textId="77777777" w:rsidR="007C748B" w:rsidRDefault="00000000">
      <w:pPr>
        <w:pStyle w:val="ListParagraph"/>
        <w:numPr>
          <w:ilvl w:val="0"/>
          <w:numId w:val="2"/>
        </w:numPr>
        <w:spacing w:after="80" w:line="276" w:lineRule="auto"/>
      </w:pPr>
      <w:r>
        <w:rPr>
          <w:sz w:val="22"/>
          <w:szCs w:val="22"/>
        </w:rPr>
        <w:t>Quá liều/sai liều, tương tác thuốc: liên quan chủ yếu đến cách sử dụng.</w:t>
      </w:r>
    </w:p>
    <w:p w14:paraId="0B1833B6" w14:textId="77777777" w:rsidR="007C748B" w:rsidRDefault="00000000">
      <w:pPr>
        <w:pStyle w:val="ListParagraph"/>
        <w:numPr>
          <w:ilvl w:val="0"/>
          <w:numId w:val="2"/>
        </w:numPr>
        <w:spacing w:after="80" w:line="276" w:lineRule="auto"/>
      </w:pPr>
      <w:r>
        <w:rPr>
          <w:sz w:val="22"/>
          <w:szCs w:val="22"/>
        </w:rPr>
        <w:t>Chuỗi cung ứng: phức tạp, nhập khẩu nhiều, nguy cơ thuốc giả/kém chất lượng.</w:t>
      </w:r>
    </w:p>
    <w:p w14:paraId="3A84901B" w14:textId="77777777" w:rsidR="007C748B" w:rsidRDefault="00000000">
      <w:pPr>
        <w:spacing w:after="80" w:line="276" w:lineRule="auto"/>
      </w:pPr>
      <w:r>
        <w:rPr>
          <w:i/>
          <w:iCs/>
          <w:sz w:val="22"/>
          <w:szCs w:val="22"/>
        </w:rPr>
        <w:t>1.2. Đặc điểm xác định mức rủi ro.</w:t>
      </w:r>
    </w:p>
    <w:p w14:paraId="0A991E20" w14:textId="77777777" w:rsidR="007C748B" w:rsidRDefault="00000000">
      <w:pPr>
        <w:spacing w:after="80" w:line="276" w:lineRule="auto"/>
      </w:pPr>
      <w:r>
        <w:rPr>
          <w:sz w:val="22"/>
          <w:szCs w:val="22"/>
        </w:rPr>
        <w:t>Nguy hại của nhóm này không mang tính nội tại trực tiếp ở mức cao như các nhóm đã tách riêng; phần lớn nguy hại được kiểm soát thông qua bảo đảm chất lượng (GMP), kê đơn/hướng dẫn sử dụng và quản lý chuỗi cung ứng. Theo phương pháp khách quan, hệ số tác động k = 0,5 (tác động đến sức khỏe người ở mức gián tiếp; nguy hại chủ yếu từ chất lượng/sử dụng/chuỗi đã phản ánh ở C và P).</w:t>
      </w:r>
    </w:p>
    <w:p w14:paraId="2F255B96" w14:textId="77777777" w:rsidR="007C748B" w:rsidRDefault="00000000">
      <w:pPr>
        <w:spacing w:after="80" w:line="276" w:lineRule="auto"/>
      </w:pPr>
      <w:r>
        <w:rPr>
          <w:b/>
          <w:bCs/>
          <w:sz w:val="22"/>
          <w:szCs w:val="22"/>
        </w:rPr>
        <w:t>2. Căn cứ thực tiễn</w:t>
      </w:r>
    </w:p>
    <w:p w14:paraId="4737588B" w14:textId="77777777" w:rsidR="007C748B" w:rsidRDefault="00000000">
      <w:pPr>
        <w:pStyle w:val="ListParagraph"/>
        <w:numPr>
          <w:ilvl w:val="0"/>
          <w:numId w:val="2"/>
        </w:numPr>
        <w:spacing w:after="80" w:line="276" w:lineRule="auto"/>
      </w:pPr>
      <w:r>
        <w:rPr>
          <w:sz w:val="22"/>
          <w:szCs w:val="22"/>
        </w:rPr>
        <w:lastRenderedPageBreak/>
        <w:t>Cảnh giác dược ghi nhận phản ứng có hại chủ yếu ở mức nhẹ; ADR nghiêm trọng hiếm.</w:t>
      </w:r>
    </w:p>
    <w:p w14:paraId="314C982D" w14:textId="77777777" w:rsidR="007C748B" w:rsidRDefault="00000000">
      <w:pPr>
        <w:pStyle w:val="ListParagraph"/>
        <w:numPr>
          <w:ilvl w:val="0"/>
          <w:numId w:val="2"/>
        </w:numPr>
        <w:spacing w:after="80" w:line="276" w:lineRule="auto"/>
      </w:pPr>
      <w:r>
        <w:rPr>
          <w:sz w:val="22"/>
          <w:szCs w:val="22"/>
        </w:rPr>
        <w:t>Có thu hồi lô thuốc kém chất lượng và cảnh báo thuốc giả, cho thấy rủi ro chuỗi cung ứng là thực tế nhưng kiểm soát được qua hậu kiểm.</w:t>
      </w:r>
    </w:p>
    <w:p w14:paraId="6276BB5B" w14:textId="77777777" w:rsidR="007C748B" w:rsidRDefault="00000000">
      <w:pPr>
        <w:spacing w:after="80" w:line="276" w:lineRule="auto"/>
      </w:pPr>
      <w:r>
        <w:rPr>
          <w:b/>
          <w:bCs/>
          <w:sz w:val="22"/>
          <w:szCs w:val="22"/>
        </w:rPr>
        <w:t>3. Kinh nghiệm quốc tế</w:t>
      </w:r>
    </w:p>
    <w:p w14:paraId="7FFE770F" w14:textId="77777777" w:rsidR="007C748B" w:rsidRDefault="00000000">
      <w:pPr>
        <w:spacing w:after="80" w:line="276" w:lineRule="auto"/>
      </w:pPr>
      <w:r>
        <w:rPr>
          <w:sz w:val="22"/>
          <w:szCs w:val="22"/>
        </w:rPr>
        <w:t>Thuốc hóa dược thông thường được quản lý theo khung tiêu chuẩn chung (GMP, đăng ký lưu hành, cảnh giác dược, hậu kiểm) thay vì chế độ kiểm soát đặc biệt; WHO duy trì hệ thống giám sát thuốc giả/kém chất lượng.</w:t>
      </w:r>
    </w:p>
    <w:p w14:paraId="602A74F5" w14:textId="77777777" w:rsidR="007C748B" w:rsidRDefault="00000000">
      <w:pPr>
        <w:spacing w:after="80" w:line="276" w:lineRule="auto"/>
      </w:pPr>
      <w:r>
        <w:rPr>
          <w:b/>
          <w:bCs/>
          <w:sz w:val="22"/>
          <w:szCs w:val="22"/>
        </w:rPr>
        <w:t>4. Kết luận lý do và phân loại</w:t>
      </w:r>
    </w:p>
    <w:p w14:paraId="57D5B43E" w14:textId="77777777" w:rsidR="007C748B" w:rsidRDefault="00000000">
      <w:pPr>
        <w:spacing w:after="80" w:line="276" w:lineRule="auto"/>
      </w:pPr>
      <w:r>
        <w:rPr>
          <w:sz w:val="22"/>
          <w:szCs w:val="22"/>
        </w:rPr>
        <w:t>Nhóm thuốc hóa dược chung có ảnh hưởng đến sức khỏe người và rủi ro chuỗi cung ứng ở mức đáng kể, nhưng không mang nguy hại nội tại trực tiếp ở mức cao. Trên cơ sở chấm điểm khách quan (k = 0,5; Rmax = 8,3), nhóm này được phân loại RỦI RO TRUNG BÌNH. Đây là kết quả phân định đúng bản chất: các nhóm nguy cơ cao đã được tách riêng (k = 1, nhóm Cao), phần còn lại của thuốc hóa dược ở nhóm Trung bình.</w:t>
      </w:r>
    </w:p>
    <w:p w14:paraId="4617B358" w14:textId="15405755" w:rsidR="007C748B" w:rsidRDefault="00000000" w:rsidP="00162A77">
      <w:pPr>
        <w:pStyle w:val="Heading2"/>
        <w:spacing w:before="0" w:after="80" w:line="276" w:lineRule="auto"/>
      </w:pPr>
      <w:r>
        <w:rPr>
          <w:b w:val="0"/>
          <w:bCs w:val="0"/>
          <w:sz w:val="22"/>
          <w:szCs w:val="22"/>
        </w:rPr>
        <w:t>IV. Kiến nghị phạm vi quản lý (khung đề xuất)</w:t>
      </w:r>
      <w:r w:rsidR="00162A77">
        <w:rPr>
          <w:b w:val="0"/>
          <w:bCs w:val="0"/>
          <w:sz w:val="22"/>
          <w:szCs w:val="22"/>
        </w:rPr>
        <w:t xml:space="preserve">: </w:t>
      </w:r>
      <w:r w:rsidR="00162A77" w:rsidRPr="00162A77">
        <w:rPr>
          <w:b w:val="0"/>
          <w:bCs w:val="0"/>
          <w:sz w:val="22"/>
          <w:szCs w:val="22"/>
          <w:lang w:val="fr-FR"/>
        </w:rPr>
        <w:t>thực hiện theo các quy định tại Luật Dược và các văn bản hướng dẫn.</w:t>
      </w:r>
    </w:p>
    <w:sectPr w:rsidR="007C748B">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B6056"/>
    <w:multiLevelType w:val="hybridMultilevel"/>
    <w:tmpl w:val="FB386030"/>
    <w:lvl w:ilvl="0" w:tplc="71240F90">
      <w:start w:val="1"/>
      <w:numFmt w:val="bullet"/>
      <w:lvlText w:val="-"/>
      <w:lvlJc w:val="left"/>
      <w:pPr>
        <w:ind w:left="600" w:hanging="280"/>
      </w:pPr>
    </w:lvl>
    <w:lvl w:ilvl="1" w:tplc="6C5EEEB4">
      <w:numFmt w:val="decimal"/>
      <w:lvlText w:val=""/>
      <w:lvlJc w:val="left"/>
    </w:lvl>
    <w:lvl w:ilvl="2" w:tplc="F80C9B32">
      <w:numFmt w:val="decimal"/>
      <w:lvlText w:val=""/>
      <w:lvlJc w:val="left"/>
    </w:lvl>
    <w:lvl w:ilvl="3" w:tplc="465ED926">
      <w:numFmt w:val="decimal"/>
      <w:lvlText w:val=""/>
      <w:lvlJc w:val="left"/>
    </w:lvl>
    <w:lvl w:ilvl="4" w:tplc="10D4079C">
      <w:numFmt w:val="decimal"/>
      <w:lvlText w:val=""/>
      <w:lvlJc w:val="left"/>
    </w:lvl>
    <w:lvl w:ilvl="5" w:tplc="2A42ABE0">
      <w:numFmt w:val="decimal"/>
      <w:lvlText w:val=""/>
      <w:lvlJc w:val="left"/>
    </w:lvl>
    <w:lvl w:ilvl="6" w:tplc="341A1698">
      <w:numFmt w:val="decimal"/>
      <w:lvlText w:val=""/>
      <w:lvlJc w:val="left"/>
    </w:lvl>
    <w:lvl w:ilvl="7" w:tplc="467EBE4E">
      <w:numFmt w:val="decimal"/>
      <w:lvlText w:val=""/>
      <w:lvlJc w:val="left"/>
    </w:lvl>
    <w:lvl w:ilvl="8" w:tplc="34AAB08A">
      <w:numFmt w:val="decimal"/>
      <w:lvlText w:val=""/>
      <w:lvlJc w:val="left"/>
    </w:lvl>
  </w:abstractNum>
  <w:abstractNum w:abstractNumId="1" w15:restartNumberingAfterBreak="0">
    <w:nsid w:val="35E31298"/>
    <w:multiLevelType w:val="hybridMultilevel"/>
    <w:tmpl w:val="E868A368"/>
    <w:lvl w:ilvl="0" w:tplc="46FC89E6">
      <w:start w:val="1"/>
      <w:numFmt w:val="bullet"/>
      <w:lvlText w:val="●"/>
      <w:lvlJc w:val="left"/>
      <w:pPr>
        <w:ind w:left="720" w:hanging="360"/>
      </w:pPr>
    </w:lvl>
    <w:lvl w:ilvl="1" w:tplc="B32E96A2">
      <w:start w:val="1"/>
      <w:numFmt w:val="bullet"/>
      <w:lvlText w:val="○"/>
      <w:lvlJc w:val="left"/>
      <w:pPr>
        <w:ind w:left="1440" w:hanging="360"/>
      </w:pPr>
    </w:lvl>
    <w:lvl w:ilvl="2" w:tplc="5A0CDDEE">
      <w:start w:val="1"/>
      <w:numFmt w:val="bullet"/>
      <w:lvlText w:val="■"/>
      <w:lvlJc w:val="left"/>
      <w:pPr>
        <w:ind w:left="2160" w:hanging="360"/>
      </w:pPr>
    </w:lvl>
    <w:lvl w:ilvl="3" w:tplc="B8A0766A">
      <w:start w:val="1"/>
      <w:numFmt w:val="bullet"/>
      <w:lvlText w:val="●"/>
      <w:lvlJc w:val="left"/>
      <w:pPr>
        <w:ind w:left="2880" w:hanging="360"/>
      </w:pPr>
    </w:lvl>
    <w:lvl w:ilvl="4" w:tplc="66788564">
      <w:start w:val="1"/>
      <w:numFmt w:val="bullet"/>
      <w:lvlText w:val="○"/>
      <w:lvlJc w:val="left"/>
      <w:pPr>
        <w:ind w:left="3600" w:hanging="360"/>
      </w:pPr>
    </w:lvl>
    <w:lvl w:ilvl="5" w:tplc="D946DB30">
      <w:start w:val="1"/>
      <w:numFmt w:val="bullet"/>
      <w:lvlText w:val="■"/>
      <w:lvlJc w:val="left"/>
      <w:pPr>
        <w:ind w:left="4320" w:hanging="360"/>
      </w:pPr>
    </w:lvl>
    <w:lvl w:ilvl="6" w:tplc="4E240CF4">
      <w:start w:val="1"/>
      <w:numFmt w:val="bullet"/>
      <w:lvlText w:val="●"/>
      <w:lvlJc w:val="left"/>
      <w:pPr>
        <w:ind w:left="5040" w:hanging="360"/>
      </w:pPr>
    </w:lvl>
    <w:lvl w:ilvl="7" w:tplc="54D297E0">
      <w:start w:val="1"/>
      <w:numFmt w:val="bullet"/>
      <w:lvlText w:val="●"/>
      <w:lvlJc w:val="left"/>
      <w:pPr>
        <w:ind w:left="5760" w:hanging="360"/>
      </w:pPr>
    </w:lvl>
    <w:lvl w:ilvl="8" w:tplc="F4EEFDAC">
      <w:start w:val="1"/>
      <w:numFmt w:val="bullet"/>
      <w:lvlText w:val="●"/>
      <w:lvlJc w:val="left"/>
      <w:pPr>
        <w:ind w:left="6480" w:hanging="360"/>
      </w:pPr>
    </w:lvl>
  </w:abstractNum>
  <w:num w:numId="1" w16cid:durableId="1964774689">
    <w:abstractNumId w:val="1"/>
    <w:lvlOverride w:ilvl="0">
      <w:startOverride w:val="1"/>
    </w:lvlOverride>
  </w:num>
  <w:num w:numId="2" w16cid:durableId="9742169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8B"/>
    <w:rsid w:val="00162A77"/>
    <w:rsid w:val="007C748B"/>
    <w:rsid w:val="00891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301B"/>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2026-06-12T09:32:00Z</dcterms:created>
  <dcterms:modified xsi:type="dcterms:W3CDTF">2026-06-12T09:41:00Z</dcterms:modified>
</cp:coreProperties>
</file>