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4B13" w14:textId="77777777" w:rsidR="00FE1515" w:rsidRDefault="00000000">
      <w:pPr>
        <w:pStyle w:val="Heading1"/>
        <w:spacing w:before="0" w:after="80" w:line="276" w:lineRule="auto"/>
        <w:jc w:val="center"/>
      </w:pPr>
      <w:r>
        <w:rPr>
          <w:b w:val="0"/>
          <w:bCs w:val="0"/>
          <w:sz w:val="22"/>
          <w:szCs w:val="22"/>
        </w:rPr>
        <w:t>THUYẾT MINH</w:t>
      </w:r>
    </w:p>
    <w:p w14:paraId="6E32133B" w14:textId="77777777" w:rsidR="00FE1515"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1218BE0A" w14:textId="77777777" w:rsidR="00FE1515" w:rsidRDefault="00000000">
      <w:pPr>
        <w:spacing w:after="80" w:line="276" w:lineRule="auto"/>
        <w:jc w:val="center"/>
      </w:pPr>
      <w:r>
        <w:rPr>
          <w:i/>
          <w:iCs/>
          <w:sz w:val="22"/>
          <w:szCs w:val="22"/>
        </w:rPr>
        <w:t>(Theo điểm a khoản 4 Điều 5 Nghị định số 37/2026/NĐ-CP)</w:t>
      </w:r>
    </w:p>
    <w:p w14:paraId="5A3F45FF" w14:textId="77777777" w:rsidR="00FE1515" w:rsidRDefault="00000000">
      <w:pPr>
        <w:spacing w:after="80" w:line="276" w:lineRule="auto"/>
        <w:jc w:val="center"/>
      </w:pPr>
      <w:r>
        <w:rPr>
          <w:b/>
          <w:bCs/>
          <w:sz w:val="22"/>
          <w:szCs w:val="22"/>
        </w:rPr>
        <w:t>Sản phẩm: THUỐC GÂY NGHIỆN</w:t>
      </w:r>
    </w:p>
    <w:p w14:paraId="486D2299" w14:textId="77777777" w:rsidR="00FE1515"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FE1515" w14:paraId="07E3768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DD5350E" w14:textId="77777777" w:rsidR="00FE1515"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611C07" w14:textId="77777777" w:rsidR="00FE1515" w:rsidRDefault="00000000">
            <w:pPr>
              <w:spacing w:line="276" w:lineRule="auto"/>
            </w:pPr>
            <w:r>
              <w:rPr>
                <w:sz w:val="22"/>
                <w:szCs w:val="22"/>
              </w:rPr>
              <w:t>Thuốc gây nghiện (thành phẩm và nguyên liệu)</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37CE607" w14:textId="77777777" w:rsidR="00FE1515"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99157D5" w14:textId="5C198C20" w:rsidR="00FE1515" w:rsidRDefault="00FE1515">
            <w:pPr>
              <w:spacing w:line="276" w:lineRule="auto"/>
            </w:pPr>
          </w:p>
        </w:tc>
      </w:tr>
      <w:tr w:rsidR="00FE1515" w14:paraId="0A9F0AF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C47AF7A" w14:textId="77777777" w:rsidR="00FE1515"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523B443" w14:textId="77777777" w:rsidR="00FE1515"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5C7391E" w14:textId="77777777" w:rsidR="00FE1515"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E71861" w14:textId="77777777" w:rsidR="00FE1515" w:rsidRDefault="00000000">
            <w:pPr>
              <w:spacing w:line="276" w:lineRule="auto"/>
            </w:pPr>
            <w:r>
              <w:rPr>
                <w:b/>
                <w:bCs/>
                <w:sz w:val="22"/>
                <w:szCs w:val="22"/>
              </w:rPr>
              <w:t>☐ Trung bình   ☑ Cao</w:t>
            </w:r>
          </w:p>
        </w:tc>
      </w:tr>
      <w:tr w:rsidR="00FE1515" w14:paraId="384085A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2749BBF" w14:textId="77777777" w:rsidR="00FE1515"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E87A516" w14:textId="77777777" w:rsidR="00FE1515"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4D50765" w14:textId="77777777" w:rsidR="00FE1515"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B8995B2" w14:textId="77777777" w:rsidR="00FE1515" w:rsidRDefault="00000000">
            <w:pPr>
              <w:spacing w:line="276" w:lineRule="auto"/>
            </w:pPr>
            <w:r>
              <w:rPr>
                <w:sz w:val="22"/>
                <w:szCs w:val="22"/>
              </w:rPr>
              <w:t>DI &amp; ADR; cảnh giác dược; dữ liệu thất thoát/thu giữ; INCB/WHO</w:t>
            </w:r>
          </w:p>
        </w:tc>
      </w:tr>
      <w:tr w:rsidR="00FE1515" w14:paraId="3259A1B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E538BFE" w14:textId="77777777" w:rsidR="00FE1515"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2E5795" w14:textId="77777777" w:rsidR="00FE1515" w:rsidRDefault="00000000">
            <w:pPr>
              <w:spacing w:line="276" w:lineRule="auto"/>
            </w:pPr>
            <w:r>
              <w:rPr>
                <w:sz w:val="22"/>
                <w:szCs w:val="22"/>
              </w:rPr>
              <w:t>Tiêu chuẩn chất lượng theo hồ sơ đăng ký; Dược điển VN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AE2AD78" w14:textId="77777777" w:rsidR="00FE1515"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525B33B" w14:textId="77777777" w:rsidR="00FE1515" w:rsidRDefault="00000000">
            <w:pPr>
              <w:spacing w:line="276" w:lineRule="auto"/>
            </w:pPr>
            <w:r>
              <w:rPr>
                <w:sz w:val="22"/>
                <w:szCs w:val="22"/>
              </w:rPr>
              <w:t>UN Single Convention 1961; INCB; quản lý opioid của WHO/US DEA</w:t>
            </w:r>
          </w:p>
        </w:tc>
      </w:tr>
    </w:tbl>
    <w:p w14:paraId="339DEE08" w14:textId="77777777" w:rsidR="00FE1515" w:rsidRDefault="00000000">
      <w:pPr>
        <w:pStyle w:val="Heading2"/>
        <w:spacing w:before="0" w:after="80" w:line="276" w:lineRule="auto"/>
      </w:pPr>
      <w:r>
        <w:rPr>
          <w:b w:val="0"/>
          <w:bCs w:val="0"/>
          <w:sz w:val="22"/>
          <w:szCs w:val="22"/>
        </w:rPr>
        <w:t>II. Mô tả ngắn sản phẩm và phạm vi sử dụng</w:t>
      </w:r>
    </w:p>
    <w:p w14:paraId="4CC168BF" w14:textId="77777777" w:rsidR="00FE1515" w:rsidRDefault="00000000">
      <w:pPr>
        <w:spacing w:after="80" w:line="276" w:lineRule="auto"/>
      </w:pPr>
      <w:r>
        <w:rPr>
          <w:sz w:val="22"/>
          <w:szCs w:val="22"/>
        </w:rPr>
        <w:t>Thuốc gây nghiện là thuốc có chứa dược chất gây nghiện (chủ yếu nhóm opioid như morphin, fentanyl, pethidin, oxycodon; methadon…) thuộc nhóm thuốc phải kiểm soát đặc biệt theo Luật Dược. Sản phẩm có vai trò không thể thay thế trong giảm đau (đặc biệt ung thư, chăm sóc giảm nhẹ), gây mê và điều trị nghiện chất dạng thuốc phiện.</w:t>
      </w:r>
    </w:p>
    <w:p w14:paraId="32DC37F0" w14:textId="77777777" w:rsidR="00FE1515" w:rsidRDefault="00000000">
      <w:pPr>
        <w:spacing w:after="80" w:line="276" w:lineRule="auto"/>
      </w:pPr>
      <w:r>
        <w:rPr>
          <w:sz w:val="22"/>
          <w:szCs w:val="22"/>
        </w:rPr>
        <w:t xml:space="preserve">Đặc tính dược lý nội tại của hoạt chất gồm ức chế thần kinh trung ương (ức chế hô hấp, </w:t>
      </w:r>
      <w:proofErr w:type="gramStart"/>
      <w:r>
        <w:rPr>
          <w:sz w:val="22"/>
          <w:szCs w:val="22"/>
        </w:rPr>
        <w:t>an</w:t>
      </w:r>
      <w:proofErr w:type="gramEnd"/>
      <w:r>
        <w:rPr>
          <w:sz w:val="22"/>
          <w:szCs w:val="22"/>
        </w:rPr>
        <w:t xml:space="preserve"> thần) và khả năng gây dung nạp, lệ thuộc, nghiện. Bên cạnh nguy cơ trực tiếp cho người bệnh, thuốc gây nghiện còn có giá trị bất hợp pháp cao và nhu cầu lạm dụng lớn, dẫn tới nguy cơ thất thoát, tuồn ra thị trường bất hợp pháp ở mọi khâu của chuỗi cung ứng.</w:t>
      </w:r>
    </w:p>
    <w:p w14:paraId="455AAFC7" w14:textId="77777777" w:rsidR="00FE1515" w:rsidRDefault="00000000">
      <w:pPr>
        <w:pStyle w:val="Heading2"/>
        <w:spacing w:before="0" w:after="80" w:line="276" w:lineRule="auto"/>
      </w:pPr>
      <w:r>
        <w:rPr>
          <w:b w:val="0"/>
          <w:bCs w:val="0"/>
          <w:sz w:val="22"/>
          <w:szCs w:val="22"/>
        </w:rPr>
        <w:t>III. Lý do đưa vào Danh mục quản lý</w:t>
      </w:r>
    </w:p>
    <w:p w14:paraId="43164AF9" w14:textId="77777777" w:rsidR="00FE1515" w:rsidRDefault="00000000">
      <w:pPr>
        <w:spacing w:after="80" w:line="276" w:lineRule="auto"/>
      </w:pPr>
      <w:r>
        <w:rPr>
          <w:b/>
          <w:bCs/>
          <w:sz w:val="22"/>
          <w:szCs w:val="22"/>
        </w:rPr>
        <w:t>1. Căn cứ khoa học</w:t>
      </w:r>
    </w:p>
    <w:p w14:paraId="4946F897" w14:textId="77777777" w:rsidR="00FE1515" w:rsidRDefault="00000000">
      <w:pPr>
        <w:spacing w:after="80" w:line="276" w:lineRule="auto"/>
      </w:pPr>
      <w:r>
        <w:rPr>
          <w:i/>
          <w:iCs/>
          <w:sz w:val="22"/>
          <w:szCs w:val="22"/>
        </w:rPr>
        <w:t>1.1. Mối nguy chính và cơ chế phát sinh.</w:t>
      </w:r>
    </w:p>
    <w:p w14:paraId="42BB934B" w14:textId="77777777" w:rsidR="00FE1515" w:rsidRDefault="00000000">
      <w:pPr>
        <w:pStyle w:val="ListParagraph"/>
        <w:numPr>
          <w:ilvl w:val="0"/>
          <w:numId w:val="2"/>
        </w:numPr>
        <w:spacing w:after="80" w:line="276" w:lineRule="auto"/>
      </w:pPr>
      <w:r>
        <w:rPr>
          <w:sz w:val="22"/>
          <w:szCs w:val="22"/>
        </w:rPr>
        <w:t>Tác động trực tiếp tới sức khỏe người: ức chế hô hấp và an thần sâu, quá liều gây tử vong; gây dung nạp và lệ thuộc/nghiện — là nguy hại nội tại của hoạt chất, có thể phát triển ngay cả khi dùng đúng chỉ định.</w:t>
      </w:r>
    </w:p>
    <w:p w14:paraId="310E874D" w14:textId="77777777" w:rsidR="00FE1515" w:rsidRDefault="00000000">
      <w:pPr>
        <w:pStyle w:val="ListParagraph"/>
        <w:numPr>
          <w:ilvl w:val="0"/>
          <w:numId w:val="2"/>
        </w:numPr>
        <w:spacing w:after="80" w:line="276" w:lineRule="auto"/>
      </w:pPr>
      <w:r>
        <w:rPr>
          <w:sz w:val="22"/>
          <w:szCs w:val="22"/>
        </w:rPr>
        <w:t xml:space="preserve">Nguy cơ chuỗi cung ứng đặc thù: thất thoát, trộm cắp, tuồn ra thị trường bất hợp pháp; hậu quả lan ra cộng đồng (lạm dụng, nghiện, quá liều) và ảnh hưởng trật tự, </w:t>
      </w:r>
      <w:proofErr w:type="gramStart"/>
      <w:r>
        <w:rPr>
          <w:sz w:val="22"/>
          <w:szCs w:val="22"/>
        </w:rPr>
        <w:t>an</w:t>
      </w:r>
      <w:proofErr w:type="gramEnd"/>
      <w:r>
        <w:rPr>
          <w:sz w:val="22"/>
          <w:szCs w:val="22"/>
        </w:rPr>
        <w:t xml:space="preserve"> toàn xã hội.</w:t>
      </w:r>
    </w:p>
    <w:p w14:paraId="156973C3" w14:textId="77777777" w:rsidR="00FE1515" w:rsidRDefault="00000000">
      <w:pPr>
        <w:pStyle w:val="ListParagraph"/>
        <w:numPr>
          <w:ilvl w:val="0"/>
          <w:numId w:val="2"/>
        </w:numPr>
        <w:spacing w:after="80" w:line="276" w:lineRule="auto"/>
      </w:pPr>
      <w:r>
        <w:rPr>
          <w:sz w:val="22"/>
          <w:szCs w:val="22"/>
        </w:rPr>
        <w:t>Nguy cơ làm giả, thay thế hoạt chất, sai hàm lượng gây nguy hại trực tiếp.</w:t>
      </w:r>
    </w:p>
    <w:p w14:paraId="098AAAB4" w14:textId="77777777" w:rsidR="00FE1515" w:rsidRDefault="00000000">
      <w:pPr>
        <w:spacing w:after="80" w:line="276" w:lineRule="auto"/>
      </w:pPr>
      <w:r>
        <w:rPr>
          <w:i/>
          <w:iCs/>
          <w:sz w:val="22"/>
          <w:szCs w:val="22"/>
        </w:rPr>
        <w:t>1.2. Hậu quả/tác động trong điều kiện sử dụng bình thường.</w:t>
      </w:r>
    </w:p>
    <w:p w14:paraId="27C36AF9" w14:textId="77777777" w:rsidR="00FE1515" w:rsidRDefault="00000000">
      <w:pPr>
        <w:spacing w:after="80" w:line="276" w:lineRule="auto"/>
      </w:pPr>
      <w:r>
        <w:rPr>
          <w:sz w:val="22"/>
          <w:szCs w:val="22"/>
        </w:rPr>
        <w:t>Hậu quả nặng nhất gồm tử vong do quá liều, lệ thuộc/nghiện lâu dài, và hệ lụy xã hội do thất thoát — đều là hậu quả đặc biệt nghiêm trọng (C = 5).</w:t>
      </w:r>
    </w:p>
    <w:p w14:paraId="0EEB930C" w14:textId="77777777" w:rsidR="00FE1515" w:rsidRDefault="00000000">
      <w:pPr>
        <w:spacing w:after="80" w:line="276" w:lineRule="auto"/>
      </w:pPr>
      <w:r>
        <w:rPr>
          <w:i/>
          <w:iCs/>
          <w:sz w:val="22"/>
          <w:szCs w:val="22"/>
        </w:rPr>
        <w:lastRenderedPageBreak/>
        <w:t>1.3. Căn cứ kỹ thuật/pháp lý.</w:t>
      </w:r>
    </w:p>
    <w:p w14:paraId="7E74FCDC" w14:textId="04CBA0C2" w:rsidR="00FE1515" w:rsidRDefault="00000000">
      <w:pPr>
        <w:spacing w:after="80" w:line="276" w:lineRule="auto"/>
      </w:pPr>
      <w:r>
        <w:rPr>
          <w:sz w:val="22"/>
          <w:szCs w:val="22"/>
        </w:rPr>
        <w:t xml:space="preserve">Quy định về thuốc phải kiểm soát đặc biệt (Luật Dược; Nghị định </w:t>
      </w:r>
      <w:r w:rsidR="00AC35CC">
        <w:rPr>
          <w:sz w:val="22"/>
          <w:szCs w:val="22"/>
        </w:rPr>
        <w:t>163</w:t>
      </w:r>
      <w:r>
        <w:rPr>
          <w:sz w:val="22"/>
          <w:szCs w:val="22"/>
        </w:rPr>
        <w:t>/</w:t>
      </w:r>
      <w:r w:rsidR="00AC35CC">
        <w:rPr>
          <w:sz w:val="22"/>
          <w:szCs w:val="22"/>
        </w:rPr>
        <w:t>2025</w:t>
      </w:r>
      <w:r>
        <w:rPr>
          <w:sz w:val="22"/>
          <w:szCs w:val="22"/>
        </w:rPr>
        <w:t>/NĐ-CP; Thông tư 20/2017/TT-BYT) với yêu cầu nghiêm ngặt về sản xuất, bảo quản, kê đơn, cấp phát, vận chuyển, báo cáo và tiêu hủy có kiểm soát; Luật Phòng, chống ma túy 2021.</w:t>
      </w:r>
    </w:p>
    <w:p w14:paraId="69158B64" w14:textId="77777777" w:rsidR="00FE1515" w:rsidRDefault="00000000">
      <w:pPr>
        <w:spacing w:after="80" w:line="276" w:lineRule="auto"/>
      </w:pPr>
      <w:r>
        <w:rPr>
          <w:b/>
          <w:bCs/>
          <w:sz w:val="22"/>
          <w:szCs w:val="22"/>
        </w:rPr>
        <w:t>2. Căn cứ thực tiễn</w:t>
      </w:r>
    </w:p>
    <w:p w14:paraId="7A9164C0" w14:textId="77777777" w:rsidR="00FE1515" w:rsidRDefault="00000000">
      <w:pPr>
        <w:pStyle w:val="ListParagraph"/>
        <w:numPr>
          <w:ilvl w:val="0"/>
          <w:numId w:val="2"/>
        </w:numPr>
        <w:spacing w:after="80" w:line="276" w:lineRule="auto"/>
      </w:pPr>
      <w:r>
        <w:rPr>
          <w:sz w:val="22"/>
          <w:szCs w:val="22"/>
        </w:rPr>
        <w:t>Cảnh giác dược ghi nhận biến cố ức chế hô hấp/quá liều và phản ứng liên quan; lệ thuộc với sử dụng kéo dài được y văn ghi nhận phổ biến.</w:t>
      </w:r>
    </w:p>
    <w:p w14:paraId="36D30965" w14:textId="77777777" w:rsidR="00FE1515" w:rsidRDefault="00000000">
      <w:pPr>
        <w:pStyle w:val="ListParagraph"/>
        <w:numPr>
          <w:ilvl w:val="0"/>
          <w:numId w:val="2"/>
        </w:numPr>
        <w:spacing w:after="80" w:line="276" w:lineRule="auto"/>
      </w:pPr>
      <w:r>
        <w:rPr>
          <w:sz w:val="22"/>
          <w:szCs w:val="22"/>
        </w:rPr>
        <w:t>Dữ liệu thu giữ, lạm dụng và các trường hợp thất thoát cho thấy khả năng xảy ra của mối nguy chuỗi cung ứng là đáng kể nếu thiếu kiểm soát đặc biệt.</w:t>
      </w:r>
    </w:p>
    <w:p w14:paraId="591C340B" w14:textId="77777777" w:rsidR="00FE1515" w:rsidRDefault="00000000">
      <w:pPr>
        <w:pStyle w:val="ListParagraph"/>
        <w:numPr>
          <w:ilvl w:val="0"/>
          <w:numId w:val="2"/>
        </w:numPr>
        <w:spacing w:after="80" w:line="276" w:lineRule="auto"/>
      </w:pPr>
      <w:r>
        <w:rPr>
          <w:sz w:val="22"/>
          <w:szCs w:val="22"/>
        </w:rPr>
        <w:t>Có cảnh báo về sản phẩm giả/không rõ nguồn gốc chứa hoạt chất gây nghiện.</w:t>
      </w:r>
    </w:p>
    <w:p w14:paraId="2A05675C" w14:textId="77777777" w:rsidR="00FE1515" w:rsidRDefault="00000000">
      <w:pPr>
        <w:spacing w:after="80" w:line="276" w:lineRule="auto"/>
      </w:pPr>
      <w:r>
        <w:rPr>
          <w:b/>
          <w:bCs/>
          <w:sz w:val="22"/>
          <w:szCs w:val="22"/>
        </w:rPr>
        <w:t>3. Kinh nghiệm quốc tế</w:t>
      </w:r>
    </w:p>
    <w:p w14:paraId="2C5AF456" w14:textId="77777777" w:rsidR="00FE1515" w:rsidRDefault="00000000">
      <w:pPr>
        <w:spacing w:after="80" w:line="276" w:lineRule="auto"/>
      </w:pPr>
      <w:r>
        <w:rPr>
          <w:sz w:val="22"/>
          <w:szCs w:val="22"/>
        </w:rPr>
        <w:t>Thuốc gây nghiện được kiểm soát ở mức cao nhất trên toàn cầu: Công ước thống nhất về các chất ma túy 1961 phân loại theo bảng kiểm soát; INCB vận hành hệ thống ước tính và hạn ngạch đối với nguyên liệu gây nghiện; các nước áp dụng kê đơn/cấp phát kiểm soát chặt (vd US DEA). Cuộc khủng hoảng opioid là minh chứng cho hậu quả của thất thoát và lạm dụng.</w:t>
      </w:r>
    </w:p>
    <w:p w14:paraId="385C5EC2" w14:textId="77777777" w:rsidR="00FE1515" w:rsidRDefault="00000000">
      <w:pPr>
        <w:spacing w:after="80" w:line="276" w:lineRule="auto"/>
      </w:pPr>
      <w:r>
        <w:rPr>
          <w:b/>
          <w:bCs/>
          <w:sz w:val="22"/>
          <w:szCs w:val="22"/>
        </w:rPr>
        <w:t>4. Kết luận lý do đưa vào Danh mục</w:t>
      </w:r>
    </w:p>
    <w:p w14:paraId="4AAC184F" w14:textId="77777777" w:rsidR="00FE1515" w:rsidRDefault="00000000">
      <w:pPr>
        <w:spacing w:after="80" w:line="276" w:lineRule="auto"/>
      </w:pPr>
      <w:r>
        <w:rPr>
          <w:sz w:val="22"/>
          <w:szCs w:val="22"/>
        </w:rPr>
        <w:t>Thuốc gây nghiện có (i) mối nguy nội tại trực tiếp tới sức khỏe con người (ức chế hô hấp, lệ thuộc/nghiện), mức độ tác động rất lớn (C = 5); (ii) nguy cơ chuỗi cung ứng đặc thù (thất thoát, lạm dụng) với hậu quả cộng đồng và xã hội; (iii) thông lệ quốc tế kiểm soát ở mức cao nhất. Trên cơ sở chấm điểm khách quan (k = 1, Rmax = 17,5; tiêu chí quyết định là kiểm soát chuỗi cung ứng), kiến nghị xếp thuốc gây nghiện vào nhóm rủi ro CAO, áp dụng cho cả sản xuất, nhập khẩu và lưu thông.</w:t>
      </w:r>
    </w:p>
    <w:p w14:paraId="35E4D2BA" w14:textId="0F79E385" w:rsidR="00FE1515" w:rsidRDefault="00000000" w:rsidP="00AC35CC">
      <w:pPr>
        <w:pStyle w:val="Heading2"/>
        <w:spacing w:before="0" w:after="80" w:line="276" w:lineRule="auto"/>
      </w:pPr>
      <w:r>
        <w:rPr>
          <w:b w:val="0"/>
          <w:bCs w:val="0"/>
          <w:sz w:val="22"/>
          <w:szCs w:val="22"/>
        </w:rPr>
        <w:t>IV. Kiến nghị phạm vi quản lý (khung đề xuất)</w:t>
      </w:r>
      <w:r w:rsidR="00AC35CC">
        <w:rPr>
          <w:b w:val="0"/>
          <w:bCs w:val="0"/>
          <w:sz w:val="22"/>
          <w:szCs w:val="22"/>
        </w:rPr>
        <w:t xml:space="preserve">: </w:t>
      </w:r>
      <w:r w:rsidR="00AC35CC" w:rsidRPr="00AC35CC">
        <w:rPr>
          <w:b w:val="0"/>
          <w:bCs w:val="0"/>
          <w:sz w:val="22"/>
          <w:szCs w:val="22"/>
          <w:lang w:val="fr-FR"/>
        </w:rPr>
        <w:t>thực hiện theo các quy định tại Luật Dược và các văn bản hướng dẫn.</w:t>
      </w:r>
    </w:p>
    <w:sectPr w:rsidR="00FE1515">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0302F"/>
    <w:multiLevelType w:val="hybridMultilevel"/>
    <w:tmpl w:val="7464B69A"/>
    <w:lvl w:ilvl="0" w:tplc="E372327C">
      <w:start w:val="1"/>
      <w:numFmt w:val="bullet"/>
      <w:lvlText w:val="-"/>
      <w:lvlJc w:val="left"/>
      <w:pPr>
        <w:ind w:left="600" w:hanging="280"/>
      </w:pPr>
    </w:lvl>
    <w:lvl w:ilvl="1" w:tplc="2E8885AA">
      <w:numFmt w:val="decimal"/>
      <w:lvlText w:val=""/>
      <w:lvlJc w:val="left"/>
    </w:lvl>
    <w:lvl w:ilvl="2" w:tplc="6D54A652">
      <w:numFmt w:val="decimal"/>
      <w:lvlText w:val=""/>
      <w:lvlJc w:val="left"/>
    </w:lvl>
    <w:lvl w:ilvl="3" w:tplc="02B2CB4E">
      <w:numFmt w:val="decimal"/>
      <w:lvlText w:val=""/>
      <w:lvlJc w:val="left"/>
    </w:lvl>
    <w:lvl w:ilvl="4" w:tplc="1D62AAF6">
      <w:numFmt w:val="decimal"/>
      <w:lvlText w:val=""/>
      <w:lvlJc w:val="left"/>
    </w:lvl>
    <w:lvl w:ilvl="5" w:tplc="165E87B2">
      <w:numFmt w:val="decimal"/>
      <w:lvlText w:val=""/>
      <w:lvlJc w:val="left"/>
    </w:lvl>
    <w:lvl w:ilvl="6" w:tplc="4E9E5E64">
      <w:numFmt w:val="decimal"/>
      <w:lvlText w:val=""/>
      <w:lvlJc w:val="left"/>
    </w:lvl>
    <w:lvl w:ilvl="7" w:tplc="B7DCFAD0">
      <w:numFmt w:val="decimal"/>
      <w:lvlText w:val=""/>
      <w:lvlJc w:val="left"/>
    </w:lvl>
    <w:lvl w:ilvl="8" w:tplc="89364BC0">
      <w:numFmt w:val="decimal"/>
      <w:lvlText w:val=""/>
      <w:lvlJc w:val="left"/>
    </w:lvl>
  </w:abstractNum>
  <w:abstractNum w:abstractNumId="1" w15:restartNumberingAfterBreak="0">
    <w:nsid w:val="446C2B26"/>
    <w:multiLevelType w:val="hybridMultilevel"/>
    <w:tmpl w:val="F5B24DCA"/>
    <w:lvl w:ilvl="0" w:tplc="BFDE5F00">
      <w:start w:val="1"/>
      <w:numFmt w:val="bullet"/>
      <w:lvlText w:val="●"/>
      <w:lvlJc w:val="left"/>
      <w:pPr>
        <w:ind w:left="720" w:hanging="360"/>
      </w:pPr>
    </w:lvl>
    <w:lvl w:ilvl="1" w:tplc="1EDC53DE">
      <w:start w:val="1"/>
      <w:numFmt w:val="bullet"/>
      <w:lvlText w:val="○"/>
      <w:lvlJc w:val="left"/>
      <w:pPr>
        <w:ind w:left="1440" w:hanging="360"/>
      </w:pPr>
    </w:lvl>
    <w:lvl w:ilvl="2" w:tplc="CED41566">
      <w:start w:val="1"/>
      <w:numFmt w:val="bullet"/>
      <w:lvlText w:val="■"/>
      <w:lvlJc w:val="left"/>
      <w:pPr>
        <w:ind w:left="2160" w:hanging="360"/>
      </w:pPr>
    </w:lvl>
    <w:lvl w:ilvl="3" w:tplc="39C480FA">
      <w:start w:val="1"/>
      <w:numFmt w:val="bullet"/>
      <w:lvlText w:val="●"/>
      <w:lvlJc w:val="left"/>
      <w:pPr>
        <w:ind w:left="2880" w:hanging="360"/>
      </w:pPr>
    </w:lvl>
    <w:lvl w:ilvl="4" w:tplc="58AC2D3C">
      <w:start w:val="1"/>
      <w:numFmt w:val="bullet"/>
      <w:lvlText w:val="○"/>
      <w:lvlJc w:val="left"/>
      <w:pPr>
        <w:ind w:left="3600" w:hanging="360"/>
      </w:pPr>
    </w:lvl>
    <w:lvl w:ilvl="5" w:tplc="B4628F52">
      <w:start w:val="1"/>
      <w:numFmt w:val="bullet"/>
      <w:lvlText w:val="■"/>
      <w:lvlJc w:val="left"/>
      <w:pPr>
        <w:ind w:left="4320" w:hanging="360"/>
      </w:pPr>
    </w:lvl>
    <w:lvl w:ilvl="6" w:tplc="DBB65AAA">
      <w:start w:val="1"/>
      <w:numFmt w:val="bullet"/>
      <w:lvlText w:val="●"/>
      <w:lvlJc w:val="left"/>
      <w:pPr>
        <w:ind w:left="5040" w:hanging="360"/>
      </w:pPr>
    </w:lvl>
    <w:lvl w:ilvl="7" w:tplc="80468C4E">
      <w:start w:val="1"/>
      <w:numFmt w:val="bullet"/>
      <w:lvlText w:val="●"/>
      <w:lvlJc w:val="left"/>
      <w:pPr>
        <w:ind w:left="5760" w:hanging="360"/>
      </w:pPr>
    </w:lvl>
    <w:lvl w:ilvl="8" w:tplc="2766CF1E">
      <w:start w:val="1"/>
      <w:numFmt w:val="bullet"/>
      <w:lvlText w:val="●"/>
      <w:lvlJc w:val="left"/>
      <w:pPr>
        <w:ind w:left="6480" w:hanging="360"/>
      </w:pPr>
    </w:lvl>
  </w:abstractNum>
  <w:num w:numId="1" w16cid:durableId="760104327">
    <w:abstractNumId w:val="1"/>
    <w:lvlOverride w:ilvl="0">
      <w:startOverride w:val="1"/>
    </w:lvlOverride>
  </w:num>
  <w:num w:numId="2" w16cid:durableId="49465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515"/>
    <w:rsid w:val="00AC35CC"/>
    <w:rsid w:val="00E51716"/>
    <w:rsid w:val="00FE1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AEA9"/>
  <w15:docId w15:val="{0A641CB1-9809-486A-AF3C-0136613B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578</Words>
  <Characters>3295</Characters>
  <Application>Microsoft Office Word</Application>
  <DocSecurity>0</DocSecurity>
  <Lines>27</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2026-06-12T08:16:00Z</dcterms:created>
  <dcterms:modified xsi:type="dcterms:W3CDTF">2026-06-12T09:47:00Z</dcterms:modified>
</cp:coreProperties>
</file>