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19614" w14:textId="77777777" w:rsidR="00A75B22" w:rsidRDefault="00000000">
      <w:pPr>
        <w:pStyle w:val="Heading1"/>
        <w:spacing w:before="0" w:after="80" w:line="276" w:lineRule="auto"/>
        <w:jc w:val="center"/>
      </w:pPr>
      <w:r>
        <w:rPr>
          <w:b w:val="0"/>
          <w:bCs w:val="0"/>
          <w:sz w:val="22"/>
          <w:szCs w:val="22"/>
        </w:rPr>
        <w:t>THUYẾT MINH</w:t>
      </w:r>
    </w:p>
    <w:p w14:paraId="0C37511D" w14:textId="77777777" w:rsidR="00A75B22" w:rsidRDefault="00000000">
      <w:pPr>
        <w:spacing w:after="80" w:line="276" w:lineRule="auto"/>
        <w:jc w:val="center"/>
      </w:pPr>
      <w:r>
        <w:rPr>
          <w:b/>
          <w:bCs/>
          <w:sz w:val="22"/>
          <w:szCs w:val="22"/>
        </w:rPr>
        <w:t>LÝ DO ĐƯA SẢN PHẨM, HÀNG HÓA VÀO DANH MỤC SẢN PHẨM, HÀNG HÓA CÓ MỨC ĐỘ RỦI RO TRUNG BÌNH, MỨC ĐỘ RỦI RO CAO</w:t>
      </w:r>
    </w:p>
    <w:p w14:paraId="412F82D4" w14:textId="77777777" w:rsidR="00A75B22" w:rsidRDefault="00000000">
      <w:pPr>
        <w:spacing w:after="80" w:line="276" w:lineRule="auto"/>
        <w:jc w:val="center"/>
      </w:pPr>
      <w:r>
        <w:rPr>
          <w:i/>
          <w:iCs/>
          <w:sz w:val="22"/>
          <w:szCs w:val="22"/>
        </w:rPr>
        <w:t>(Theo điểm a khoản 4 Điều 5 Nghị định số 37/2026/NĐ-CP)</w:t>
      </w:r>
    </w:p>
    <w:p w14:paraId="56BAC8D2" w14:textId="77777777" w:rsidR="00A75B22" w:rsidRDefault="00000000">
      <w:pPr>
        <w:spacing w:after="80" w:line="276" w:lineRule="auto"/>
        <w:jc w:val="center"/>
      </w:pPr>
      <w:r>
        <w:rPr>
          <w:b/>
          <w:bCs/>
          <w:sz w:val="22"/>
          <w:szCs w:val="22"/>
        </w:rPr>
        <w:t>Sản phẩm: THUỐC ĐỘC</w:t>
      </w:r>
    </w:p>
    <w:p w14:paraId="56B6F6E8" w14:textId="77777777" w:rsidR="00A75B22" w:rsidRDefault="00000000">
      <w:pPr>
        <w:pStyle w:val="Heading2"/>
        <w:spacing w:before="0" w:after="80" w:line="276" w:lineRule="auto"/>
      </w:pPr>
      <w:r>
        <w:rPr>
          <w:b w:val="0"/>
          <w:bCs w:val="0"/>
          <w:sz w:val="22"/>
          <w:szCs w:val="22"/>
        </w:rPr>
        <w:t>I. Thông tin chung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00"/>
        <w:gridCol w:w="2680"/>
        <w:gridCol w:w="1900"/>
        <w:gridCol w:w="2480"/>
      </w:tblGrid>
      <w:tr w:rsidR="00A75B22" w14:paraId="3EB28494" w14:textId="77777777">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442AFB39" w14:textId="77777777" w:rsidR="00A75B22" w:rsidRDefault="00000000">
            <w:pPr>
              <w:spacing w:line="276" w:lineRule="auto"/>
            </w:pPr>
            <w:r>
              <w:rPr>
                <w:b/>
                <w:bCs/>
                <w:sz w:val="22"/>
                <w:szCs w:val="22"/>
              </w:rPr>
              <w:t>Tên sản phẩm, hàng hóa</w:t>
            </w:r>
          </w:p>
        </w:tc>
        <w:tc>
          <w:tcPr>
            <w:tcW w:w="26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FF4847C" w14:textId="77777777" w:rsidR="00A75B22" w:rsidRDefault="00000000">
            <w:pPr>
              <w:spacing w:line="276" w:lineRule="auto"/>
            </w:pPr>
            <w:r>
              <w:rPr>
                <w:sz w:val="22"/>
                <w:szCs w:val="22"/>
              </w:rPr>
              <w:t>Thuốc độc (thành phẩm và nguyên liệu độc làm thuốc)</w:t>
            </w:r>
          </w:p>
        </w:tc>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228B6D87" w14:textId="77777777" w:rsidR="00A75B22" w:rsidRDefault="00000000">
            <w:pPr>
              <w:spacing w:line="276" w:lineRule="auto"/>
            </w:pPr>
            <w:r>
              <w:rPr>
                <w:b/>
                <w:bCs/>
                <w:sz w:val="22"/>
                <w:szCs w:val="22"/>
              </w:rPr>
              <w:t>Mã HS (8 số)/cụm HS</w:t>
            </w:r>
          </w:p>
        </w:tc>
        <w:tc>
          <w:tcPr>
            <w:tcW w:w="24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9F59DC5" w14:textId="056673FB" w:rsidR="00A75B22" w:rsidRDefault="00A75B22">
            <w:pPr>
              <w:spacing w:line="276" w:lineRule="auto"/>
            </w:pPr>
          </w:p>
        </w:tc>
      </w:tr>
      <w:tr w:rsidR="00A75B22" w14:paraId="2215421C" w14:textId="77777777">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6194FED3" w14:textId="77777777" w:rsidR="00A75B22" w:rsidRDefault="00000000">
            <w:pPr>
              <w:spacing w:line="276" w:lineRule="auto"/>
            </w:pPr>
            <w:r>
              <w:rPr>
                <w:b/>
                <w:bCs/>
                <w:sz w:val="22"/>
                <w:szCs w:val="22"/>
              </w:rPr>
              <w:t>Phạm vi sử dụng/lưu thông</w:t>
            </w:r>
          </w:p>
        </w:tc>
        <w:tc>
          <w:tcPr>
            <w:tcW w:w="26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C00D56C" w14:textId="77777777" w:rsidR="00A75B22" w:rsidRDefault="00000000">
            <w:pPr>
              <w:spacing w:line="276" w:lineRule="auto"/>
            </w:pPr>
            <w:r>
              <w:rPr>
                <w:sz w:val="22"/>
                <w:szCs w:val="22"/>
              </w:rPr>
              <w:t xml:space="preserve">☑ </w:t>
            </w:r>
            <w:proofErr w:type="gramStart"/>
            <w:r>
              <w:rPr>
                <w:sz w:val="22"/>
                <w:szCs w:val="22"/>
              </w:rPr>
              <w:t>SX  ☑</w:t>
            </w:r>
            <w:proofErr w:type="gramEnd"/>
            <w:r>
              <w:rPr>
                <w:sz w:val="22"/>
                <w:szCs w:val="22"/>
              </w:rPr>
              <w:t xml:space="preserve"> </w:t>
            </w:r>
            <w:proofErr w:type="gramStart"/>
            <w:r>
              <w:rPr>
                <w:sz w:val="22"/>
                <w:szCs w:val="22"/>
              </w:rPr>
              <w:t>NK  ☑</w:t>
            </w:r>
            <w:proofErr w:type="gramEnd"/>
            <w:r>
              <w:rPr>
                <w:sz w:val="22"/>
                <w:szCs w:val="22"/>
              </w:rPr>
              <w:t xml:space="preserve"> Lưu thông</w:t>
            </w:r>
          </w:p>
        </w:tc>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370851DF" w14:textId="77777777" w:rsidR="00A75B22" w:rsidRDefault="00000000">
            <w:pPr>
              <w:spacing w:line="276" w:lineRule="auto"/>
            </w:pPr>
            <w:r>
              <w:rPr>
                <w:b/>
                <w:bCs/>
                <w:sz w:val="22"/>
                <w:szCs w:val="22"/>
              </w:rPr>
              <w:t>Nhóm rủi ro đề xuất</w:t>
            </w:r>
          </w:p>
        </w:tc>
        <w:tc>
          <w:tcPr>
            <w:tcW w:w="24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539B658" w14:textId="77777777" w:rsidR="00A75B22" w:rsidRDefault="00000000">
            <w:pPr>
              <w:spacing w:line="276" w:lineRule="auto"/>
            </w:pPr>
            <w:r>
              <w:rPr>
                <w:b/>
                <w:bCs/>
                <w:sz w:val="22"/>
                <w:szCs w:val="22"/>
              </w:rPr>
              <w:t>☐ Trung bình   ☑ Cao</w:t>
            </w:r>
          </w:p>
        </w:tc>
      </w:tr>
      <w:tr w:rsidR="00A75B22" w14:paraId="56158FCD" w14:textId="77777777">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2495F47B" w14:textId="77777777" w:rsidR="00A75B22" w:rsidRDefault="00000000">
            <w:pPr>
              <w:spacing w:line="276" w:lineRule="auto"/>
            </w:pPr>
            <w:r>
              <w:rPr>
                <w:b/>
                <w:bCs/>
                <w:sz w:val="22"/>
                <w:szCs w:val="22"/>
              </w:rPr>
              <w:t>Đơn vị chủ trì thuyết minh</w:t>
            </w:r>
          </w:p>
        </w:tc>
        <w:tc>
          <w:tcPr>
            <w:tcW w:w="26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7D0D107" w14:textId="77777777" w:rsidR="00A75B22" w:rsidRDefault="00000000">
            <w:pPr>
              <w:spacing w:line="276" w:lineRule="auto"/>
            </w:pPr>
            <w:r>
              <w:rPr>
                <w:sz w:val="22"/>
                <w:szCs w:val="22"/>
              </w:rPr>
              <w:t>Cục Quản lý Dược – Bộ Y tế</w:t>
            </w:r>
          </w:p>
        </w:tc>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10EFB1D1" w14:textId="77777777" w:rsidR="00A75B22" w:rsidRDefault="00000000">
            <w:pPr>
              <w:spacing w:line="276" w:lineRule="auto"/>
            </w:pPr>
            <w:r>
              <w:rPr>
                <w:b/>
                <w:bCs/>
                <w:sz w:val="22"/>
                <w:szCs w:val="22"/>
              </w:rPr>
              <w:t>Nguồn dữ liệu chính</w:t>
            </w:r>
          </w:p>
        </w:tc>
        <w:tc>
          <w:tcPr>
            <w:tcW w:w="24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6856236" w14:textId="77777777" w:rsidR="00A75B22" w:rsidRDefault="00000000">
            <w:pPr>
              <w:spacing w:line="276" w:lineRule="auto"/>
            </w:pPr>
            <w:r>
              <w:rPr>
                <w:sz w:val="22"/>
                <w:szCs w:val="22"/>
              </w:rPr>
              <w:t>DI &amp; ADR; dữ liệu ngộ độc/sai sót dùng thuốc; NIOSH/USP/WHO</w:t>
            </w:r>
          </w:p>
        </w:tc>
      </w:tr>
      <w:tr w:rsidR="00A75B22" w14:paraId="476924E5" w14:textId="77777777">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143A91AE" w14:textId="77777777" w:rsidR="00A75B22" w:rsidRDefault="00000000">
            <w:pPr>
              <w:spacing w:line="276" w:lineRule="auto"/>
            </w:pPr>
            <w:r>
              <w:rPr>
                <w:b/>
                <w:bCs/>
                <w:sz w:val="22"/>
                <w:szCs w:val="22"/>
              </w:rPr>
              <w:t>Tiêu chuẩn/QCVN liên quan</w:t>
            </w:r>
          </w:p>
        </w:tc>
        <w:tc>
          <w:tcPr>
            <w:tcW w:w="26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5F36A66" w14:textId="77777777" w:rsidR="00A75B22" w:rsidRDefault="00000000">
            <w:pPr>
              <w:spacing w:line="276" w:lineRule="auto"/>
            </w:pPr>
            <w:r>
              <w:rPr>
                <w:sz w:val="22"/>
                <w:szCs w:val="22"/>
              </w:rPr>
              <w:t>Tiêu chuẩn chất lượng theo hồ sơ đăng ký; Dược điển VN</w:t>
            </w:r>
          </w:p>
        </w:tc>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064588A6" w14:textId="77777777" w:rsidR="00A75B22" w:rsidRDefault="00000000">
            <w:pPr>
              <w:spacing w:line="276" w:lineRule="auto"/>
            </w:pPr>
            <w:r>
              <w:rPr>
                <w:b/>
                <w:bCs/>
                <w:sz w:val="22"/>
                <w:szCs w:val="22"/>
              </w:rPr>
              <w:t>Kinh nghiệm quốc tế tham chiếu</w:t>
            </w:r>
          </w:p>
        </w:tc>
        <w:tc>
          <w:tcPr>
            <w:tcW w:w="24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498079F" w14:textId="77777777" w:rsidR="00A75B22" w:rsidRDefault="00000000">
            <w:pPr>
              <w:spacing w:line="276" w:lineRule="auto"/>
            </w:pPr>
            <w:r>
              <w:rPr>
                <w:sz w:val="22"/>
                <w:szCs w:val="22"/>
              </w:rPr>
              <w:t>NIOSH hazardous drugs; USP &lt;800&gt;; quản lý thuốc gây quái thai</w:t>
            </w:r>
          </w:p>
        </w:tc>
      </w:tr>
    </w:tbl>
    <w:p w14:paraId="27B93FA2" w14:textId="77777777" w:rsidR="00A75B22" w:rsidRDefault="00000000">
      <w:pPr>
        <w:pStyle w:val="Heading2"/>
        <w:spacing w:before="0" w:after="80" w:line="276" w:lineRule="auto"/>
      </w:pPr>
      <w:r>
        <w:rPr>
          <w:b w:val="0"/>
          <w:bCs w:val="0"/>
          <w:sz w:val="22"/>
          <w:szCs w:val="22"/>
        </w:rPr>
        <w:t>II. Mô tả ngắn sản phẩm và phạm vi sử dụng</w:t>
      </w:r>
    </w:p>
    <w:p w14:paraId="08CAE68C" w14:textId="77777777" w:rsidR="00A75B22" w:rsidRDefault="00000000" w:rsidP="00E36FBB">
      <w:pPr>
        <w:spacing w:after="80" w:line="276" w:lineRule="auto"/>
        <w:jc w:val="both"/>
      </w:pPr>
      <w:r>
        <w:rPr>
          <w:sz w:val="22"/>
          <w:szCs w:val="22"/>
        </w:rPr>
        <w:t>Thuốc độc là thuốc có chứa dược chất độc theo Danh mục do Bộ Y tế ban hành, thuộc nhóm thuốc phải kiểm soát đặc biệt theo Luật Dược. Nhóm này bao gồm nhiều thuốc độc tế bào (điều trị ung thư) và các dược chất có độc tính cao hoặc biên độ điều trị hẹp (vd glycosid trợ tim, colchicin, warfarin). Phạm vi đánh giá này là thuốc hóa dược chứa dược chất độc, không bao gồm dược liệu độc/vị thuốc cổ truyền (đánh giá riêng theo lĩnh vực y dược cổ truyền).</w:t>
      </w:r>
    </w:p>
    <w:p w14:paraId="6AFB4147" w14:textId="77777777" w:rsidR="00A75B22" w:rsidRDefault="00000000" w:rsidP="00E36FBB">
      <w:pPr>
        <w:spacing w:after="80" w:line="276" w:lineRule="auto"/>
        <w:jc w:val="both"/>
      </w:pPr>
      <w:r>
        <w:rPr>
          <w:sz w:val="22"/>
          <w:szCs w:val="22"/>
        </w:rPr>
        <w:t>Đặc tính nội tại của sản phẩm là độc tính trực tiếp lên người: thuốc độc tế bào gây độc cả tế bào lành, nguy cơ đột biến và quái thai; nhiều thuốc có biên độ an toàn hẹp khiến sai liều nhỏ cũng gây ngộ độc. Ngoài người bệnh, nhân viên y tế pha chế/sử dụng thuốc độc tế bào cũng có nguy cơ phơi nhiễm nghề nghiệp.</w:t>
      </w:r>
    </w:p>
    <w:p w14:paraId="44043861" w14:textId="77777777" w:rsidR="00A75B22" w:rsidRDefault="00000000">
      <w:pPr>
        <w:pStyle w:val="Heading2"/>
        <w:spacing w:before="0" w:after="80" w:line="276" w:lineRule="auto"/>
      </w:pPr>
      <w:r>
        <w:rPr>
          <w:b w:val="0"/>
          <w:bCs w:val="0"/>
          <w:sz w:val="22"/>
          <w:szCs w:val="22"/>
        </w:rPr>
        <w:t>III. Lý do đưa vào Danh mục quản lý</w:t>
      </w:r>
    </w:p>
    <w:p w14:paraId="70F3B72E" w14:textId="77777777" w:rsidR="00A75B22" w:rsidRDefault="00000000">
      <w:pPr>
        <w:spacing w:after="80" w:line="276" w:lineRule="auto"/>
      </w:pPr>
      <w:r>
        <w:rPr>
          <w:b/>
          <w:bCs/>
          <w:sz w:val="22"/>
          <w:szCs w:val="22"/>
        </w:rPr>
        <w:t>1. Căn cứ khoa học</w:t>
      </w:r>
    </w:p>
    <w:p w14:paraId="50C746A9" w14:textId="77777777" w:rsidR="00A75B22" w:rsidRDefault="00000000">
      <w:pPr>
        <w:spacing w:after="80" w:line="276" w:lineRule="auto"/>
      </w:pPr>
      <w:r>
        <w:rPr>
          <w:i/>
          <w:iCs/>
          <w:sz w:val="22"/>
          <w:szCs w:val="22"/>
        </w:rPr>
        <w:t>1.1. Mối nguy chính và cơ chế phát sinh.</w:t>
      </w:r>
    </w:p>
    <w:p w14:paraId="07EEB16B" w14:textId="77777777" w:rsidR="00A75B22" w:rsidRDefault="00000000">
      <w:pPr>
        <w:pStyle w:val="ListParagraph"/>
        <w:numPr>
          <w:ilvl w:val="0"/>
          <w:numId w:val="2"/>
        </w:numPr>
        <w:spacing w:after="80" w:line="276" w:lineRule="auto"/>
      </w:pPr>
      <w:r>
        <w:rPr>
          <w:sz w:val="22"/>
          <w:szCs w:val="22"/>
        </w:rPr>
        <w:t>Tác động trực tiếp tới sức khỏe người: gây độc cấp/mạn, tổn thương cơ quan; với thuốc độc tế bào là độc tính trên tế bào lành, nguy cơ đột biến, quái thai, ảnh hưởng sinh sản — nguy hại nội tại, hiện diện ngay cả khi đạt chất lượng và dùng đúng.</w:t>
      </w:r>
    </w:p>
    <w:p w14:paraId="6B18F830" w14:textId="77777777" w:rsidR="00A75B22" w:rsidRDefault="00000000">
      <w:pPr>
        <w:pStyle w:val="ListParagraph"/>
        <w:numPr>
          <w:ilvl w:val="0"/>
          <w:numId w:val="2"/>
        </w:numPr>
        <w:spacing w:after="80" w:line="276" w:lineRule="auto"/>
      </w:pPr>
      <w:r>
        <w:rPr>
          <w:sz w:val="22"/>
          <w:szCs w:val="22"/>
        </w:rPr>
        <w:t>Biên độ điều trị hẹp: sai liều nhỏ cũng có thể gây ngộ độc nghiêm trọng.</w:t>
      </w:r>
    </w:p>
    <w:p w14:paraId="37F62A9F" w14:textId="77777777" w:rsidR="00A75B22" w:rsidRDefault="00000000">
      <w:pPr>
        <w:pStyle w:val="ListParagraph"/>
        <w:numPr>
          <w:ilvl w:val="0"/>
          <w:numId w:val="2"/>
        </w:numPr>
        <w:spacing w:after="80" w:line="276" w:lineRule="auto"/>
      </w:pPr>
      <w:r>
        <w:rPr>
          <w:sz w:val="22"/>
          <w:szCs w:val="22"/>
        </w:rPr>
        <w:t>Phơi nhiễm nghề nghiệp và chất thải: nhân viên y tế và môi trường có thể chịu tác động nếu thiếu biện pháp bảo hộ và xử lý chất thải đúng quy định.</w:t>
      </w:r>
    </w:p>
    <w:p w14:paraId="79CDDFDD" w14:textId="77777777" w:rsidR="00A75B22" w:rsidRDefault="00000000">
      <w:pPr>
        <w:spacing w:after="80" w:line="276" w:lineRule="auto"/>
      </w:pPr>
      <w:r>
        <w:rPr>
          <w:i/>
          <w:iCs/>
          <w:sz w:val="22"/>
          <w:szCs w:val="22"/>
        </w:rPr>
        <w:t>1.2. Hậu quả/tác động trong điều kiện sử dụng bình thường.</w:t>
      </w:r>
    </w:p>
    <w:p w14:paraId="6A1213C6" w14:textId="77777777" w:rsidR="00A75B22" w:rsidRDefault="00000000">
      <w:pPr>
        <w:spacing w:after="80" w:line="276" w:lineRule="auto"/>
      </w:pPr>
      <w:r>
        <w:rPr>
          <w:sz w:val="22"/>
          <w:szCs w:val="22"/>
        </w:rPr>
        <w:t>Hậu quả nặng gồm ngộ độc, tổn thương cơ quan, tử vong, và hậu quả lâu dài (đột biến, quái thai) — đều là hậu quả đặc biệt nghiêm trọng (C = 5).</w:t>
      </w:r>
    </w:p>
    <w:p w14:paraId="528D81BF" w14:textId="77777777" w:rsidR="00A75B22" w:rsidRDefault="00000000">
      <w:pPr>
        <w:spacing w:after="80" w:line="276" w:lineRule="auto"/>
      </w:pPr>
      <w:r>
        <w:rPr>
          <w:i/>
          <w:iCs/>
          <w:sz w:val="22"/>
          <w:szCs w:val="22"/>
        </w:rPr>
        <w:t>1.3. Căn cứ kỹ thuật/pháp lý.</w:t>
      </w:r>
    </w:p>
    <w:p w14:paraId="19B76F08" w14:textId="6424E674" w:rsidR="00A75B22" w:rsidRDefault="00000000">
      <w:pPr>
        <w:spacing w:after="80" w:line="276" w:lineRule="auto"/>
      </w:pPr>
      <w:r>
        <w:rPr>
          <w:sz w:val="22"/>
          <w:szCs w:val="22"/>
        </w:rPr>
        <w:lastRenderedPageBreak/>
        <w:t xml:space="preserve">Quy định về thuốc phải kiểm soát đặc biệt (Luật Dược; </w:t>
      </w:r>
      <w:r w:rsidR="00E36FBB">
        <w:rPr>
          <w:sz w:val="22"/>
          <w:szCs w:val="22"/>
        </w:rPr>
        <w:t>NĐ hướng dẫn</w:t>
      </w:r>
      <w:r>
        <w:rPr>
          <w:sz w:val="22"/>
          <w:szCs w:val="22"/>
        </w:rPr>
        <w:t>) và Danh mục dược chất độc, nguyên liệu độc làm thuốc; tiêu chuẩn quốc tế về xử lý thuốc nguy hại (NIOSH, USP &lt;800&gt;).</w:t>
      </w:r>
    </w:p>
    <w:p w14:paraId="2D2B35F0" w14:textId="77777777" w:rsidR="00A75B22" w:rsidRDefault="00000000">
      <w:pPr>
        <w:spacing w:after="80" w:line="276" w:lineRule="auto"/>
      </w:pPr>
      <w:r>
        <w:rPr>
          <w:b/>
          <w:bCs/>
          <w:sz w:val="22"/>
          <w:szCs w:val="22"/>
        </w:rPr>
        <w:t>2. Căn cứ thực tiễn</w:t>
      </w:r>
    </w:p>
    <w:p w14:paraId="6DC0FC38" w14:textId="77777777" w:rsidR="00A75B22" w:rsidRDefault="00000000">
      <w:pPr>
        <w:pStyle w:val="ListParagraph"/>
        <w:numPr>
          <w:ilvl w:val="0"/>
          <w:numId w:val="2"/>
        </w:numPr>
        <w:spacing w:after="80" w:line="276" w:lineRule="auto"/>
      </w:pPr>
      <w:r>
        <w:rPr>
          <w:sz w:val="22"/>
          <w:szCs w:val="22"/>
        </w:rPr>
        <w:t>Độc tính trên tế bào lành là biểu hiện thường gặp khi điều trị bằng thuốc độc tế bào; dữ liệu ngộ độc và sai sót dùng thuốc với thuốc nguy cơ cao được ghi nhận.</w:t>
      </w:r>
    </w:p>
    <w:p w14:paraId="1F98EDDA" w14:textId="77777777" w:rsidR="00A75B22" w:rsidRDefault="00000000">
      <w:pPr>
        <w:pStyle w:val="ListParagraph"/>
        <w:numPr>
          <w:ilvl w:val="0"/>
          <w:numId w:val="2"/>
        </w:numPr>
        <w:spacing w:after="80" w:line="276" w:lineRule="auto"/>
      </w:pPr>
      <w:r>
        <w:rPr>
          <w:sz w:val="22"/>
          <w:szCs w:val="22"/>
        </w:rPr>
        <w:t>Sai sót cấp phát/nhầm lẫn và sản phẩm không đạt hàm lượng là rủi ro thực tế, đặc biệt nguy hiểm do biên độ điều trị hẹp.</w:t>
      </w:r>
    </w:p>
    <w:p w14:paraId="48E98143" w14:textId="77777777" w:rsidR="00A75B22" w:rsidRDefault="00000000">
      <w:pPr>
        <w:pStyle w:val="ListParagraph"/>
        <w:numPr>
          <w:ilvl w:val="0"/>
          <w:numId w:val="2"/>
        </w:numPr>
        <w:spacing w:after="80" w:line="276" w:lineRule="auto"/>
      </w:pPr>
      <w:r>
        <w:rPr>
          <w:sz w:val="22"/>
          <w:szCs w:val="22"/>
        </w:rPr>
        <w:t>Phơi nhiễm nghề nghiệp khi pha chế thuốc độc tế bào là vấn đề an toàn lao động được quốc tế cảnh báo.</w:t>
      </w:r>
    </w:p>
    <w:p w14:paraId="4110C29A" w14:textId="77777777" w:rsidR="00A75B22" w:rsidRDefault="00000000">
      <w:pPr>
        <w:spacing w:after="80" w:line="276" w:lineRule="auto"/>
      </w:pPr>
      <w:r>
        <w:rPr>
          <w:b/>
          <w:bCs/>
          <w:sz w:val="22"/>
          <w:szCs w:val="22"/>
        </w:rPr>
        <w:t>3. Kinh nghiệm quốc tế</w:t>
      </w:r>
    </w:p>
    <w:p w14:paraId="3B0670ED" w14:textId="77777777" w:rsidR="00A75B22" w:rsidRDefault="00000000">
      <w:pPr>
        <w:spacing w:after="80" w:line="276" w:lineRule="auto"/>
      </w:pPr>
      <w:r>
        <w:rPr>
          <w:sz w:val="22"/>
          <w:szCs w:val="22"/>
        </w:rPr>
        <w:t>Thuốc nguy hại (gồm thuốc độc tế bào) được quản lý chặt: NIOSH ban hành danh mục thuốc nguy hại; USP &lt;800&gt; quy định xử lý an toàn; thuốc gây quái thai áp dụng chương trình quản lý rủi ro nghiêm ngặt. Đây là mức kiểm soát dành cho nhóm rủi ro cao.</w:t>
      </w:r>
    </w:p>
    <w:p w14:paraId="01270BEB" w14:textId="77777777" w:rsidR="00A75B22" w:rsidRDefault="00000000">
      <w:pPr>
        <w:spacing w:after="80" w:line="276" w:lineRule="auto"/>
      </w:pPr>
      <w:r>
        <w:rPr>
          <w:b/>
          <w:bCs/>
          <w:sz w:val="22"/>
          <w:szCs w:val="22"/>
        </w:rPr>
        <w:t>4. Kết luận lý do đưa vào Danh mục</w:t>
      </w:r>
    </w:p>
    <w:p w14:paraId="5200E55A" w14:textId="025788FA" w:rsidR="00A75B22" w:rsidRDefault="00000000">
      <w:pPr>
        <w:spacing w:after="80" w:line="276" w:lineRule="auto"/>
      </w:pPr>
      <w:r>
        <w:rPr>
          <w:sz w:val="22"/>
          <w:szCs w:val="22"/>
        </w:rPr>
        <w:t>Thuốc độc có (i) mối nguy nội tại trực tiếp gây độc cho con người (ảnh hưởng tế bào/gen/sinh sản), mức độ tác động rất lớn (C = 5); (ii) bằng chứng thực tiễn về ngộ độc, sai sót dùng thuốc và phơi nhiễm nghề nghiệp; (iii) thông lệ quốc tế kiểm soát ở mức cao. Trên cơ sở chấm điểm (k = 1, Rmax = 16,5), kiến nghị xếp thuốc độc vào nhóm rủi ro CAO, áp dụng cho cả sản xuất, nhập khẩu và lưu thông.</w:t>
      </w:r>
    </w:p>
    <w:p w14:paraId="076B8345" w14:textId="18A38837" w:rsidR="00A75B22" w:rsidRDefault="00000000">
      <w:pPr>
        <w:pStyle w:val="Heading2"/>
        <w:spacing w:before="0" w:after="80" w:line="276" w:lineRule="auto"/>
      </w:pPr>
      <w:r>
        <w:rPr>
          <w:b w:val="0"/>
          <w:bCs w:val="0"/>
          <w:sz w:val="22"/>
          <w:szCs w:val="22"/>
        </w:rPr>
        <w:t>IV. Kiến nghị phạm vi quản lý (khung đề xuất)</w:t>
      </w:r>
      <w:r w:rsidR="00E36FBB">
        <w:rPr>
          <w:b w:val="0"/>
          <w:bCs w:val="0"/>
          <w:sz w:val="22"/>
          <w:szCs w:val="22"/>
        </w:rPr>
        <w:t xml:space="preserve">: </w:t>
      </w:r>
      <w:r w:rsidR="00E36FBB" w:rsidRPr="00E36FBB">
        <w:rPr>
          <w:b w:val="0"/>
          <w:bCs w:val="0"/>
          <w:sz w:val="22"/>
          <w:szCs w:val="22"/>
        </w:rPr>
        <w:t>thực hiện theo các quy định tại Luật Dược và các văn bản hướng dẫn.</w:t>
      </w:r>
    </w:p>
    <w:p w14:paraId="42979747" w14:textId="6E1D6CAB" w:rsidR="00A75B22" w:rsidRDefault="00A75B22">
      <w:pPr>
        <w:spacing w:after="80" w:line="276" w:lineRule="auto"/>
      </w:pPr>
    </w:p>
    <w:sectPr w:rsidR="00A75B22">
      <w:pgSz w:w="12240" w:h="15840"/>
      <w:pgMar w:top="1300" w:right="1200" w:bottom="1300" w:left="140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B0503"/>
    <w:multiLevelType w:val="hybridMultilevel"/>
    <w:tmpl w:val="D05ABCA4"/>
    <w:lvl w:ilvl="0" w:tplc="6D7E084A">
      <w:start w:val="1"/>
      <w:numFmt w:val="bullet"/>
      <w:lvlText w:val="●"/>
      <w:lvlJc w:val="left"/>
      <w:pPr>
        <w:ind w:left="720" w:hanging="360"/>
      </w:pPr>
    </w:lvl>
    <w:lvl w:ilvl="1" w:tplc="6B60CC90">
      <w:start w:val="1"/>
      <w:numFmt w:val="bullet"/>
      <w:lvlText w:val="○"/>
      <w:lvlJc w:val="left"/>
      <w:pPr>
        <w:ind w:left="1440" w:hanging="360"/>
      </w:pPr>
    </w:lvl>
    <w:lvl w:ilvl="2" w:tplc="4C7EE126">
      <w:start w:val="1"/>
      <w:numFmt w:val="bullet"/>
      <w:lvlText w:val="■"/>
      <w:lvlJc w:val="left"/>
      <w:pPr>
        <w:ind w:left="2160" w:hanging="360"/>
      </w:pPr>
    </w:lvl>
    <w:lvl w:ilvl="3" w:tplc="172E8ADA">
      <w:start w:val="1"/>
      <w:numFmt w:val="bullet"/>
      <w:lvlText w:val="●"/>
      <w:lvlJc w:val="left"/>
      <w:pPr>
        <w:ind w:left="2880" w:hanging="360"/>
      </w:pPr>
    </w:lvl>
    <w:lvl w:ilvl="4" w:tplc="76DA04F4">
      <w:start w:val="1"/>
      <w:numFmt w:val="bullet"/>
      <w:lvlText w:val="○"/>
      <w:lvlJc w:val="left"/>
      <w:pPr>
        <w:ind w:left="3600" w:hanging="360"/>
      </w:pPr>
    </w:lvl>
    <w:lvl w:ilvl="5" w:tplc="5F1E63C0">
      <w:start w:val="1"/>
      <w:numFmt w:val="bullet"/>
      <w:lvlText w:val="■"/>
      <w:lvlJc w:val="left"/>
      <w:pPr>
        <w:ind w:left="4320" w:hanging="360"/>
      </w:pPr>
    </w:lvl>
    <w:lvl w:ilvl="6" w:tplc="2DE2844A">
      <w:start w:val="1"/>
      <w:numFmt w:val="bullet"/>
      <w:lvlText w:val="●"/>
      <w:lvlJc w:val="left"/>
      <w:pPr>
        <w:ind w:left="5040" w:hanging="360"/>
      </w:pPr>
    </w:lvl>
    <w:lvl w:ilvl="7" w:tplc="9ECA5946">
      <w:start w:val="1"/>
      <w:numFmt w:val="bullet"/>
      <w:lvlText w:val="●"/>
      <w:lvlJc w:val="left"/>
      <w:pPr>
        <w:ind w:left="5760" w:hanging="360"/>
      </w:pPr>
    </w:lvl>
    <w:lvl w:ilvl="8" w:tplc="26A267AE">
      <w:start w:val="1"/>
      <w:numFmt w:val="bullet"/>
      <w:lvlText w:val="●"/>
      <w:lvlJc w:val="left"/>
      <w:pPr>
        <w:ind w:left="6480" w:hanging="360"/>
      </w:pPr>
    </w:lvl>
  </w:abstractNum>
  <w:abstractNum w:abstractNumId="1" w15:restartNumberingAfterBreak="0">
    <w:nsid w:val="1C5C2CC6"/>
    <w:multiLevelType w:val="hybridMultilevel"/>
    <w:tmpl w:val="AF5E29B0"/>
    <w:lvl w:ilvl="0" w:tplc="9ABA7A18">
      <w:start w:val="1"/>
      <w:numFmt w:val="bullet"/>
      <w:lvlText w:val="-"/>
      <w:lvlJc w:val="left"/>
      <w:pPr>
        <w:ind w:left="600" w:hanging="280"/>
      </w:pPr>
    </w:lvl>
    <w:lvl w:ilvl="1" w:tplc="8C5C1FE6">
      <w:numFmt w:val="decimal"/>
      <w:lvlText w:val=""/>
      <w:lvlJc w:val="left"/>
    </w:lvl>
    <w:lvl w:ilvl="2" w:tplc="16F4D542">
      <w:numFmt w:val="decimal"/>
      <w:lvlText w:val=""/>
      <w:lvlJc w:val="left"/>
    </w:lvl>
    <w:lvl w:ilvl="3" w:tplc="C10ED850">
      <w:numFmt w:val="decimal"/>
      <w:lvlText w:val=""/>
      <w:lvlJc w:val="left"/>
    </w:lvl>
    <w:lvl w:ilvl="4" w:tplc="2CD8CD96">
      <w:numFmt w:val="decimal"/>
      <w:lvlText w:val=""/>
      <w:lvlJc w:val="left"/>
    </w:lvl>
    <w:lvl w:ilvl="5" w:tplc="9864983A">
      <w:numFmt w:val="decimal"/>
      <w:lvlText w:val=""/>
      <w:lvlJc w:val="left"/>
    </w:lvl>
    <w:lvl w:ilvl="6" w:tplc="506CBFC6">
      <w:numFmt w:val="decimal"/>
      <w:lvlText w:val=""/>
      <w:lvlJc w:val="left"/>
    </w:lvl>
    <w:lvl w:ilvl="7" w:tplc="9C644716">
      <w:numFmt w:val="decimal"/>
      <w:lvlText w:val=""/>
      <w:lvlJc w:val="left"/>
    </w:lvl>
    <w:lvl w:ilvl="8" w:tplc="8AC4E0E6">
      <w:numFmt w:val="decimal"/>
      <w:lvlText w:val=""/>
      <w:lvlJc w:val="left"/>
    </w:lvl>
  </w:abstractNum>
  <w:num w:numId="1" w16cid:durableId="1245720118">
    <w:abstractNumId w:val="0"/>
    <w:lvlOverride w:ilvl="0">
      <w:startOverride w:val="1"/>
    </w:lvlOverride>
  </w:num>
  <w:num w:numId="2" w16cid:durableId="472212304">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displayBackgroundShape/>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5B22"/>
    <w:rsid w:val="00804B8E"/>
    <w:rsid w:val="008919DE"/>
    <w:rsid w:val="00A75B22"/>
    <w:rsid w:val="00E36F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ADCA0"/>
  <w15:docId w15:val="{AF48C7E3-82DE-49B5-BD5C-052499185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200" w:after="140"/>
      <w:outlineLvl w:val="0"/>
    </w:pPr>
    <w:rPr>
      <w:b/>
      <w:bCs/>
      <w:sz w:val="28"/>
      <w:szCs w:val="28"/>
    </w:rPr>
  </w:style>
  <w:style w:type="paragraph" w:styleId="Heading2">
    <w:name w:val="heading 2"/>
    <w:uiPriority w:val="9"/>
    <w:unhideWhenUsed/>
    <w:qFormat/>
    <w:pPr>
      <w:spacing w:before="160" w:after="100"/>
      <w:outlineLvl w:val="1"/>
    </w:pPr>
    <w:rPr>
      <w:b/>
      <w:bCs/>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555</Words>
  <Characters>3168</Characters>
  <Application>Microsoft Office Word</Application>
  <DocSecurity>0</DocSecurity>
  <Lines>26</Lines>
  <Paragraphs>7</Paragraphs>
  <ScaleCrop>false</ScaleCrop>
  <Company/>
  <LinksUpToDate>false</LinksUpToDate>
  <CharactersWithSpaces>3716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Linh Nguyen</cp:lastModifiedBy>
  <cp:revision>3</cp:revision>
  <dcterms:created xsi:type="dcterms:W3CDTF">2026-06-12T08:50:00Z</dcterms:created>
  <dcterms:modified xsi:type="dcterms:W3CDTF">2026-06-12T09:17:00Z</dcterms:modified>
</cp:coreProperties>
</file>