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20" w:type="dxa"/>
        <w:tblInd w:w="-72" w:type="dxa"/>
        <w:tblLook w:val="01E0"/>
      </w:tblPr>
      <w:tblGrid>
        <w:gridCol w:w="3727"/>
        <w:gridCol w:w="5793"/>
      </w:tblGrid>
      <w:tr w:rsidR="00B50A67" w:rsidRPr="00E80F7B" w:rsidTr="009C16EF">
        <w:trPr>
          <w:trHeight w:val="782"/>
        </w:trPr>
        <w:tc>
          <w:tcPr>
            <w:tcW w:w="3727" w:type="dxa"/>
          </w:tcPr>
          <w:p w:rsidR="00B50A67" w:rsidRPr="00E80F7B" w:rsidRDefault="00B50A67" w:rsidP="00C46576">
            <w:pPr>
              <w:widowControl w:val="0"/>
              <w:tabs>
                <w:tab w:val="left" w:pos="819"/>
                <w:tab w:val="center" w:pos="7440"/>
              </w:tabs>
              <w:jc w:val="center"/>
              <w:rPr>
                <w:b/>
                <w:bCs/>
                <w:sz w:val="26"/>
                <w:szCs w:val="26"/>
              </w:rPr>
            </w:pPr>
            <w:r w:rsidRPr="00E80F7B">
              <w:rPr>
                <w:b/>
                <w:bCs/>
                <w:sz w:val="26"/>
                <w:szCs w:val="26"/>
              </w:rPr>
              <w:t>BỘ TÀI CHÍNH</w:t>
            </w:r>
          </w:p>
          <w:p w:rsidR="00B50A67" w:rsidRPr="00E80F7B" w:rsidRDefault="009570A3" w:rsidP="00E6485E">
            <w:pPr>
              <w:widowControl w:val="0"/>
              <w:tabs>
                <w:tab w:val="center" w:pos="7440"/>
              </w:tabs>
              <w:jc w:val="center"/>
              <w:rPr>
                <w:bCs/>
                <w:sz w:val="26"/>
                <w:szCs w:val="26"/>
              </w:rPr>
            </w:pPr>
            <w:r w:rsidRPr="00E80F7B">
              <w:rPr>
                <w:b/>
                <w:bCs/>
                <w:noProof/>
                <w:sz w:val="26"/>
                <w:szCs w:val="26"/>
              </w:rPr>
              <w:pict>
                <v:line id="_x0000_s1027" style="position:absolute;left:0;text-align:left;z-index:251656704" from="69.45pt,5.9pt" to="102.6pt,5.9pt"/>
              </w:pict>
            </w:r>
          </w:p>
        </w:tc>
        <w:tc>
          <w:tcPr>
            <w:tcW w:w="5793" w:type="dxa"/>
          </w:tcPr>
          <w:p w:rsidR="00B50A67" w:rsidRPr="00E80F7B" w:rsidRDefault="00B50A67" w:rsidP="00E6485E">
            <w:pPr>
              <w:widowControl w:val="0"/>
              <w:tabs>
                <w:tab w:val="center" w:pos="7440"/>
              </w:tabs>
              <w:jc w:val="center"/>
              <w:rPr>
                <w:b/>
                <w:bCs/>
                <w:sz w:val="26"/>
                <w:szCs w:val="26"/>
              </w:rPr>
            </w:pPr>
            <w:r w:rsidRPr="00E80F7B">
              <w:rPr>
                <w:b/>
                <w:bCs/>
                <w:sz w:val="26"/>
                <w:szCs w:val="26"/>
              </w:rPr>
              <w:t xml:space="preserve">CỘNG </w:t>
            </w:r>
            <w:r w:rsidR="009105AE" w:rsidRPr="00E80F7B">
              <w:rPr>
                <w:b/>
                <w:bCs/>
                <w:sz w:val="26"/>
                <w:szCs w:val="26"/>
              </w:rPr>
              <w:t>HÒA</w:t>
            </w:r>
            <w:r w:rsidRPr="00E80F7B">
              <w:rPr>
                <w:b/>
                <w:bCs/>
                <w:sz w:val="26"/>
                <w:szCs w:val="26"/>
              </w:rPr>
              <w:t xml:space="preserve"> XÃ HỘI CHỦ NGHĨA VIỆT NAM</w:t>
            </w:r>
          </w:p>
          <w:p w:rsidR="00B50A67" w:rsidRPr="00E80F7B" w:rsidRDefault="00B50A67" w:rsidP="00E6485E">
            <w:pPr>
              <w:widowControl w:val="0"/>
              <w:tabs>
                <w:tab w:val="center" w:pos="7440"/>
              </w:tabs>
              <w:jc w:val="center"/>
              <w:rPr>
                <w:b/>
                <w:bCs/>
              </w:rPr>
            </w:pPr>
            <w:r w:rsidRPr="00E80F7B">
              <w:rPr>
                <w:b/>
                <w:bCs/>
              </w:rPr>
              <w:t>Độc lập - Tự do - hạnh phúc</w:t>
            </w:r>
          </w:p>
          <w:p w:rsidR="00B50A67" w:rsidRPr="00E80F7B" w:rsidRDefault="009570A3" w:rsidP="00E6485E">
            <w:pPr>
              <w:widowControl w:val="0"/>
              <w:tabs>
                <w:tab w:val="center" w:pos="7440"/>
              </w:tabs>
              <w:jc w:val="center"/>
              <w:rPr>
                <w:b/>
                <w:bCs/>
                <w:sz w:val="26"/>
                <w:szCs w:val="26"/>
              </w:rPr>
            </w:pPr>
            <w:r w:rsidRPr="00E80F7B">
              <w:rPr>
                <w:b/>
                <w:bCs/>
                <w:noProof/>
                <w:sz w:val="26"/>
                <w:szCs w:val="26"/>
              </w:rPr>
              <w:pict>
                <v:line id="_x0000_s1026" style="position:absolute;left:0;text-align:left;z-index:251657728" from="62.4pt,.65pt" to="214.35pt,.65pt"/>
              </w:pict>
            </w:r>
          </w:p>
        </w:tc>
      </w:tr>
      <w:tr w:rsidR="00B50A67" w:rsidRPr="00E80F7B" w:rsidTr="00BC4B3A">
        <w:tc>
          <w:tcPr>
            <w:tcW w:w="3727" w:type="dxa"/>
          </w:tcPr>
          <w:p w:rsidR="00B50A67" w:rsidRPr="00E80F7B" w:rsidRDefault="00B50A67" w:rsidP="00E6485E">
            <w:pPr>
              <w:widowControl w:val="0"/>
              <w:tabs>
                <w:tab w:val="center" w:pos="7440"/>
              </w:tabs>
              <w:jc w:val="center"/>
              <w:rPr>
                <w:bCs/>
              </w:rPr>
            </w:pPr>
            <w:r w:rsidRPr="00E80F7B">
              <w:rPr>
                <w:bCs/>
              </w:rPr>
              <w:t>Số:       /BC-BTC</w:t>
            </w:r>
          </w:p>
        </w:tc>
        <w:tc>
          <w:tcPr>
            <w:tcW w:w="5793" w:type="dxa"/>
          </w:tcPr>
          <w:p w:rsidR="00B50A67" w:rsidRPr="00E80F7B" w:rsidRDefault="00B50A67" w:rsidP="00604D1B">
            <w:pPr>
              <w:widowControl w:val="0"/>
              <w:tabs>
                <w:tab w:val="center" w:pos="7440"/>
              </w:tabs>
              <w:jc w:val="center"/>
              <w:rPr>
                <w:bCs/>
                <w:i/>
              </w:rPr>
            </w:pPr>
            <w:r w:rsidRPr="00E80F7B">
              <w:rPr>
                <w:bCs/>
                <w:i/>
              </w:rPr>
              <w:t xml:space="preserve">Hà Nội, ngày  </w:t>
            </w:r>
            <w:r w:rsidR="00D24819" w:rsidRPr="00E80F7B">
              <w:rPr>
                <w:bCs/>
                <w:i/>
              </w:rPr>
              <w:t xml:space="preserve"> </w:t>
            </w:r>
            <w:r w:rsidR="00637F9B" w:rsidRPr="00E80F7B">
              <w:rPr>
                <w:bCs/>
                <w:i/>
              </w:rPr>
              <w:t xml:space="preserve"> tháng   </w:t>
            </w:r>
            <w:r w:rsidRPr="00E80F7B">
              <w:rPr>
                <w:bCs/>
                <w:i/>
              </w:rPr>
              <w:t>năm</w:t>
            </w:r>
            <w:r w:rsidR="00D24819" w:rsidRPr="00E80F7B">
              <w:rPr>
                <w:bCs/>
                <w:i/>
              </w:rPr>
              <w:t xml:space="preserve"> </w:t>
            </w:r>
          </w:p>
        </w:tc>
      </w:tr>
    </w:tbl>
    <w:p w:rsidR="00B50A67" w:rsidRPr="00E80F7B" w:rsidRDefault="00B50A67" w:rsidP="00B50A67">
      <w:pPr>
        <w:widowControl w:val="0"/>
        <w:jc w:val="center"/>
        <w:rPr>
          <w:b/>
        </w:rPr>
      </w:pPr>
    </w:p>
    <w:p w:rsidR="00B50A67" w:rsidRPr="00E80F7B" w:rsidRDefault="00B50A67" w:rsidP="00604D1B">
      <w:pPr>
        <w:widowControl w:val="0"/>
        <w:spacing w:before="120"/>
        <w:jc w:val="center"/>
        <w:rPr>
          <w:b/>
          <w:lang w:val="nl-NL"/>
        </w:rPr>
      </w:pPr>
      <w:r w:rsidRPr="00E80F7B">
        <w:rPr>
          <w:b/>
          <w:lang w:val="nl-NL"/>
        </w:rPr>
        <w:t>BÁO CÁO</w:t>
      </w:r>
    </w:p>
    <w:p w:rsidR="00B50A67" w:rsidRPr="00E80F7B" w:rsidRDefault="007B5D24" w:rsidP="00472CB8">
      <w:pPr>
        <w:widowControl w:val="0"/>
        <w:jc w:val="center"/>
        <w:rPr>
          <w:b/>
          <w:lang w:val="nl-NL"/>
        </w:rPr>
      </w:pPr>
      <w:r w:rsidRPr="00E80F7B">
        <w:rPr>
          <w:b/>
          <w:lang w:val="nl-NL"/>
        </w:rPr>
        <w:t>Tổng kết thi hành</w:t>
      </w:r>
      <w:r w:rsidR="00EB4D70" w:rsidRPr="00E80F7B">
        <w:rPr>
          <w:b/>
          <w:lang w:val="nl-NL"/>
        </w:rPr>
        <w:t xml:space="preserve"> </w:t>
      </w:r>
      <w:r w:rsidR="00071437" w:rsidRPr="00E80F7B">
        <w:rPr>
          <w:b/>
          <w:lang w:val="nl-NL"/>
        </w:rPr>
        <w:t>Luật Thuế</w:t>
      </w:r>
      <w:r w:rsidR="00BC4FD2" w:rsidRPr="00E80F7B">
        <w:rPr>
          <w:b/>
          <w:lang w:val="nl-NL"/>
        </w:rPr>
        <w:t xml:space="preserve"> </w:t>
      </w:r>
      <w:r w:rsidR="006F0A3C" w:rsidRPr="00E80F7B">
        <w:rPr>
          <w:b/>
          <w:lang w:val="nl-NL"/>
        </w:rPr>
        <w:t>sử dụng đất phi nông nghiệp</w:t>
      </w:r>
      <w:r w:rsidR="008856DC" w:rsidRPr="00E80F7B">
        <w:rPr>
          <w:b/>
          <w:lang w:val="nl-NL"/>
        </w:rPr>
        <w:t>, Luật Thuế thu nhập doanh nghiệp</w:t>
      </w:r>
    </w:p>
    <w:p w:rsidR="000C12D5" w:rsidRPr="00E80F7B" w:rsidRDefault="009570A3" w:rsidP="000573F9">
      <w:pPr>
        <w:widowControl w:val="0"/>
        <w:spacing w:before="360" w:after="120" w:line="288" w:lineRule="auto"/>
        <w:ind w:firstLine="720"/>
        <w:jc w:val="center"/>
        <w:rPr>
          <w:iCs/>
          <w:sz w:val="8"/>
          <w:shd w:val="clear" w:color="auto" w:fill="FFFFFF"/>
          <w:lang w:val="nl-NL"/>
        </w:rPr>
      </w:pPr>
      <w:r w:rsidRPr="00E80F7B">
        <w:rPr>
          <w:b/>
          <w:bCs/>
          <w:noProof/>
          <w:sz w:val="26"/>
          <w:szCs w:val="26"/>
          <w:lang w:val="fr-FR" w:eastAsia="fr-FR"/>
        </w:rPr>
        <w:pict>
          <v:line id="_x0000_s1028" style="position:absolute;left:0;text-align:left;z-index:251658752" from="181.75pt,5.15pt" to="279pt,5.15pt"/>
        </w:pict>
      </w:r>
    </w:p>
    <w:p w:rsidR="00CA2D0D" w:rsidRPr="00E80F7B" w:rsidRDefault="00CA2D0D" w:rsidP="00CA2D0D">
      <w:pPr>
        <w:tabs>
          <w:tab w:val="left" w:pos="709"/>
        </w:tabs>
        <w:spacing w:before="120" w:after="120"/>
        <w:ind w:firstLine="720"/>
        <w:jc w:val="both"/>
        <w:rPr>
          <w:iCs/>
          <w:shd w:val="clear" w:color="auto" w:fill="FFFFFF"/>
          <w:lang w:val="nl-NL"/>
        </w:rPr>
      </w:pPr>
      <w:r w:rsidRPr="00E80F7B">
        <w:rPr>
          <w:iCs/>
          <w:shd w:val="clear" w:color="auto" w:fill="FFFFFF"/>
          <w:lang w:val="nl-NL"/>
        </w:rPr>
        <w:t>Thực hiện quy định của Luật Ban hành văn bản quy phạm pháp luật, Bộ Tài chính đã tiến hành tổng kết việc thi hành Luật Thuế sử dụng đất phi nông nghiệp (SDĐPNN) và Luật Thuế thu nhập doanh nghiệp (TNDN), trong đó có đánh giá về thực thi chính sách SDĐPNN và thuế TNDN đối với cơ sở giáo dục đào tạo. Kết quả như sau:</w:t>
      </w:r>
    </w:p>
    <w:p w:rsidR="00F66410" w:rsidRPr="00E80F7B" w:rsidRDefault="00F66410" w:rsidP="00F724C9">
      <w:pPr>
        <w:tabs>
          <w:tab w:val="left" w:pos="709"/>
        </w:tabs>
        <w:spacing w:before="120" w:after="120"/>
        <w:ind w:firstLine="720"/>
        <w:jc w:val="both"/>
        <w:rPr>
          <w:b/>
          <w:iCs/>
          <w:sz w:val="26"/>
          <w:szCs w:val="26"/>
          <w:shd w:val="clear" w:color="auto" w:fill="FFFFFF"/>
          <w:lang w:val="nl-NL"/>
        </w:rPr>
      </w:pPr>
      <w:r w:rsidRPr="00E80F7B">
        <w:rPr>
          <w:b/>
          <w:iCs/>
          <w:sz w:val="26"/>
          <w:szCs w:val="26"/>
          <w:shd w:val="clear" w:color="auto" w:fill="FFFFFF"/>
          <w:lang w:val="nl-NL"/>
        </w:rPr>
        <w:t>I. BỐI CẢNH THỰC HIỆN TỔNG KẾT</w:t>
      </w:r>
    </w:p>
    <w:p w:rsidR="00CE3B23" w:rsidRPr="00E80F7B" w:rsidRDefault="00CE3B23" w:rsidP="00F724C9">
      <w:pPr>
        <w:widowControl w:val="0"/>
        <w:spacing w:before="120" w:after="120"/>
        <w:ind w:firstLine="720"/>
        <w:jc w:val="both"/>
        <w:rPr>
          <w:b/>
          <w:lang w:val="nl-NL"/>
        </w:rPr>
      </w:pPr>
      <w:r w:rsidRPr="00E80F7B">
        <w:rPr>
          <w:b/>
          <w:lang w:val="nl-NL"/>
        </w:rPr>
        <w:t>1. Bối cảnh trong nước và quốc tế</w:t>
      </w:r>
    </w:p>
    <w:p w:rsidR="00D94BE2" w:rsidRPr="00E80F7B" w:rsidRDefault="0019299A" w:rsidP="00F724C9">
      <w:pPr>
        <w:widowControl w:val="0"/>
        <w:spacing w:before="120" w:after="120"/>
        <w:ind w:firstLine="720"/>
        <w:jc w:val="both"/>
      </w:pPr>
      <w:r w:rsidRPr="00E80F7B">
        <w:t xml:space="preserve">Hệ thống giáo dục </w:t>
      </w:r>
      <w:r w:rsidR="00D25F9C" w:rsidRPr="00E80F7B">
        <w:t xml:space="preserve">và </w:t>
      </w:r>
      <w:r w:rsidRPr="00E80F7B">
        <w:t xml:space="preserve">đào tạo của </w:t>
      </w:r>
      <w:r w:rsidRPr="00E80F7B">
        <w:rPr>
          <w:rStyle w:val="whitespace-normal"/>
        </w:rPr>
        <w:t>Việt Nam</w:t>
      </w:r>
      <w:r w:rsidRPr="00E80F7B">
        <w:t xml:space="preserve"> giữ vai trò đặc biệt quan trọng trong phát triển nguồn nhân lực, nâng cao dân trí và thúc đẩy tăng trưởng kinh tế </w:t>
      </w:r>
      <w:r w:rsidR="00AD187A" w:rsidRPr="00E80F7B">
        <w:t>-</w:t>
      </w:r>
      <w:r w:rsidRPr="00E80F7B">
        <w:t xml:space="preserve"> xã hội (KT-XH). Trong quá trình đổi mới và hội nhập quốc tế, giáo dục </w:t>
      </w:r>
      <w:r w:rsidR="00D25F9C" w:rsidRPr="00E80F7B">
        <w:t xml:space="preserve">và </w:t>
      </w:r>
      <w:r w:rsidRPr="00E80F7B">
        <w:t>đào tạo được xác định là một trong những động lực then chốt của phát triển bền vững và nâng cao năng lực cạnh tranh quốc gia.</w:t>
      </w:r>
      <w:r w:rsidR="00F917DF" w:rsidRPr="00E80F7B">
        <w:t xml:space="preserve"> </w:t>
      </w:r>
      <w:r w:rsidR="00D94BE2" w:rsidRPr="00E80F7B">
        <w:t xml:space="preserve">Nhận thức phát triển giáo dục đào tạo là quốc sách hàng đầu, quyết định tương lai của dân tộc, Đảng và Nhà nước đã ban hành nhiều chủ trương, chính sách nhằm ưu tiên phát triển giáo dục đào tạo, coi đây là động lực quan trọng để phát triển nguồn nhân lực, nâng cao dân trí và thúc đẩy tăng trưởng KT-XH. Các chính sách này tập trung vào đổi mới căn bản, toàn diện giáo dục; mở rộng cơ hội tiếp cận giáo dục; thúc đẩy xã hội hóa; tăng cường đầu tư ngân sách; đồng thời hoàn thiện cơ chế ưu đãi về thuế, đất đai và đầu tư đối với lĩnh vực giáo dục </w:t>
      </w:r>
      <w:r w:rsidR="00D25F9C" w:rsidRPr="00E80F7B">
        <w:t xml:space="preserve">và </w:t>
      </w:r>
      <w:r w:rsidR="00D94BE2" w:rsidRPr="00E80F7B">
        <w:t>đào tạo</w:t>
      </w:r>
      <w:r w:rsidR="00913BDB" w:rsidRPr="00E80F7B">
        <w:t>.</w:t>
      </w:r>
    </w:p>
    <w:p w:rsidR="0019299A" w:rsidRPr="00E80F7B" w:rsidRDefault="00F917DF" w:rsidP="00F724C9">
      <w:pPr>
        <w:widowControl w:val="0"/>
        <w:spacing w:before="120" w:after="120"/>
        <w:ind w:firstLine="720"/>
        <w:jc w:val="both"/>
      </w:pPr>
      <w:r w:rsidRPr="00E80F7B">
        <w:t xml:space="preserve">Trong bối cảnh chuyển đổi số, hội nhập quốc tế và phát triển kinh tế tri thức, hệ thống giáo dục đang đứng trước yêu cầu đổi mới toàn diện nhằm nâng cao chất lượng </w:t>
      </w:r>
      <w:r w:rsidR="00D25F9C" w:rsidRPr="00E80F7B">
        <w:t xml:space="preserve">giáo dục và </w:t>
      </w:r>
      <w:r w:rsidRPr="00E80F7B">
        <w:t>đào tạo và đáp ứng nhu cầu nhân lực chất lượng cao. Bên cạnh những thành tựu về mở rộng quy mô và nâng cao khả năng tiếp cận giáo dục, hệ thống giáo dục Việt Nam vẫn đối mặt với nhiều thách thức về chất lượng đào tạo</w:t>
      </w:r>
      <w:r w:rsidR="003F46D5" w:rsidRPr="00E80F7B">
        <w:t xml:space="preserve"> chưa đồng đều giữa các vùng miền, khoảng cách giữa đào tạo và nhu cầu thị trường lao động còn lớn, cơ sở vật chất và nguồn lực tài chính ở nhiều cơ sở giáo dục còn hạn chế</w:t>
      </w:r>
      <w:r w:rsidRPr="00E80F7B">
        <w:t>, từ đó đặt ra yêu cầu tiếp tục hoàn thiện cơ chế chính sách hỗ trợ phát triển giáo dục theo hướng bền vững và hiệu quả.</w:t>
      </w:r>
    </w:p>
    <w:p w:rsidR="00791B69" w:rsidRPr="00E80F7B" w:rsidRDefault="005D2911" w:rsidP="00F724C9">
      <w:pPr>
        <w:widowControl w:val="0"/>
        <w:spacing w:before="120" w:after="120"/>
        <w:ind w:firstLine="720"/>
        <w:jc w:val="both"/>
        <w:rPr>
          <w:lang w:val="nl-NL"/>
        </w:rPr>
      </w:pPr>
      <w:r w:rsidRPr="00E80F7B">
        <w:rPr>
          <w:lang w:val="nl-NL"/>
        </w:rPr>
        <w:t>Hệ thống thể chế về giáo dục đào tạo trong những năm vừa qua được hoàn thiện đầy đủ</w:t>
      </w:r>
      <w:r w:rsidRPr="00E80F7B">
        <w:rPr>
          <w:rStyle w:val="FootnoteReference"/>
          <w:lang w:val="nl-NL"/>
        </w:rPr>
        <w:footnoteReference w:id="1"/>
      </w:r>
      <w:r w:rsidRPr="00E80F7B">
        <w:rPr>
          <w:lang w:val="nl-NL"/>
        </w:rPr>
        <w:t xml:space="preserve">. Luật Giáo dục </w:t>
      </w:r>
      <w:r w:rsidR="00AD187A" w:rsidRPr="00E80F7B">
        <w:rPr>
          <w:lang w:val="nl-NL"/>
        </w:rPr>
        <w:t xml:space="preserve">năm </w:t>
      </w:r>
      <w:r w:rsidRPr="00E80F7B">
        <w:rPr>
          <w:lang w:val="nl-NL"/>
        </w:rPr>
        <w:t xml:space="preserve">2019 đã khẳng định </w:t>
      </w:r>
      <w:r w:rsidRPr="00E80F7B">
        <w:rPr>
          <w:i/>
          <w:lang w:val="nl-NL"/>
        </w:rPr>
        <w:t xml:space="preserve">Nhà nước khuyến </w:t>
      </w:r>
      <w:r w:rsidRPr="00E80F7B">
        <w:rPr>
          <w:i/>
          <w:lang w:val="nl-NL"/>
        </w:rPr>
        <w:lastRenderedPageBreak/>
        <w:t>khích, tạo điều kiện cho tổ chức, cá nhân đầu tư, đóng góp trí tuệ, công sức, tài sản cho giáo dục.</w:t>
      </w:r>
      <w:r w:rsidRPr="00E80F7B">
        <w:rPr>
          <w:lang w:val="nl-NL"/>
        </w:rPr>
        <w:t xml:space="preserve"> Điều 85 và Điều 103 Luật Giáo dục </w:t>
      </w:r>
      <w:r w:rsidR="00AD187A" w:rsidRPr="00E80F7B">
        <w:rPr>
          <w:lang w:val="nl-NL"/>
        </w:rPr>
        <w:t xml:space="preserve">năm </w:t>
      </w:r>
      <w:r w:rsidRPr="00E80F7B">
        <w:rPr>
          <w:lang w:val="nl-NL"/>
        </w:rPr>
        <w:t xml:space="preserve">2019 đã cụ thể </w:t>
      </w:r>
      <w:r w:rsidRPr="00E80F7B">
        <w:rPr>
          <w:i/>
          <w:lang w:val="nl-NL"/>
        </w:rPr>
        <w:t xml:space="preserve">chính sách ưu đãi đối với trường dân lập, trường tư thục. </w:t>
      </w:r>
      <w:r w:rsidR="009207E5" w:rsidRPr="00E80F7B">
        <w:rPr>
          <w:lang w:val="nl-NL"/>
        </w:rPr>
        <w:t xml:space="preserve">Năm 2025, Bộ Chính trị ban hành Nghị quyết số 71-NQ/TW ngày 22/8/2025 về đột phá phát triển giáo dục và đào tạo, với quan điểm </w:t>
      </w:r>
      <w:r w:rsidR="009207E5" w:rsidRPr="00E80F7B">
        <w:rPr>
          <w:i/>
          <w:lang w:val="nl-NL"/>
        </w:rPr>
        <w:t>“giáo dục công lập là trụ cột, giáo dục ngoài công lập là thành phần quan trọng cấu thành hệ thống giáo dục quốc dân; xây dựng nền tảng giáo dục mở, liên thông, bảo đảm cơ hội học tập công bằng, bình đẳng cho mọi người, đáp ứng nhu cầu xã hội, thúc đẩy học tập suốt đời”</w:t>
      </w:r>
      <w:r w:rsidR="009207E5" w:rsidRPr="00E80F7B">
        <w:rPr>
          <w:lang w:val="nl-NL"/>
        </w:rPr>
        <w:t xml:space="preserve">; </w:t>
      </w:r>
      <w:r w:rsidR="00463E6D" w:rsidRPr="00E80F7B">
        <w:rPr>
          <w:lang w:val="nl-NL"/>
        </w:rPr>
        <w:t xml:space="preserve">đổi mới mạnh mẽ thể chế, tạo cơ chế, chính sách đặc thù, vượt trội cho phát triển giáo dục </w:t>
      </w:r>
      <w:r w:rsidR="00D25F9C" w:rsidRPr="00E80F7B">
        <w:rPr>
          <w:lang w:val="nl-NL"/>
        </w:rPr>
        <w:t xml:space="preserve">và </w:t>
      </w:r>
      <w:r w:rsidR="00463E6D" w:rsidRPr="00E80F7B">
        <w:rPr>
          <w:lang w:val="nl-NL"/>
        </w:rPr>
        <w:t>đào tạo. Tiếp tục xây dựng cơ chế, chính sách đủ mạnh khuyến khích tổ chức, doanh nghiệp đầu tư phát triển giáo dục đào tạo</w:t>
      </w:r>
      <w:r w:rsidR="00AD187A" w:rsidRPr="00E80F7B">
        <w:rPr>
          <w:lang w:val="nl-NL"/>
        </w:rPr>
        <w:t>,</w:t>
      </w:r>
      <w:r w:rsidR="00791B69" w:rsidRPr="00E80F7B">
        <w:rPr>
          <w:lang w:val="nl-NL"/>
        </w:rPr>
        <w:t xml:space="preserve"> </w:t>
      </w:r>
      <w:r w:rsidR="00AD187A" w:rsidRPr="00E80F7B">
        <w:rPr>
          <w:lang w:val="nl-NL"/>
        </w:rPr>
        <w:t>t</w:t>
      </w:r>
      <w:r w:rsidR="00791B69" w:rsidRPr="00E80F7B">
        <w:rPr>
          <w:lang w:val="nl-NL"/>
        </w:rPr>
        <w:t xml:space="preserve">hực hiện chính sách khuyến khích xã hội hóa trong lĩnh vực giáo dục đào tạo, Nhà nước đã ban hành </w:t>
      </w:r>
      <w:r w:rsidR="00AD187A" w:rsidRPr="00E80F7B">
        <w:rPr>
          <w:shd w:val="clear" w:color="auto" w:fill="FFFFFF"/>
        </w:rPr>
        <w:t>các</w:t>
      </w:r>
      <w:r w:rsidR="005D25D0" w:rsidRPr="00E80F7B">
        <w:rPr>
          <w:shd w:val="clear" w:color="auto" w:fill="FFFFFF"/>
        </w:rPr>
        <w:t xml:space="preserve"> văn bản quy phạm pháp luật khuyến khích xã hội hóa, được đánh giá là tương đối đầy đủ, phù hợp với thực tiễn.</w:t>
      </w:r>
    </w:p>
    <w:p w:rsidR="005E7582" w:rsidRPr="00E80F7B" w:rsidRDefault="005E7582" w:rsidP="00F724C9">
      <w:pPr>
        <w:widowControl w:val="0"/>
        <w:spacing w:before="120" w:after="120"/>
        <w:ind w:firstLine="720"/>
        <w:jc w:val="both"/>
      </w:pPr>
      <w:r w:rsidRPr="00E80F7B">
        <w:t xml:space="preserve">So với các quốc gia trên thế giới, giáo dục Việt Nam đang ở giai đoạn “chuyển đổi và mở rộng”, trong khi các nước OECD đã chuyển sang giai đoạn tái cấu trúc và tối ưu hóa hệ thống giáo dục dựa trên công nghệ, năng lực và toàn cầu hóa. Bối cảnh phát triển giáo dục của các quốc gia hiện nay chịu tác động mạnh mẽ của quá trình chuyển đổi sang nền kinh tế tri thức, toàn cầu hóa và chuyển đổi số. Giáo dục ngày càng đóng vai trò trung tâm trong chiến lược phát triển quốc gia, với trọng tâm là phát triển nguồn nhân lực chất lượng cao, có năng lực sáng tạo và khả năng thích ứng với thay đổi của thị trường lao động. Đồng thời, xu hướng già hóa dân số tại nhiều quốc gia phát triển thúc đẩy sự phát triển của giáo dục suốt đời và đào tạo lại kỹ năng, trong khi chuyển đổi số làm thay đổi căn bản phương thức dạy và học, hướng tới mô hình giáo dục linh hoạt, cá nhân hóa và xuyên biên giới. </w:t>
      </w:r>
    </w:p>
    <w:p w:rsidR="00791B69" w:rsidRPr="00E80F7B" w:rsidRDefault="005E7582" w:rsidP="00F724C9">
      <w:pPr>
        <w:widowControl w:val="0"/>
        <w:spacing w:before="120" w:after="120"/>
        <w:ind w:firstLine="720"/>
        <w:jc w:val="both"/>
      </w:pPr>
      <w:r w:rsidRPr="00E80F7B">
        <w:t>Với quan điểm nguyên tắc nền tảng giáo dục là dịch vụ công có tính chất đặc biệt, Nhà nước cần can thiệp và hỗ trợ từ chính sách tài khóa, trong đó ưu đãi tập trung giảm chi phí tiếp cận giáo dục, khuyến khích đầu tư xã hội và</w:t>
      </w:r>
      <w:r w:rsidR="00D25F9C" w:rsidRPr="00E80F7B">
        <w:t>o</w:t>
      </w:r>
      <w:r w:rsidRPr="00E80F7B">
        <w:t xml:space="preserve"> giáo dục</w:t>
      </w:r>
      <w:r w:rsidR="00FC43BE" w:rsidRPr="00E80F7B">
        <w:t>, thúc</w:t>
      </w:r>
      <w:r w:rsidRPr="00E80F7B">
        <w:t xml:space="preserve"> đẩy giáo dục phi lợi nhuận. Ưu đãi trong giáo dục không chỉ là công cụ tài khóa mà là chính sách phát triển nguồn nhân lực, trong đó trọng tâm là miễn hoặc giảm thuế cho cơ sở giáo dục công lập và phi lợi nhuận, đồng thời khuyến khích đầu tư xã hội vào giáo dục</w:t>
      </w:r>
      <w:r w:rsidR="00791B69" w:rsidRPr="00E80F7B">
        <w:t>, hỗ trợ trực tiếp người học</w:t>
      </w:r>
      <w:r w:rsidRPr="00E80F7B">
        <w:t xml:space="preserve"> và bảo đảm khả năng tiếp cận giáo dục cho mọi tầng lớp dân cư.</w:t>
      </w:r>
      <w:r w:rsidR="00791B69" w:rsidRPr="00E80F7B">
        <w:t xml:space="preserve"> Chính sách ưu đãi phát triển giáo dục của các quốc gia hiện nay đều hướng tới mục tiêu chung là mở rộng tiếp cận giáo dục, nâng cao chất lượng nguồn nhân lực và khuyến khích xã hội hóa giáo dục. Trong khi Việt Nam tập trung vào mở rộng quy mô và xã hội hóa hệ thống giáo dục, thì các nước OECD đã phát triển hệ thống ưu đãi theo hướng phân tầng, gắn chặt với hiệu quả, chất lượng và cơ chế thị trường</w:t>
      </w:r>
      <w:r w:rsidR="005D25D0" w:rsidRPr="00E80F7B">
        <w:t>.</w:t>
      </w:r>
    </w:p>
    <w:p w:rsidR="005E7582" w:rsidRPr="00E80F7B" w:rsidRDefault="005D25D0" w:rsidP="00F724C9">
      <w:pPr>
        <w:widowControl w:val="0"/>
        <w:spacing w:before="120" w:after="120"/>
        <w:ind w:firstLine="720"/>
        <w:jc w:val="both"/>
        <w:rPr>
          <w:lang w:val="nl-NL"/>
        </w:rPr>
      </w:pPr>
      <w:r w:rsidRPr="00E80F7B">
        <w:rPr>
          <w:lang w:val="nl-NL"/>
        </w:rPr>
        <w:t xml:space="preserve">Để thực hiện mục tiêu tăng cường huy động các nguồn lực của xã hội, thu hút nguồn lực tổ chức, cá nhân trong và ngoài nước đầu tư cho phát triển giáo </w:t>
      </w:r>
      <w:r w:rsidRPr="00E80F7B">
        <w:rPr>
          <w:lang w:val="nl-NL"/>
        </w:rPr>
        <w:lastRenderedPageBreak/>
        <w:t>dục và đào tạo, nâng cao chất lượng giáo dục và đào tạo nhân lực đáp ứng yêu cầu của cách mạng 4.0 và hội nhập quốc tế, việc hoàn thiện thể chế, chí</w:t>
      </w:r>
      <w:r w:rsidR="00FC7B34" w:rsidRPr="00E80F7B">
        <w:rPr>
          <w:lang w:val="nl-NL"/>
        </w:rPr>
        <w:t>nh sách đột phá phát triển giáo</w:t>
      </w:r>
      <w:r w:rsidR="00D25F9C" w:rsidRPr="00E80F7B">
        <w:rPr>
          <w:lang w:val="nl-NL"/>
        </w:rPr>
        <w:t xml:space="preserve"> </w:t>
      </w:r>
      <w:r w:rsidRPr="00E80F7B">
        <w:rPr>
          <w:lang w:val="nl-NL"/>
        </w:rPr>
        <w:t xml:space="preserve">dục </w:t>
      </w:r>
      <w:r w:rsidR="00FC7B34" w:rsidRPr="00E80F7B">
        <w:rPr>
          <w:lang w:val="nl-NL"/>
        </w:rPr>
        <w:t xml:space="preserve">và </w:t>
      </w:r>
      <w:r w:rsidRPr="00E80F7B">
        <w:rPr>
          <w:lang w:val="nl-NL"/>
        </w:rPr>
        <w:t>đào tạo là cần thiết.</w:t>
      </w:r>
    </w:p>
    <w:p w:rsidR="005D25D0" w:rsidRPr="00E80F7B" w:rsidRDefault="005D25D0" w:rsidP="00F724C9">
      <w:pPr>
        <w:spacing w:before="120" w:after="120"/>
        <w:ind w:firstLine="720"/>
        <w:jc w:val="both"/>
        <w:rPr>
          <w:b/>
        </w:rPr>
      </w:pPr>
      <w:r w:rsidRPr="00E80F7B">
        <w:rPr>
          <w:b/>
        </w:rPr>
        <w:t>2. Quá trình thực hiện tổng kết, đánh giá</w:t>
      </w:r>
    </w:p>
    <w:p w:rsidR="005D25D0" w:rsidRPr="00E80F7B" w:rsidRDefault="005D25D0" w:rsidP="00F724C9">
      <w:pPr>
        <w:spacing w:before="120" w:after="120"/>
        <w:ind w:firstLine="720"/>
        <w:jc w:val="both"/>
      </w:pPr>
      <w:r w:rsidRPr="00E80F7B">
        <w:t>Thực hiện các định hướng của Đảng và Nhà nước, ý kiến chỉ đạo của các cấp về xây dựng và hoàn thiện đồng bộ hệ thống pháp luật, Bộ Tài chính đã phối hợp với các Bộ, ngành, địa phương tổ chức thực hiện đánh giá tổng kết thực hiện Luật Thuế SDĐPNN, Luật thuế TNDN như sau:</w:t>
      </w:r>
    </w:p>
    <w:p w:rsidR="005D25D0" w:rsidRPr="00E80F7B" w:rsidRDefault="005D25D0" w:rsidP="00F724C9">
      <w:pPr>
        <w:spacing w:before="120" w:after="120"/>
        <w:ind w:firstLine="720"/>
        <w:jc w:val="both"/>
        <w:rPr>
          <w:lang w:val="nl-NL"/>
        </w:rPr>
      </w:pPr>
      <w:r w:rsidRPr="00E80F7B">
        <w:rPr>
          <w:lang w:val="nl-NL"/>
        </w:rPr>
        <w:t xml:space="preserve">- Thực hiện Kế hoạch số 81/KH-UBTVQH15 ngày 05/11/2021 của Ủy ban Thường vụ Quốc hội, Quyết định số 2114/QĐ-TTg ngày 16/12/2021 của Thủ tướng Chính phủ ban hành Kế hoạch thực hiện Kết luận số 19-KL/TW của Bộ Chính trị và Đề án Định hướng Chương trình xây dựng pháp luật nhiệm kỳ Quốc hội khóa XV, Bộ Tài chính đã tổng hợp ý kiến các Bộ, ngành, địa phương và kinh nghiệm quốc tế để xây dựng Báo cáo nghiên cứu, rà soát các luật thuế, trong đó có thuế SDĐPNN, thuế </w:t>
      </w:r>
      <w:r w:rsidR="001B0649" w:rsidRPr="00E80F7B">
        <w:rPr>
          <w:lang w:val="nl-NL"/>
        </w:rPr>
        <w:t>SDĐNN</w:t>
      </w:r>
      <w:r w:rsidRPr="00E80F7B">
        <w:rPr>
          <w:lang w:val="nl-NL"/>
        </w:rPr>
        <w:t xml:space="preserve">, thuế TNDN. Theo đó, ngày 16/3/2023, Chính phủ đã có Báo cáo số 71/BC-CP gửi Ủy ban Thường vụ Quốc hội về Kết quả triển khai thực hiện Kế hoạch số 81/KH-UBTVQH15, trong đó đã báo cáo kết quả rà soát, nghiên cứu đối với </w:t>
      </w:r>
      <w:r w:rsidR="001B0649" w:rsidRPr="00E80F7B">
        <w:rPr>
          <w:lang w:val="nl-NL"/>
        </w:rPr>
        <w:t xml:space="preserve">các </w:t>
      </w:r>
      <w:r w:rsidRPr="00E80F7B">
        <w:rPr>
          <w:lang w:val="nl-NL"/>
        </w:rPr>
        <w:t>Luật Thuế.</w:t>
      </w:r>
    </w:p>
    <w:p w:rsidR="00080171" w:rsidRPr="00E80F7B" w:rsidRDefault="005D25D0" w:rsidP="00080171">
      <w:pPr>
        <w:spacing w:before="120" w:after="120"/>
        <w:ind w:firstLine="720"/>
        <w:jc w:val="both"/>
        <w:rPr>
          <w:shd w:val="clear" w:color="auto" w:fill="FFFFFF"/>
          <w:lang w:val="nl-NL"/>
        </w:rPr>
      </w:pPr>
      <w:r w:rsidRPr="00E80F7B">
        <w:rPr>
          <w:lang w:val="nl-NL"/>
        </w:rPr>
        <w:t>- Thực hiện Nghị quyết số 123/2026/UBTVQH15 ngày 0</w:t>
      </w:r>
      <w:r w:rsidRPr="00E80F7B">
        <w:rPr>
          <w:shd w:val="clear" w:color="auto" w:fill="FFFFFF"/>
          <w:lang w:val="nl-NL"/>
        </w:rPr>
        <w:t>3/4/2026 của Ủy ban Thường vụ Quốc hội quy định bổ sung vào chương trình lập pháp năm 2026 trình Quốc hội cho ý kiến và thông qua tại kỳ họp thứ 2 (tháng 10/2026) đối với dự án Luật sửa đổi, bổ sung một số điều của Luật Thuế SDĐPNN, Bộ Tài chính đã có công văn số 4081/BTC-CST ngày 02/4/2026 gửi Bộ Giáo dục và Đào tạo về nghiên cứu, tổng kết, đánh giá và đề xuất sửa đổi Luật Thuế SDĐPNN.</w:t>
      </w:r>
      <w:r w:rsidR="008B0CBD" w:rsidRPr="00E80F7B">
        <w:rPr>
          <w:shd w:val="clear" w:color="auto" w:fill="FFFFFF"/>
          <w:lang w:val="nl-NL"/>
        </w:rPr>
        <w:t xml:space="preserve"> Bộ Tài chính (Cục Thuế) cũng đã có công văn yêu cầu Thuế </w:t>
      </w:r>
      <w:r w:rsidR="000573F9" w:rsidRPr="00E80F7B">
        <w:rPr>
          <w:shd w:val="clear" w:color="auto" w:fill="FFFFFF"/>
          <w:lang w:val="nl-NL"/>
        </w:rPr>
        <w:t xml:space="preserve">các </w:t>
      </w:r>
      <w:r w:rsidR="008B0CBD" w:rsidRPr="00E80F7B">
        <w:rPr>
          <w:shd w:val="clear" w:color="auto" w:fill="FFFFFF"/>
          <w:lang w:val="nl-NL"/>
        </w:rPr>
        <w:t>tỉnh, thành phố thực hiện việc tổng kết, đánh giá thi hành Luật.</w:t>
      </w:r>
    </w:p>
    <w:p w:rsidR="00B2774B" w:rsidRPr="00E80F7B" w:rsidRDefault="00B2774B" w:rsidP="00B2774B">
      <w:pPr>
        <w:spacing w:before="120" w:after="120"/>
        <w:ind w:firstLine="720"/>
        <w:jc w:val="both"/>
      </w:pPr>
      <w:r w:rsidRPr="00E80F7B">
        <w:rPr>
          <w:shd w:val="clear" w:color="auto" w:fill="FFFFFF"/>
          <w:lang w:val="nl-NL"/>
        </w:rPr>
        <w:t>- N</w:t>
      </w:r>
      <w:r w:rsidRPr="00E80F7B">
        <w:rPr>
          <w:lang w:val="nl-NL"/>
        </w:rPr>
        <w:t xml:space="preserve">gày 14/6/2025, Quốc hội thông qua Luật Thuế TNDN số 67/2025/QH15, có hiệu lực thi hành kể từ ngày 01/10/2025 và áp dụng từ kỳ tính thuế TNDN năm 2025. </w:t>
      </w:r>
      <w:r w:rsidRPr="00E80F7B">
        <w:t>Bộ Tài chính kịp thời, chủ động trong công tác tổ chức triển khai Luật thuế TNDN và chỉ đạo tổ chức các hoạt động cần thiết để đưa Luật thuế TNDN vào thực tiễn, cụ thể:</w:t>
      </w:r>
    </w:p>
    <w:p w:rsidR="00B2774B" w:rsidRPr="00E80F7B" w:rsidRDefault="00B2774B" w:rsidP="00B2774B">
      <w:pPr>
        <w:spacing w:before="120" w:after="120"/>
        <w:ind w:firstLine="720"/>
        <w:jc w:val="both"/>
      </w:pPr>
      <w:r w:rsidRPr="00E80F7B">
        <w:t xml:space="preserve">+ Bộ Tài chính đã trình Chính phủ ban hành </w:t>
      </w:r>
      <w:r w:rsidRPr="00E80F7B">
        <w:rPr>
          <w:bCs/>
        </w:rPr>
        <w:t xml:space="preserve">Nghị định số </w:t>
      </w:r>
      <w:r w:rsidRPr="00E80F7B">
        <w:t>320/2025/NĐ-CP ngày 15/12/2025 quy định chi tiết một số điều và biện pháp để tổ chức, hướng dẫn thi hành Luật Thuế TNDN.</w:t>
      </w:r>
    </w:p>
    <w:p w:rsidR="00080171" w:rsidRPr="00E80F7B" w:rsidRDefault="00B2774B" w:rsidP="00B2774B">
      <w:pPr>
        <w:spacing w:before="120" w:after="120"/>
        <w:ind w:firstLine="720"/>
        <w:jc w:val="both"/>
        <w:rPr>
          <w:shd w:val="clear" w:color="auto" w:fill="FFFFFF"/>
          <w:lang w:val="nl-NL"/>
        </w:rPr>
      </w:pPr>
      <w:r w:rsidRPr="00E80F7B">
        <w:t>+ Bộ Tài chính đã ban hành Thông tư số 20/2026/TT-BTC ngày 12/3/2026 q</w:t>
      </w:r>
      <w:r w:rsidRPr="00E80F7B">
        <w:rPr>
          <w:kern w:val="2"/>
          <w:lang w:val="nl-NL"/>
        </w:rPr>
        <w:t xml:space="preserve">uy định chi tiết một số điều của Luật Thuế </w:t>
      </w:r>
      <w:r w:rsidR="000573F9" w:rsidRPr="00E80F7B">
        <w:rPr>
          <w:kern w:val="2"/>
          <w:lang w:val="nl-NL"/>
        </w:rPr>
        <w:t>TNDN</w:t>
      </w:r>
      <w:r w:rsidRPr="00E80F7B">
        <w:rPr>
          <w:kern w:val="2"/>
          <w:lang w:val="nl-NL"/>
        </w:rPr>
        <w:t xml:space="preserve"> và Nghị định số </w:t>
      </w:r>
      <w:r w:rsidRPr="00E80F7B">
        <w:rPr>
          <w:kern w:val="2"/>
          <w:lang w:val="vi-VN"/>
        </w:rPr>
        <w:t>320</w:t>
      </w:r>
      <w:r w:rsidRPr="00E80F7B">
        <w:rPr>
          <w:kern w:val="2"/>
          <w:lang w:val="nl-NL"/>
        </w:rPr>
        <w:t xml:space="preserve">/2025/NĐ-CP của Chính phủ quy định chi tiết một số điều và biện pháp để tổ chức, hướng dẫn thi hành Luật Thuế </w:t>
      </w:r>
      <w:r w:rsidR="000573F9" w:rsidRPr="00E80F7B">
        <w:rPr>
          <w:kern w:val="2"/>
          <w:lang w:val="nl-NL"/>
        </w:rPr>
        <w:t>TNDN</w:t>
      </w:r>
      <w:r w:rsidRPr="00E80F7B">
        <w:rPr>
          <w:kern w:val="2"/>
          <w:lang w:val="nl-NL"/>
        </w:rPr>
        <w:t>.</w:t>
      </w:r>
    </w:p>
    <w:p w:rsidR="005D25D0" w:rsidRPr="00E80F7B" w:rsidRDefault="005D25D0" w:rsidP="00F724C9">
      <w:pPr>
        <w:spacing w:before="120" w:after="120"/>
        <w:ind w:firstLine="720"/>
        <w:jc w:val="both"/>
        <w:rPr>
          <w:b/>
          <w:lang w:val="nl-NL"/>
        </w:rPr>
      </w:pPr>
      <w:r w:rsidRPr="00E80F7B">
        <w:rPr>
          <w:b/>
          <w:lang w:val="nl-NL"/>
        </w:rPr>
        <w:t>II. KẾT QUẢ THỰC HIỆN</w:t>
      </w:r>
    </w:p>
    <w:p w:rsidR="005D25D0" w:rsidRPr="00E80F7B" w:rsidRDefault="005D25D0" w:rsidP="00F724C9">
      <w:pPr>
        <w:widowControl w:val="0"/>
        <w:spacing w:before="120" w:after="120"/>
        <w:ind w:firstLine="720"/>
        <w:jc w:val="both"/>
        <w:rPr>
          <w:b/>
          <w:bCs/>
          <w:lang w:val="nl-NL"/>
        </w:rPr>
      </w:pPr>
      <w:r w:rsidRPr="00E80F7B">
        <w:rPr>
          <w:b/>
          <w:bCs/>
          <w:lang w:val="nl-NL"/>
        </w:rPr>
        <w:t>1. Công tác chỉ đạo, triển khai và tổ chức thi hành Luật Thuế SDĐPNN</w:t>
      </w:r>
    </w:p>
    <w:p w:rsidR="00231063" w:rsidRPr="00E80F7B" w:rsidRDefault="00231063" w:rsidP="00F724C9">
      <w:pPr>
        <w:widowControl w:val="0"/>
        <w:spacing w:before="120" w:after="120"/>
        <w:ind w:firstLine="720"/>
        <w:jc w:val="both"/>
        <w:rPr>
          <w:lang w:val="pt-BR"/>
        </w:rPr>
      </w:pPr>
      <w:r w:rsidRPr="00E80F7B">
        <w:rPr>
          <w:lang w:val="pt-BR"/>
        </w:rPr>
        <w:lastRenderedPageBreak/>
        <w:t>a) Tình hình triển khai ban hành văn bản hướng dẫn thực hiện Luật thuế SDĐPNN</w:t>
      </w:r>
    </w:p>
    <w:p w:rsidR="005D25D0" w:rsidRPr="00E80F7B" w:rsidRDefault="005D25D0" w:rsidP="00F724C9">
      <w:pPr>
        <w:spacing w:before="120" w:after="120"/>
        <w:ind w:firstLine="720"/>
        <w:jc w:val="both"/>
        <w:rPr>
          <w:lang w:val="nl-NL"/>
        </w:rPr>
      </w:pPr>
      <w:r w:rsidRPr="00E80F7B">
        <w:rPr>
          <w:bCs/>
          <w:lang w:val="nl-NL"/>
        </w:rPr>
        <w:t xml:space="preserve">Luật Thuế SDĐPNN được Quốc hội </w:t>
      </w:r>
      <w:r w:rsidRPr="00E80F7B">
        <w:rPr>
          <w:lang w:val="nl-NL"/>
        </w:rPr>
        <w:t>khoá XII, kỳ họp thứ 7 thông qua ngày 17/</w:t>
      </w:r>
      <w:r w:rsidR="008B0CBD" w:rsidRPr="00E80F7B">
        <w:rPr>
          <w:lang w:val="nl-NL"/>
        </w:rPr>
        <w:t>6</w:t>
      </w:r>
      <w:r w:rsidRPr="00E80F7B">
        <w:rPr>
          <w:lang w:val="nl-NL"/>
        </w:rPr>
        <w:t>/2010</w:t>
      </w:r>
      <w:r w:rsidRPr="00E80F7B">
        <w:rPr>
          <w:iCs/>
          <w:lang w:val="nl-NL"/>
        </w:rPr>
        <w:t xml:space="preserve">. </w:t>
      </w:r>
      <w:r w:rsidRPr="00E80F7B">
        <w:rPr>
          <w:spacing w:val="-2"/>
          <w:lang w:val="pt-BR"/>
        </w:rPr>
        <w:t xml:space="preserve">Sau khi Luật Thuế </w:t>
      </w:r>
      <w:r w:rsidRPr="00E80F7B">
        <w:rPr>
          <w:bCs/>
          <w:iCs/>
          <w:spacing w:val="-2"/>
          <w:lang w:val="nl-NL"/>
        </w:rPr>
        <w:t>SDĐPNN</w:t>
      </w:r>
      <w:r w:rsidRPr="00E80F7B">
        <w:rPr>
          <w:spacing w:val="-2"/>
          <w:lang w:val="pt-BR"/>
        </w:rPr>
        <w:t xml:space="preserve"> được ban hành,</w:t>
      </w:r>
      <w:r w:rsidRPr="00E80F7B">
        <w:rPr>
          <w:iCs/>
          <w:lang w:val="nl-NL"/>
        </w:rPr>
        <w:t xml:space="preserve"> Chính phủ đã ban hành </w:t>
      </w:r>
      <w:r w:rsidRPr="00E80F7B">
        <w:rPr>
          <w:lang w:val="nl-NL"/>
        </w:rPr>
        <w:t>Nghị định số 53/2011/NĐ-CP</w:t>
      </w:r>
      <w:r w:rsidRPr="00E80F7B">
        <w:rPr>
          <w:bCs/>
          <w:lang w:val="nl-NL"/>
        </w:rPr>
        <w:t xml:space="preserve"> ngày 01/7/2011 </w:t>
      </w:r>
      <w:r w:rsidRPr="00E80F7B">
        <w:rPr>
          <w:lang w:val="nl-NL"/>
        </w:rPr>
        <w:t xml:space="preserve">quy định chi tiết và hướng dẫn thi hành một số điều của Luật Thuế </w:t>
      </w:r>
      <w:r w:rsidRPr="00E80F7B">
        <w:rPr>
          <w:bCs/>
          <w:iCs/>
          <w:lang w:val="nl-NL"/>
        </w:rPr>
        <w:t>SDĐPNN</w:t>
      </w:r>
      <w:r w:rsidRPr="00E80F7B">
        <w:rPr>
          <w:lang w:val="nl-NL"/>
        </w:rPr>
        <w:t xml:space="preserve">; Bộ Tài chính đã ban hành </w:t>
      </w:r>
      <w:r w:rsidRPr="00E80F7B">
        <w:rPr>
          <w:bCs/>
          <w:lang w:val="nl-NL"/>
        </w:rPr>
        <w:t xml:space="preserve">Thông tư số </w:t>
      </w:r>
      <w:r w:rsidRPr="00E80F7B">
        <w:rPr>
          <w:lang w:val="nl-NL"/>
        </w:rPr>
        <w:t xml:space="preserve">153/2011/TT-BTC ngày 11/11/2011 hướng dẫn về thuế </w:t>
      </w:r>
      <w:r w:rsidRPr="00E80F7B">
        <w:rPr>
          <w:bCs/>
          <w:iCs/>
          <w:lang w:val="nl-NL"/>
        </w:rPr>
        <w:t>SDĐPNN</w:t>
      </w:r>
      <w:r w:rsidRPr="00E80F7B">
        <w:rPr>
          <w:lang w:val="nl-NL"/>
        </w:rPr>
        <w:t xml:space="preserve"> và Thông tư số 130/2016/TT-BTC ngày 12/8/2016 hướng dẫn việc miễn thuế </w:t>
      </w:r>
      <w:r w:rsidRPr="00E80F7B">
        <w:rPr>
          <w:bCs/>
          <w:iCs/>
          <w:lang w:val="nl-NL"/>
        </w:rPr>
        <w:t>SDĐPNN</w:t>
      </w:r>
      <w:r w:rsidRPr="00E80F7B">
        <w:rPr>
          <w:lang w:val="nl-NL"/>
        </w:rPr>
        <w:t xml:space="preserve"> đối với những hộ gia đình, cá nhân.</w:t>
      </w:r>
    </w:p>
    <w:p w:rsidR="00231063" w:rsidRPr="00E80F7B" w:rsidRDefault="00231063" w:rsidP="00F724C9">
      <w:pPr>
        <w:spacing w:before="120" w:after="120"/>
        <w:ind w:firstLine="720"/>
        <w:jc w:val="both"/>
        <w:rPr>
          <w:lang w:val="nl-NL"/>
        </w:rPr>
      </w:pPr>
      <w:r w:rsidRPr="00E80F7B">
        <w:rPr>
          <w:lang w:val="nl-NL"/>
        </w:rPr>
        <w:t>Về quản lý thu thuế SDĐPNN, Chính phủ đã kịp thời ban hành Nghị định và Bộ Tài chính đã ban hành Thông tư hướng dẫn</w:t>
      </w:r>
      <w:r w:rsidR="008B0CBD" w:rsidRPr="00E80F7B">
        <w:rPr>
          <w:lang w:val="nl-NL"/>
        </w:rPr>
        <w:t>, cụ thể</w:t>
      </w:r>
      <w:r w:rsidRPr="00E80F7B">
        <w:rPr>
          <w:lang w:val="nl-NL"/>
        </w:rPr>
        <w:t>:</w:t>
      </w:r>
    </w:p>
    <w:p w:rsidR="00231063" w:rsidRPr="00E80F7B" w:rsidRDefault="00231063" w:rsidP="00F724C9">
      <w:pPr>
        <w:spacing w:before="120" w:after="120"/>
        <w:ind w:firstLine="720"/>
        <w:jc w:val="both"/>
        <w:rPr>
          <w:lang w:val="nl-NL"/>
        </w:rPr>
      </w:pPr>
      <w:r w:rsidRPr="00E80F7B">
        <w:rPr>
          <w:lang w:val="nl-NL"/>
        </w:rPr>
        <w:t>- Nghị định số 126/2020/NĐ-CP ngày 19/10/2020 của Chính phủ quy định chi tiết một số điều của Luật Quản lý thuế; áp dụng cho việc quản lý các loại thuế và các khoản thu khác thuộc ngân sách nhà nước. Trong đó, có các nội dung thủ tục về khai, nộp, miễn giảm, quản lý nghĩa</w:t>
      </w:r>
      <w:r w:rsidR="00D25F9C" w:rsidRPr="00E80F7B">
        <w:rPr>
          <w:lang w:val="nl-NL"/>
        </w:rPr>
        <w:t xml:space="preserve"> vụ thuế SDĐPNN thực hiện theo N</w:t>
      </w:r>
      <w:r w:rsidRPr="00E80F7B">
        <w:rPr>
          <w:lang w:val="nl-NL"/>
        </w:rPr>
        <w:t>ghị định này.</w:t>
      </w:r>
    </w:p>
    <w:p w:rsidR="00231063" w:rsidRPr="00E80F7B" w:rsidRDefault="00231063" w:rsidP="00F724C9">
      <w:pPr>
        <w:spacing w:before="120" w:after="120"/>
        <w:ind w:firstLine="720"/>
        <w:jc w:val="both"/>
        <w:rPr>
          <w:lang w:val="nl-NL"/>
        </w:rPr>
      </w:pPr>
      <w:r w:rsidRPr="00E80F7B">
        <w:rPr>
          <w:lang w:val="nl-NL"/>
        </w:rPr>
        <w:t>- Thông tư số 80/2021/TT-BTC ngày 29/9/2021 của Bộ Tài chính hướng dẫn Luật Quản lý thuế và Nghị định 126/2020/NĐ-CP, bao gồm mẫu biểu khai thuế, hồ sơ miễn giảm thuế, xử lý chậm nộp, quản lý thông tin người nộp thuế và các thủ tục quản lý thuế khác.</w:t>
      </w:r>
    </w:p>
    <w:p w:rsidR="005D25D0" w:rsidRPr="00E80F7B" w:rsidRDefault="005D25D0" w:rsidP="00F724C9">
      <w:pPr>
        <w:widowControl w:val="0"/>
        <w:spacing w:before="120" w:after="120"/>
        <w:ind w:firstLine="720"/>
        <w:jc w:val="both"/>
        <w:rPr>
          <w:iCs/>
          <w:lang w:val="pt-BR"/>
        </w:rPr>
      </w:pPr>
      <w:r w:rsidRPr="00E80F7B">
        <w:rPr>
          <w:bCs/>
          <w:lang w:val="nl-NL"/>
        </w:rPr>
        <w:t>N</w:t>
      </w:r>
      <w:r w:rsidRPr="00E80F7B">
        <w:rPr>
          <w:bCs/>
          <w:lang w:val="vi-VN"/>
        </w:rPr>
        <w:t xml:space="preserve">hìn chung, </w:t>
      </w:r>
      <w:r w:rsidRPr="00E80F7B">
        <w:rPr>
          <w:iCs/>
          <w:lang w:val="pt-BR"/>
        </w:rPr>
        <w:t>để triển khai thực thi Luật Thuế SDĐPNN</w:t>
      </w:r>
      <w:r w:rsidRPr="00E80F7B">
        <w:rPr>
          <w:noProof/>
          <w:lang w:val="it-IT"/>
        </w:rPr>
        <w:t>,</w:t>
      </w:r>
      <w:r w:rsidRPr="00E80F7B">
        <w:rPr>
          <w:iCs/>
          <w:lang w:val="pt-BR"/>
        </w:rPr>
        <w:t xml:space="preserve"> nhiều văn bản hướng dẫn đã được ban hành tạo cơ sở pháp lý cho việc tăng cường quản lý nhà nước về đất đai, khuyến khích tổ chức, hộ gia đình, cá nhân sử dụng đất tiết kiệm, có hiệu quả, góp phần động viên sự đóng góp của người sử dụng đất và NSNN và ổn định nguồn thu cho ngân sách địa phương.</w:t>
      </w:r>
    </w:p>
    <w:p w:rsidR="00E737FE" w:rsidRPr="00E80F7B" w:rsidRDefault="00E737FE" w:rsidP="00F724C9">
      <w:pPr>
        <w:spacing w:before="120" w:after="120"/>
        <w:ind w:firstLine="720"/>
        <w:jc w:val="both"/>
        <w:rPr>
          <w:lang w:val="pt-BR"/>
        </w:rPr>
      </w:pPr>
      <w:r w:rsidRPr="00E80F7B">
        <w:rPr>
          <w:lang w:val="pt-BR"/>
        </w:rPr>
        <w:t>b)</w:t>
      </w:r>
      <w:r w:rsidR="005D25D0" w:rsidRPr="00E80F7B">
        <w:rPr>
          <w:lang w:val="pt-BR"/>
        </w:rPr>
        <w:t xml:space="preserve"> Tình hình </w:t>
      </w:r>
      <w:r w:rsidR="00FA766E" w:rsidRPr="00E80F7B">
        <w:rPr>
          <w:lang w:val="pt-BR"/>
        </w:rPr>
        <w:t xml:space="preserve">hướng dẫn tổ chức thực hiện Luật </w:t>
      </w:r>
      <w:r w:rsidR="008B0CBD" w:rsidRPr="00E80F7B">
        <w:rPr>
          <w:lang w:val="pt-BR"/>
        </w:rPr>
        <w:t>T</w:t>
      </w:r>
      <w:r w:rsidR="00FA766E" w:rsidRPr="00E80F7B">
        <w:rPr>
          <w:lang w:val="pt-BR"/>
        </w:rPr>
        <w:t>huế SDĐPNN</w:t>
      </w:r>
    </w:p>
    <w:p w:rsidR="000D1618" w:rsidRPr="00E80F7B" w:rsidRDefault="000D1618" w:rsidP="00F724C9">
      <w:pPr>
        <w:spacing w:before="120" w:after="120"/>
        <w:ind w:firstLine="720"/>
        <w:jc w:val="both"/>
        <w:rPr>
          <w:lang w:val="nl-NL"/>
        </w:rPr>
      </w:pPr>
      <w:r w:rsidRPr="00E80F7B">
        <w:rPr>
          <w:lang w:val="nl-NL"/>
        </w:rPr>
        <w:t>Trong giai đoạn 2020</w:t>
      </w:r>
      <w:r w:rsidR="008B0CBD" w:rsidRPr="00E80F7B">
        <w:rPr>
          <w:lang w:val="nl-NL"/>
        </w:rPr>
        <w:t>-</w:t>
      </w:r>
      <w:r w:rsidRPr="00E80F7B">
        <w:rPr>
          <w:lang w:val="nl-NL"/>
        </w:rPr>
        <w:t xml:space="preserve">2025, công tác tổ chức thực hiện chính sách thuế SDĐPNN nhìn chung được triển khai đồng bộ, nghiêm túc và phù hợp quy định pháp luật hiện hành. Cục Thuế với vai trò chỉ đạo, hướng dẫn và tổ chức tập huấn nhằm đảm bảo thống nhất trong toàn hệ thống, đồng thời chỉ đạo Thuế địa phương phối hợp chặt chẽ với chính quyền địa phương các cấp, nhằm bảo đảm việc quản lý thuế được thực hiện đúng quy </w:t>
      </w:r>
      <w:r w:rsidRPr="00E80F7B">
        <w:rPr>
          <w:rFonts w:hint="cs"/>
          <w:lang w:val="nl-NL"/>
        </w:rPr>
        <w:t>đ</w:t>
      </w:r>
      <w:r w:rsidRPr="00E80F7B">
        <w:rPr>
          <w:lang w:val="nl-NL"/>
        </w:rPr>
        <w:t xml:space="preserve">ịnh, thu đúng, thu đủ và kịp thời vào ngân sách nhà nước. Trong đó, cơ quan thuế giữ vai trò chủ trì trong công tác lập bộ thuế, tính thuế, theo dõi việc thực hiện nghĩa vụ của người nộp thuế và tổ chức quản lý thu; chính quyền địa phương, đặc biệt là UBND cấp xã, phường, có trách nhiệm phối hợp rà soát đối tượng phát sinh, tuyên truyền, vận động và hỗ trợ người dân thực hiện nghĩa vụ thuế; người nộp thuế có trách nhiệm kê khai trung thực, đầy đủ các thông tin về diện tích, mục đích sử dụng đất và nộp thuế đúng thời hạn theo quy định. </w:t>
      </w:r>
    </w:p>
    <w:p w:rsidR="000D1618" w:rsidRPr="00E80F7B" w:rsidRDefault="000D1618" w:rsidP="00F724C9">
      <w:pPr>
        <w:spacing w:before="120" w:after="120"/>
        <w:ind w:firstLine="720"/>
        <w:jc w:val="both"/>
        <w:rPr>
          <w:lang w:val="nl-NL"/>
        </w:rPr>
      </w:pPr>
      <w:r w:rsidRPr="00E80F7B">
        <w:rPr>
          <w:lang w:val="nl-NL"/>
        </w:rPr>
        <w:t xml:space="preserve"> Để triển khai Luật Thuế SDĐPNN và các văn bản hướng dẫn thi hành hiệu quả, cơ quan thuế các cấp đã chủ động tham mưu cho UBND cùng cấp ban hành các văn bản chỉ đạo, kế hoạch triển khai, thành lập ban chỉ đạo hoặc tổ </w:t>
      </w:r>
      <w:r w:rsidRPr="00E80F7B">
        <w:rPr>
          <w:lang w:val="nl-NL"/>
        </w:rPr>
        <w:lastRenderedPageBreak/>
        <w:t xml:space="preserve">chức thực hiện phù hợp với điều kiện thực tế tại địa phương; đồng thời phối hợp với các sở, ngành liên quan, nhất là cơ quan </w:t>
      </w:r>
      <w:r w:rsidR="00D25F9C" w:rsidRPr="00E80F7B">
        <w:rPr>
          <w:lang w:val="nl-NL"/>
        </w:rPr>
        <w:t>nông nghiệp</w:t>
      </w:r>
      <w:r w:rsidRPr="00E80F7B">
        <w:rPr>
          <w:lang w:val="nl-NL"/>
        </w:rPr>
        <w:t xml:space="preserve"> và môi trường, trong việc hướng dẫn kê khai thông tin đất đai, rà soát dữ liệu quản lý và xác định nghĩa vụ thuế. Các đơn vị thuế trực tiếp quản lý tại cơ sở phát huy vai trò tham mưu cho chính quyền địa ph</w:t>
      </w:r>
      <w:r w:rsidRPr="00E80F7B">
        <w:rPr>
          <w:rFonts w:hint="cs"/>
          <w:lang w:val="nl-NL"/>
        </w:rPr>
        <w:t>ươ</w:t>
      </w:r>
      <w:r w:rsidRPr="00E80F7B">
        <w:rPr>
          <w:lang w:val="nl-NL"/>
        </w:rPr>
        <w:t xml:space="preserve">ng trong việc triển khai các biện pháp nghiệp vụ, tổ chức lập bộ, đôn đốc thu nộp, kịp thời nắm bắt và phản ánh các khó khăn, vướng mắc phát sinh để đề xuất giải pháp xử lý hoặc kiến nghị hoàn thiện chính sách cho phù hợp với thực tiễn. </w:t>
      </w:r>
    </w:p>
    <w:p w:rsidR="000D1618" w:rsidRPr="00E80F7B" w:rsidRDefault="000D1618" w:rsidP="00F724C9">
      <w:pPr>
        <w:spacing w:before="120" w:after="120"/>
        <w:ind w:firstLine="720"/>
        <w:jc w:val="both"/>
        <w:rPr>
          <w:lang w:val="nl-NL"/>
        </w:rPr>
      </w:pPr>
      <w:r w:rsidRPr="00E80F7B">
        <w:rPr>
          <w:lang w:val="nl-NL"/>
        </w:rPr>
        <w:t>Hàng năm, cơ quan thuế ban hành kịp thời các văn bản hướng dẫn, chỉ đạo các đơn vị trực thuộc và phối hợp báo cáo, đề xuất UBND địa phương chỉ đạo các cơ quan, đơn vị liên quan tổ chức thực hiện. Nội dung chỉ đạo tập trung vào công tác tuyên truyền, hỗ trợ người nộp thuế, xác nhận và tiếp nhận tờ khai thuế SDĐPNN, ký hợp đồng ủy nhiệm thu, chuẩn hóa dữ liệu quản lý thuế, cập nhật và hoàn thiện cơ sở dữ liệu đất đai, cũng như điều chỉnh kịp thời thông tin làm căn cứ xác định nghĩa vụ thuế. Qua đó, công t</w:t>
      </w:r>
      <w:r w:rsidRPr="00E80F7B">
        <w:rPr>
          <w:rFonts w:hint="eastAsia"/>
          <w:lang w:val="nl-NL"/>
        </w:rPr>
        <w:t>á</w:t>
      </w:r>
      <w:r w:rsidRPr="00E80F7B">
        <w:rPr>
          <w:lang w:val="nl-NL"/>
        </w:rPr>
        <w:t>c tổ chức thực hiện chính sách thuế SDĐPNN tại các địa phương cơ bản được triển khai đồng bộ, thống nhất, từng bước hiện đại hóa, đáp ứng yêu cầu quả</w:t>
      </w:r>
      <w:r w:rsidR="00A62725" w:rsidRPr="00E80F7B">
        <w:rPr>
          <w:lang w:val="nl-NL"/>
        </w:rPr>
        <w:t xml:space="preserve">n lý thuế trong từng giai đoạn. </w:t>
      </w:r>
      <w:r w:rsidR="00D25F9C" w:rsidRPr="00E80F7B">
        <w:rPr>
          <w:lang w:val="nl-NL"/>
        </w:rPr>
        <w:t>Cơ quan</w:t>
      </w:r>
      <w:r w:rsidRPr="00E80F7B">
        <w:rPr>
          <w:lang w:val="nl-NL"/>
        </w:rPr>
        <w:t xml:space="preserve"> Thuế</w:t>
      </w:r>
      <w:r w:rsidR="00D25F9C" w:rsidRPr="00E80F7B">
        <w:rPr>
          <w:lang w:val="nl-NL"/>
        </w:rPr>
        <w:t xml:space="preserve"> một số</w:t>
      </w:r>
      <w:r w:rsidRPr="00E80F7B">
        <w:rPr>
          <w:lang w:val="nl-NL"/>
        </w:rPr>
        <w:t xml:space="preserve"> tỉnh, thành phố đẩy mạnh tuyên truyền nộp thuế SDĐPNN bằng phương thức điện tử qua eTax Mobile, về xác nhận Tờ khai thuế SDĐPNN, về ký Hợp đồng ủy nhiệm thu, về chuẩn hóa dữ liệu, hoàn thiện cơ sở dữ liệu đất đai trong chiến dịch 90 ngày đêm để làm giàu, làm sạch cơ sở dữ liệu qu</w:t>
      </w:r>
      <w:r w:rsidR="00A62725" w:rsidRPr="00E80F7B">
        <w:rPr>
          <w:lang w:val="nl-NL"/>
        </w:rPr>
        <w:t>ốc gia về đất đai (năm 2025)...</w:t>
      </w:r>
    </w:p>
    <w:p w:rsidR="00E737FE" w:rsidRPr="00E80F7B" w:rsidRDefault="000D1618" w:rsidP="00F724C9">
      <w:pPr>
        <w:spacing w:before="120" w:after="120"/>
        <w:ind w:firstLine="720"/>
        <w:jc w:val="both"/>
        <w:rPr>
          <w:lang w:val="nl-NL"/>
        </w:rPr>
      </w:pPr>
      <w:r w:rsidRPr="00E80F7B">
        <w:rPr>
          <w:lang w:val="nl-NL"/>
        </w:rPr>
        <w:t>Việc phân công nhiệm vụ giữa các cấp được thực hiện rõ ràng, đảm bảo thông tin được truyền đạt kịp thời và đầy đủ. Nhờ đó, các quy định pháp luật về thuế SDĐPNN được triển khai tương đối thống nhất, góp phần nâng cao hiệu quả quản lý thuế trên phạm vi cả nước.</w:t>
      </w:r>
    </w:p>
    <w:p w:rsidR="005D25D0" w:rsidRPr="00E80F7B" w:rsidRDefault="00E737FE" w:rsidP="00F724C9">
      <w:pPr>
        <w:spacing w:before="120" w:after="120"/>
        <w:ind w:firstLine="720"/>
        <w:jc w:val="both"/>
        <w:rPr>
          <w:lang w:val="pt-BR"/>
        </w:rPr>
      </w:pPr>
      <w:r w:rsidRPr="00E80F7B">
        <w:rPr>
          <w:lang w:val="pt-BR"/>
        </w:rPr>
        <w:t xml:space="preserve">c) Tình hình </w:t>
      </w:r>
      <w:r w:rsidR="005D25D0" w:rsidRPr="00E80F7B">
        <w:rPr>
          <w:lang w:val="pt-BR"/>
        </w:rPr>
        <w:t>triển khai phổ biến, tuyên truyền tại các cơ quan thu ở địa phương</w:t>
      </w:r>
    </w:p>
    <w:p w:rsidR="00776E56" w:rsidRPr="00E80F7B" w:rsidRDefault="00776E56" w:rsidP="00F724C9">
      <w:pPr>
        <w:spacing w:before="120" w:after="120"/>
        <w:ind w:firstLine="720"/>
        <w:jc w:val="both"/>
        <w:rPr>
          <w:rFonts w:eastAsia="Calibri"/>
          <w:lang w:val="nl-NL"/>
        </w:rPr>
      </w:pPr>
      <w:r w:rsidRPr="00E80F7B">
        <w:rPr>
          <w:rFonts w:eastAsia="Calibri"/>
          <w:lang w:val="nl-NL"/>
        </w:rPr>
        <w:t xml:space="preserve">Ngay từ khi Luật Thuế SDĐPNN và các văn bản hướng dẫn được ban hành, </w:t>
      </w:r>
      <w:r w:rsidR="00A62725" w:rsidRPr="00E80F7B">
        <w:rPr>
          <w:rFonts w:eastAsia="Calibri"/>
          <w:lang w:val="nl-NL"/>
        </w:rPr>
        <w:t>Bộ Tài chính</w:t>
      </w:r>
      <w:r w:rsidRPr="00E80F7B">
        <w:rPr>
          <w:rFonts w:eastAsia="Calibri"/>
          <w:lang w:val="nl-NL"/>
        </w:rPr>
        <w:t xml:space="preserve"> xác định công tác tuyên truyền, phổ biến chính sách là nhiệm vụ trọng tâm, xuyên suốt nhằm nâng cao nhận thức, tạo sự đồng thuận và đảm bảo việc thực thi pháp luật của người nộp thuế.</w:t>
      </w:r>
    </w:p>
    <w:p w:rsidR="00776E56" w:rsidRPr="00E80F7B" w:rsidRDefault="00776E56" w:rsidP="00F724C9">
      <w:pPr>
        <w:spacing w:before="120" w:after="120"/>
        <w:ind w:firstLine="720"/>
        <w:jc w:val="both"/>
        <w:rPr>
          <w:rFonts w:eastAsia="Calibri"/>
          <w:bCs/>
          <w:iCs/>
          <w:lang w:val="nl-NL"/>
        </w:rPr>
      </w:pPr>
      <w:r w:rsidRPr="00E80F7B">
        <w:rPr>
          <w:rFonts w:eastAsia="Calibri"/>
          <w:bCs/>
          <w:iCs/>
          <w:lang w:val="nl-NL"/>
        </w:rPr>
        <w:t xml:space="preserve">- Kết quả triển khai công tác tuyên truyền </w:t>
      </w:r>
    </w:p>
    <w:p w:rsidR="00776E56" w:rsidRPr="00E80F7B" w:rsidRDefault="00776E56" w:rsidP="00F724C9">
      <w:pPr>
        <w:spacing w:before="120" w:after="120"/>
        <w:ind w:firstLine="720"/>
        <w:jc w:val="both"/>
        <w:rPr>
          <w:lang w:val="nl-NL"/>
        </w:rPr>
      </w:pPr>
      <w:r w:rsidRPr="00E80F7B">
        <w:rPr>
          <w:lang w:val="nl-NL"/>
        </w:rPr>
        <w:t xml:space="preserve">Căn cứ quy định pháp luật hiện hành, Thuế các tỉnh, thành phố đã chủ động triển khai đồng bộ nhiều giải pháp quản lý thuế SDĐPNN. Công tác tuyên truyền, hỗ trợ người nộp thuế được đẩy mạnh thông qua nhiều hình thức như hệ thống tuyên giáo, báo chí, phát thanh, truyền hình và niêm yết công khai nghĩa vụ thuế. </w:t>
      </w:r>
      <w:r w:rsidR="00080171" w:rsidRPr="00E80F7B">
        <w:rPr>
          <w:lang w:val="nl-NL"/>
        </w:rPr>
        <w:t>Cơ quan thuế</w:t>
      </w:r>
      <w:r w:rsidRPr="00E80F7B">
        <w:rPr>
          <w:lang w:val="nl-NL"/>
        </w:rPr>
        <w:t xml:space="preserve"> cũng thiết lập đường dây nóng để tiếp nhận v</w:t>
      </w:r>
      <w:r w:rsidR="00080171" w:rsidRPr="00E80F7B">
        <w:rPr>
          <w:lang w:val="nl-NL"/>
        </w:rPr>
        <w:t xml:space="preserve">à xử lý kịp thời các vướng mắc, </w:t>
      </w:r>
      <w:r w:rsidRPr="00E80F7B">
        <w:rPr>
          <w:lang w:val="nl-NL"/>
        </w:rPr>
        <w:t>tăng cường phối hợp với chính quyền địa phương trong việc kiểm tra tình hình sử dụng đất, quản lý biến động đất đai (chuyển nhượng, tách thửa, chuyển mục đích sử dụng), qua đó kịp thời phát hiện và xử lý các trường hợp không kê khai hoặc kê khai không đúng quy định.</w:t>
      </w:r>
    </w:p>
    <w:p w:rsidR="00776E56" w:rsidRPr="00E80F7B" w:rsidRDefault="00776E56" w:rsidP="00F724C9">
      <w:pPr>
        <w:spacing w:before="120" w:after="120"/>
        <w:ind w:firstLine="720"/>
        <w:jc w:val="both"/>
        <w:rPr>
          <w:lang w:val="nl-NL"/>
        </w:rPr>
      </w:pPr>
      <w:r w:rsidRPr="00E80F7B">
        <w:rPr>
          <w:lang w:val="nl-NL"/>
        </w:rPr>
        <w:lastRenderedPageBreak/>
        <w:t>Bên cạnh đó, công tác quản lý kê khai và lập bộ thuế được thực hiện chặt chẽ, đúng quy trình. Hàng năm, cơ quan thuế tổ chức lập sổ bộ thuế, cập nhật đầy đủ tờ khai phát sinh, chứng từ nộp thuế và thông tin người nộp thuế trước thời điểm khóa sổ theo quy định. Việc rà soát, theo dõi người nộp thuế phát sinh nghĩa vụ được thực hiện thường xuyên thông qua sự phối hợp giữa các bộ phận chức năng và chính quyền c</w:t>
      </w:r>
      <w:r w:rsidR="00D25F9C" w:rsidRPr="00E80F7B">
        <w:rPr>
          <w:lang w:val="nl-NL"/>
        </w:rPr>
        <w:t>ác</w:t>
      </w:r>
      <w:r w:rsidRPr="00E80F7B">
        <w:rPr>
          <w:lang w:val="nl-NL"/>
        </w:rPr>
        <w:t xml:space="preserve"> xã, phường, thị trấn. Đồng thời, công tác đôn đốc kê khai, nộp thuế được tăng cường, đảm bảo người nộp thuế thực hiện đầy đủ nghĩa vụ với ngân sách nhà nước.</w:t>
      </w:r>
    </w:p>
    <w:p w:rsidR="00776E56" w:rsidRPr="00E80F7B" w:rsidRDefault="00776E56" w:rsidP="00F724C9">
      <w:pPr>
        <w:spacing w:before="120" w:after="120"/>
        <w:ind w:firstLine="720"/>
        <w:jc w:val="both"/>
        <w:rPr>
          <w:lang w:val="nl-NL"/>
        </w:rPr>
      </w:pPr>
      <w:r w:rsidRPr="00E80F7B">
        <w:rPr>
          <w:lang w:val="nl-NL"/>
        </w:rPr>
        <w:t>Nhìn chung, trong giai đoạn này, công tác tổ chức thực hiện thuế SDĐPNN đã có nhiều chuyển biến tích cực theo hướng chuyên nghiệp, minh bạch và hiện đại hơn, đặc biệt trong việc ứng dụng công nghệ thông tin và cải cách thủ tục hành chính thuế, góp phần nâng cao hiệu quả quản lý và tuân thủ pháp luật của người nộp thuế.</w:t>
      </w:r>
    </w:p>
    <w:p w:rsidR="00776E56" w:rsidRPr="00E80F7B" w:rsidRDefault="00776E56" w:rsidP="00F724C9">
      <w:pPr>
        <w:spacing w:before="120" w:after="120"/>
        <w:ind w:firstLine="720"/>
        <w:jc w:val="both"/>
        <w:rPr>
          <w:rFonts w:eastAsia="Calibri"/>
          <w:bCs/>
          <w:iCs/>
          <w:lang w:val="nl-NL"/>
        </w:rPr>
      </w:pPr>
      <w:r w:rsidRPr="00E80F7B">
        <w:rPr>
          <w:rFonts w:eastAsia="Calibri"/>
          <w:bCs/>
          <w:iCs/>
          <w:lang w:val="nl-NL"/>
        </w:rPr>
        <w:t>- Công tác hỗ trợ người nộp thuế</w:t>
      </w:r>
    </w:p>
    <w:p w:rsidR="00776E56" w:rsidRPr="00E80F7B" w:rsidRDefault="00776E56" w:rsidP="00F724C9">
      <w:pPr>
        <w:spacing w:before="120" w:after="120"/>
        <w:ind w:firstLine="720"/>
        <w:jc w:val="both"/>
        <w:rPr>
          <w:rFonts w:eastAsia="Calibri"/>
          <w:lang w:val="nl-NL"/>
        </w:rPr>
      </w:pPr>
      <w:r w:rsidRPr="00E80F7B">
        <w:rPr>
          <w:rFonts w:eastAsia="Calibri"/>
          <w:lang w:val="nl-NL"/>
        </w:rPr>
        <w:t>Trong giai đoạn 2020</w:t>
      </w:r>
      <w:r w:rsidR="00C975A6" w:rsidRPr="00E80F7B">
        <w:rPr>
          <w:rFonts w:eastAsia="Calibri"/>
          <w:lang w:val="nl-NL"/>
        </w:rPr>
        <w:t>-</w:t>
      </w:r>
      <w:r w:rsidRPr="00E80F7B">
        <w:rPr>
          <w:rFonts w:eastAsia="Calibri"/>
          <w:lang w:val="nl-NL"/>
        </w:rPr>
        <w:t>2025, công tác tuyên truyền, hỗ trợ người nộp thuế trong thực hiện quy định về thuế SDĐPNN được các địa phương chú trọng triển khai thường xuyên, đồng bộ và từng bước đổi mới. Cơ quan thuế các cấp đã chủ động phối hợp với chính quyền địa phương và các tổ chức đoàn thể tổ chức tuyên truyền, phổ biến chính sách thuế đến người dân thông qua nhiều hình thức như hội nghị tập huấn, hệ thống phát thanh, truyền hình, niêm yết công khai tại trụ sở UBND cấp xã, phát hành tài liệu hướng dẫn và hỗ trợ trực tiếp tại cơ sở.</w:t>
      </w:r>
    </w:p>
    <w:p w:rsidR="00776E56" w:rsidRPr="00E80F7B" w:rsidRDefault="00776E56" w:rsidP="00F724C9">
      <w:pPr>
        <w:spacing w:before="120" w:after="120"/>
        <w:ind w:firstLine="720"/>
        <w:jc w:val="both"/>
        <w:rPr>
          <w:rFonts w:eastAsia="Calibri"/>
          <w:lang w:val="nl-NL"/>
        </w:rPr>
      </w:pPr>
      <w:r w:rsidRPr="00E80F7B">
        <w:rPr>
          <w:rFonts w:eastAsia="Calibri"/>
          <w:lang w:val="nl-NL"/>
        </w:rPr>
        <w:t>Cùng với đó, việc ứng dụng công nghệ thông tin được đẩy mạnh trong công tác tuyên truyền và hỗ trợ người nộp thuế thông qua các kênh điện tử như cổng thông tin ngành Thuế, mạng xã hội, Zalo, Fanpage và ứng dụng eTax Mobile, tạo điều kiện thuận lợi cho người nộp thuế tra cứu thông tin và thực hiện nghĩa vụ</w:t>
      </w:r>
      <w:r w:rsidR="00D25F9C" w:rsidRPr="00E80F7B">
        <w:rPr>
          <w:rFonts w:eastAsia="Calibri"/>
          <w:lang w:val="nl-NL"/>
        </w:rPr>
        <w:t xml:space="preserve"> thuế</w:t>
      </w:r>
      <w:r w:rsidRPr="00E80F7B">
        <w:rPr>
          <w:rFonts w:eastAsia="Calibri"/>
          <w:lang w:val="nl-NL"/>
        </w:rPr>
        <w:t xml:space="preserve">. Công tác hướng dẫn kê khai, tiếp nhận hồ sơ và giải đáp vướng mắc được thực hiện kịp thời, góp phần nâng cao ý thức tuân thủ pháp luật. Đồng thời, việc hướng dẫn người dân thực hiện nộp thuế điện tử, sử dụng biên lai điện tử và các ứng dụng thanh toán không dùng tiền mặt đã trở thành bước chuyển quan trọng trong quá trình hiện đại hóa công tác quản lý thuế SDĐPNN. </w:t>
      </w:r>
    </w:p>
    <w:p w:rsidR="00776E56" w:rsidRPr="00E80F7B" w:rsidRDefault="00776E56" w:rsidP="00F724C9">
      <w:pPr>
        <w:spacing w:before="120" w:after="120"/>
        <w:ind w:firstLine="720"/>
        <w:jc w:val="both"/>
        <w:rPr>
          <w:rFonts w:eastAsia="Calibri"/>
          <w:lang w:val="nl-NL"/>
        </w:rPr>
      </w:pPr>
      <w:r w:rsidRPr="00E80F7B">
        <w:rPr>
          <w:rFonts w:eastAsia="Calibri"/>
          <w:lang w:val="nl-NL"/>
        </w:rPr>
        <w:t xml:space="preserve">Bên cạnh những kết quả tích cực đã đạt được, công tác tuyên truyền, hỗ trợ người nộp thuế vẫn còn một số hạn chế, khó khăn. Do đối tượng chịu thuế rộng, phân tán, chủ yếu là cá nhân, hộ gia đình, trong khi nguồn lực cho công tác tuyên truyền còn hạn chế và thói quen tiếp cận thông tin của người dân chưa đồng nhất giữa khu vực đô thị và nông thôn, nên việc phổ biến chính sách chưa bảo đảm tính đồng đều và hiệu quả. Điều này dẫn đến tình trạng một bộ phận người nộp thuế, đặc biệt ở khu vực nông thôn, vùng sâu, vùng xa còn gặp khó khăn trong tiếp cận thông tin, chưa nắm đầy đủ quy định về nghĩa vụ thuế. Bên cạnh đó, công tác tuyên truyền, hỗ trợ người nộp thuế chủ yếu được thực hiện theo hướng phổ biến, cung cấp kiến thức cơ bản về chính sách thuế SDĐPNN, nhằm giúp người dân nắm được các quy định chung và nghĩa vụ thuế theo quy định. Với đặc thù đối tượng người nộp thuế đông, phân tán và đa dạng, nội dung </w:t>
      </w:r>
      <w:r w:rsidRPr="00E80F7B">
        <w:rPr>
          <w:rFonts w:eastAsia="Calibri"/>
          <w:lang w:val="nl-NL"/>
        </w:rPr>
        <w:lastRenderedPageBreak/>
        <w:t xml:space="preserve">tuyên truyền khó có thể đi sâu, chi tiết đến từng trường hợp cụ thể phát sinh trong thực tiễn. Do đó, việc hướng dẫn chuyên sâu, xử lý các tình huống cụ thể vẫn cần được thực hiện thông qua các hình thức hỗ trợ trực tiếp hoặc giải đáp riêng lẻ theo từng trường hợp. </w:t>
      </w:r>
    </w:p>
    <w:p w:rsidR="00080171" w:rsidRPr="00E80F7B" w:rsidRDefault="00776E56" w:rsidP="00071437">
      <w:pPr>
        <w:spacing w:before="120" w:after="120"/>
        <w:ind w:firstLine="720"/>
        <w:jc w:val="both"/>
        <w:rPr>
          <w:rFonts w:eastAsia="Calibri"/>
          <w:lang w:val="nl-NL"/>
        </w:rPr>
      </w:pPr>
      <w:r w:rsidRPr="00E80F7B">
        <w:rPr>
          <w:rFonts w:eastAsia="Calibri"/>
          <w:lang w:val="nl-NL"/>
        </w:rPr>
        <w:t>Những hạn chế nêu trên phần nào ảnh hưởng đến tiến độ và chất lượng công tác kê khai, lập bộ, cũng như việc đôn đốc thu nộp thuế tại cơ sở, đồng thời làm gia tăng nhu cầu hỗ trợ trực tiếp từ phía cơ quan thuế. Bên cạnh đó, việc triển khai các kênh tuyên truyền hiện đại bước đầu đã được quan tâm, tuy nhiên do nội dung tuyên truyền còn mang tính phổ biến chung, chủ yếu theo hình thức cung cấp thông tin một chiều, nên mức độ lan tỏa và tương tác trên các nền tảng số còn hạn chế. Trong thời gian tới, cần tiếp tục hoàn thiện nội dung và phương thức tuyên truyền theo hướng linh hoạt, phù hợp với từng nhóm đối tượng; đồng thời tăng cường nguồn lực và đẩy mạnh ứng dụng công nghệ thông tin nhằm nâng cao hiệu quả công tác hỗ trợ người nộp thuế.</w:t>
      </w:r>
    </w:p>
    <w:p w:rsidR="00F66410" w:rsidRPr="00E80F7B" w:rsidRDefault="00F41D70" w:rsidP="00F724C9">
      <w:pPr>
        <w:widowControl w:val="0"/>
        <w:spacing w:before="120" w:after="120"/>
        <w:ind w:firstLine="720"/>
        <w:jc w:val="both"/>
        <w:rPr>
          <w:b/>
          <w:bCs/>
          <w:lang w:val="nl-NL"/>
        </w:rPr>
      </w:pPr>
      <w:r w:rsidRPr="00E80F7B">
        <w:rPr>
          <w:b/>
          <w:bCs/>
          <w:lang w:val="nl-NL"/>
        </w:rPr>
        <w:t xml:space="preserve">2. Kết quả thi hành </w:t>
      </w:r>
      <w:r w:rsidR="00D10D68" w:rsidRPr="00E80F7B">
        <w:rPr>
          <w:b/>
          <w:bCs/>
          <w:lang w:val="nl-NL"/>
        </w:rPr>
        <w:t xml:space="preserve">Luật </w:t>
      </w:r>
      <w:r w:rsidR="00C975A6" w:rsidRPr="00E80F7B">
        <w:rPr>
          <w:b/>
          <w:bCs/>
          <w:lang w:val="nl-NL"/>
        </w:rPr>
        <w:t>T</w:t>
      </w:r>
      <w:r w:rsidR="00F66410" w:rsidRPr="00E80F7B">
        <w:rPr>
          <w:b/>
          <w:bCs/>
          <w:lang w:val="nl-NL"/>
        </w:rPr>
        <w:t>huế SDĐPNN</w:t>
      </w:r>
      <w:r w:rsidR="00D10D68" w:rsidRPr="00E80F7B">
        <w:rPr>
          <w:b/>
          <w:bCs/>
          <w:lang w:val="nl-NL"/>
        </w:rPr>
        <w:t xml:space="preserve"> </w:t>
      </w:r>
    </w:p>
    <w:p w:rsidR="005A1273" w:rsidRPr="00E80F7B" w:rsidRDefault="00EC6D60" w:rsidP="00F724C9">
      <w:pPr>
        <w:spacing w:before="120" w:after="120"/>
        <w:ind w:firstLine="720"/>
        <w:jc w:val="both"/>
        <w:rPr>
          <w:rFonts w:eastAsia="Arial"/>
          <w:lang w:val="nl-NL"/>
        </w:rPr>
      </w:pPr>
      <w:r w:rsidRPr="00E80F7B">
        <w:rPr>
          <w:rFonts w:eastAsia="Arial"/>
          <w:lang w:val="nl-NL"/>
        </w:rPr>
        <w:t>Chính sách thuế SDĐPNN được ban hành trên cơ sở tổng kết, đánh giá và kế thừa chính sách thuế nhà, đất trước đây</w:t>
      </w:r>
      <w:r w:rsidR="00464051" w:rsidRPr="00E80F7B">
        <w:rPr>
          <w:rFonts w:eastAsia="Arial"/>
          <w:lang w:val="nl-NL"/>
        </w:rPr>
        <w:t xml:space="preserve"> (Pháp lệnh thuế nhà, đất)</w:t>
      </w:r>
      <w:r w:rsidRPr="00E80F7B">
        <w:rPr>
          <w:rFonts w:eastAsia="Arial"/>
          <w:lang w:val="nl-NL"/>
        </w:rPr>
        <w:t>, tuy nhiên, chính sách thuế SDĐPNN thay đổi cơ bản về căn cứ tính thuế để phù hợp với quy định của Luật Đấ</w:t>
      </w:r>
      <w:r w:rsidR="00C369C9" w:rsidRPr="00E80F7B">
        <w:rPr>
          <w:rFonts w:eastAsia="Arial"/>
          <w:lang w:val="nl-NL"/>
        </w:rPr>
        <w:t xml:space="preserve">t đai. </w:t>
      </w:r>
      <w:r w:rsidR="005A1273" w:rsidRPr="00E80F7B">
        <w:rPr>
          <w:rFonts w:eastAsia="Arial"/>
          <w:lang w:val="nl-NL"/>
        </w:rPr>
        <w:t>Từ khi ban hành đến nay, Luậ</w:t>
      </w:r>
      <w:r w:rsidR="003F1DB7" w:rsidRPr="00E80F7B">
        <w:rPr>
          <w:rFonts w:eastAsia="Arial"/>
          <w:lang w:val="nl-NL"/>
        </w:rPr>
        <w:t>t T</w:t>
      </w:r>
      <w:r w:rsidR="005A1273" w:rsidRPr="00E80F7B">
        <w:rPr>
          <w:rFonts w:eastAsia="Arial"/>
          <w:lang w:val="nl-NL"/>
        </w:rPr>
        <w:t>huế SDĐPNN chưa được sửa đổi, bổ</w:t>
      </w:r>
      <w:r w:rsidR="002731B1" w:rsidRPr="00E80F7B">
        <w:rPr>
          <w:rFonts w:eastAsia="Arial"/>
          <w:lang w:val="nl-NL"/>
        </w:rPr>
        <w:t xml:space="preserve"> sung.</w:t>
      </w:r>
    </w:p>
    <w:p w:rsidR="005A1273" w:rsidRPr="00E80F7B" w:rsidRDefault="005A1273" w:rsidP="00F724C9">
      <w:pPr>
        <w:spacing w:before="120" w:after="120"/>
        <w:ind w:firstLine="720"/>
        <w:jc w:val="both"/>
        <w:rPr>
          <w:rFonts w:eastAsia="Arial"/>
          <w:b/>
          <w:i/>
          <w:lang w:val="nl-NL"/>
        </w:rPr>
      </w:pPr>
      <w:r w:rsidRPr="00E80F7B">
        <w:rPr>
          <w:rFonts w:eastAsia="Arial"/>
          <w:b/>
          <w:i/>
          <w:lang w:val="nl-NL"/>
        </w:rPr>
        <w:t>2.1. Những kết quả đạt được</w:t>
      </w:r>
    </w:p>
    <w:p w:rsidR="006B2D98" w:rsidRPr="00E80F7B" w:rsidRDefault="00A11584" w:rsidP="005A1241">
      <w:pPr>
        <w:widowControl w:val="0"/>
        <w:spacing w:before="120" w:after="120"/>
        <w:ind w:firstLine="709"/>
        <w:jc w:val="both"/>
      </w:pPr>
      <w:r w:rsidRPr="00E80F7B">
        <w:rPr>
          <w:lang w:val="nl-NL"/>
        </w:rPr>
        <w:t>C</w:t>
      </w:r>
      <w:r w:rsidRPr="00E80F7B">
        <w:rPr>
          <w:lang w:val="vi-VN"/>
        </w:rPr>
        <w:t xml:space="preserve">hính sách thuế </w:t>
      </w:r>
      <w:r w:rsidRPr="00E80F7B">
        <w:rPr>
          <w:lang w:val="nl-NL"/>
        </w:rPr>
        <w:t>SDĐPNN</w:t>
      </w:r>
      <w:r w:rsidRPr="00E80F7B">
        <w:rPr>
          <w:lang w:val="vi-VN"/>
        </w:rPr>
        <w:t xml:space="preserve"> đã được hoàn thiện theo đúng định hướng cải cách hệ thống thuế, phí</w:t>
      </w:r>
      <w:r w:rsidRPr="00E80F7B">
        <w:rPr>
          <w:lang w:val="nb-NO"/>
        </w:rPr>
        <w:t xml:space="preserve"> và lệ phí được xác định trong các văn kiện, nghị quyết của Đảng và Nhà nước, đồng thời đã bám sát các mục tiêu, định hướng xác định trong Chiến lược cải cách hệ thống chính sách thuế giai đoạn 2011-2020 </w:t>
      </w:r>
      <w:r w:rsidRPr="00E80F7B">
        <w:rPr>
          <w:lang w:val="nl-NL"/>
        </w:rPr>
        <w:t xml:space="preserve">được Thủ tướng Chính phủ phê duyệt theo Quyết định số 732/QĐ-TTg ngày 18/5/2011. Qua đó, đã góp phần quan trọng trong việc tăng cường quản lý nhà nước đối với đất đai, khuyến khích tổ chức, cá nhân sử dụng đất tiết kiệm, có hiệu quả, </w:t>
      </w:r>
      <w:r w:rsidRPr="00E80F7B">
        <w:rPr>
          <w:lang w:val="vi-VN"/>
        </w:rPr>
        <w:t>nhờ đó đã động viên hợp lý, kịp thời các nguồn lực cho ngân sách nhà nước</w:t>
      </w:r>
      <w:r w:rsidRPr="00E80F7B">
        <w:t>.</w:t>
      </w:r>
      <w:r w:rsidR="005A1241" w:rsidRPr="00E80F7B">
        <w:t xml:space="preserve"> </w:t>
      </w:r>
      <w:r w:rsidR="00EC6D60" w:rsidRPr="00E80F7B">
        <w:rPr>
          <w:rFonts w:eastAsia="Arial"/>
          <w:lang w:val="nl-NL"/>
        </w:rPr>
        <w:t xml:space="preserve">Qua </w:t>
      </w:r>
      <w:r w:rsidR="002731B1" w:rsidRPr="00E80F7B">
        <w:rPr>
          <w:rFonts w:eastAsia="Arial"/>
          <w:lang w:val="nl-NL"/>
        </w:rPr>
        <w:t>hơn</w:t>
      </w:r>
      <w:r w:rsidR="006119FD" w:rsidRPr="00E80F7B">
        <w:rPr>
          <w:rFonts w:eastAsia="Arial"/>
          <w:lang w:val="nl-NL"/>
        </w:rPr>
        <w:t xml:space="preserve"> </w:t>
      </w:r>
      <w:r w:rsidR="00D35137" w:rsidRPr="00E80F7B">
        <w:rPr>
          <w:rFonts w:eastAsia="Arial"/>
          <w:lang w:val="nl-NL"/>
        </w:rPr>
        <w:t>1</w:t>
      </w:r>
      <w:r w:rsidR="002731B1" w:rsidRPr="00E80F7B">
        <w:rPr>
          <w:rFonts w:eastAsia="Arial"/>
          <w:lang w:val="nl-NL"/>
        </w:rPr>
        <w:t>5</w:t>
      </w:r>
      <w:r w:rsidR="00EC6D60" w:rsidRPr="00E80F7B">
        <w:rPr>
          <w:rFonts w:eastAsia="Arial"/>
          <w:lang w:val="nl-NL"/>
        </w:rPr>
        <w:t xml:space="preserve"> năm </w:t>
      </w:r>
      <w:r w:rsidR="000840AC" w:rsidRPr="00E80F7B">
        <w:rPr>
          <w:rFonts w:eastAsia="Arial"/>
          <w:lang w:val="nl-NL"/>
        </w:rPr>
        <w:t xml:space="preserve">triển khai </w:t>
      </w:r>
      <w:r w:rsidR="00EC6D60" w:rsidRPr="00E80F7B">
        <w:rPr>
          <w:rFonts w:eastAsia="Arial"/>
          <w:lang w:val="nl-NL"/>
        </w:rPr>
        <w:t xml:space="preserve">thực hiện, chính sách thuế SDĐPNN đã đạt được </w:t>
      </w:r>
      <w:r w:rsidR="00EC6D60" w:rsidRPr="00E80F7B">
        <w:rPr>
          <w:lang w:val="nl-NL"/>
        </w:rPr>
        <w:t xml:space="preserve">những </w:t>
      </w:r>
      <w:r w:rsidR="00EC6D60" w:rsidRPr="00E80F7B">
        <w:rPr>
          <w:rFonts w:eastAsia="Arial"/>
          <w:lang w:val="nl-NL"/>
        </w:rPr>
        <w:t>kết quả</w:t>
      </w:r>
      <w:r w:rsidR="00EC6D60" w:rsidRPr="00E80F7B">
        <w:rPr>
          <w:lang w:val="nl-NL"/>
        </w:rPr>
        <w:t xml:space="preserve"> đáng ghi nhận:</w:t>
      </w:r>
    </w:p>
    <w:p w:rsidR="00EC6D60" w:rsidRPr="00E80F7B" w:rsidRDefault="00EC6D60" w:rsidP="00F724C9">
      <w:pPr>
        <w:spacing w:before="120" w:after="120"/>
        <w:jc w:val="both"/>
        <w:rPr>
          <w:i/>
          <w:lang w:val="nl-NL"/>
        </w:rPr>
      </w:pPr>
      <w:r w:rsidRPr="00E80F7B">
        <w:rPr>
          <w:i/>
          <w:lang w:val="nl-NL"/>
        </w:rPr>
        <w:tab/>
      </w:r>
      <w:r w:rsidR="003A01D1" w:rsidRPr="00E80F7B">
        <w:rPr>
          <w:i/>
          <w:lang w:val="nl-NL"/>
        </w:rPr>
        <w:t>a</w:t>
      </w:r>
      <w:r w:rsidR="005D54BF" w:rsidRPr="00E80F7B">
        <w:rPr>
          <w:i/>
          <w:lang w:val="nl-NL"/>
        </w:rPr>
        <w:t>)</w:t>
      </w:r>
      <w:r w:rsidRPr="00E80F7B">
        <w:rPr>
          <w:i/>
          <w:lang w:val="nl-NL"/>
        </w:rPr>
        <w:t xml:space="preserve"> </w:t>
      </w:r>
      <w:r w:rsidR="00472810" w:rsidRPr="00E80F7B">
        <w:rPr>
          <w:i/>
          <w:lang w:val="nl-NL"/>
        </w:rPr>
        <w:t xml:space="preserve">Chính sách thuế SDĐPNN khắc phục được mặt hạn chế của chính sách thuế nhà, đất, đảm bảo đồng bộ, thống nhất với pháp luật </w:t>
      </w:r>
      <w:r w:rsidR="00A71574" w:rsidRPr="00E80F7B">
        <w:rPr>
          <w:i/>
          <w:lang w:val="nl-NL"/>
        </w:rPr>
        <w:t>hiện hành</w:t>
      </w:r>
      <w:r w:rsidR="00472810" w:rsidRPr="00E80F7B">
        <w:rPr>
          <w:i/>
          <w:lang w:val="nl-NL"/>
        </w:rPr>
        <w:t xml:space="preserve"> và từng bước phù hợp với thông lệ quốc tế </w:t>
      </w:r>
    </w:p>
    <w:p w:rsidR="003A6C46" w:rsidRPr="00E80F7B" w:rsidRDefault="00B86239" w:rsidP="00F724C9">
      <w:pPr>
        <w:spacing w:before="120" w:after="120"/>
        <w:ind w:firstLine="720"/>
        <w:jc w:val="both"/>
        <w:rPr>
          <w:lang w:val="nl-NL"/>
        </w:rPr>
      </w:pPr>
      <w:r w:rsidRPr="00E80F7B">
        <w:rPr>
          <w:lang w:val="nl-NL"/>
        </w:rPr>
        <w:t xml:space="preserve">- Về đối tượng chịu thuế: </w:t>
      </w:r>
    </w:p>
    <w:p w:rsidR="003A6C46" w:rsidRPr="00E80F7B" w:rsidRDefault="003A6C46" w:rsidP="00F724C9">
      <w:pPr>
        <w:spacing w:before="120" w:after="120"/>
        <w:ind w:firstLine="720"/>
        <w:jc w:val="both"/>
        <w:rPr>
          <w:lang w:val="nl-NL"/>
        </w:rPr>
      </w:pPr>
      <w:r w:rsidRPr="00E80F7B">
        <w:rPr>
          <w:lang w:val="nl-NL"/>
        </w:rPr>
        <w:t xml:space="preserve">Trước năm 2012, chính sách thuế đối với nhà, đất thực hiện theo Pháp lệnh thuế nhà, đất </w:t>
      </w:r>
      <w:r w:rsidR="005B48C8" w:rsidRPr="00E80F7B">
        <w:rPr>
          <w:lang w:val="nl-NL"/>
        </w:rPr>
        <w:t xml:space="preserve">số </w:t>
      </w:r>
      <w:r w:rsidR="005B48C8" w:rsidRPr="00E80F7B">
        <w:rPr>
          <w:rStyle w:val="Strong"/>
          <w:b w:val="0"/>
          <w:bCs w:val="0"/>
          <w:shd w:val="clear" w:color="auto" w:fill="FFFFFF"/>
          <w:lang w:val="nl-NL"/>
        </w:rPr>
        <w:t>69-LCT/HĐNN8 ngày 31/7/1992</w:t>
      </w:r>
      <w:r w:rsidR="005B48C8" w:rsidRPr="00E80F7B">
        <w:rPr>
          <w:lang w:val="nl-NL"/>
        </w:rPr>
        <w:t xml:space="preserve"> </w:t>
      </w:r>
      <w:r w:rsidRPr="00E80F7B">
        <w:rPr>
          <w:lang w:val="nl-NL"/>
        </w:rPr>
        <w:t>và Pháp lệnh</w:t>
      </w:r>
      <w:r w:rsidR="005B48C8" w:rsidRPr="00E80F7B">
        <w:rPr>
          <w:lang w:val="nl-NL"/>
        </w:rPr>
        <w:t xml:space="preserve"> số </w:t>
      </w:r>
      <w:r w:rsidR="005B48C8" w:rsidRPr="00E80F7B">
        <w:rPr>
          <w:rStyle w:val="Strong"/>
          <w:b w:val="0"/>
          <w:bCs w:val="0"/>
          <w:shd w:val="clear" w:color="auto" w:fill="FFFFFF"/>
          <w:lang w:val="nl-NL"/>
        </w:rPr>
        <w:t>34-L/CTN</w:t>
      </w:r>
      <w:r w:rsidRPr="00E80F7B">
        <w:rPr>
          <w:lang w:val="nl-NL"/>
        </w:rPr>
        <w:t xml:space="preserve"> </w:t>
      </w:r>
      <w:r w:rsidR="005B48C8" w:rsidRPr="00E80F7B">
        <w:rPr>
          <w:lang w:val="nl-NL"/>
        </w:rPr>
        <w:t xml:space="preserve">ngày 19/5/1994 </w:t>
      </w:r>
      <w:r w:rsidRPr="00E80F7B">
        <w:rPr>
          <w:lang w:val="nl-NL"/>
        </w:rPr>
        <w:t xml:space="preserve">sửa đổi, bổ sung một số </w:t>
      </w:r>
      <w:r w:rsidR="005B48C8" w:rsidRPr="00E80F7B">
        <w:rPr>
          <w:lang w:val="nl-NL"/>
        </w:rPr>
        <w:t>điều của Pháp lệnh thuế nhà</w:t>
      </w:r>
      <w:r w:rsidR="009A4F09" w:rsidRPr="00E80F7B">
        <w:rPr>
          <w:lang w:val="nl-NL"/>
        </w:rPr>
        <w:t>,</w:t>
      </w:r>
      <w:r w:rsidR="005B48C8" w:rsidRPr="00E80F7B">
        <w:rPr>
          <w:lang w:val="nl-NL"/>
        </w:rPr>
        <w:t xml:space="preserve"> đất</w:t>
      </w:r>
      <w:r w:rsidRPr="00E80F7B">
        <w:rPr>
          <w:lang w:val="nl-NL"/>
        </w:rPr>
        <w:t>. Theo quy định của Pháp lệnh thuế nhà, đất thì đối tượng chịu thuế là đất ở, đất xây dựng công trình; tạm thời chưa có quy định về thuế nhà và chưa thu thuế nhà. Do đó, đối tượng nộp thuế là các tổ chức, cá nhân có quyền sử dụng đất ở, đất xây dựng công trình.</w:t>
      </w:r>
    </w:p>
    <w:p w:rsidR="00B86239" w:rsidRPr="00E80F7B" w:rsidRDefault="0034081F" w:rsidP="00F724C9">
      <w:pPr>
        <w:spacing w:before="120" w:after="120"/>
        <w:ind w:firstLine="720"/>
        <w:jc w:val="both"/>
        <w:rPr>
          <w:lang w:val="nl-NL"/>
        </w:rPr>
      </w:pPr>
      <w:r w:rsidRPr="00E80F7B">
        <w:rPr>
          <w:lang w:val="nl-NL"/>
        </w:rPr>
        <w:lastRenderedPageBreak/>
        <w:t xml:space="preserve">Ngày 26/11/2003, Quốc hội đã ban hành Luật </w:t>
      </w:r>
      <w:r w:rsidR="000940EB" w:rsidRPr="00E80F7B">
        <w:rPr>
          <w:lang w:val="nl-NL"/>
        </w:rPr>
        <w:t>Đ</w:t>
      </w:r>
      <w:r w:rsidRPr="00E80F7B">
        <w:rPr>
          <w:lang w:val="nl-NL"/>
        </w:rPr>
        <w:t>ất đai số 13/2003/QH11, có hiệu lực thi hành từ ngày 01/7/2004, theo đó quy định cụ thể về phân loại đất theo mục đích sử dụng, trong đó nhóm đất phi nông nghiệp</w:t>
      </w:r>
      <w:r w:rsidR="005A1273" w:rsidRPr="00E80F7B">
        <w:rPr>
          <w:rStyle w:val="FootnoteReference"/>
          <w:lang w:val="nl-NL"/>
        </w:rPr>
        <w:footnoteReference w:id="2"/>
      </w:r>
      <w:r w:rsidR="005A1273" w:rsidRPr="00E80F7B">
        <w:rPr>
          <w:lang w:val="nl-NL"/>
        </w:rPr>
        <w:t xml:space="preserve">. </w:t>
      </w:r>
      <w:r w:rsidRPr="00E80F7B">
        <w:rPr>
          <w:lang w:val="nl-NL"/>
        </w:rPr>
        <w:t xml:space="preserve">Theo đó, tại </w:t>
      </w:r>
      <w:r w:rsidR="00B86239" w:rsidRPr="00E80F7B">
        <w:rPr>
          <w:lang w:val="nl-NL"/>
        </w:rPr>
        <w:t xml:space="preserve">Luật </w:t>
      </w:r>
      <w:r w:rsidR="003F1DB7" w:rsidRPr="00E80F7B">
        <w:rPr>
          <w:lang w:val="nl-NL"/>
        </w:rPr>
        <w:t>T</w:t>
      </w:r>
      <w:r w:rsidR="00B86239" w:rsidRPr="00E80F7B">
        <w:rPr>
          <w:lang w:val="nl-NL"/>
        </w:rPr>
        <w:t xml:space="preserve">huế SDĐPNN quy định đối tượng chịu thuế là đất ở tại nông thôn, đất ở tại đô thị; </w:t>
      </w:r>
      <w:r w:rsidR="001B0649" w:rsidRPr="00E80F7B">
        <w:rPr>
          <w:lang w:val="nl-NL"/>
        </w:rPr>
        <w:t>đ</w:t>
      </w:r>
      <w:r w:rsidR="00B86239" w:rsidRPr="00E80F7B">
        <w:rPr>
          <w:lang w:val="nl-NL"/>
        </w:rPr>
        <w:t xml:space="preserve">ất sản xuất, kinh doanh phi nông nghiệp </w:t>
      </w:r>
      <w:r w:rsidR="00B86239" w:rsidRPr="00E80F7B">
        <w:rPr>
          <w:i/>
          <w:lang w:val="nl-NL"/>
        </w:rPr>
        <w:t>(bao gồm: đất xây dựng khu công nghiệp; đất làm mặt bằng xây dựng cơ sở sản xuất, kinh doanh; đất khai thác, chế biến khoáng sản; đất sản xuất vật liệu xây dựng, làm đồ gốm)</w:t>
      </w:r>
      <w:r w:rsidR="00B86239" w:rsidRPr="00E80F7B">
        <w:rPr>
          <w:lang w:val="nl-NL"/>
        </w:rPr>
        <w:t xml:space="preserve"> và đất phi nông nghiệp sử dụng vào mục đích kinh doanh. </w:t>
      </w:r>
      <w:r w:rsidR="00EE18C9" w:rsidRPr="00E80F7B">
        <w:rPr>
          <w:lang w:val="nl-NL"/>
        </w:rPr>
        <w:t xml:space="preserve">Quy định này đảm bảo phù hợp với phân loại đất đai theo </w:t>
      </w:r>
      <w:r w:rsidR="0021525C" w:rsidRPr="00E80F7B">
        <w:rPr>
          <w:lang w:val="nl-NL"/>
        </w:rPr>
        <w:t>quy định pháp luật đất đai tại thời điểm ban hành (</w:t>
      </w:r>
      <w:r w:rsidR="00EE18C9" w:rsidRPr="00E80F7B">
        <w:rPr>
          <w:lang w:val="nl-NL"/>
        </w:rPr>
        <w:t xml:space="preserve">Luật Đất đai </w:t>
      </w:r>
      <w:r w:rsidR="000940EB" w:rsidRPr="00E80F7B">
        <w:rPr>
          <w:lang w:val="nl-NL"/>
        </w:rPr>
        <w:t xml:space="preserve">năm </w:t>
      </w:r>
      <w:r w:rsidR="00EE18C9" w:rsidRPr="00E80F7B">
        <w:rPr>
          <w:lang w:val="nl-NL"/>
        </w:rPr>
        <w:t>2003</w:t>
      </w:r>
      <w:r w:rsidR="0021525C" w:rsidRPr="00E80F7B">
        <w:rPr>
          <w:lang w:val="nl-NL"/>
        </w:rPr>
        <w:t>)</w:t>
      </w:r>
      <w:r w:rsidR="00EE18C9" w:rsidRPr="00E80F7B">
        <w:rPr>
          <w:lang w:val="nl-NL"/>
        </w:rPr>
        <w:t>.</w:t>
      </w:r>
    </w:p>
    <w:p w:rsidR="00532FEF" w:rsidRPr="00E80F7B" w:rsidRDefault="00EE18C9" w:rsidP="00F724C9">
      <w:pPr>
        <w:spacing w:before="120" w:after="120"/>
        <w:ind w:firstLine="720"/>
        <w:jc w:val="both"/>
        <w:rPr>
          <w:lang w:val="nl-NL"/>
        </w:rPr>
      </w:pPr>
      <w:r w:rsidRPr="00E80F7B">
        <w:rPr>
          <w:lang w:val="nl-NL"/>
        </w:rPr>
        <w:t xml:space="preserve">- Về căn cứ tính thuế: </w:t>
      </w:r>
    </w:p>
    <w:p w:rsidR="00532FEF" w:rsidRPr="00E80F7B" w:rsidRDefault="00532FEF" w:rsidP="00F724C9">
      <w:pPr>
        <w:spacing w:before="120" w:after="120"/>
        <w:ind w:firstLine="720"/>
        <w:jc w:val="both"/>
        <w:rPr>
          <w:lang w:val="nl-NL"/>
        </w:rPr>
      </w:pPr>
      <w:r w:rsidRPr="00E80F7B">
        <w:rPr>
          <w:lang w:val="nl-NL"/>
        </w:rPr>
        <w:t xml:space="preserve">Pháp lệnh thuế nhà, đất quy định căn cứ tính thuế dựa trên cơ sở thuế </w:t>
      </w:r>
      <w:r w:rsidR="001B0649" w:rsidRPr="00E80F7B">
        <w:rPr>
          <w:lang w:val="nl-NL"/>
        </w:rPr>
        <w:t>sử dụng đất nông nghiệp (</w:t>
      </w:r>
      <w:r w:rsidR="00AE22D6" w:rsidRPr="00E80F7B">
        <w:rPr>
          <w:lang w:val="nl-NL"/>
        </w:rPr>
        <w:t>SDĐNN</w:t>
      </w:r>
      <w:r w:rsidR="001B0649" w:rsidRPr="00E80F7B">
        <w:rPr>
          <w:lang w:val="nl-NL"/>
        </w:rPr>
        <w:t>)</w:t>
      </w:r>
      <w:r w:rsidRPr="00E80F7B">
        <w:rPr>
          <w:lang w:val="nl-NL"/>
        </w:rPr>
        <w:t xml:space="preserve"> là diện tích đất, hạng đất và mức thuế. Hạng đất tính thuế được xác định căn cứ vào các yếu tố chất đất, vị trí, địa hình, khí hậu, thời tiết...</w:t>
      </w:r>
      <w:r w:rsidR="00305C65" w:rsidRPr="00E80F7B">
        <w:rPr>
          <w:lang w:val="nl-NL"/>
        </w:rPr>
        <w:t xml:space="preserve"> </w:t>
      </w:r>
      <w:r w:rsidRPr="00E80F7B">
        <w:rPr>
          <w:lang w:val="nl-NL"/>
        </w:rPr>
        <w:t xml:space="preserve">Quy định này phù hợp với việc phân loại để thu thuế </w:t>
      </w:r>
      <w:r w:rsidR="00AE22D6" w:rsidRPr="00E80F7B">
        <w:rPr>
          <w:lang w:val="nl-NL"/>
        </w:rPr>
        <w:t>SDĐNN</w:t>
      </w:r>
      <w:r w:rsidRPr="00E80F7B">
        <w:rPr>
          <w:lang w:val="nl-NL"/>
        </w:rPr>
        <w:t xml:space="preserve"> nhưng không phù hợp với đất ở, đất sản xuất, kinh doanh phi nông nghiệp và không phù hợp với căn cứ tính thuế sử dụng đất là giá đất theo quy định của Luật </w:t>
      </w:r>
      <w:r w:rsidR="000940EB" w:rsidRPr="00E80F7B">
        <w:rPr>
          <w:lang w:val="nl-NL"/>
        </w:rPr>
        <w:t>Đ</w:t>
      </w:r>
      <w:r w:rsidRPr="00E80F7B">
        <w:rPr>
          <w:lang w:val="nl-NL"/>
        </w:rPr>
        <w:t xml:space="preserve">ất đai </w:t>
      </w:r>
      <w:r w:rsidR="000940EB" w:rsidRPr="00E80F7B">
        <w:rPr>
          <w:lang w:val="nl-NL"/>
        </w:rPr>
        <w:t xml:space="preserve">năm </w:t>
      </w:r>
      <w:r w:rsidRPr="00E80F7B">
        <w:rPr>
          <w:lang w:val="nl-NL"/>
        </w:rPr>
        <w:t>2003.</w:t>
      </w:r>
    </w:p>
    <w:p w:rsidR="000F00AA" w:rsidRPr="00E80F7B" w:rsidRDefault="00EC6D60" w:rsidP="00F724C9">
      <w:pPr>
        <w:spacing w:before="120" w:after="120"/>
        <w:ind w:firstLine="720"/>
        <w:jc w:val="both"/>
      </w:pPr>
      <w:r w:rsidRPr="00E80F7B">
        <w:rPr>
          <w:lang w:val="nl-NL"/>
        </w:rPr>
        <w:t xml:space="preserve">Căn cứ tính thuế SDĐPNN đã </w:t>
      </w:r>
      <w:r w:rsidRPr="00E80F7B">
        <w:rPr>
          <w:rFonts w:eastAsia="Arial"/>
          <w:lang w:val="nl-NL"/>
        </w:rPr>
        <w:t xml:space="preserve">chuyển từ tính theo thuế SDĐNN (tính bằng thóc) sang tính thuế dựa trên </w:t>
      </w:r>
      <w:r w:rsidRPr="00E80F7B">
        <w:rPr>
          <w:lang w:val="nl-NL"/>
        </w:rPr>
        <w:t xml:space="preserve">giá trị (giá tính thuế và thuế suất). </w:t>
      </w:r>
      <w:r w:rsidRPr="00E80F7B">
        <w:rPr>
          <w:lang w:val="vi-VN"/>
        </w:rPr>
        <w:t>Giá tính thuế đối với đất được xác định bằng diện tích đất tính thuế nhân với giá của 1m</w:t>
      </w:r>
      <w:r w:rsidRPr="00E80F7B">
        <w:rPr>
          <w:vertAlign w:val="superscript"/>
          <w:lang w:val="vi-VN"/>
        </w:rPr>
        <w:t xml:space="preserve">2 </w:t>
      </w:r>
      <w:r w:rsidRPr="00E80F7B">
        <w:rPr>
          <w:lang w:val="vi-VN"/>
        </w:rPr>
        <w:t xml:space="preserve">đất. Diện tích đất tính thuế là </w:t>
      </w:r>
      <w:r w:rsidRPr="00E80F7B">
        <w:rPr>
          <w:rFonts w:eastAsia=".VnTime"/>
          <w:iCs/>
          <w:lang w:val="vi-VN"/>
        </w:rPr>
        <w:t xml:space="preserve">diện tích đất thực tế sử dụng; Trường hợp có quyền sử dụng nhiều thửa đất ở thì diện tích đất </w:t>
      </w:r>
      <w:r w:rsidRPr="00E80F7B">
        <w:rPr>
          <w:lang w:val="vi-VN"/>
        </w:rPr>
        <w:t>tính</w:t>
      </w:r>
      <w:r w:rsidRPr="00E80F7B">
        <w:rPr>
          <w:rFonts w:eastAsia=".VnTime"/>
          <w:iCs/>
          <w:lang w:val="vi-VN"/>
        </w:rPr>
        <w:t xml:space="preserve"> thuế là tổng diện tích các thửa đất </w:t>
      </w:r>
      <w:r w:rsidRPr="00E80F7B">
        <w:rPr>
          <w:lang w:val="vi-VN"/>
        </w:rPr>
        <w:t>tính</w:t>
      </w:r>
      <w:r w:rsidRPr="00E80F7B">
        <w:rPr>
          <w:rFonts w:eastAsia=".VnTime"/>
          <w:iCs/>
          <w:lang w:val="vi-VN"/>
        </w:rPr>
        <w:t xml:space="preserve"> thuế</w:t>
      </w:r>
      <w:r w:rsidRPr="00E80F7B">
        <w:rPr>
          <w:bCs/>
          <w:lang w:val="vi-VN"/>
        </w:rPr>
        <w:t>.</w:t>
      </w:r>
      <w:r w:rsidRPr="00E80F7B">
        <w:rPr>
          <w:lang w:val="vi-VN"/>
        </w:rPr>
        <w:t xml:space="preserve"> Giá của 1m</w:t>
      </w:r>
      <w:r w:rsidRPr="00E80F7B">
        <w:rPr>
          <w:vertAlign w:val="superscript"/>
          <w:lang w:val="vi-VN"/>
        </w:rPr>
        <w:t xml:space="preserve">2 </w:t>
      </w:r>
      <w:r w:rsidRPr="00E80F7B">
        <w:rPr>
          <w:lang w:val="vi-VN"/>
        </w:rPr>
        <w:t xml:space="preserve">đất là giá đất theo mục đích </w:t>
      </w:r>
      <w:r w:rsidRPr="00E80F7B">
        <w:rPr>
          <w:bCs/>
          <w:lang w:val="vi-VN"/>
        </w:rPr>
        <w:t>sử dụng</w:t>
      </w:r>
      <w:r w:rsidRPr="00E80F7B">
        <w:rPr>
          <w:lang w:val="vi-VN"/>
        </w:rPr>
        <w:t xml:space="preserve"> do Uỷ ban nhân dân tỉnh, thành phố trực thuộc trung ương (UBND cấp tỉnh) quy định và được ổn định theo chu kỳ 05 năm, kể từ ngày Luật có hiệu lực thi hành. </w:t>
      </w:r>
      <w:r w:rsidR="00EE18C9" w:rsidRPr="00E80F7B">
        <w:rPr>
          <w:lang w:val="vi-VN"/>
        </w:rPr>
        <w:t>Việc quy định căn cứ tính thuế theo giá đất đã góp phần đảm bảo công bằng giữa các vùng, các đô thị, giữa thành thị với nông thôn, giữa</w:t>
      </w:r>
      <w:r w:rsidR="00464051" w:rsidRPr="00E80F7B">
        <w:rPr>
          <w:lang w:val="vi-VN"/>
        </w:rPr>
        <w:t xml:space="preserve"> đồng bằng trung du và miền núi, phù hợp với thông lệ quốc tế.</w:t>
      </w:r>
    </w:p>
    <w:p w:rsidR="000F00AA" w:rsidRPr="00E80F7B" w:rsidRDefault="00EE18C9" w:rsidP="00F724C9">
      <w:pPr>
        <w:tabs>
          <w:tab w:val="left" w:pos="709"/>
        </w:tabs>
        <w:spacing w:before="120" w:after="120"/>
        <w:ind w:firstLine="720"/>
        <w:jc w:val="both"/>
      </w:pPr>
      <w:r w:rsidRPr="00E80F7B">
        <w:rPr>
          <w:lang w:val="vi-VN"/>
        </w:rPr>
        <w:t>- Về thuế suất:</w:t>
      </w:r>
    </w:p>
    <w:p w:rsidR="00532FEF" w:rsidRPr="00E80F7B" w:rsidRDefault="000F00AA" w:rsidP="00F724C9">
      <w:pPr>
        <w:tabs>
          <w:tab w:val="left" w:pos="709"/>
        </w:tabs>
        <w:spacing w:before="120" w:after="120"/>
        <w:jc w:val="both"/>
        <w:rPr>
          <w:lang w:val="nl-NL"/>
        </w:rPr>
      </w:pPr>
      <w:r w:rsidRPr="00E80F7B">
        <w:t xml:space="preserve">          </w:t>
      </w:r>
      <w:r w:rsidR="001B0649" w:rsidRPr="00E80F7B">
        <w:t>Trước năm 2012, t</w:t>
      </w:r>
      <w:r w:rsidR="00532FEF" w:rsidRPr="00E80F7B">
        <w:rPr>
          <w:lang w:val="vi-VN"/>
        </w:rPr>
        <w:t xml:space="preserve">heo quy định </w:t>
      </w:r>
      <w:r w:rsidR="009E19DA" w:rsidRPr="00E80F7B">
        <w:t>tại P</w:t>
      </w:r>
      <w:r w:rsidR="000A288E" w:rsidRPr="00E80F7B">
        <w:rPr>
          <w:lang w:val="vi-VN"/>
        </w:rPr>
        <w:t>háp lệnh thuế nhà, đất th</w:t>
      </w:r>
      <w:r w:rsidR="000A288E" w:rsidRPr="00E80F7B">
        <w:t xml:space="preserve">ì về </w:t>
      </w:r>
      <w:r w:rsidR="00532FEF" w:rsidRPr="00E80F7B">
        <w:rPr>
          <w:lang w:val="vi-VN"/>
        </w:rPr>
        <w:t>m</w:t>
      </w:r>
      <w:r w:rsidR="00532FEF" w:rsidRPr="00E80F7B">
        <w:rPr>
          <w:lang w:val="nl-NL"/>
        </w:rPr>
        <w:t xml:space="preserve">ức thuế được tính bằng kilogam thóc trên 1 ha của từng hạng đất căn cứ vào mục đích sử dụng và khả năng thu hoa lợi trên đất. Mức thuế cụ thể là bằng từ 1 đến 32 lần mức thuế </w:t>
      </w:r>
      <w:r w:rsidR="00AE22D6" w:rsidRPr="00E80F7B">
        <w:rPr>
          <w:lang w:val="nl-NL"/>
        </w:rPr>
        <w:t>SDĐNN</w:t>
      </w:r>
      <w:r w:rsidR="00532FEF" w:rsidRPr="00E80F7B">
        <w:rPr>
          <w:lang w:val="nl-NL"/>
        </w:rPr>
        <w:t xml:space="preserve"> cao nhất trong vùng và chia theo từng loại đất đô thị, đất nông thôn, đất ven đô theo hướng mức thuế đối với đất đô thị cao hơn đất nông thôn từ 3 đến 32 lần. </w:t>
      </w:r>
      <w:r w:rsidR="004377F6" w:rsidRPr="00E80F7B">
        <w:rPr>
          <w:lang w:val="nl-NL"/>
        </w:rPr>
        <w:t xml:space="preserve">Quy định tại </w:t>
      </w:r>
      <w:r w:rsidR="00CC5323" w:rsidRPr="00E80F7B">
        <w:t>P</w:t>
      </w:r>
      <w:r w:rsidR="00CC5323" w:rsidRPr="00E80F7B">
        <w:rPr>
          <w:lang w:val="vi-VN"/>
        </w:rPr>
        <w:t xml:space="preserve">háp lệnh thuế nhà, đất </w:t>
      </w:r>
      <w:r w:rsidR="004377F6" w:rsidRPr="00E80F7B">
        <w:rPr>
          <w:lang w:val="nl-NL"/>
        </w:rPr>
        <w:t>chưa có sự điều tiết cao đối với những đối tượng có quyền sử dụng đất với diện tích lớn để khuyến khích sử dụng đất tiết kiệm, hiệu quả và hạn chế đầu cơ về đất.</w:t>
      </w:r>
    </w:p>
    <w:p w:rsidR="005A5853" w:rsidRPr="00E80F7B" w:rsidRDefault="001B0649" w:rsidP="00F724C9">
      <w:pPr>
        <w:spacing w:before="120" w:after="120"/>
        <w:ind w:firstLine="720"/>
        <w:jc w:val="both"/>
        <w:rPr>
          <w:lang w:val="vi-VN"/>
        </w:rPr>
      </w:pPr>
      <w:r w:rsidRPr="00E80F7B">
        <w:rPr>
          <w:lang w:val="nl-NL"/>
        </w:rPr>
        <w:lastRenderedPageBreak/>
        <w:t>Tại Luật Thuế SDĐPNN hiện hành quy định t</w:t>
      </w:r>
      <w:r w:rsidR="00EC6D60" w:rsidRPr="00E80F7B">
        <w:rPr>
          <w:lang w:val="nl-NL"/>
        </w:rPr>
        <w:t>huế suất đối với đất ở áp dụng theo biểu thuế luỹ tiến từng phần (mức thuế suất là 0,03%, 0,07% và 0,15%); đối với đ</w:t>
      </w:r>
      <w:r w:rsidR="00EC6D60" w:rsidRPr="00E80F7B">
        <w:rPr>
          <w:lang w:val="vi-VN"/>
        </w:rPr>
        <w:t xml:space="preserve">ất sản xuất, </w:t>
      </w:r>
      <w:r w:rsidR="00EC6D60" w:rsidRPr="00E80F7B">
        <w:rPr>
          <w:bCs/>
          <w:lang w:val="vi-VN"/>
        </w:rPr>
        <w:t>kinh doanh</w:t>
      </w:r>
      <w:r w:rsidR="00EC6D60" w:rsidRPr="00E80F7B">
        <w:rPr>
          <w:lang w:val="vi-VN"/>
        </w:rPr>
        <w:t xml:space="preserve"> phi nông nghiệp là 0,03%; đất sử dụng không đúng mục đích, đất chưa sử dụng theo đúng quy định là 0,15%; đất lấn, chiếm là 0,2%.</w:t>
      </w:r>
      <w:r w:rsidR="00EE18C9" w:rsidRPr="00E80F7B">
        <w:rPr>
          <w:lang w:val="vi-VN"/>
        </w:rPr>
        <w:t xml:space="preserve"> </w:t>
      </w:r>
      <w:r w:rsidR="009874E4" w:rsidRPr="00E80F7B">
        <w:rPr>
          <w:lang w:val="vi-VN"/>
        </w:rPr>
        <w:t>Biểu thuế suất lũy tiến phản ánh mức độ điều tiết đối với việc sử dụng đất ngoài hạn mức</w:t>
      </w:r>
      <w:r w:rsidRPr="00E80F7B">
        <w:t>,</w:t>
      </w:r>
      <w:r w:rsidRPr="00E80F7B">
        <w:rPr>
          <w:lang w:val="nl-NL"/>
        </w:rPr>
        <w:t xml:space="preserve"> khuyến khích sử dụng đất tiết kiệm, hiệu quả</w:t>
      </w:r>
      <w:r w:rsidR="009874E4" w:rsidRPr="00E80F7B">
        <w:rPr>
          <w:lang w:val="vi-VN"/>
        </w:rPr>
        <w:t>.</w:t>
      </w:r>
      <w:r w:rsidR="00464051" w:rsidRPr="00E80F7B">
        <w:rPr>
          <w:lang w:val="vi-VN"/>
        </w:rPr>
        <w:t xml:space="preserve"> </w:t>
      </w:r>
    </w:p>
    <w:p w:rsidR="004377F6" w:rsidRPr="00E80F7B" w:rsidRDefault="00EE18C9" w:rsidP="00F724C9">
      <w:pPr>
        <w:widowControl w:val="0"/>
        <w:spacing w:before="120" w:after="120"/>
        <w:ind w:firstLine="720"/>
        <w:jc w:val="both"/>
        <w:rPr>
          <w:lang w:val="vi-VN"/>
        </w:rPr>
      </w:pPr>
      <w:r w:rsidRPr="00E80F7B">
        <w:rPr>
          <w:lang w:val="vi-VN"/>
        </w:rPr>
        <w:t xml:space="preserve">- Về miễn, giảm thuế: </w:t>
      </w:r>
    </w:p>
    <w:p w:rsidR="003E23F8" w:rsidRPr="00E80F7B" w:rsidRDefault="0079260C" w:rsidP="00F724C9">
      <w:pPr>
        <w:widowControl w:val="0"/>
        <w:spacing w:before="120" w:after="120"/>
        <w:ind w:firstLine="720"/>
        <w:jc w:val="both"/>
      </w:pPr>
      <w:r w:rsidRPr="00E80F7B">
        <w:t>Các quy định miễn, giảm thuế SDĐPNN hiện hành đảm bảo phù hợp với thực tế tại địa phương, đồng bộ và thống nhất với các ưu đãi miễn, giảm theo pháp luật về đầu tư, góp phần thực hiện chính sách an sinh xã hội. Cụ thể:</w:t>
      </w:r>
    </w:p>
    <w:p w:rsidR="00C34421" w:rsidRPr="00E80F7B" w:rsidRDefault="004A136B" w:rsidP="00F724C9">
      <w:pPr>
        <w:widowControl w:val="0"/>
        <w:spacing w:before="120" w:after="120"/>
        <w:ind w:firstLine="720"/>
        <w:jc w:val="both"/>
      </w:pPr>
      <w:r w:rsidRPr="00E80F7B">
        <w:t xml:space="preserve">+ </w:t>
      </w:r>
      <w:r w:rsidR="00C34421" w:rsidRPr="00E80F7B">
        <w:t xml:space="preserve">Luật </w:t>
      </w:r>
      <w:r w:rsidR="00A06153" w:rsidRPr="00E80F7B">
        <w:t>T</w:t>
      </w:r>
      <w:r w:rsidR="00C34421" w:rsidRPr="00E80F7B">
        <w:t xml:space="preserve">huế SDĐPNN quy định bổ sung miễn thuế đối với các đối tượng thuộc diện chính sách, phù hợp với quy định của Đảng và Nhà nước về ưu đãi đối với các đối tượng chính sách: </w:t>
      </w:r>
      <w:r w:rsidR="00EE18C9" w:rsidRPr="00E80F7B">
        <w:rPr>
          <w:lang w:val="nl-NL"/>
        </w:rPr>
        <w:t xml:space="preserve">quy định bổ sung một số đối tượng thuộc diện miễn, giảm thuế như </w:t>
      </w:r>
      <w:r w:rsidR="00EE18C9" w:rsidRPr="00E80F7B">
        <w:rPr>
          <w:lang w:val="vi-VN"/>
        </w:rPr>
        <w:t>đất ở trong hạn mức của thương binh hạng 3/4, 4/4; người hưởng chính sách như thương binh hạng 3/4, 4/4; bệnh binh hạng 2/3, 3/3; con của liệt sỹ không được hưởng trợ cấp hàng tháng…</w:t>
      </w:r>
      <w:r w:rsidR="000940EB" w:rsidRPr="00E80F7B">
        <w:t xml:space="preserve"> </w:t>
      </w:r>
    </w:p>
    <w:p w:rsidR="00470A4E" w:rsidRPr="00E80F7B" w:rsidRDefault="004A136B" w:rsidP="00F724C9">
      <w:pPr>
        <w:widowControl w:val="0"/>
        <w:spacing w:before="120" w:after="120"/>
        <w:ind w:firstLine="720"/>
        <w:jc w:val="both"/>
      </w:pPr>
      <w:r w:rsidRPr="00E80F7B">
        <w:t>+</w:t>
      </w:r>
      <w:r w:rsidR="00A06153" w:rsidRPr="00E80F7B">
        <w:t xml:space="preserve"> Luật Thuế SDĐPNN</w:t>
      </w:r>
      <w:r w:rsidR="003A1583" w:rsidRPr="00E80F7B">
        <w:t xml:space="preserve"> bổ sung đối tượng ưu đãi đầu tư phù hợp với pháp luật về đầu tư.</w:t>
      </w:r>
      <w:r w:rsidR="00470A4E" w:rsidRPr="00E80F7B">
        <w:t xml:space="preserve"> Cùng với các chính sách ưu đãi, hỗ trợ khác của Nhà nước, ưu đãi thuế SDĐPNN góp phần thu hút và định hướng dòng vốn, tạo lợi thế so sánh, giảm chi phí ban đầu, tăng lợi nhuận cho nhà đầu tư, thúc đầy đầu tư vào các ngành, vùng kinh tế đặc biệt.</w:t>
      </w:r>
    </w:p>
    <w:p w:rsidR="0058471F" w:rsidRPr="00E80F7B" w:rsidRDefault="004A136B" w:rsidP="00F724C9">
      <w:pPr>
        <w:widowControl w:val="0"/>
        <w:spacing w:before="120" w:after="120"/>
        <w:ind w:firstLine="720"/>
        <w:jc w:val="both"/>
      </w:pPr>
      <w:r w:rsidRPr="00E80F7B">
        <w:t>+</w:t>
      </w:r>
      <w:r w:rsidR="003A1583" w:rsidRPr="00E80F7B">
        <w:t xml:space="preserve"> Luật Thuế SDĐPNN bổ sung đối tượng ưu đãi đầu tư đối với lĩnh vực xã hội hóa theo chính sách khuyến khích phát triển cơ sở cung ứng dịch vụ công.</w:t>
      </w:r>
      <w:r w:rsidR="00F15609" w:rsidRPr="00E80F7B">
        <w:t xml:space="preserve"> Ưu đãi thuế đóng vai trò là “</w:t>
      </w:r>
      <w:r w:rsidR="0058471F" w:rsidRPr="00E80F7B">
        <w:t>đòn bẩy</w:t>
      </w:r>
      <w:r w:rsidR="00F15609" w:rsidRPr="00E80F7B">
        <w:t>”</w:t>
      </w:r>
      <w:r w:rsidR="0058471F" w:rsidRPr="00E80F7B">
        <w:t xml:space="preserve"> kinh tế quan trọng, thúc đẩy xã hội hóa bằng cách giảm chi phí đầu tư và tăng lợi nhuận cho các doanh nghiệp, tổ chức trong lĩnh vực giáo dục, y tế, văn hóa, môi trường. Chính sách này khuyến khích đầu tư tư nhân, giảm tải NSNN, nâng cao chất lượng dịch vụ công và đảm bảo an sinh xã hội.</w:t>
      </w:r>
    </w:p>
    <w:p w:rsidR="00B17743" w:rsidRPr="00E80F7B" w:rsidRDefault="00B17743" w:rsidP="00F724C9">
      <w:pPr>
        <w:widowControl w:val="0"/>
        <w:spacing w:before="120" w:after="120"/>
        <w:ind w:firstLine="720"/>
        <w:jc w:val="both"/>
      </w:pPr>
      <w:r w:rsidRPr="00E80F7B">
        <w:t xml:space="preserve">Đối với lĩnh vực giáo dục đào tạo, theo quy định Luật </w:t>
      </w:r>
      <w:r w:rsidR="00C975A6" w:rsidRPr="00E80F7B">
        <w:t>T</w:t>
      </w:r>
      <w:r w:rsidRPr="00E80F7B">
        <w:t>huế SDĐPNN thì đất của cơ sở thực hiện xã hội hóa được miễn thuế. Chính sách ưu đãi thuế sử dụng đất đối với lĩnh vực giáo dục là phù hợp về mặt lý luận kinh tế và thông lệ quốc tế, do giáo dục tạo ra ngoại ứng tích cực và mang tính công ích cao, cần Nhà nước can thiệp để khuyến khích đầu tư.</w:t>
      </w:r>
    </w:p>
    <w:p w:rsidR="00B17743" w:rsidRPr="00E80F7B" w:rsidRDefault="00B17743" w:rsidP="00F724C9">
      <w:pPr>
        <w:widowControl w:val="0"/>
        <w:spacing w:before="120" w:after="120"/>
        <w:ind w:firstLine="720"/>
        <w:jc w:val="both"/>
      </w:pPr>
      <w:r w:rsidRPr="00E80F7B">
        <w:t xml:space="preserve">Chính sách ưu đãi thuế SDĐPNN trong thời gian qua đã góp phần quan trọng trong việc thực hiện chủ trương xã hội hóa giáo dục đào tạo tại </w:t>
      </w:r>
      <w:r w:rsidRPr="00E80F7B">
        <w:rPr>
          <w:rStyle w:val="whitespace-normal"/>
        </w:rPr>
        <w:t>Việt Nam</w:t>
      </w:r>
      <w:r w:rsidRPr="00E80F7B">
        <w:t xml:space="preserve"> thông qua việc giảm bớt gánh nặng tài chính, khuyến khích các tổ chức, cá nhân tham gia đầu tư phát triển cơ sở giáo dục ngoài công lập. Các ưu đãi về thuế thu nhập doanh nghiệp, thuế sử dụng đất và tiền thuê đất đã tạo điều kiện mở rộng quy mô giáo dục, đa dạng hóa loại hình đào tạo và huy động thêm nguồn lực xã hội cho phát triển giáo dục, qua đó hỗ trợ nâng cao khả năng tiếp cận dịch vụ giáo dục và giảm áp lực đầu tư từ ngân sách nhà nước.</w:t>
      </w:r>
    </w:p>
    <w:p w:rsidR="003C7C05" w:rsidRPr="00E80F7B" w:rsidRDefault="003C7C05" w:rsidP="00F724C9">
      <w:pPr>
        <w:widowControl w:val="0"/>
        <w:spacing w:before="120" w:after="120"/>
        <w:ind w:firstLine="720"/>
        <w:jc w:val="both"/>
      </w:pPr>
      <w:r w:rsidRPr="00E80F7B">
        <w:t xml:space="preserve">Việc miễn thuế trực tiếp giảm gánh nặng tài chính, tăng tính khả thi cho </w:t>
      </w:r>
      <w:r w:rsidRPr="00E80F7B">
        <w:lastRenderedPageBreak/>
        <w:t>các dự án giáo dục công lập tự chủ và ngoài công lập, cơ chế ưu đãi là yếu tố quyết định trong việc huy động nguồn lực xã hội và doanh nghiệp đầu tư vào giáo dục và đào tạo, tạo động lực kinh tế cho doanh nghiệp, tổ chức phi lợi nhuận, nhà đầu tư tư nhân tham gia vào giáo dục.</w:t>
      </w:r>
    </w:p>
    <w:p w:rsidR="002E4EEF" w:rsidRPr="00E80F7B" w:rsidRDefault="003275C3" w:rsidP="00F724C9">
      <w:pPr>
        <w:widowControl w:val="0"/>
        <w:spacing w:before="120" w:after="120"/>
        <w:ind w:firstLine="720"/>
        <w:jc w:val="both"/>
      </w:pPr>
      <w:r w:rsidRPr="00E80F7B">
        <w:rPr>
          <w:i/>
        </w:rPr>
        <w:t>Thứ nhất,</w:t>
      </w:r>
      <w:r w:rsidRPr="00E80F7B">
        <w:t xml:space="preserve"> huy động nguồn lực xã hội, phát triển hệ thống cơ sở giáo dục ngoài công lập.</w:t>
      </w:r>
    </w:p>
    <w:p w:rsidR="008B0302" w:rsidRPr="00E80F7B" w:rsidRDefault="003275C3" w:rsidP="00F724C9">
      <w:pPr>
        <w:widowControl w:val="0"/>
        <w:spacing w:before="120" w:after="120"/>
        <w:ind w:firstLine="720"/>
        <w:jc w:val="both"/>
        <w:rPr>
          <w:sz w:val="24"/>
          <w:szCs w:val="24"/>
        </w:rPr>
      </w:pPr>
      <w:r w:rsidRPr="00E80F7B">
        <w:t xml:space="preserve">Phát triển hệ thống cơ sở giáo dục ngoài công lập là một trong những kết quả nổi bật của quá trình xã hội hóa giáo dục tại </w:t>
      </w:r>
      <w:r w:rsidRPr="00E80F7B">
        <w:rPr>
          <w:rStyle w:val="whitespace-normal"/>
        </w:rPr>
        <w:t>Việt Nam</w:t>
      </w:r>
      <w:r w:rsidRPr="00E80F7B">
        <w:t>. Số lượng cơ sở giáo dục ngoài công lập tăng nhanh ở nhiều cấp học như mầm non, phổ thông, giáo dục nghề nghiệp và giáo dục đại học, góp phần mở rộng quy mô đào tạo và đáp ứng nhu cầu học tập ngày càng đa dạng của xã hội. Nhiều cơ sở giáo dục ngoài công lập đã đầu tư cơ sở vật chất hiện đại, đổi mới phương pháp đào tạo và tăng cường hợp tác quốc tế, qua đó góp phần nâng cao chất lượng giáo dục và giảm áp lực cho hệ thống giáo dục công lập</w:t>
      </w:r>
      <w:r w:rsidR="008B0302" w:rsidRPr="00E80F7B">
        <w:t>.</w:t>
      </w:r>
      <w:r w:rsidR="00074A76" w:rsidRPr="00E80F7B">
        <w:t xml:space="preserve"> Điều này góp phần đa dạng hóa hệ thống giáo dục và đáp ứng nhu cầu học tập ngày càng lớn của xã hội</w:t>
      </w:r>
      <w:r w:rsidR="00074A76" w:rsidRPr="00E80F7B">
        <w:rPr>
          <w:sz w:val="24"/>
          <w:szCs w:val="24"/>
        </w:rPr>
        <w:t>.</w:t>
      </w:r>
    </w:p>
    <w:p w:rsidR="00F02519" w:rsidRPr="00E80F7B" w:rsidRDefault="00F02519" w:rsidP="00F724C9">
      <w:pPr>
        <w:widowControl w:val="0"/>
        <w:spacing w:before="120" w:after="120"/>
        <w:ind w:firstLine="720"/>
        <w:jc w:val="both"/>
      </w:pPr>
      <w:r w:rsidRPr="00E80F7B">
        <w:t>Theo số liệu thống kê của Bộ Giáo dục và Đào tạo, trong năm học 2024-2025, cả nước có 40.973</w:t>
      </w:r>
      <w:r w:rsidR="001E6657" w:rsidRPr="00E80F7B">
        <w:t xml:space="preserve"> cơ sở giáo dục từ mầm non, tiểu học, trung học cơ sở, trung học phổ thông và các cơ sở giáo dục đại học với 25,7 triệu học sinh, sinh viên trên toàn quốc. Trong đó có 3.935 cơ sở ngoài công lập đạt 9,6% và hơn 2,3 triệu học sinh, sinh viên học tại các cơ sở giáo dục ngoài công lập đạt 9,29%, </w:t>
      </w:r>
      <w:r w:rsidR="00484BBB" w:rsidRPr="00E80F7B">
        <w:t xml:space="preserve">còn </w:t>
      </w:r>
      <w:r w:rsidR="001E6657" w:rsidRPr="00E80F7B">
        <w:t>chưa đạt so với mục tiêu đề ra</w:t>
      </w:r>
      <w:r w:rsidR="001E6657" w:rsidRPr="00E80F7B">
        <w:rPr>
          <w:rStyle w:val="FootnoteReference"/>
        </w:rPr>
        <w:footnoteReference w:id="3"/>
      </w:r>
      <w:r w:rsidR="001E6657" w:rsidRPr="00E80F7B">
        <w:t>.</w:t>
      </w:r>
    </w:p>
    <w:p w:rsidR="00CE6921" w:rsidRPr="00E80F7B" w:rsidRDefault="00C45BD2" w:rsidP="00443E97">
      <w:pPr>
        <w:widowControl w:val="0"/>
        <w:spacing w:before="120" w:after="120"/>
        <w:ind w:firstLine="720"/>
        <w:jc w:val="both"/>
        <w:rPr>
          <w:b/>
        </w:rPr>
      </w:pPr>
      <w:r w:rsidRPr="00E80F7B">
        <w:rPr>
          <w:b/>
        </w:rPr>
        <w:t>Biểu 1.</w:t>
      </w:r>
      <w:r w:rsidRPr="00E80F7B">
        <w:t xml:space="preserve"> </w:t>
      </w:r>
      <w:r w:rsidRPr="00E80F7B">
        <w:rPr>
          <w:b/>
        </w:rPr>
        <w:t xml:space="preserve">Thống kê cơ sở giáo dục đào tạo giai đoạn 2024 </w:t>
      </w:r>
      <w:r w:rsidR="00484BBB" w:rsidRPr="00E80F7B">
        <w:rPr>
          <w:b/>
        </w:rPr>
        <w:t>-</w:t>
      </w:r>
      <w:r w:rsidRPr="00E80F7B">
        <w:rPr>
          <w:b/>
        </w:rPr>
        <w:t xml:space="preserve"> 2025</w:t>
      </w:r>
    </w:p>
    <w:tbl>
      <w:tblPr>
        <w:tblStyle w:val="TableGrid"/>
        <w:tblW w:w="0" w:type="auto"/>
        <w:jc w:val="center"/>
        <w:tblLook w:val="04A0"/>
      </w:tblPr>
      <w:tblGrid>
        <w:gridCol w:w="1628"/>
        <w:gridCol w:w="1174"/>
        <w:gridCol w:w="1250"/>
        <w:gridCol w:w="876"/>
        <w:gridCol w:w="1417"/>
        <w:gridCol w:w="1560"/>
        <w:gridCol w:w="1349"/>
      </w:tblGrid>
      <w:tr w:rsidR="003204E4" w:rsidRPr="00E80F7B" w:rsidTr="000573F9">
        <w:trPr>
          <w:jc w:val="center"/>
        </w:trPr>
        <w:tc>
          <w:tcPr>
            <w:tcW w:w="1628" w:type="dxa"/>
            <w:vMerge w:val="restart"/>
          </w:tcPr>
          <w:p w:rsidR="003204E4" w:rsidRPr="00E80F7B" w:rsidRDefault="003204E4" w:rsidP="000573F9">
            <w:pPr>
              <w:widowControl w:val="0"/>
              <w:jc w:val="center"/>
              <w:rPr>
                <w:b/>
              </w:rPr>
            </w:pPr>
            <w:r w:rsidRPr="00E80F7B">
              <w:rPr>
                <w:b/>
              </w:rPr>
              <w:t>Loại hình cơ sở giáo dục</w:t>
            </w:r>
          </w:p>
        </w:tc>
        <w:tc>
          <w:tcPr>
            <w:tcW w:w="3300" w:type="dxa"/>
            <w:gridSpan w:val="3"/>
          </w:tcPr>
          <w:p w:rsidR="003204E4" w:rsidRPr="00E80F7B" w:rsidRDefault="003204E4" w:rsidP="000573F9">
            <w:pPr>
              <w:widowControl w:val="0"/>
              <w:jc w:val="center"/>
              <w:rPr>
                <w:b/>
              </w:rPr>
            </w:pPr>
            <w:r w:rsidRPr="00E80F7B">
              <w:rPr>
                <w:b/>
              </w:rPr>
              <w:t>Số lượng cơ sở giáo dục</w:t>
            </w:r>
          </w:p>
        </w:tc>
        <w:tc>
          <w:tcPr>
            <w:tcW w:w="4326" w:type="dxa"/>
            <w:gridSpan w:val="3"/>
          </w:tcPr>
          <w:p w:rsidR="003204E4" w:rsidRPr="00E80F7B" w:rsidRDefault="003204E4" w:rsidP="000573F9">
            <w:pPr>
              <w:widowControl w:val="0"/>
              <w:ind w:right="-126"/>
              <w:jc w:val="center"/>
              <w:rPr>
                <w:b/>
              </w:rPr>
            </w:pPr>
            <w:r w:rsidRPr="00E80F7B">
              <w:rPr>
                <w:b/>
              </w:rPr>
              <w:t>Số người học tại các cơ sở giáo dục</w:t>
            </w:r>
          </w:p>
        </w:tc>
      </w:tr>
      <w:tr w:rsidR="001622C4" w:rsidRPr="00E80F7B" w:rsidTr="000573F9">
        <w:trPr>
          <w:jc w:val="center"/>
        </w:trPr>
        <w:tc>
          <w:tcPr>
            <w:tcW w:w="1628" w:type="dxa"/>
            <w:vMerge/>
          </w:tcPr>
          <w:p w:rsidR="003204E4" w:rsidRPr="00E80F7B" w:rsidRDefault="003204E4" w:rsidP="000573F9">
            <w:pPr>
              <w:widowControl w:val="0"/>
              <w:jc w:val="both"/>
            </w:pPr>
          </w:p>
        </w:tc>
        <w:tc>
          <w:tcPr>
            <w:tcW w:w="1174" w:type="dxa"/>
          </w:tcPr>
          <w:p w:rsidR="003204E4" w:rsidRPr="00E80F7B" w:rsidRDefault="003204E4" w:rsidP="000573F9">
            <w:pPr>
              <w:widowControl w:val="0"/>
              <w:jc w:val="center"/>
              <w:rPr>
                <w:i/>
              </w:rPr>
            </w:pPr>
            <w:r w:rsidRPr="00E80F7B">
              <w:rPr>
                <w:i/>
              </w:rPr>
              <w:t>Toàn quốc</w:t>
            </w:r>
          </w:p>
        </w:tc>
        <w:tc>
          <w:tcPr>
            <w:tcW w:w="1250" w:type="dxa"/>
          </w:tcPr>
          <w:p w:rsidR="003204E4" w:rsidRPr="00E80F7B" w:rsidRDefault="000B0315" w:rsidP="000573F9">
            <w:pPr>
              <w:widowControl w:val="0"/>
              <w:jc w:val="center"/>
              <w:rPr>
                <w:i/>
              </w:rPr>
            </w:pPr>
            <w:r w:rsidRPr="00E80F7B">
              <w:rPr>
                <w:i/>
              </w:rPr>
              <w:t>Ngoài c</w:t>
            </w:r>
            <w:r w:rsidR="003204E4" w:rsidRPr="00E80F7B">
              <w:rPr>
                <w:i/>
              </w:rPr>
              <w:t>ông lập</w:t>
            </w:r>
          </w:p>
        </w:tc>
        <w:tc>
          <w:tcPr>
            <w:tcW w:w="876" w:type="dxa"/>
          </w:tcPr>
          <w:p w:rsidR="003204E4" w:rsidRPr="00E80F7B" w:rsidRDefault="003204E4" w:rsidP="000573F9">
            <w:pPr>
              <w:widowControl w:val="0"/>
              <w:jc w:val="center"/>
              <w:rPr>
                <w:i/>
              </w:rPr>
            </w:pPr>
            <w:r w:rsidRPr="00E80F7B">
              <w:rPr>
                <w:i/>
              </w:rPr>
              <w:t>Tỷ lệ %</w:t>
            </w:r>
          </w:p>
        </w:tc>
        <w:tc>
          <w:tcPr>
            <w:tcW w:w="1417" w:type="dxa"/>
          </w:tcPr>
          <w:p w:rsidR="003204E4" w:rsidRPr="00E80F7B" w:rsidRDefault="003204E4" w:rsidP="000573F9">
            <w:pPr>
              <w:widowControl w:val="0"/>
              <w:jc w:val="center"/>
              <w:rPr>
                <w:i/>
              </w:rPr>
            </w:pPr>
            <w:r w:rsidRPr="00E80F7B">
              <w:rPr>
                <w:i/>
              </w:rPr>
              <w:t>Toàn quốc</w:t>
            </w:r>
          </w:p>
        </w:tc>
        <w:tc>
          <w:tcPr>
            <w:tcW w:w="1560" w:type="dxa"/>
          </w:tcPr>
          <w:p w:rsidR="003204E4" w:rsidRPr="00E80F7B" w:rsidRDefault="003204E4" w:rsidP="000573F9">
            <w:pPr>
              <w:widowControl w:val="0"/>
              <w:jc w:val="center"/>
              <w:rPr>
                <w:i/>
              </w:rPr>
            </w:pPr>
            <w:r w:rsidRPr="00E80F7B">
              <w:rPr>
                <w:i/>
              </w:rPr>
              <w:t>Ngoài công lập</w:t>
            </w:r>
          </w:p>
        </w:tc>
        <w:tc>
          <w:tcPr>
            <w:tcW w:w="1349" w:type="dxa"/>
          </w:tcPr>
          <w:p w:rsidR="003204E4" w:rsidRPr="00E80F7B" w:rsidRDefault="003204E4" w:rsidP="000573F9">
            <w:pPr>
              <w:widowControl w:val="0"/>
              <w:jc w:val="center"/>
              <w:rPr>
                <w:i/>
              </w:rPr>
            </w:pPr>
            <w:r w:rsidRPr="00E80F7B">
              <w:rPr>
                <w:i/>
              </w:rPr>
              <w:t>Tỷ lệ %</w:t>
            </w:r>
          </w:p>
        </w:tc>
      </w:tr>
      <w:tr w:rsidR="001622C4" w:rsidRPr="00E80F7B" w:rsidTr="000573F9">
        <w:trPr>
          <w:jc w:val="center"/>
        </w:trPr>
        <w:tc>
          <w:tcPr>
            <w:tcW w:w="1628" w:type="dxa"/>
          </w:tcPr>
          <w:p w:rsidR="003204E4" w:rsidRPr="00E80F7B" w:rsidRDefault="003204E4" w:rsidP="001622C4">
            <w:pPr>
              <w:widowControl w:val="0"/>
              <w:spacing w:before="120" w:after="120"/>
              <w:jc w:val="center"/>
            </w:pPr>
            <w:r w:rsidRPr="00E80F7B">
              <w:t>Mầm non</w:t>
            </w:r>
          </w:p>
        </w:tc>
        <w:tc>
          <w:tcPr>
            <w:tcW w:w="1174" w:type="dxa"/>
          </w:tcPr>
          <w:p w:rsidR="003204E4" w:rsidRPr="00E80F7B" w:rsidRDefault="003204E4" w:rsidP="001622C4">
            <w:pPr>
              <w:widowControl w:val="0"/>
              <w:spacing w:before="120" w:after="120"/>
              <w:jc w:val="right"/>
            </w:pPr>
            <w:r w:rsidRPr="00E80F7B">
              <w:t>15.199</w:t>
            </w:r>
          </w:p>
        </w:tc>
        <w:tc>
          <w:tcPr>
            <w:tcW w:w="1250" w:type="dxa"/>
          </w:tcPr>
          <w:p w:rsidR="003204E4" w:rsidRPr="00E80F7B" w:rsidRDefault="003204E4" w:rsidP="001622C4">
            <w:pPr>
              <w:widowControl w:val="0"/>
              <w:spacing w:before="120" w:after="120"/>
              <w:jc w:val="right"/>
            </w:pPr>
            <w:r w:rsidRPr="00E80F7B">
              <w:t>3.137</w:t>
            </w:r>
          </w:p>
        </w:tc>
        <w:tc>
          <w:tcPr>
            <w:tcW w:w="876" w:type="dxa"/>
          </w:tcPr>
          <w:p w:rsidR="003204E4" w:rsidRPr="00E80F7B" w:rsidRDefault="003204E4" w:rsidP="001622C4">
            <w:pPr>
              <w:widowControl w:val="0"/>
              <w:spacing w:before="120" w:after="120"/>
              <w:jc w:val="right"/>
            </w:pPr>
            <w:r w:rsidRPr="00E80F7B">
              <w:t>20,6</w:t>
            </w:r>
          </w:p>
        </w:tc>
        <w:tc>
          <w:tcPr>
            <w:tcW w:w="1417" w:type="dxa"/>
          </w:tcPr>
          <w:p w:rsidR="003204E4" w:rsidRPr="00E80F7B" w:rsidRDefault="003204E4" w:rsidP="001622C4">
            <w:pPr>
              <w:widowControl w:val="0"/>
              <w:spacing w:before="120" w:after="120"/>
              <w:jc w:val="right"/>
            </w:pPr>
            <w:r w:rsidRPr="00E80F7B">
              <w:t>4.830.927</w:t>
            </w:r>
          </w:p>
        </w:tc>
        <w:tc>
          <w:tcPr>
            <w:tcW w:w="1560" w:type="dxa"/>
          </w:tcPr>
          <w:p w:rsidR="003204E4" w:rsidRPr="00E80F7B" w:rsidRDefault="003204E4" w:rsidP="001622C4">
            <w:pPr>
              <w:widowControl w:val="0"/>
              <w:spacing w:before="120" w:after="120"/>
              <w:jc w:val="right"/>
            </w:pPr>
            <w:r w:rsidRPr="00E80F7B">
              <w:t>1.048.247</w:t>
            </w:r>
          </w:p>
        </w:tc>
        <w:tc>
          <w:tcPr>
            <w:tcW w:w="1349" w:type="dxa"/>
          </w:tcPr>
          <w:p w:rsidR="003204E4" w:rsidRPr="00E80F7B" w:rsidRDefault="00074A76" w:rsidP="001622C4">
            <w:pPr>
              <w:widowControl w:val="0"/>
              <w:spacing w:before="120" w:after="120"/>
              <w:jc w:val="right"/>
            </w:pPr>
            <w:r w:rsidRPr="00E80F7B">
              <w:t>21,7</w:t>
            </w:r>
          </w:p>
        </w:tc>
      </w:tr>
      <w:tr w:rsidR="001622C4" w:rsidRPr="00E80F7B" w:rsidTr="000573F9">
        <w:trPr>
          <w:jc w:val="center"/>
        </w:trPr>
        <w:tc>
          <w:tcPr>
            <w:tcW w:w="1628" w:type="dxa"/>
          </w:tcPr>
          <w:p w:rsidR="003204E4" w:rsidRPr="00E80F7B" w:rsidRDefault="003204E4" w:rsidP="001622C4">
            <w:pPr>
              <w:widowControl w:val="0"/>
              <w:spacing w:before="120" w:after="120"/>
              <w:jc w:val="center"/>
            </w:pPr>
            <w:r w:rsidRPr="00E80F7B">
              <w:t>Tiểu học</w:t>
            </w:r>
          </w:p>
        </w:tc>
        <w:tc>
          <w:tcPr>
            <w:tcW w:w="1174" w:type="dxa"/>
          </w:tcPr>
          <w:p w:rsidR="003204E4" w:rsidRPr="00E80F7B" w:rsidRDefault="003204E4" w:rsidP="001622C4">
            <w:pPr>
              <w:widowControl w:val="0"/>
              <w:spacing w:before="120" w:after="120"/>
              <w:jc w:val="right"/>
            </w:pPr>
            <w:r w:rsidRPr="00E80F7B">
              <w:t>12.147</w:t>
            </w:r>
          </w:p>
        </w:tc>
        <w:tc>
          <w:tcPr>
            <w:tcW w:w="1250" w:type="dxa"/>
          </w:tcPr>
          <w:p w:rsidR="003204E4" w:rsidRPr="00E80F7B" w:rsidRDefault="003204E4" w:rsidP="001622C4">
            <w:pPr>
              <w:widowControl w:val="0"/>
              <w:spacing w:before="120" w:after="120"/>
              <w:jc w:val="right"/>
            </w:pPr>
            <w:r w:rsidRPr="00E80F7B">
              <w:t>137</w:t>
            </w:r>
          </w:p>
        </w:tc>
        <w:tc>
          <w:tcPr>
            <w:tcW w:w="876" w:type="dxa"/>
          </w:tcPr>
          <w:p w:rsidR="003204E4" w:rsidRPr="00E80F7B" w:rsidRDefault="003204E4" w:rsidP="001622C4">
            <w:pPr>
              <w:widowControl w:val="0"/>
              <w:spacing w:before="120" w:after="120"/>
              <w:jc w:val="right"/>
            </w:pPr>
            <w:r w:rsidRPr="00E80F7B">
              <w:t>1,1</w:t>
            </w:r>
          </w:p>
        </w:tc>
        <w:tc>
          <w:tcPr>
            <w:tcW w:w="1417" w:type="dxa"/>
          </w:tcPr>
          <w:p w:rsidR="003204E4" w:rsidRPr="00E80F7B" w:rsidRDefault="00074A76" w:rsidP="001622C4">
            <w:pPr>
              <w:widowControl w:val="0"/>
              <w:spacing w:before="120" w:after="120"/>
              <w:jc w:val="right"/>
            </w:pPr>
            <w:r w:rsidRPr="00E80F7B">
              <w:t>8.876.320</w:t>
            </w:r>
          </w:p>
        </w:tc>
        <w:tc>
          <w:tcPr>
            <w:tcW w:w="1560" w:type="dxa"/>
          </w:tcPr>
          <w:p w:rsidR="003204E4" w:rsidRPr="00E80F7B" w:rsidRDefault="00074A76" w:rsidP="001622C4">
            <w:pPr>
              <w:widowControl w:val="0"/>
              <w:spacing w:before="120" w:after="120"/>
              <w:jc w:val="right"/>
            </w:pPr>
            <w:r w:rsidRPr="00E80F7B">
              <w:t>154.765</w:t>
            </w:r>
          </w:p>
        </w:tc>
        <w:tc>
          <w:tcPr>
            <w:tcW w:w="1349" w:type="dxa"/>
          </w:tcPr>
          <w:p w:rsidR="003204E4" w:rsidRPr="00E80F7B" w:rsidRDefault="00074A76" w:rsidP="001622C4">
            <w:pPr>
              <w:widowControl w:val="0"/>
              <w:spacing w:before="120" w:after="120"/>
              <w:jc w:val="right"/>
            </w:pPr>
            <w:r w:rsidRPr="00E80F7B">
              <w:t>1,7</w:t>
            </w:r>
          </w:p>
        </w:tc>
      </w:tr>
      <w:tr w:rsidR="001622C4" w:rsidRPr="00E80F7B" w:rsidTr="000573F9">
        <w:trPr>
          <w:jc w:val="center"/>
        </w:trPr>
        <w:tc>
          <w:tcPr>
            <w:tcW w:w="1628" w:type="dxa"/>
          </w:tcPr>
          <w:p w:rsidR="003204E4" w:rsidRPr="00E80F7B" w:rsidRDefault="003204E4" w:rsidP="001622C4">
            <w:pPr>
              <w:widowControl w:val="0"/>
              <w:spacing w:before="120" w:after="120"/>
              <w:jc w:val="center"/>
            </w:pPr>
            <w:r w:rsidRPr="00E80F7B">
              <w:t>THCS</w:t>
            </w:r>
          </w:p>
        </w:tc>
        <w:tc>
          <w:tcPr>
            <w:tcW w:w="1174" w:type="dxa"/>
          </w:tcPr>
          <w:p w:rsidR="003204E4" w:rsidRPr="00E80F7B" w:rsidRDefault="003204E4" w:rsidP="001622C4">
            <w:pPr>
              <w:widowControl w:val="0"/>
              <w:spacing w:before="120" w:after="120"/>
              <w:jc w:val="right"/>
            </w:pPr>
            <w:r w:rsidRPr="00E80F7B">
              <w:t>10.716</w:t>
            </w:r>
          </w:p>
        </w:tc>
        <w:tc>
          <w:tcPr>
            <w:tcW w:w="1250" w:type="dxa"/>
          </w:tcPr>
          <w:p w:rsidR="003204E4" w:rsidRPr="00E80F7B" w:rsidRDefault="003204E4" w:rsidP="001622C4">
            <w:pPr>
              <w:widowControl w:val="0"/>
              <w:spacing w:before="120" w:after="120"/>
              <w:jc w:val="right"/>
            </w:pPr>
            <w:r w:rsidRPr="00E80F7B">
              <w:t>2.449</w:t>
            </w:r>
          </w:p>
        </w:tc>
        <w:tc>
          <w:tcPr>
            <w:tcW w:w="876" w:type="dxa"/>
          </w:tcPr>
          <w:p w:rsidR="003204E4" w:rsidRPr="00E80F7B" w:rsidRDefault="003204E4" w:rsidP="001622C4">
            <w:pPr>
              <w:widowControl w:val="0"/>
              <w:spacing w:before="120" w:after="120"/>
              <w:jc w:val="right"/>
            </w:pPr>
            <w:r w:rsidRPr="00E80F7B">
              <w:t>0,8</w:t>
            </w:r>
          </w:p>
        </w:tc>
        <w:tc>
          <w:tcPr>
            <w:tcW w:w="1417" w:type="dxa"/>
          </w:tcPr>
          <w:p w:rsidR="003204E4" w:rsidRPr="00E80F7B" w:rsidRDefault="00074A76" w:rsidP="001622C4">
            <w:pPr>
              <w:widowControl w:val="0"/>
              <w:spacing w:before="120" w:after="120"/>
              <w:jc w:val="right"/>
            </w:pPr>
            <w:r w:rsidRPr="00E80F7B">
              <w:t>6.513.021</w:t>
            </w:r>
          </w:p>
        </w:tc>
        <w:tc>
          <w:tcPr>
            <w:tcW w:w="1560" w:type="dxa"/>
          </w:tcPr>
          <w:p w:rsidR="003204E4" w:rsidRPr="00E80F7B" w:rsidRDefault="00074A76" w:rsidP="001622C4">
            <w:pPr>
              <w:widowControl w:val="0"/>
              <w:spacing w:before="120" w:after="120"/>
              <w:jc w:val="right"/>
            </w:pPr>
            <w:r w:rsidRPr="00E80F7B">
              <w:t>101.793</w:t>
            </w:r>
          </w:p>
        </w:tc>
        <w:tc>
          <w:tcPr>
            <w:tcW w:w="1349" w:type="dxa"/>
          </w:tcPr>
          <w:p w:rsidR="003204E4" w:rsidRPr="00E80F7B" w:rsidRDefault="00074A76" w:rsidP="001622C4">
            <w:pPr>
              <w:widowControl w:val="0"/>
              <w:spacing w:before="120" w:after="120"/>
              <w:jc w:val="right"/>
            </w:pPr>
            <w:r w:rsidRPr="00E80F7B">
              <w:t>1,6</w:t>
            </w:r>
          </w:p>
        </w:tc>
      </w:tr>
      <w:tr w:rsidR="001622C4" w:rsidRPr="00E80F7B" w:rsidTr="000573F9">
        <w:trPr>
          <w:jc w:val="center"/>
        </w:trPr>
        <w:tc>
          <w:tcPr>
            <w:tcW w:w="1628" w:type="dxa"/>
          </w:tcPr>
          <w:p w:rsidR="003204E4" w:rsidRPr="00E80F7B" w:rsidRDefault="003204E4" w:rsidP="001622C4">
            <w:pPr>
              <w:widowControl w:val="0"/>
              <w:spacing w:before="120" w:after="120"/>
              <w:jc w:val="center"/>
            </w:pPr>
            <w:r w:rsidRPr="00E80F7B">
              <w:t>THPT</w:t>
            </w:r>
          </w:p>
        </w:tc>
        <w:tc>
          <w:tcPr>
            <w:tcW w:w="1174" w:type="dxa"/>
          </w:tcPr>
          <w:p w:rsidR="003204E4" w:rsidRPr="00E80F7B" w:rsidRDefault="003204E4" w:rsidP="001622C4">
            <w:pPr>
              <w:widowControl w:val="0"/>
              <w:spacing w:before="120" w:after="120"/>
              <w:jc w:val="right"/>
            </w:pPr>
            <w:r w:rsidRPr="00E80F7B">
              <w:t>2.973</w:t>
            </w:r>
          </w:p>
        </w:tc>
        <w:tc>
          <w:tcPr>
            <w:tcW w:w="1250" w:type="dxa"/>
          </w:tcPr>
          <w:p w:rsidR="003204E4" w:rsidRPr="00E80F7B" w:rsidRDefault="003204E4" w:rsidP="001622C4">
            <w:pPr>
              <w:widowControl w:val="0"/>
              <w:spacing w:before="120" w:after="120"/>
              <w:jc w:val="right"/>
            </w:pPr>
            <w:r w:rsidRPr="00E80F7B">
              <w:t>676</w:t>
            </w:r>
          </w:p>
        </w:tc>
        <w:tc>
          <w:tcPr>
            <w:tcW w:w="876" w:type="dxa"/>
          </w:tcPr>
          <w:p w:rsidR="003204E4" w:rsidRPr="00E80F7B" w:rsidRDefault="003204E4" w:rsidP="001622C4">
            <w:pPr>
              <w:widowControl w:val="0"/>
              <w:spacing w:before="120" w:after="120"/>
              <w:jc w:val="right"/>
            </w:pPr>
            <w:r w:rsidRPr="00E80F7B">
              <w:t>16,4</w:t>
            </w:r>
          </w:p>
        </w:tc>
        <w:tc>
          <w:tcPr>
            <w:tcW w:w="1417" w:type="dxa"/>
          </w:tcPr>
          <w:p w:rsidR="003204E4" w:rsidRPr="00E80F7B" w:rsidRDefault="00074A76" w:rsidP="001622C4">
            <w:pPr>
              <w:widowControl w:val="0"/>
              <w:spacing w:before="120" w:after="120"/>
              <w:jc w:val="right"/>
            </w:pPr>
            <w:r w:rsidRPr="00E80F7B">
              <w:t>2.989.182</w:t>
            </w:r>
          </w:p>
        </w:tc>
        <w:tc>
          <w:tcPr>
            <w:tcW w:w="1560" w:type="dxa"/>
          </w:tcPr>
          <w:p w:rsidR="003204E4" w:rsidRPr="00E80F7B" w:rsidRDefault="00074A76" w:rsidP="001622C4">
            <w:pPr>
              <w:widowControl w:val="0"/>
              <w:spacing w:before="120" w:after="120"/>
              <w:jc w:val="right"/>
            </w:pPr>
            <w:r w:rsidRPr="00E80F7B">
              <w:t>336.981</w:t>
            </w:r>
          </w:p>
        </w:tc>
        <w:tc>
          <w:tcPr>
            <w:tcW w:w="1349" w:type="dxa"/>
          </w:tcPr>
          <w:p w:rsidR="003204E4" w:rsidRPr="00E80F7B" w:rsidRDefault="00074A76" w:rsidP="001622C4">
            <w:pPr>
              <w:widowControl w:val="0"/>
              <w:spacing w:before="120" w:after="120"/>
              <w:jc w:val="right"/>
            </w:pPr>
            <w:r w:rsidRPr="00E80F7B">
              <w:t>11,3</w:t>
            </w:r>
          </w:p>
        </w:tc>
      </w:tr>
      <w:tr w:rsidR="001622C4" w:rsidRPr="00E80F7B" w:rsidTr="000573F9">
        <w:trPr>
          <w:jc w:val="center"/>
        </w:trPr>
        <w:tc>
          <w:tcPr>
            <w:tcW w:w="1628" w:type="dxa"/>
          </w:tcPr>
          <w:p w:rsidR="003204E4" w:rsidRPr="00E80F7B" w:rsidRDefault="003204E4" w:rsidP="001622C4">
            <w:pPr>
              <w:widowControl w:val="0"/>
              <w:spacing w:before="120" w:after="120"/>
              <w:jc w:val="center"/>
            </w:pPr>
            <w:r w:rsidRPr="00E80F7B">
              <w:t>Đại học</w:t>
            </w:r>
          </w:p>
        </w:tc>
        <w:tc>
          <w:tcPr>
            <w:tcW w:w="1174" w:type="dxa"/>
          </w:tcPr>
          <w:p w:rsidR="003204E4" w:rsidRPr="00E80F7B" w:rsidRDefault="003204E4" w:rsidP="001622C4">
            <w:pPr>
              <w:widowControl w:val="0"/>
              <w:spacing w:before="120" w:after="120"/>
              <w:jc w:val="right"/>
            </w:pPr>
            <w:r w:rsidRPr="00E80F7B">
              <w:t>243</w:t>
            </w:r>
          </w:p>
        </w:tc>
        <w:tc>
          <w:tcPr>
            <w:tcW w:w="1250" w:type="dxa"/>
          </w:tcPr>
          <w:p w:rsidR="003204E4" w:rsidRPr="00E80F7B" w:rsidRDefault="003204E4" w:rsidP="001622C4">
            <w:pPr>
              <w:widowControl w:val="0"/>
              <w:spacing w:before="120" w:after="120"/>
              <w:jc w:val="right"/>
            </w:pPr>
            <w:r w:rsidRPr="00E80F7B">
              <w:t>67</w:t>
            </w:r>
          </w:p>
        </w:tc>
        <w:tc>
          <w:tcPr>
            <w:tcW w:w="876" w:type="dxa"/>
          </w:tcPr>
          <w:p w:rsidR="003204E4" w:rsidRPr="00E80F7B" w:rsidRDefault="003204E4" w:rsidP="001622C4">
            <w:pPr>
              <w:widowControl w:val="0"/>
              <w:spacing w:before="120" w:after="120"/>
              <w:jc w:val="right"/>
            </w:pPr>
            <w:r w:rsidRPr="00E80F7B">
              <w:t>30</w:t>
            </w:r>
          </w:p>
        </w:tc>
        <w:tc>
          <w:tcPr>
            <w:tcW w:w="1417" w:type="dxa"/>
          </w:tcPr>
          <w:p w:rsidR="003204E4" w:rsidRPr="00E80F7B" w:rsidRDefault="00372EAE" w:rsidP="001622C4">
            <w:pPr>
              <w:widowControl w:val="0"/>
              <w:spacing w:before="120" w:after="120"/>
              <w:jc w:val="right"/>
            </w:pPr>
            <w:r w:rsidRPr="00E80F7B">
              <w:t>2.485.166</w:t>
            </w:r>
          </w:p>
        </w:tc>
        <w:tc>
          <w:tcPr>
            <w:tcW w:w="1560" w:type="dxa"/>
          </w:tcPr>
          <w:p w:rsidR="003204E4" w:rsidRPr="00E80F7B" w:rsidRDefault="00372EAE" w:rsidP="001622C4">
            <w:pPr>
              <w:widowControl w:val="0"/>
              <w:spacing w:before="120" w:after="120"/>
              <w:jc w:val="right"/>
            </w:pPr>
            <w:r w:rsidRPr="00E80F7B">
              <w:t>509.315</w:t>
            </w:r>
          </w:p>
        </w:tc>
        <w:tc>
          <w:tcPr>
            <w:tcW w:w="1349" w:type="dxa"/>
          </w:tcPr>
          <w:p w:rsidR="003204E4" w:rsidRPr="00E80F7B" w:rsidRDefault="00372EAE" w:rsidP="001622C4">
            <w:pPr>
              <w:widowControl w:val="0"/>
              <w:spacing w:before="120" w:after="120"/>
              <w:jc w:val="right"/>
            </w:pPr>
            <w:r w:rsidRPr="00E80F7B">
              <w:t>27,7</w:t>
            </w:r>
          </w:p>
        </w:tc>
      </w:tr>
      <w:tr w:rsidR="001622C4" w:rsidRPr="00E80F7B" w:rsidTr="000573F9">
        <w:trPr>
          <w:jc w:val="center"/>
        </w:trPr>
        <w:tc>
          <w:tcPr>
            <w:tcW w:w="1628" w:type="dxa"/>
          </w:tcPr>
          <w:p w:rsidR="003204E4" w:rsidRPr="00E80F7B" w:rsidRDefault="003204E4" w:rsidP="001622C4">
            <w:pPr>
              <w:widowControl w:val="0"/>
              <w:spacing w:before="120" w:after="120"/>
              <w:jc w:val="center"/>
            </w:pPr>
            <w:r w:rsidRPr="00E80F7B">
              <w:t>GDNN và GDTX</w:t>
            </w:r>
          </w:p>
        </w:tc>
        <w:tc>
          <w:tcPr>
            <w:tcW w:w="1174" w:type="dxa"/>
          </w:tcPr>
          <w:p w:rsidR="003204E4" w:rsidRPr="00E80F7B" w:rsidRDefault="003204E4" w:rsidP="001622C4">
            <w:pPr>
              <w:widowControl w:val="0"/>
              <w:spacing w:before="120" w:after="120"/>
              <w:jc w:val="right"/>
            </w:pPr>
            <w:r w:rsidRPr="00E80F7B">
              <w:t>1.163</w:t>
            </w:r>
          </w:p>
        </w:tc>
        <w:tc>
          <w:tcPr>
            <w:tcW w:w="1250" w:type="dxa"/>
          </w:tcPr>
          <w:p w:rsidR="003204E4" w:rsidRPr="00E80F7B" w:rsidRDefault="003204E4" w:rsidP="001622C4">
            <w:pPr>
              <w:widowControl w:val="0"/>
              <w:spacing w:before="120" w:after="120"/>
              <w:jc w:val="right"/>
            </w:pPr>
            <w:r w:rsidRPr="00E80F7B">
              <w:t>645</w:t>
            </w:r>
          </w:p>
        </w:tc>
        <w:tc>
          <w:tcPr>
            <w:tcW w:w="876" w:type="dxa"/>
          </w:tcPr>
          <w:p w:rsidR="003204E4" w:rsidRPr="00E80F7B" w:rsidRDefault="003204E4" w:rsidP="001622C4">
            <w:pPr>
              <w:widowControl w:val="0"/>
              <w:spacing w:before="120" w:after="120"/>
              <w:jc w:val="right"/>
            </w:pPr>
            <w:r w:rsidRPr="00E80F7B">
              <w:t>40</w:t>
            </w:r>
          </w:p>
        </w:tc>
        <w:tc>
          <w:tcPr>
            <w:tcW w:w="1417" w:type="dxa"/>
          </w:tcPr>
          <w:p w:rsidR="003204E4" w:rsidRPr="00E80F7B" w:rsidRDefault="003204E4" w:rsidP="001622C4">
            <w:pPr>
              <w:widowControl w:val="0"/>
              <w:spacing w:before="120" w:after="120"/>
              <w:jc w:val="right"/>
            </w:pPr>
          </w:p>
        </w:tc>
        <w:tc>
          <w:tcPr>
            <w:tcW w:w="1560" w:type="dxa"/>
          </w:tcPr>
          <w:p w:rsidR="003204E4" w:rsidRPr="00E80F7B" w:rsidRDefault="003204E4" w:rsidP="001622C4">
            <w:pPr>
              <w:widowControl w:val="0"/>
              <w:spacing w:before="120" w:after="120"/>
              <w:jc w:val="right"/>
            </w:pPr>
          </w:p>
        </w:tc>
        <w:tc>
          <w:tcPr>
            <w:tcW w:w="1349" w:type="dxa"/>
          </w:tcPr>
          <w:p w:rsidR="003204E4" w:rsidRPr="00E80F7B" w:rsidRDefault="003204E4" w:rsidP="001622C4">
            <w:pPr>
              <w:widowControl w:val="0"/>
              <w:spacing w:before="120" w:after="120"/>
              <w:jc w:val="right"/>
            </w:pPr>
          </w:p>
        </w:tc>
      </w:tr>
    </w:tbl>
    <w:p w:rsidR="003275C3" w:rsidRPr="00E80F7B" w:rsidRDefault="000B0315" w:rsidP="000B0315">
      <w:pPr>
        <w:widowControl w:val="0"/>
        <w:spacing w:before="120" w:after="120"/>
        <w:jc w:val="right"/>
        <w:rPr>
          <w:i/>
        </w:rPr>
      </w:pPr>
      <w:r w:rsidRPr="00E80F7B">
        <w:rPr>
          <w:i/>
        </w:rPr>
        <w:t>Nguồn: Bộ Giáo dục và Đào tạo</w:t>
      </w:r>
    </w:p>
    <w:p w:rsidR="003275C3" w:rsidRPr="00E80F7B" w:rsidRDefault="003275C3" w:rsidP="008B6B14">
      <w:pPr>
        <w:widowControl w:val="0"/>
        <w:spacing w:before="120" w:after="120"/>
        <w:ind w:firstLine="720"/>
        <w:jc w:val="both"/>
      </w:pPr>
      <w:r w:rsidRPr="00E80F7B">
        <w:rPr>
          <w:i/>
        </w:rPr>
        <w:lastRenderedPageBreak/>
        <w:t>Thứ hai,</w:t>
      </w:r>
      <w:r w:rsidRPr="00E80F7B">
        <w:t xml:space="preserve"> thúc đẩy hội nhập quốc tế trong giáo dục, tạo điều kiện thu hút đầu tư nước ngoài vào giáo dục, phát triển các chương trình liên kết quốc tế, mở rộng hợp tác học thuật và nghiên cứu, hỗ trợ quá trình quốc tế hóa giáo dục của Việt Nam. Theo số liệu thống kê của Bộ Giáo dục và đào tạo</w:t>
      </w:r>
      <w:r w:rsidR="00CF1F91" w:rsidRPr="00E80F7B">
        <w:rPr>
          <w:rStyle w:val="FootnoteReference"/>
        </w:rPr>
        <w:footnoteReference w:id="4"/>
      </w:r>
      <w:r w:rsidRPr="00E80F7B">
        <w:t>, hiện có 32 quốc gia và vùng lãnh thổ có dự án đầu tư trong lĩnh vực giáo dục tại Việt Nam, trong đó lớn nhất là Hoa Kỳ, Singapore và Hàn Quốc. Lĩnh vực giáo dục nhận dược vốn FDI lớn nhất là giáo dục đại học, chiếm 37,5% tổng vốn FDI trong giáo dục.</w:t>
      </w:r>
      <w:r w:rsidR="008B6B14" w:rsidRPr="00E80F7B">
        <w:t xml:space="preserve"> Các ưu đãi về thuế cùng với ưu đãi về tiền thuê đất, tiền sử dụng đất là các điều kiện mở rộng hợp tác về giáo dục, từng bước hình thành các mô hình liên kết đào tạo, đặc biệt là ở các khu vực đô thị l</w:t>
      </w:r>
      <w:r w:rsidR="00AD187A" w:rsidRPr="00E80F7B">
        <w:t>ớ</w:t>
      </w:r>
      <w:r w:rsidR="008B6B14" w:rsidRPr="00E80F7B">
        <w:t>n. Các nguồn lực xã hội đã góp phần đầu tư xây dựng cơ sở vật chất, trang thiết bị dạy học hiện đại, góp phần nâng cao chất lượng giáo dục.</w:t>
      </w:r>
      <w:r w:rsidR="00913BDB" w:rsidRPr="00E80F7B">
        <w:t xml:space="preserve"> </w:t>
      </w:r>
    </w:p>
    <w:p w:rsidR="00631161" w:rsidRPr="00E80F7B" w:rsidRDefault="00631161" w:rsidP="00631161">
      <w:pPr>
        <w:widowControl w:val="0"/>
        <w:spacing w:before="120" w:after="120"/>
        <w:ind w:firstLine="720"/>
        <w:jc w:val="center"/>
        <w:rPr>
          <w:b/>
        </w:rPr>
      </w:pPr>
      <w:r w:rsidRPr="00E80F7B">
        <w:rPr>
          <w:b/>
        </w:rPr>
        <w:t>Biểu 2. Đánh giá kết quả miễn thuế SDĐPNN đối với cơ sở giáo dục đào tạo giai đoạn 2023-2025</w:t>
      </w:r>
    </w:p>
    <w:tbl>
      <w:tblPr>
        <w:tblW w:w="10620" w:type="dxa"/>
        <w:tblInd w:w="-702" w:type="dxa"/>
        <w:tblLook w:val="04A0"/>
      </w:tblPr>
      <w:tblGrid>
        <w:gridCol w:w="563"/>
        <w:gridCol w:w="1807"/>
        <w:gridCol w:w="931"/>
        <w:gridCol w:w="931"/>
        <w:gridCol w:w="931"/>
        <w:gridCol w:w="931"/>
        <w:gridCol w:w="931"/>
        <w:gridCol w:w="931"/>
        <w:gridCol w:w="861"/>
        <w:gridCol w:w="850"/>
        <w:gridCol w:w="953"/>
      </w:tblGrid>
      <w:tr w:rsidR="00D54E08" w:rsidRPr="00E80F7B" w:rsidTr="00C705D9">
        <w:trPr>
          <w:trHeight w:val="827"/>
        </w:trPr>
        <w:tc>
          <w:tcPr>
            <w:tcW w:w="5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573F9" w:rsidRPr="00E80F7B" w:rsidRDefault="00D54E08" w:rsidP="00631161">
            <w:pPr>
              <w:jc w:val="center"/>
              <w:rPr>
                <w:b/>
                <w:bCs/>
                <w:sz w:val="26"/>
                <w:szCs w:val="26"/>
              </w:rPr>
            </w:pPr>
            <w:r w:rsidRPr="00E80F7B">
              <w:rPr>
                <w:b/>
                <w:bCs/>
                <w:sz w:val="26"/>
                <w:szCs w:val="26"/>
              </w:rPr>
              <w:t>S</w:t>
            </w:r>
            <w:r w:rsidR="000573F9" w:rsidRPr="00E80F7B">
              <w:rPr>
                <w:b/>
                <w:bCs/>
                <w:sz w:val="26"/>
                <w:szCs w:val="26"/>
              </w:rPr>
              <w:t>ố</w:t>
            </w:r>
          </w:p>
          <w:p w:rsidR="00D54E08" w:rsidRPr="00E80F7B" w:rsidRDefault="00D54E08" w:rsidP="00631161">
            <w:pPr>
              <w:jc w:val="center"/>
              <w:rPr>
                <w:b/>
                <w:bCs/>
                <w:sz w:val="26"/>
                <w:szCs w:val="26"/>
              </w:rPr>
            </w:pPr>
            <w:r w:rsidRPr="00E80F7B">
              <w:rPr>
                <w:b/>
                <w:bCs/>
                <w:sz w:val="26"/>
                <w:szCs w:val="26"/>
              </w:rPr>
              <w:t>TT</w:t>
            </w:r>
          </w:p>
        </w:tc>
        <w:tc>
          <w:tcPr>
            <w:tcW w:w="183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54E08" w:rsidRPr="00E80F7B" w:rsidRDefault="00D54E08" w:rsidP="00631161">
            <w:pPr>
              <w:jc w:val="center"/>
              <w:rPr>
                <w:b/>
                <w:bCs/>
                <w:sz w:val="26"/>
                <w:szCs w:val="26"/>
              </w:rPr>
            </w:pPr>
            <w:r w:rsidRPr="00E80F7B">
              <w:rPr>
                <w:b/>
                <w:bCs/>
                <w:sz w:val="26"/>
                <w:szCs w:val="26"/>
              </w:rPr>
              <w:t>Chỉ tiêu</w:t>
            </w:r>
          </w:p>
        </w:tc>
        <w:tc>
          <w:tcPr>
            <w:tcW w:w="0" w:type="auto"/>
            <w:gridSpan w:val="3"/>
            <w:tcBorders>
              <w:top w:val="single" w:sz="4" w:space="0" w:color="auto"/>
              <w:left w:val="nil"/>
              <w:bottom w:val="single" w:sz="4" w:space="0" w:color="auto"/>
              <w:right w:val="single" w:sz="4" w:space="0" w:color="auto"/>
            </w:tcBorders>
            <w:shd w:val="clear" w:color="auto" w:fill="auto"/>
            <w:noWrap/>
            <w:vAlign w:val="center"/>
            <w:hideMark/>
          </w:tcPr>
          <w:p w:rsidR="00D54E08" w:rsidRPr="00E80F7B" w:rsidRDefault="00D54E08" w:rsidP="00631161">
            <w:pPr>
              <w:jc w:val="center"/>
              <w:rPr>
                <w:b/>
                <w:bCs/>
                <w:sz w:val="26"/>
                <w:szCs w:val="26"/>
              </w:rPr>
            </w:pPr>
            <w:r w:rsidRPr="00E80F7B">
              <w:rPr>
                <w:b/>
                <w:bCs/>
                <w:sz w:val="26"/>
                <w:szCs w:val="26"/>
              </w:rPr>
              <w:t xml:space="preserve"> Số hồ sơ (tờ khai) </w:t>
            </w:r>
          </w:p>
        </w:tc>
        <w:tc>
          <w:tcPr>
            <w:tcW w:w="0" w:type="auto"/>
            <w:gridSpan w:val="3"/>
            <w:tcBorders>
              <w:top w:val="single" w:sz="4" w:space="0" w:color="auto"/>
              <w:left w:val="nil"/>
              <w:bottom w:val="single" w:sz="4" w:space="0" w:color="auto"/>
              <w:right w:val="single" w:sz="4" w:space="0" w:color="auto"/>
            </w:tcBorders>
            <w:shd w:val="clear" w:color="auto" w:fill="auto"/>
            <w:noWrap/>
            <w:vAlign w:val="center"/>
            <w:hideMark/>
          </w:tcPr>
          <w:p w:rsidR="00D54E08" w:rsidRPr="00E80F7B" w:rsidRDefault="00D54E08" w:rsidP="00631161">
            <w:pPr>
              <w:jc w:val="center"/>
              <w:rPr>
                <w:b/>
                <w:bCs/>
                <w:sz w:val="26"/>
                <w:szCs w:val="26"/>
              </w:rPr>
            </w:pPr>
            <w:r w:rsidRPr="00E80F7B">
              <w:rPr>
                <w:b/>
                <w:bCs/>
                <w:sz w:val="26"/>
                <w:szCs w:val="26"/>
              </w:rPr>
              <w:t xml:space="preserve"> Diện tích (ha) </w:t>
            </w:r>
          </w:p>
        </w:tc>
        <w:tc>
          <w:tcPr>
            <w:tcW w:w="2664" w:type="dxa"/>
            <w:gridSpan w:val="3"/>
            <w:tcBorders>
              <w:top w:val="single" w:sz="4" w:space="0" w:color="auto"/>
              <w:left w:val="nil"/>
              <w:bottom w:val="single" w:sz="4" w:space="0" w:color="auto"/>
              <w:right w:val="single" w:sz="4" w:space="0" w:color="auto"/>
            </w:tcBorders>
            <w:shd w:val="clear" w:color="auto" w:fill="auto"/>
            <w:vAlign w:val="center"/>
            <w:hideMark/>
          </w:tcPr>
          <w:p w:rsidR="00D54E08" w:rsidRPr="00E80F7B" w:rsidRDefault="00D54E08" w:rsidP="000573F9">
            <w:pPr>
              <w:ind w:left="-54"/>
              <w:jc w:val="center"/>
              <w:rPr>
                <w:b/>
                <w:bCs/>
                <w:sz w:val="26"/>
                <w:szCs w:val="26"/>
              </w:rPr>
            </w:pPr>
            <w:r w:rsidRPr="00E80F7B">
              <w:rPr>
                <w:b/>
                <w:bCs/>
                <w:sz w:val="26"/>
                <w:szCs w:val="26"/>
              </w:rPr>
              <w:t xml:space="preserve"> Số thuế được miễn, giảm (tỷ đồng) </w:t>
            </w:r>
          </w:p>
        </w:tc>
      </w:tr>
      <w:tr w:rsidR="00D54E08" w:rsidRPr="00E80F7B" w:rsidTr="00C705D9">
        <w:trPr>
          <w:trHeight w:val="450"/>
        </w:trPr>
        <w:tc>
          <w:tcPr>
            <w:tcW w:w="540" w:type="dxa"/>
            <w:vMerge/>
            <w:tcBorders>
              <w:top w:val="single" w:sz="4" w:space="0" w:color="auto"/>
              <w:left w:val="single" w:sz="4" w:space="0" w:color="auto"/>
              <w:bottom w:val="single" w:sz="4" w:space="0" w:color="000000"/>
              <w:right w:val="single" w:sz="4" w:space="0" w:color="auto"/>
            </w:tcBorders>
            <w:vAlign w:val="center"/>
            <w:hideMark/>
          </w:tcPr>
          <w:p w:rsidR="00D54E08" w:rsidRPr="00E80F7B" w:rsidRDefault="00D54E08" w:rsidP="00631161">
            <w:pPr>
              <w:rPr>
                <w:b/>
                <w:bCs/>
                <w:sz w:val="26"/>
                <w:szCs w:val="26"/>
              </w:rPr>
            </w:pPr>
          </w:p>
        </w:tc>
        <w:tc>
          <w:tcPr>
            <w:tcW w:w="1830" w:type="dxa"/>
            <w:vMerge/>
            <w:tcBorders>
              <w:top w:val="single" w:sz="4" w:space="0" w:color="auto"/>
              <w:left w:val="single" w:sz="4" w:space="0" w:color="auto"/>
              <w:bottom w:val="single" w:sz="4" w:space="0" w:color="000000"/>
              <w:right w:val="single" w:sz="4" w:space="0" w:color="auto"/>
            </w:tcBorders>
            <w:vAlign w:val="center"/>
            <w:hideMark/>
          </w:tcPr>
          <w:p w:rsidR="00D54E08" w:rsidRPr="00E80F7B" w:rsidRDefault="00D54E08" w:rsidP="00631161">
            <w:pPr>
              <w:rPr>
                <w:b/>
                <w:bCs/>
                <w:sz w:val="26"/>
                <w:szCs w:val="26"/>
              </w:rPr>
            </w:pPr>
          </w:p>
        </w:tc>
        <w:tc>
          <w:tcPr>
            <w:tcW w:w="0" w:type="auto"/>
            <w:tcBorders>
              <w:top w:val="nil"/>
              <w:left w:val="nil"/>
              <w:bottom w:val="single" w:sz="4" w:space="0" w:color="auto"/>
              <w:right w:val="single" w:sz="4" w:space="0" w:color="auto"/>
            </w:tcBorders>
            <w:shd w:val="clear" w:color="auto" w:fill="auto"/>
            <w:noWrap/>
            <w:vAlign w:val="center"/>
            <w:hideMark/>
          </w:tcPr>
          <w:p w:rsidR="00D54E08" w:rsidRPr="00E80F7B" w:rsidRDefault="00D54E08" w:rsidP="00631161">
            <w:pPr>
              <w:jc w:val="center"/>
              <w:rPr>
                <w:b/>
                <w:bCs/>
                <w:sz w:val="26"/>
                <w:szCs w:val="26"/>
              </w:rPr>
            </w:pPr>
            <w:r w:rsidRPr="00E80F7B">
              <w:rPr>
                <w:b/>
                <w:bCs/>
                <w:sz w:val="26"/>
                <w:szCs w:val="26"/>
              </w:rPr>
              <w:t>2023</w:t>
            </w:r>
          </w:p>
        </w:tc>
        <w:tc>
          <w:tcPr>
            <w:tcW w:w="931" w:type="dxa"/>
            <w:tcBorders>
              <w:top w:val="nil"/>
              <w:left w:val="nil"/>
              <w:bottom w:val="single" w:sz="4" w:space="0" w:color="auto"/>
              <w:right w:val="single" w:sz="4" w:space="0" w:color="auto"/>
            </w:tcBorders>
            <w:shd w:val="clear" w:color="auto" w:fill="auto"/>
            <w:noWrap/>
            <w:vAlign w:val="center"/>
            <w:hideMark/>
          </w:tcPr>
          <w:p w:rsidR="00D54E08" w:rsidRPr="00E80F7B" w:rsidRDefault="00D54E08" w:rsidP="00631161">
            <w:pPr>
              <w:jc w:val="center"/>
              <w:rPr>
                <w:b/>
                <w:bCs/>
                <w:sz w:val="26"/>
                <w:szCs w:val="26"/>
              </w:rPr>
            </w:pPr>
            <w:r w:rsidRPr="00E80F7B">
              <w:rPr>
                <w:b/>
                <w:bCs/>
                <w:sz w:val="26"/>
                <w:szCs w:val="26"/>
              </w:rPr>
              <w:t>2024</w:t>
            </w:r>
          </w:p>
        </w:tc>
        <w:tc>
          <w:tcPr>
            <w:tcW w:w="931" w:type="dxa"/>
            <w:tcBorders>
              <w:top w:val="nil"/>
              <w:left w:val="nil"/>
              <w:bottom w:val="single" w:sz="4" w:space="0" w:color="auto"/>
              <w:right w:val="single" w:sz="4" w:space="0" w:color="auto"/>
            </w:tcBorders>
            <w:shd w:val="clear" w:color="auto" w:fill="auto"/>
            <w:noWrap/>
            <w:vAlign w:val="center"/>
            <w:hideMark/>
          </w:tcPr>
          <w:p w:rsidR="00D54E08" w:rsidRPr="00E80F7B" w:rsidRDefault="00D54E08" w:rsidP="00631161">
            <w:pPr>
              <w:jc w:val="center"/>
              <w:rPr>
                <w:b/>
                <w:bCs/>
                <w:sz w:val="26"/>
                <w:szCs w:val="26"/>
              </w:rPr>
            </w:pPr>
            <w:r w:rsidRPr="00E80F7B">
              <w:rPr>
                <w:b/>
                <w:bCs/>
                <w:sz w:val="26"/>
                <w:szCs w:val="26"/>
              </w:rPr>
              <w:t>2025</w:t>
            </w:r>
          </w:p>
        </w:tc>
        <w:tc>
          <w:tcPr>
            <w:tcW w:w="0" w:type="auto"/>
            <w:tcBorders>
              <w:top w:val="nil"/>
              <w:left w:val="nil"/>
              <w:bottom w:val="single" w:sz="4" w:space="0" w:color="auto"/>
              <w:right w:val="single" w:sz="4" w:space="0" w:color="auto"/>
            </w:tcBorders>
            <w:shd w:val="clear" w:color="auto" w:fill="auto"/>
            <w:noWrap/>
            <w:vAlign w:val="center"/>
            <w:hideMark/>
          </w:tcPr>
          <w:p w:rsidR="00D54E08" w:rsidRPr="00E80F7B" w:rsidRDefault="00D54E08" w:rsidP="00631161">
            <w:pPr>
              <w:jc w:val="center"/>
              <w:rPr>
                <w:b/>
                <w:bCs/>
                <w:sz w:val="26"/>
                <w:szCs w:val="26"/>
              </w:rPr>
            </w:pPr>
            <w:r w:rsidRPr="00E80F7B">
              <w:rPr>
                <w:b/>
                <w:bCs/>
                <w:sz w:val="26"/>
                <w:szCs w:val="26"/>
              </w:rPr>
              <w:t>2023</w:t>
            </w:r>
          </w:p>
        </w:tc>
        <w:tc>
          <w:tcPr>
            <w:tcW w:w="0" w:type="auto"/>
            <w:tcBorders>
              <w:top w:val="nil"/>
              <w:left w:val="nil"/>
              <w:bottom w:val="single" w:sz="4" w:space="0" w:color="auto"/>
              <w:right w:val="single" w:sz="4" w:space="0" w:color="auto"/>
            </w:tcBorders>
            <w:shd w:val="clear" w:color="auto" w:fill="auto"/>
            <w:noWrap/>
            <w:vAlign w:val="center"/>
            <w:hideMark/>
          </w:tcPr>
          <w:p w:rsidR="00D54E08" w:rsidRPr="00E80F7B" w:rsidRDefault="00D54E08" w:rsidP="00631161">
            <w:pPr>
              <w:jc w:val="center"/>
              <w:rPr>
                <w:b/>
                <w:bCs/>
                <w:sz w:val="26"/>
                <w:szCs w:val="26"/>
              </w:rPr>
            </w:pPr>
            <w:r w:rsidRPr="00E80F7B">
              <w:rPr>
                <w:b/>
                <w:bCs/>
                <w:sz w:val="26"/>
                <w:szCs w:val="26"/>
              </w:rPr>
              <w:t>2024</w:t>
            </w:r>
          </w:p>
        </w:tc>
        <w:tc>
          <w:tcPr>
            <w:tcW w:w="0" w:type="auto"/>
            <w:tcBorders>
              <w:top w:val="nil"/>
              <w:left w:val="nil"/>
              <w:bottom w:val="single" w:sz="4" w:space="0" w:color="auto"/>
              <w:right w:val="single" w:sz="4" w:space="0" w:color="auto"/>
            </w:tcBorders>
            <w:shd w:val="clear" w:color="auto" w:fill="auto"/>
            <w:noWrap/>
            <w:vAlign w:val="center"/>
            <w:hideMark/>
          </w:tcPr>
          <w:p w:rsidR="00D54E08" w:rsidRPr="00E80F7B" w:rsidRDefault="00D54E08" w:rsidP="00631161">
            <w:pPr>
              <w:jc w:val="center"/>
              <w:rPr>
                <w:b/>
                <w:bCs/>
                <w:sz w:val="26"/>
                <w:szCs w:val="26"/>
              </w:rPr>
            </w:pPr>
            <w:r w:rsidRPr="00E80F7B">
              <w:rPr>
                <w:b/>
                <w:bCs/>
                <w:sz w:val="26"/>
                <w:szCs w:val="26"/>
              </w:rPr>
              <w:t>2025</w:t>
            </w:r>
          </w:p>
        </w:tc>
        <w:tc>
          <w:tcPr>
            <w:tcW w:w="861" w:type="dxa"/>
            <w:tcBorders>
              <w:top w:val="nil"/>
              <w:left w:val="nil"/>
              <w:bottom w:val="single" w:sz="4" w:space="0" w:color="auto"/>
              <w:right w:val="single" w:sz="4" w:space="0" w:color="auto"/>
            </w:tcBorders>
            <w:shd w:val="clear" w:color="auto" w:fill="auto"/>
            <w:noWrap/>
            <w:vAlign w:val="center"/>
            <w:hideMark/>
          </w:tcPr>
          <w:p w:rsidR="00D54E08" w:rsidRPr="00E80F7B" w:rsidRDefault="00D54E08" w:rsidP="00631161">
            <w:pPr>
              <w:jc w:val="center"/>
              <w:rPr>
                <w:b/>
                <w:bCs/>
                <w:sz w:val="26"/>
                <w:szCs w:val="26"/>
              </w:rPr>
            </w:pPr>
            <w:r w:rsidRPr="00E80F7B">
              <w:rPr>
                <w:b/>
                <w:bCs/>
                <w:sz w:val="26"/>
                <w:szCs w:val="26"/>
              </w:rPr>
              <w:t>2023</w:t>
            </w:r>
          </w:p>
        </w:tc>
        <w:tc>
          <w:tcPr>
            <w:tcW w:w="850" w:type="dxa"/>
            <w:tcBorders>
              <w:top w:val="nil"/>
              <w:left w:val="nil"/>
              <w:bottom w:val="single" w:sz="4" w:space="0" w:color="auto"/>
              <w:right w:val="single" w:sz="4" w:space="0" w:color="auto"/>
            </w:tcBorders>
            <w:shd w:val="clear" w:color="auto" w:fill="auto"/>
            <w:noWrap/>
            <w:vAlign w:val="center"/>
            <w:hideMark/>
          </w:tcPr>
          <w:p w:rsidR="00D54E08" w:rsidRPr="00E80F7B" w:rsidRDefault="00D54E08" w:rsidP="00631161">
            <w:pPr>
              <w:jc w:val="center"/>
              <w:rPr>
                <w:b/>
                <w:bCs/>
                <w:sz w:val="26"/>
                <w:szCs w:val="26"/>
              </w:rPr>
            </w:pPr>
            <w:r w:rsidRPr="00E80F7B">
              <w:rPr>
                <w:b/>
                <w:bCs/>
                <w:sz w:val="26"/>
                <w:szCs w:val="26"/>
              </w:rPr>
              <w:t>2024</w:t>
            </w:r>
          </w:p>
        </w:tc>
        <w:tc>
          <w:tcPr>
            <w:tcW w:w="953" w:type="dxa"/>
            <w:tcBorders>
              <w:top w:val="nil"/>
              <w:left w:val="nil"/>
              <w:bottom w:val="single" w:sz="4" w:space="0" w:color="auto"/>
              <w:right w:val="single" w:sz="4" w:space="0" w:color="auto"/>
            </w:tcBorders>
            <w:shd w:val="clear" w:color="auto" w:fill="auto"/>
            <w:noWrap/>
            <w:vAlign w:val="center"/>
            <w:hideMark/>
          </w:tcPr>
          <w:p w:rsidR="00D54E08" w:rsidRPr="00E80F7B" w:rsidRDefault="00D54E08" w:rsidP="00631161">
            <w:pPr>
              <w:jc w:val="center"/>
              <w:rPr>
                <w:b/>
                <w:bCs/>
                <w:sz w:val="26"/>
                <w:szCs w:val="26"/>
              </w:rPr>
            </w:pPr>
            <w:r w:rsidRPr="00E80F7B">
              <w:rPr>
                <w:b/>
                <w:bCs/>
                <w:sz w:val="26"/>
                <w:szCs w:val="26"/>
              </w:rPr>
              <w:t>2025</w:t>
            </w:r>
          </w:p>
        </w:tc>
      </w:tr>
      <w:tr w:rsidR="00D54E08" w:rsidRPr="00E80F7B" w:rsidTr="00C705D9">
        <w:trPr>
          <w:trHeight w:val="750"/>
        </w:trPr>
        <w:tc>
          <w:tcPr>
            <w:tcW w:w="540" w:type="dxa"/>
            <w:tcBorders>
              <w:top w:val="nil"/>
              <w:left w:val="single" w:sz="4" w:space="0" w:color="auto"/>
              <w:bottom w:val="single" w:sz="4" w:space="0" w:color="auto"/>
              <w:right w:val="single" w:sz="4" w:space="0" w:color="auto"/>
            </w:tcBorders>
            <w:shd w:val="clear" w:color="auto" w:fill="auto"/>
            <w:noWrap/>
            <w:hideMark/>
          </w:tcPr>
          <w:p w:rsidR="00D54E08" w:rsidRPr="00E80F7B" w:rsidRDefault="00D54E08" w:rsidP="00631161">
            <w:pPr>
              <w:jc w:val="center"/>
              <w:rPr>
                <w:sz w:val="26"/>
                <w:szCs w:val="26"/>
              </w:rPr>
            </w:pPr>
            <w:r w:rsidRPr="00E80F7B">
              <w:rPr>
                <w:sz w:val="26"/>
                <w:szCs w:val="26"/>
              </w:rPr>
              <w:t>1</w:t>
            </w:r>
          </w:p>
        </w:tc>
        <w:tc>
          <w:tcPr>
            <w:tcW w:w="1830" w:type="dxa"/>
            <w:tcBorders>
              <w:top w:val="nil"/>
              <w:left w:val="nil"/>
              <w:bottom w:val="single" w:sz="4" w:space="0" w:color="auto"/>
              <w:right w:val="single" w:sz="4" w:space="0" w:color="auto"/>
            </w:tcBorders>
            <w:shd w:val="clear" w:color="auto" w:fill="auto"/>
            <w:vAlign w:val="bottom"/>
            <w:hideMark/>
          </w:tcPr>
          <w:p w:rsidR="00D54E08" w:rsidRPr="00E80F7B" w:rsidRDefault="00D54E08" w:rsidP="00D54E08">
            <w:pPr>
              <w:jc w:val="both"/>
              <w:rPr>
                <w:sz w:val="26"/>
                <w:szCs w:val="26"/>
              </w:rPr>
            </w:pPr>
            <w:r w:rsidRPr="00E80F7B">
              <w:rPr>
                <w:sz w:val="26"/>
                <w:szCs w:val="26"/>
              </w:rPr>
              <w:t>Tổng số cơ sở giáo dục đào tạo</w:t>
            </w:r>
          </w:p>
        </w:tc>
        <w:tc>
          <w:tcPr>
            <w:tcW w:w="0" w:type="auto"/>
            <w:tcBorders>
              <w:top w:val="nil"/>
              <w:left w:val="nil"/>
              <w:bottom w:val="single" w:sz="4" w:space="0" w:color="auto"/>
              <w:right w:val="single" w:sz="4" w:space="0" w:color="auto"/>
            </w:tcBorders>
            <w:shd w:val="clear" w:color="auto" w:fill="auto"/>
            <w:noWrap/>
            <w:vAlign w:val="center"/>
            <w:hideMark/>
          </w:tcPr>
          <w:p w:rsidR="00D54E08" w:rsidRPr="00E80F7B" w:rsidRDefault="00D54E08" w:rsidP="00631161">
            <w:pPr>
              <w:jc w:val="center"/>
              <w:rPr>
                <w:sz w:val="26"/>
                <w:szCs w:val="26"/>
              </w:rPr>
            </w:pPr>
            <w:r w:rsidRPr="00E80F7B">
              <w:rPr>
                <w:sz w:val="26"/>
                <w:szCs w:val="26"/>
              </w:rPr>
              <w:t>38.781</w:t>
            </w:r>
          </w:p>
        </w:tc>
        <w:tc>
          <w:tcPr>
            <w:tcW w:w="931" w:type="dxa"/>
            <w:tcBorders>
              <w:top w:val="nil"/>
              <w:left w:val="nil"/>
              <w:bottom w:val="single" w:sz="4" w:space="0" w:color="auto"/>
              <w:right w:val="single" w:sz="4" w:space="0" w:color="auto"/>
            </w:tcBorders>
            <w:shd w:val="clear" w:color="auto" w:fill="auto"/>
            <w:noWrap/>
            <w:vAlign w:val="center"/>
            <w:hideMark/>
          </w:tcPr>
          <w:p w:rsidR="00D54E08" w:rsidRPr="00E80F7B" w:rsidRDefault="00D54E08" w:rsidP="00631161">
            <w:pPr>
              <w:jc w:val="center"/>
              <w:rPr>
                <w:sz w:val="26"/>
                <w:szCs w:val="26"/>
              </w:rPr>
            </w:pPr>
            <w:r w:rsidRPr="00E80F7B">
              <w:rPr>
                <w:sz w:val="26"/>
                <w:szCs w:val="26"/>
              </w:rPr>
              <w:t>41.254</w:t>
            </w:r>
          </w:p>
        </w:tc>
        <w:tc>
          <w:tcPr>
            <w:tcW w:w="931" w:type="dxa"/>
            <w:tcBorders>
              <w:top w:val="nil"/>
              <w:left w:val="nil"/>
              <w:bottom w:val="single" w:sz="4" w:space="0" w:color="auto"/>
              <w:right w:val="single" w:sz="4" w:space="0" w:color="auto"/>
            </w:tcBorders>
            <w:shd w:val="clear" w:color="auto" w:fill="auto"/>
            <w:noWrap/>
            <w:vAlign w:val="center"/>
            <w:hideMark/>
          </w:tcPr>
          <w:p w:rsidR="00D54E08" w:rsidRPr="00E80F7B" w:rsidRDefault="00D54E08" w:rsidP="00631161">
            <w:pPr>
              <w:jc w:val="center"/>
              <w:rPr>
                <w:sz w:val="26"/>
                <w:szCs w:val="26"/>
              </w:rPr>
            </w:pPr>
            <w:r w:rsidRPr="00E80F7B">
              <w:rPr>
                <w:sz w:val="26"/>
                <w:szCs w:val="26"/>
              </w:rPr>
              <w:t>43.458</w:t>
            </w:r>
          </w:p>
        </w:tc>
        <w:tc>
          <w:tcPr>
            <w:tcW w:w="0" w:type="auto"/>
            <w:tcBorders>
              <w:top w:val="nil"/>
              <w:left w:val="nil"/>
              <w:bottom w:val="single" w:sz="4" w:space="0" w:color="auto"/>
              <w:right w:val="single" w:sz="4" w:space="0" w:color="auto"/>
            </w:tcBorders>
            <w:shd w:val="clear" w:color="auto" w:fill="auto"/>
            <w:noWrap/>
            <w:vAlign w:val="center"/>
            <w:hideMark/>
          </w:tcPr>
          <w:p w:rsidR="00D54E08" w:rsidRPr="00E80F7B" w:rsidRDefault="00D54E08" w:rsidP="00631161">
            <w:pPr>
              <w:jc w:val="center"/>
              <w:rPr>
                <w:sz w:val="26"/>
                <w:szCs w:val="26"/>
              </w:rPr>
            </w:pPr>
            <w:r w:rsidRPr="00E80F7B">
              <w:rPr>
                <w:sz w:val="26"/>
                <w:szCs w:val="26"/>
              </w:rPr>
              <w:t>64.793</w:t>
            </w:r>
          </w:p>
        </w:tc>
        <w:tc>
          <w:tcPr>
            <w:tcW w:w="0" w:type="auto"/>
            <w:tcBorders>
              <w:top w:val="nil"/>
              <w:left w:val="nil"/>
              <w:bottom w:val="single" w:sz="4" w:space="0" w:color="auto"/>
              <w:right w:val="single" w:sz="4" w:space="0" w:color="auto"/>
            </w:tcBorders>
            <w:shd w:val="clear" w:color="auto" w:fill="auto"/>
            <w:noWrap/>
            <w:vAlign w:val="center"/>
            <w:hideMark/>
          </w:tcPr>
          <w:p w:rsidR="00D54E08" w:rsidRPr="00E80F7B" w:rsidRDefault="00D54E08" w:rsidP="00631161">
            <w:pPr>
              <w:jc w:val="center"/>
              <w:rPr>
                <w:sz w:val="26"/>
                <w:szCs w:val="26"/>
              </w:rPr>
            </w:pPr>
            <w:r w:rsidRPr="00E80F7B">
              <w:rPr>
                <w:sz w:val="26"/>
                <w:szCs w:val="26"/>
              </w:rPr>
              <w:t>71.165</w:t>
            </w:r>
          </w:p>
        </w:tc>
        <w:tc>
          <w:tcPr>
            <w:tcW w:w="0" w:type="auto"/>
            <w:tcBorders>
              <w:top w:val="nil"/>
              <w:left w:val="nil"/>
              <w:bottom w:val="single" w:sz="4" w:space="0" w:color="auto"/>
              <w:right w:val="single" w:sz="4" w:space="0" w:color="auto"/>
            </w:tcBorders>
            <w:shd w:val="clear" w:color="auto" w:fill="auto"/>
            <w:noWrap/>
            <w:vAlign w:val="center"/>
            <w:hideMark/>
          </w:tcPr>
          <w:p w:rsidR="00D54E08" w:rsidRPr="00E80F7B" w:rsidRDefault="00D54E08" w:rsidP="00631161">
            <w:pPr>
              <w:jc w:val="center"/>
              <w:rPr>
                <w:sz w:val="26"/>
                <w:szCs w:val="26"/>
              </w:rPr>
            </w:pPr>
            <w:r w:rsidRPr="00E80F7B">
              <w:rPr>
                <w:sz w:val="26"/>
                <w:szCs w:val="26"/>
              </w:rPr>
              <w:t>72.251</w:t>
            </w:r>
          </w:p>
        </w:tc>
        <w:tc>
          <w:tcPr>
            <w:tcW w:w="861" w:type="dxa"/>
            <w:tcBorders>
              <w:top w:val="nil"/>
              <w:left w:val="nil"/>
              <w:bottom w:val="single" w:sz="4" w:space="0" w:color="auto"/>
              <w:right w:val="single" w:sz="4" w:space="0" w:color="auto"/>
            </w:tcBorders>
            <w:shd w:val="clear" w:color="auto" w:fill="auto"/>
            <w:noWrap/>
            <w:vAlign w:val="center"/>
            <w:hideMark/>
          </w:tcPr>
          <w:p w:rsidR="00D54E08" w:rsidRPr="00E80F7B" w:rsidRDefault="00D54E08" w:rsidP="00631161">
            <w:pPr>
              <w:jc w:val="center"/>
              <w:rPr>
                <w:sz w:val="26"/>
                <w:szCs w:val="26"/>
              </w:rPr>
            </w:pPr>
            <w:r w:rsidRPr="00E80F7B">
              <w:rPr>
                <w:sz w:val="26"/>
                <w:szCs w:val="26"/>
              </w:rPr>
              <w:t>54,03</w:t>
            </w:r>
          </w:p>
        </w:tc>
        <w:tc>
          <w:tcPr>
            <w:tcW w:w="850" w:type="dxa"/>
            <w:tcBorders>
              <w:top w:val="nil"/>
              <w:left w:val="nil"/>
              <w:bottom w:val="single" w:sz="4" w:space="0" w:color="auto"/>
              <w:right w:val="single" w:sz="4" w:space="0" w:color="auto"/>
            </w:tcBorders>
            <w:shd w:val="clear" w:color="auto" w:fill="auto"/>
            <w:noWrap/>
            <w:vAlign w:val="center"/>
            <w:hideMark/>
          </w:tcPr>
          <w:p w:rsidR="00D54E08" w:rsidRPr="00E80F7B" w:rsidRDefault="00D54E08" w:rsidP="00631161">
            <w:pPr>
              <w:jc w:val="center"/>
              <w:rPr>
                <w:sz w:val="26"/>
                <w:szCs w:val="26"/>
              </w:rPr>
            </w:pPr>
            <w:r w:rsidRPr="00E80F7B">
              <w:rPr>
                <w:sz w:val="26"/>
                <w:szCs w:val="26"/>
              </w:rPr>
              <w:t>56,78</w:t>
            </w:r>
          </w:p>
        </w:tc>
        <w:tc>
          <w:tcPr>
            <w:tcW w:w="953" w:type="dxa"/>
            <w:tcBorders>
              <w:top w:val="nil"/>
              <w:left w:val="nil"/>
              <w:bottom w:val="single" w:sz="4" w:space="0" w:color="auto"/>
              <w:right w:val="single" w:sz="4" w:space="0" w:color="auto"/>
            </w:tcBorders>
            <w:shd w:val="clear" w:color="auto" w:fill="auto"/>
            <w:noWrap/>
            <w:vAlign w:val="center"/>
            <w:hideMark/>
          </w:tcPr>
          <w:p w:rsidR="00D54E08" w:rsidRPr="00E80F7B" w:rsidRDefault="00D54E08" w:rsidP="00631161">
            <w:pPr>
              <w:jc w:val="center"/>
              <w:rPr>
                <w:sz w:val="26"/>
                <w:szCs w:val="26"/>
              </w:rPr>
            </w:pPr>
            <w:r w:rsidRPr="00E80F7B">
              <w:rPr>
                <w:sz w:val="26"/>
                <w:szCs w:val="26"/>
              </w:rPr>
              <w:t>38,39</w:t>
            </w:r>
          </w:p>
        </w:tc>
      </w:tr>
      <w:tr w:rsidR="00D54E08" w:rsidRPr="00E80F7B" w:rsidTr="00C705D9">
        <w:trPr>
          <w:trHeight w:val="1125"/>
        </w:trPr>
        <w:tc>
          <w:tcPr>
            <w:tcW w:w="540" w:type="dxa"/>
            <w:vMerge w:val="restart"/>
            <w:tcBorders>
              <w:top w:val="nil"/>
              <w:left w:val="single" w:sz="4" w:space="0" w:color="auto"/>
              <w:bottom w:val="single" w:sz="4" w:space="0" w:color="000000"/>
              <w:right w:val="single" w:sz="4" w:space="0" w:color="auto"/>
            </w:tcBorders>
            <w:shd w:val="clear" w:color="auto" w:fill="auto"/>
            <w:noWrap/>
            <w:hideMark/>
          </w:tcPr>
          <w:p w:rsidR="00D54E08" w:rsidRPr="00E80F7B" w:rsidRDefault="00D54E08" w:rsidP="00631161">
            <w:pPr>
              <w:jc w:val="center"/>
              <w:rPr>
                <w:sz w:val="26"/>
                <w:szCs w:val="26"/>
              </w:rPr>
            </w:pPr>
            <w:r w:rsidRPr="00E80F7B">
              <w:rPr>
                <w:sz w:val="26"/>
                <w:szCs w:val="26"/>
              </w:rPr>
              <w:t>1.1</w:t>
            </w:r>
          </w:p>
        </w:tc>
        <w:tc>
          <w:tcPr>
            <w:tcW w:w="1830" w:type="dxa"/>
            <w:tcBorders>
              <w:top w:val="nil"/>
              <w:left w:val="nil"/>
              <w:bottom w:val="single" w:sz="4" w:space="0" w:color="auto"/>
              <w:right w:val="single" w:sz="4" w:space="0" w:color="auto"/>
            </w:tcBorders>
            <w:shd w:val="clear" w:color="auto" w:fill="auto"/>
            <w:vAlign w:val="bottom"/>
            <w:hideMark/>
          </w:tcPr>
          <w:p w:rsidR="00D54E08" w:rsidRPr="00E80F7B" w:rsidRDefault="00D54E08" w:rsidP="00D54E08">
            <w:pPr>
              <w:jc w:val="both"/>
              <w:rPr>
                <w:sz w:val="26"/>
                <w:szCs w:val="26"/>
              </w:rPr>
            </w:pPr>
            <w:r w:rsidRPr="00E80F7B">
              <w:rPr>
                <w:sz w:val="26"/>
                <w:szCs w:val="26"/>
              </w:rPr>
              <w:t>Cơ sở giáo dục đào tạo được miễn, giảm thuế</w:t>
            </w:r>
          </w:p>
        </w:tc>
        <w:tc>
          <w:tcPr>
            <w:tcW w:w="0" w:type="auto"/>
            <w:tcBorders>
              <w:top w:val="nil"/>
              <w:left w:val="nil"/>
              <w:bottom w:val="single" w:sz="4" w:space="0" w:color="auto"/>
              <w:right w:val="single" w:sz="4" w:space="0" w:color="auto"/>
            </w:tcBorders>
            <w:shd w:val="clear" w:color="auto" w:fill="auto"/>
            <w:noWrap/>
            <w:vAlign w:val="center"/>
            <w:hideMark/>
          </w:tcPr>
          <w:p w:rsidR="00D54E08" w:rsidRPr="00E80F7B" w:rsidRDefault="00D54E08" w:rsidP="00631161">
            <w:pPr>
              <w:jc w:val="center"/>
              <w:rPr>
                <w:sz w:val="26"/>
                <w:szCs w:val="26"/>
              </w:rPr>
            </w:pPr>
            <w:r w:rsidRPr="00E80F7B">
              <w:rPr>
                <w:sz w:val="26"/>
                <w:szCs w:val="26"/>
              </w:rPr>
              <w:t>13.265</w:t>
            </w:r>
          </w:p>
        </w:tc>
        <w:tc>
          <w:tcPr>
            <w:tcW w:w="931" w:type="dxa"/>
            <w:tcBorders>
              <w:top w:val="nil"/>
              <w:left w:val="nil"/>
              <w:bottom w:val="single" w:sz="4" w:space="0" w:color="auto"/>
              <w:right w:val="single" w:sz="4" w:space="0" w:color="auto"/>
            </w:tcBorders>
            <w:shd w:val="clear" w:color="auto" w:fill="auto"/>
            <w:noWrap/>
            <w:vAlign w:val="center"/>
            <w:hideMark/>
          </w:tcPr>
          <w:p w:rsidR="00D54E08" w:rsidRPr="00E80F7B" w:rsidRDefault="00D54E08" w:rsidP="00631161">
            <w:pPr>
              <w:jc w:val="center"/>
              <w:rPr>
                <w:sz w:val="26"/>
                <w:szCs w:val="26"/>
              </w:rPr>
            </w:pPr>
            <w:r w:rsidRPr="00E80F7B">
              <w:rPr>
                <w:sz w:val="26"/>
                <w:szCs w:val="26"/>
              </w:rPr>
              <w:t>14.473</w:t>
            </w:r>
          </w:p>
        </w:tc>
        <w:tc>
          <w:tcPr>
            <w:tcW w:w="931" w:type="dxa"/>
            <w:tcBorders>
              <w:top w:val="nil"/>
              <w:left w:val="nil"/>
              <w:bottom w:val="single" w:sz="4" w:space="0" w:color="auto"/>
              <w:right w:val="single" w:sz="4" w:space="0" w:color="auto"/>
            </w:tcBorders>
            <w:shd w:val="clear" w:color="auto" w:fill="auto"/>
            <w:noWrap/>
            <w:vAlign w:val="center"/>
            <w:hideMark/>
          </w:tcPr>
          <w:p w:rsidR="00D54E08" w:rsidRPr="00E80F7B" w:rsidRDefault="00D54E08" w:rsidP="00631161">
            <w:pPr>
              <w:jc w:val="center"/>
              <w:rPr>
                <w:sz w:val="26"/>
                <w:szCs w:val="26"/>
              </w:rPr>
            </w:pPr>
            <w:r w:rsidRPr="00E80F7B">
              <w:rPr>
                <w:sz w:val="26"/>
                <w:szCs w:val="26"/>
              </w:rPr>
              <w:t>14.955</w:t>
            </w:r>
          </w:p>
        </w:tc>
        <w:tc>
          <w:tcPr>
            <w:tcW w:w="0" w:type="auto"/>
            <w:tcBorders>
              <w:top w:val="nil"/>
              <w:left w:val="nil"/>
              <w:bottom w:val="single" w:sz="4" w:space="0" w:color="auto"/>
              <w:right w:val="single" w:sz="4" w:space="0" w:color="auto"/>
            </w:tcBorders>
            <w:shd w:val="clear" w:color="auto" w:fill="auto"/>
            <w:noWrap/>
            <w:vAlign w:val="center"/>
            <w:hideMark/>
          </w:tcPr>
          <w:p w:rsidR="00D54E08" w:rsidRPr="00E80F7B" w:rsidRDefault="00D54E08" w:rsidP="00631161">
            <w:pPr>
              <w:jc w:val="center"/>
              <w:rPr>
                <w:sz w:val="26"/>
                <w:szCs w:val="26"/>
              </w:rPr>
            </w:pPr>
            <w:r w:rsidRPr="00E80F7B">
              <w:rPr>
                <w:sz w:val="26"/>
                <w:szCs w:val="26"/>
              </w:rPr>
              <w:t>40.089</w:t>
            </w:r>
          </w:p>
        </w:tc>
        <w:tc>
          <w:tcPr>
            <w:tcW w:w="0" w:type="auto"/>
            <w:tcBorders>
              <w:top w:val="nil"/>
              <w:left w:val="nil"/>
              <w:bottom w:val="single" w:sz="4" w:space="0" w:color="auto"/>
              <w:right w:val="single" w:sz="4" w:space="0" w:color="auto"/>
            </w:tcBorders>
            <w:shd w:val="clear" w:color="auto" w:fill="auto"/>
            <w:noWrap/>
            <w:vAlign w:val="center"/>
            <w:hideMark/>
          </w:tcPr>
          <w:p w:rsidR="00D54E08" w:rsidRPr="00E80F7B" w:rsidRDefault="00D54E08" w:rsidP="00631161">
            <w:pPr>
              <w:jc w:val="center"/>
              <w:rPr>
                <w:sz w:val="26"/>
                <w:szCs w:val="26"/>
              </w:rPr>
            </w:pPr>
            <w:r w:rsidRPr="00E80F7B">
              <w:rPr>
                <w:sz w:val="26"/>
                <w:szCs w:val="26"/>
              </w:rPr>
              <w:t>45.511</w:t>
            </w:r>
          </w:p>
        </w:tc>
        <w:tc>
          <w:tcPr>
            <w:tcW w:w="0" w:type="auto"/>
            <w:tcBorders>
              <w:top w:val="nil"/>
              <w:left w:val="nil"/>
              <w:bottom w:val="single" w:sz="4" w:space="0" w:color="auto"/>
              <w:right w:val="single" w:sz="4" w:space="0" w:color="auto"/>
            </w:tcBorders>
            <w:shd w:val="clear" w:color="auto" w:fill="auto"/>
            <w:noWrap/>
            <w:vAlign w:val="center"/>
            <w:hideMark/>
          </w:tcPr>
          <w:p w:rsidR="00D54E08" w:rsidRPr="00E80F7B" w:rsidRDefault="00D54E08" w:rsidP="00631161">
            <w:pPr>
              <w:jc w:val="center"/>
              <w:rPr>
                <w:sz w:val="26"/>
                <w:szCs w:val="26"/>
              </w:rPr>
            </w:pPr>
            <w:r w:rsidRPr="00E80F7B">
              <w:rPr>
                <w:sz w:val="26"/>
                <w:szCs w:val="26"/>
              </w:rPr>
              <w:t>44.173</w:t>
            </w:r>
          </w:p>
        </w:tc>
        <w:tc>
          <w:tcPr>
            <w:tcW w:w="861" w:type="dxa"/>
            <w:tcBorders>
              <w:top w:val="nil"/>
              <w:left w:val="nil"/>
              <w:bottom w:val="single" w:sz="4" w:space="0" w:color="auto"/>
              <w:right w:val="single" w:sz="4" w:space="0" w:color="auto"/>
            </w:tcBorders>
            <w:shd w:val="clear" w:color="auto" w:fill="auto"/>
            <w:noWrap/>
            <w:vAlign w:val="center"/>
            <w:hideMark/>
          </w:tcPr>
          <w:p w:rsidR="00D54E08" w:rsidRPr="00E80F7B" w:rsidRDefault="00D54E08" w:rsidP="00631161">
            <w:pPr>
              <w:jc w:val="center"/>
              <w:rPr>
                <w:sz w:val="26"/>
                <w:szCs w:val="26"/>
              </w:rPr>
            </w:pPr>
            <w:r w:rsidRPr="00E80F7B">
              <w:rPr>
                <w:sz w:val="26"/>
                <w:szCs w:val="26"/>
              </w:rPr>
              <w:t>54</w:t>
            </w:r>
          </w:p>
        </w:tc>
        <w:tc>
          <w:tcPr>
            <w:tcW w:w="850" w:type="dxa"/>
            <w:tcBorders>
              <w:top w:val="nil"/>
              <w:left w:val="nil"/>
              <w:bottom w:val="single" w:sz="4" w:space="0" w:color="auto"/>
              <w:right w:val="single" w:sz="4" w:space="0" w:color="auto"/>
            </w:tcBorders>
            <w:shd w:val="clear" w:color="auto" w:fill="auto"/>
            <w:noWrap/>
            <w:vAlign w:val="center"/>
            <w:hideMark/>
          </w:tcPr>
          <w:p w:rsidR="00D54E08" w:rsidRPr="00E80F7B" w:rsidRDefault="00D54E08" w:rsidP="00631161">
            <w:pPr>
              <w:jc w:val="center"/>
              <w:rPr>
                <w:sz w:val="26"/>
                <w:szCs w:val="26"/>
              </w:rPr>
            </w:pPr>
            <w:r w:rsidRPr="00E80F7B">
              <w:rPr>
                <w:sz w:val="26"/>
                <w:szCs w:val="26"/>
              </w:rPr>
              <w:t>57</w:t>
            </w:r>
          </w:p>
        </w:tc>
        <w:tc>
          <w:tcPr>
            <w:tcW w:w="953" w:type="dxa"/>
            <w:tcBorders>
              <w:top w:val="nil"/>
              <w:left w:val="nil"/>
              <w:bottom w:val="single" w:sz="4" w:space="0" w:color="auto"/>
              <w:right w:val="single" w:sz="4" w:space="0" w:color="auto"/>
            </w:tcBorders>
            <w:shd w:val="clear" w:color="auto" w:fill="auto"/>
            <w:noWrap/>
            <w:vAlign w:val="center"/>
            <w:hideMark/>
          </w:tcPr>
          <w:p w:rsidR="00D54E08" w:rsidRPr="00E80F7B" w:rsidRDefault="00D54E08" w:rsidP="00631161">
            <w:pPr>
              <w:jc w:val="center"/>
              <w:rPr>
                <w:sz w:val="26"/>
                <w:szCs w:val="26"/>
              </w:rPr>
            </w:pPr>
            <w:r w:rsidRPr="00E80F7B">
              <w:rPr>
                <w:sz w:val="26"/>
                <w:szCs w:val="26"/>
              </w:rPr>
              <w:t>38</w:t>
            </w:r>
          </w:p>
        </w:tc>
      </w:tr>
      <w:tr w:rsidR="00D54E08" w:rsidRPr="00E80F7B" w:rsidTr="00C705D9">
        <w:trPr>
          <w:trHeight w:val="750"/>
        </w:trPr>
        <w:tc>
          <w:tcPr>
            <w:tcW w:w="540" w:type="dxa"/>
            <w:vMerge/>
            <w:tcBorders>
              <w:top w:val="nil"/>
              <w:left w:val="single" w:sz="4" w:space="0" w:color="auto"/>
              <w:bottom w:val="single" w:sz="4" w:space="0" w:color="000000"/>
              <w:right w:val="single" w:sz="4" w:space="0" w:color="auto"/>
            </w:tcBorders>
            <w:vAlign w:val="center"/>
            <w:hideMark/>
          </w:tcPr>
          <w:p w:rsidR="00D54E08" w:rsidRPr="00E80F7B" w:rsidRDefault="00D54E08" w:rsidP="00631161">
            <w:pPr>
              <w:rPr>
                <w:sz w:val="26"/>
                <w:szCs w:val="26"/>
              </w:rPr>
            </w:pPr>
          </w:p>
        </w:tc>
        <w:tc>
          <w:tcPr>
            <w:tcW w:w="1830" w:type="dxa"/>
            <w:tcBorders>
              <w:top w:val="nil"/>
              <w:left w:val="nil"/>
              <w:bottom w:val="single" w:sz="4" w:space="0" w:color="auto"/>
              <w:right w:val="single" w:sz="4" w:space="0" w:color="auto"/>
            </w:tcBorders>
            <w:shd w:val="clear" w:color="auto" w:fill="auto"/>
            <w:vAlign w:val="bottom"/>
            <w:hideMark/>
          </w:tcPr>
          <w:p w:rsidR="00D54E08" w:rsidRPr="00E80F7B" w:rsidRDefault="00D54E08" w:rsidP="00D54E08">
            <w:pPr>
              <w:jc w:val="both"/>
              <w:rPr>
                <w:i/>
                <w:iCs/>
                <w:sz w:val="26"/>
                <w:szCs w:val="26"/>
              </w:rPr>
            </w:pPr>
            <w:r w:rsidRPr="00E80F7B">
              <w:rPr>
                <w:i/>
                <w:iCs/>
                <w:sz w:val="26"/>
                <w:szCs w:val="26"/>
              </w:rPr>
              <w:t>- Cơ sở giáo dục đào tạo công lập</w:t>
            </w:r>
          </w:p>
        </w:tc>
        <w:tc>
          <w:tcPr>
            <w:tcW w:w="0" w:type="auto"/>
            <w:tcBorders>
              <w:top w:val="nil"/>
              <w:left w:val="nil"/>
              <w:bottom w:val="single" w:sz="4" w:space="0" w:color="auto"/>
              <w:right w:val="single" w:sz="4" w:space="0" w:color="auto"/>
            </w:tcBorders>
            <w:shd w:val="clear" w:color="auto" w:fill="auto"/>
            <w:noWrap/>
            <w:vAlign w:val="center"/>
            <w:hideMark/>
          </w:tcPr>
          <w:p w:rsidR="00D54E08" w:rsidRPr="00E80F7B" w:rsidRDefault="00D54E08" w:rsidP="00631161">
            <w:pPr>
              <w:jc w:val="center"/>
              <w:rPr>
                <w:sz w:val="26"/>
                <w:szCs w:val="26"/>
              </w:rPr>
            </w:pPr>
            <w:r w:rsidRPr="00E80F7B">
              <w:rPr>
                <w:sz w:val="26"/>
                <w:szCs w:val="26"/>
              </w:rPr>
              <w:t>88</w:t>
            </w:r>
          </w:p>
        </w:tc>
        <w:tc>
          <w:tcPr>
            <w:tcW w:w="931" w:type="dxa"/>
            <w:tcBorders>
              <w:top w:val="nil"/>
              <w:left w:val="nil"/>
              <w:bottom w:val="single" w:sz="4" w:space="0" w:color="auto"/>
              <w:right w:val="single" w:sz="4" w:space="0" w:color="auto"/>
            </w:tcBorders>
            <w:shd w:val="clear" w:color="auto" w:fill="auto"/>
            <w:noWrap/>
            <w:vAlign w:val="center"/>
            <w:hideMark/>
          </w:tcPr>
          <w:p w:rsidR="00D54E08" w:rsidRPr="00E80F7B" w:rsidRDefault="00D54E08" w:rsidP="00631161">
            <w:pPr>
              <w:jc w:val="center"/>
              <w:rPr>
                <w:sz w:val="26"/>
                <w:szCs w:val="26"/>
              </w:rPr>
            </w:pPr>
            <w:r w:rsidRPr="00E80F7B">
              <w:rPr>
                <w:sz w:val="26"/>
                <w:szCs w:val="26"/>
              </w:rPr>
              <w:t>93</w:t>
            </w:r>
          </w:p>
        </w:tc>
        <w:tc>
          <w:tcPr>
            <w:tcW w:w="931" w:type="dxa"/>
            <w:tcBorders>
              <w:top w:val="nil"/>
              <w:left w:val="nil"/>
              <w:bottom w:val="single" w:sz="4" w:space="0" w:color="auto"/>
              <w:right w:val="single" w:sz="4" w:space="0" w:color="auto"/>
            </w:tcBorders>
            <w:shd w:val="clear" w:color="auto" w:fill="auto"/>
            <w:noWrap/>
            <w:vAlign w:val="center"/>
            <w:hideMark/>
          </w:tcPr>
          <w:p w:rsidR="00D54E08" w:rsidRPr="00E80F7B" w:rsidRDefault="00D54E08" w:rsidP="00631161">
            <w:pPr>
              <w:jc w:val="center"/>
              <w:rPr>
                <w:sz w:val="26"/>
                <w:szCs w:val="26"/>
              </w:rPr>
            </w:pPr>
            <w:r w:rsidRPr="00E80F7B">
              <w:rPr>
                <w:sz w:val="26"/>
                <w:szCs w:val="26"/>
              </w:rPr>
              <w:t>92</w:t>
            </w:r>
          </w:p>
        </w:tc>
        <w:tc>
          <w:tcPr>
            <w:tcW w:w="0" w:type="auto"/>
            <w:tcBorders>
              <w:top w:val="nil"/>
              <w:left w:val="nil"/>
              <w:bottom w:val="single" w:sz="4" w:space="0" w:color="auto"/>
              <w:right w:val="single" w:sz="4" w:space="0" w:color="auto"/>
            </w:tcBorders>
            <w:shd w:val="clear" w:color="auto" w:fill="auto"/>
            <w:noWrap/>
            <w:vAlign w:val="center"/>
            <w:hideMark/>
          </w:tcPr>
          <w:p w:rsidR="00D54E08" w:rsidRPr="00E80F7B" w:rsidRDefault="00D54E08" w:rsidP="00631161">
            <w:pPr>
              <w:jc w:val="center"/>
              <w:rPr>
                <w:sz w:val="26"/>
                <w:szCs w:val="26"/>
              </w:rPr>
            </w:pPr>
            <w:r w:rsidRPr="00E80F7B">
              <w:rPr>
                <w:sz w:val="26"/>
                <w:szCs w:val="26"/>
              </w:rPr>
              <w:t>76</w:t>
            </w:r>
          </w:p>
        </w:tc>
        <w:tc>
          <w:tcPr>
            <w:tcW w:w="0" w:type="auto"/>
            <w:tcBorders>
              <w:top w:val="nil"/>
              <w:left w:val="nil"/>
              <w:bottom w:val="single" w:sz="4" w:space="0" w:color="auto"/>
              <w:right w:val="single" w:sz="4" w:space="0" w:color="auto"/>
            </w:tcBorders>
            <w:shd w:val="clear" w:color="auto" w:fill="auto"/>
            <w:noWrap/>
            <w:vAlign w:val="center"/>
            <w:hideMark/>
          </w:tcPr>
          <w:p w:rsidR="00D54E08" w:rsidRPr="00E80F7B" w:rsidRDefault="00D54E08" w:rsidP="00631161">
            <w:pPr>
              <w:jc w:val="center"/>
              <w:rPr>
                <w:sz w:val="26"/>
                <w:szCs w:val="26"/>
              </w:rPr>
            </w:pPr>
            <w:r w:rsidRPr="00E80F7B">
              <w:rPr>
                <w:sz w:val="26"/>
                <w:szCs w:val="26"/>
              </w:rPr>
              <w:t>89</w:t>
            </w:r>
          </w:p>
        </w:tc>
        <w:tc>
          <w:tcPr>
            <w:tcW w:w="0" w:type="auto"/>
            <w:tcBorders>
              <w:top w:val="nil"/>
              <w:left w:val="nil"/>
              <w:bottom w:val="single" w:sz="4" w:space="0" w:color="auto"/>
              <w:right w:val="single" w:sz="4" w:space="0" w:color="auto"/>
            </w:tcBorders>
            <w:shd w:val="clear" w:color="auto" w:fill="auto"/>
            <w:noWrap/>
            <w:vAlign w:val="center"/>
            <w:hideMark/>
          </w:tcPr>
          <w:p w:rsidR="00D54E08" w:rsidRPr="00E80F7B" w:rsidRDefault="00D54E08" w:rsidP="00631161">
            <w:pPr>
              <w:jc w:val="center"/>
              <w:rPr>
                <w:sz w:val="26"/>
                <w:szCs w:val="26"/>
              </w:rPr>
            </w:pPr>
            <w:r w:rsidRPr="00E80F7B">
              <w:rPr>
                <w:sz w:val="26"/>
                <w:szCs w:val="26"/>
              </w:rPr>
              <w:t>89</w:t>
            </w:r>
          </w:p>
        </w:tc>
        <w:tc>
          <w:tcPr>
            <w:tcW w:w="861" w:type="dxa"/>
            <w:tcBorders>
              <w:top w:val="nil"/>
              <w:left w:val="nil"/>
              <w:bottom w:val="single" w:sz="4" w:space="0" w:color="auto"/>
              <w:right w:val="single" w:sz="4" w:space="0" w:color="auto"/>
            </w:tcBorders>
            <w:shd w:val="clear" w:color="auto" w:fill="auto"/>
            <w:noWrap/>
            <w:vAlign w:val="center"/>
            <w:hideMark/>
          </w:tcPr>
          <w:p w:rsidR="00D54E08" w:rsidRPr="00E80F7B" w:rsidRDefault="00D54E08" w:rsidP="00631161">
            <w:pPr>
              <w:jc w:val="center"/>
              <w:rPr>
                <w:sz w:val="26"/>
                <w:szCs w:val="26"/>
              </w:rPr>
            </w:pPr>
            <w:r w:rsidRPr="00E80F7B">
              <w:rPr>
                <w:sz w:val="26"/>
                <w:szCs w:val="26"/>
              </w:rPr>
              <w:t>1,27</w:t>
            </w:r>
          </w:p>
        </w:tc>
        <w:tc>
          <w:tcPr>
            <w:tcW w:w="850" w:type="dxa"/>
            <w:tcBorders>
              <w:top w:val="nil"/>
              <w:left w:val="nil"/>
              <w:bottom w:val="single" w:sz="4" w:space="0" w:color="auto"/>
              <w:right w:val="single" w:sz="4" w:space="0" w:color="auto"/>
            </w:tcBorders>
            <w:shd w:val="clear" w:color="auto" w:fill="auto"/>
            <w:noWrap/>
            <w:vAlign w:val="center"/>
            <w:hideMark/>
          </w:tcPr>
          <w:p w:rsidR="00D54E08" w:rsidRPr="00E80F7B" w:rsidRDefault="00D54E08" w:rsidP="00631161">
            <w:pPr>
              <w:jc w:val="center"/>
              <w:rPr>
                <w:sz w:val="26"/>
                <w:szCs w:val="26"/>
              </w:rPr>
            </w:pPr>
            <w:r w:rsidRPr="00E80F7B">
              <w:rPr>
                <w:sz w:val="26"/>
                <w:szCs w:val="26"/>
              </w:rPr>
              <w:t>1,51</w:t>
            </w:r>
          </w:p>
        </w:tc>
        <w:tc>
          <w:tcPr>
            <w:tcW w:w="953" w:type="dxa"/>
            <w:tcBorders>
              <w:top w:val="nil"/>
              <w:left w:val="nil"/>
              <w:bottom w:val="single" w:sz="4" w:space="0" w:color="auto"/>
              <w:right w:val="single" w:sz="4" w:space="0" w:color="auto"/>
            </w:tcBorders>
            <w:shd w:val="clear" w:color="auto" w:fill="auto"/>
            <w:noWrap/>
            <w:vAlign w:val="center"/>
            <w:hideMark/>
          </w:tcPr>
          <w:p w:rsidR="00D54E08" w:rsidRPr="00E80F7B" w:rsidRDefault="00D54E08" w:rsidP="00631161">
            <w:pPr>
              <w:jc w:val="center"/>
              <w:rPr>
                <w:sz w:val="26"/>
                <w:szCs w:val="26"/>
              </w:rPr>
            </w:pPr>
            <w:r w:rsidRPr="00E80F7B">
              <w:rPr>
                <w:sz w:val="26"/>
                <w:szCs w:val="26"/>
              </w:rPr>
              <w:t>1,32</w:t>
            </w:r>
          </w:p>
        </w:tc>
      </w:tr>
      <w:tr w:rsidR="00D54E08" w:rsidRPr="00E80F7B" w:rsidTr="00C705D9">
        <w:trPr>
          <w:trHeight w:val="750"/>
        </w:trPr>
        <w:tc>
          <w:tcPr>
            <w:tcW w:w="540" w:type="dxa"/>
            <w:vMerge/>
            <w:tcBorders>
              <w:top w:val="nil"/>
              <w:left w:val="single" w:sz="4" w:space="0" w:color="auto"/>
              <w:bottom w:val="single" w:sz="4" w:space="0" w:color="000000"/>
              <w:right w:val="single" w:sz="4" w:space="0" w:color="auto"/>
            </w:tcBorders>
            <w:vAlign w:val="center"/>
            <w:hideMark/>
          </w:tcPr>
          <w:p w:rsidR="00D54E08" w:rsidRPr="00E80F7B" w:rsidRDefault="00D54E08" w:rsidP="00631161">
            <w:pPr>
              <w:rPr>
                <w:sz w:val="26"/>
                <w:szCs w:val="26"/>
              </w:rPr>
            </w:pPr>
          </w:p>
        </w:tc>
        <w:tc>
          <w:tcPr>
            <w:tcW w:w="1830" w:type="dxa"/>
            <w:tcBorders>
              <w:top w:val="nil"/>
              <w:left w:val="nil"/>
              <w:bottom w:val="single" w:sz="4" w:space="0" w:color="auto"/>
              <w:right w:val="single" w:sz="4" w:space="0" w:color="auto"/>
            </w:tcBorders>
            <w:shd w:val="clear" w:color="auto" w:fill="auto"/>
            <w:vAlign w:val="bottom"/>
            <w:hideMark/>
          </w:tcPr>
          <w:p w:rsidR="00D54E08" w:rsidRPr="00E80F7B" w:rsidRDefault="00D54E08" w:rsidP="00D54E08">
            <w:pPr>
              <w:jc w:val="both"/>
              <w:rPr>
                <w:i/>
                <w:iCs/>
                <w:sz w:val="26"/>
                <w:szCs w:val="26"/>
              </w:rPr>
            </w:pPr>
            <w:r w:rsidRPr="00E80F7B">
              <w:rPr>
                <w:i/>
                <w:iCs/>
                <w:sz w:val="26"/>
                <w:szCs w:val="26"/>
              </w:rPr>
              <w:t>- Cơ sở giáo dục đào tạo ngoài công lập</w:t>
            </w:r>
          </w:p>
        </w:tc>
        <w:tc>
          <w:tcPr>
            <w:tcW w:w="0" w:type="auto"/>
            <w:tcBorders>
              <w:top w:val="nil"/>
              <w:left w:val="nil"/>
              <w:bottom w:val="single" w:sz="4" w:space="0" w:color="auto"/>
              <w:right w:val="single" w:sz="4" w:space="0" w:color="auto"/>
            </w:tcBorders>
            <w:shd w:val="clear" w:color="auto" w:fill="auto"/>
            <w:noWrap/>
            <w:vAlign w:val="center"/>
            <w:hideMark/>
          </w:tcPr>
          <w:p w:rsidR="00D54E08" w:rsidRPr="00E80F7B" w:rsidRDefault="00D54E08" w:rsidP="00631161">
            <w:pPr>
              <w:jc w:val="center"/>
              <w:rPr>
                <w:sz w:val="26"/>
                <w:szCs w:val="26"/>
              </w:rPr>
            </w:pPr>
            <w:r w:rsidRPr="00E80F7B">
              <w:rPr>
                <w:sz w:val="26"/>
                <w:szCs w:val="26"/>
              </w:rPr>
              <w:t>13.177</w:t>
            </w:r>
          </w:p>
        </w:tc>
        <w:tc>
          <w:tcPr>
            <w:tcW w:w="931" w:type="dxa"/>
            <w:tcBorders>
              <w:top w:val="nil"/>
              <w:left w:val="nil"/>
              <w:bottom w:val="single" w:sz="4" w:space="0" w:color="auto"/>
              <w:right w:val="single" w:sz="4" w:space="0" w:color="auto"/>
            </w:tcBorders>
            <w:shd w:val="clear" w:color="auto" w:fill="auto"/>
            <w:noWrap/>
            <w:vAlign w:val="center"/>
            <w:hideMark/>
          </w:tcPr>
          <w:p w:rsidR="00D54E08" w:rsidRPr="00E80F7B" w:rsidRDefault="00D54E08" w:rsidP="00631161">
            <w:pPr>
              <w:jc w:val="center"/>
              <w:rPr>
                <w:sz w:val="26"/>
                <w:szCs w:val="26"/>
              </w:rPr>
            </w:pPr>
            <w:r w:rsidRPr="00E80F7B">
              <w:rPr>
                <w:sz w:val="26"/>
                <w:szCs w:val="26"/>
              </w:rPr>
              <w:t>14.380</w:t>
            </w:r>
          </w:p>
        </w:tc>
        <w:tc>
          <w:tcPr>
            <w:tcW w:w="931" w:type="dxa"/>
            <w:tcBorders>
              <w:top w:val="nil"/>
              <w:left w:val="nil"/>
              <w:bottom w:val="single" w:sz="4" w:space="0" w:color="auto"/>
              <w:right w:val="single" w:sz="4" w:space="0" w:color="auto"/>
            </w:tcBorders>
            <w:shd w:val="clear" w:color="auto" w:fill="auto"/>
            <w:noWrap/>
            <w:vAlign w:val="center"/>
            <w:hideMark/>
          </w:tcPr>
          <w:p w:rsidR="00D54E08" w:rsidRPr="00E80F7B" w:rsidRDefault="00D54E08" w:rsidP="00631161">
            <w:pPr>
              <w:jc w:val="center"/>
              <w:rPr>
                <w:sz w:val="26"/>
                <w:szCs w:val="26"/>
              </w:rPr>
            </w:pPr>
            <w:r w:rsidRPr="00E80F7B">
              <w:rPr>
                <w:sz w:val="26"/>
                <w:szCs w:val="26"/>
              </w:rPr>
              <w:t>14.863</w:t>
            </w:r>
          </w:p>
        </w:tc>
        <w:tc>
          <w:tcPr>
            <w:tcW w:w="0" w:type="auto"/>
            <w:tcBorders>
              <w:top w:val="nil"/>
              <w:left w:val="nil"/>
              <w:bottom w:val="single" w:sz="4" w:space="0" w:color="auto"/>
              <w:right w:val="single" w:sz="4" w:space="0" w:color="auto"/>
            </w:tcBorders>
            <w:shd w:val="clear" w:color="auto" w:fill="auto"/>
            <w:noWrap/>
            <w:vAlign w:val="center"/>
            <w:hideMark/>
          </w:tcPr>
          <w:p w:rsidR="00D54E08" w:rsidRPr="00E80F7B" w:rsidRDefault="00D54E08" w:rsidP="00631161">
            <w:pPr>
              <w:jc w:val="center"/>
              <w:rPr>
                <w:sz w:val="26"/>
                <w:szCs w:val="26"/>
              </w:rPr>
            </w:pPr>
            <w:r w:rsidRPr="00E80F7B">
              <w:rPr>
                <w:sz w:val="26"/>
                <w:szCs w:val="26"/>
              </w:rPr>
              <w:t>40.013</w:t>
            </w:r>
          </w:p>
        </w:tc>
        <w:tc>
          <w:tcPr>
            <w:tcW w:w="0" w:type="auto"/>
            <w:tcBorders>
              <w:top w:val="nil"/>
              <w:left w:val="nil"/>
              <w:bottom w:val="single" w:sz="4" w:space="0" w:color="auto"/>
              <w:right w:val="single" w:sz="4" w:space="0" w:color="auto"/>
            </w:tcBorders>
            <w:shd w:val="clear" w:color="auto" w:fill="auto"/>
            <w:noWrap/>
            <w:vAlign w:val="center"/>
            <w:hideMark/>
          </w:tcPr>
          <w:p w:rsidR="00D54E08" w:rsidRPr="00E80F7B" w:rsidRDefault="00D54E08" w:rsidP="00631161">
            <w:pPr>
              <w:jc w:val="center"/>
              <w:rPr>
                <w:sz w:val="26"/>
                <w:szCs w:val="26"/>
              </w:rPr>
            </w:pPr>
            <w:r w:rsidRPr="00E80F7B">
              <w:rPr>
                <w:sz w:val="26"/>
                <w:szCs w:val="26"/>
              </w:rPr>
              <w:t>45.422</w:t>
            </w:r>
          </w:p>
        </w:tc>
        <w:tc>
          <w:tcPr>
            <w:tcW w:w="0" w:type="auto"/>
            <w:tcBorders>
              <w:top w:val="nil"/>
              <w:left w:val="nil"/>
              <w:bottom w:val="single" w:sz="4" w:space="0" w:color="auto"/>
              <w:right w:val="single" w:sz="4" w:space="0" w:color="auto"/>
            </w:tcBorders>
            <w:shd w:val="clear" w:color="auto" w:fill="auto"/>
            <w:noWrap/>
            <w:vAlign w:val="center"/>
            <w:hideMark/>
          </w:tcPr>
          <w:p w:rsidR="00D54E08" w:rsidRPr="00E80F7B" w:rsidRDefault="00D54E08" w:rsidP="00631161">
            <w:pPr>
              <w:jc w:val="center"/>
              <w:rPr>
                <w:sz w:val="26"/>
                <w:szCs w:val="26"/>
              </w:rPr>
            </w:pPr>
            <w:r w:rsidRPr="00E80F7B">
              <w:rPr>
                <w:sz w:val="26"/>
                <w:szCs w:val="26"/>
              </w:rPr>
              <w:t>44.084</w:t>
            </w:r>
          </w:p>
        </w:tc>
        <w:tc>
          <w:tcPr>
            <w:tcW w:w="861" w:type="dxa"/>
            <w:tcBorders>
              <w:top w:val="nil"/>
              <w:left w:val="nil"/>
              <w:bottom w:val="single" w:sz="4" w:space="0" w:color="auto"/>
              <w:right w:val="single" w:sz="4" w:space="0" w:color="auto"/>
            </w:tcBorders>
            <w:shd w:val="clear" w:color="auto" w:fill="auto"/>
            <w:noWrap/>
            <w:vAlign w:val="center"/>
            <w:hideMark/>
          </w:tcPr>
          <w:p w:rsidR="00D54E08" w:rsidRPr="00E80F7B" w:rsidRDefault="00D54E08" w:rsidP="00631161">
            <w:pPr>
              <w:jc w:val="center"/>
              <w:rPr>
                <w:sz w:val="26"/>
                <w:szCs w:val="26"/>
              </w:rPr>
            </w:pPr>
            <w:r w:rsidRPr="00E80F7B">
              <w:rPr>
                <w:sz w:val="26"/>
                <w:szCs w:val="26"/>
              </w:rPr>
              <w:t>52,76</w:t>
            </w:r>
          </w:p>
        </w:tc>
        <w:tc>
          <w:tcPr>
            <w:tcW w:w="850" w:type="dxa"/>
            <w:tcBorders>
              <w:top w:val="nil"/>
              <w:left w:val="nil"/>
              <w:bottom w:val="single" w:sz="4" w:space="0" w:color="auto"/>
              <w:right w:val="single" w:sz="4" w:space="0" w:color="auto"/>
            </w:tcBorders>
            <w:shd w:val="clear" w:color="auto" w:fill="auto"/>
            <w:noWrap/>
            <w:vAlign w:val="center"/>
            <w:hideMark/>
          </w:tcPr>
          <w:p w:rsidR="00D54E08" w:rsidRPr="00E80F7B" w:rsidRDefault="00D54E08" w:rsidP="00631161">
            <w:pPr>
              <w:jc w:val="center"/>
              <w:rPr>
                <w:sz w:val="26"/>
                <w:szCs w:val="26"/>
              </w:rPr>
            </w:pPr>
            <w:r w:rsidRPr="00E80F7B">
              <w:rPr>
                <w:sz w:val="26"/>
                <w:szCs w:val="26"/>
              </w:rPr>
              <w:t>55,27</w:t>
            </w:r>
          </w:p>
        </w:tc>
        <w:tc>
          <w:tcPr>
            <w:tcW w:w="953" w:type="dxa"/>
            <w:tcBorders>
              <w:top w:val="nil"/>
              <w:left w:val="nil"/>
              <w:bottom w:val="single" w:sz="4" w:space="0" w:color="auto"/>
              <w:right w:val="single" w:sz="4" w:space="0" w:color="auto"/>
            </w:tcBorders>
            <w:shd w:val="clear" w:color="auto" w:fill="auto"/>
            <w:noWrap/>
            <w:vAlign w:val="center"/>
            <w:hideMark/>
          </w:tcPr>
          <w:p w:rsidR="00D54E08" w:rsidRPr="00E80F7B" w:rsidRDefault="00D54E08" w:rsidP="00631161">
            <w:pPr>
              <w:jc w:val="center"/>
              <w:rPr>
                <w:sz w:val="26"/>
                <w:szCs w:val="26"/>
              </w:rPr>
            </w:pPr>
            <w:r w:rsidRPr="00E80F7B">
              <w:rPr>
                <w:sz w:val="26"/>
                <w:szCs w:val="26"/>
              </w:rPr>
              <w:t>37,07</w:t>
            </w:r>
          </w:p>
        </w:tc>
      </w:tr>
      <w:tr w:rsidR="00D54E08" w:rsidRPr="00E80F7B" w:rsidTr="00C705D9">
        <w:trPr>
          <w:trHeight w:val="750"/>
        </w:trPr>
        <w:tc>
          <w:tcPr>
            <w:tcW w:w="540" w:type="dxa"/>
            <w:tcBorders>
              <w:top w:val="nil"/>
              <w:left w:val="single" w:sz="4" w:space="0" w:color="auto"/>
              <w:bottom w:val="single" w:sz="4" w:space="0" w:color="auto"/>
              <w:right w:val="single" w:sz="4" w:space="0" w:color="auto"/>
            </w:tcBorders>
            <w:shd w:val="clear" w:color="auto" w:fill="auto"/>
            <w:noWrap/>
            <w:hideMark/>
          </w:tcPr>
          <w:p w:rsidR="00D54E08" w:rsidRPr="00E80F7B" w:rsidRDefault="00D54E08" w:rsidP="00631161">
            <w:pPr>
              <w:jc w:val="center"/>
              <w:rPr>
                <w:sz w:val="26"/>
                <w:szCs w:val="26"/>
              </w:rPr>
            </w:pPr>
            <w:r w:rsidRPr="00E80F7B">
              <w:rPr>
                <w:sz w:val="26"/>
                <w:szCs w:val="26"/>
              </w:rPr>
              <w:t>1.2</w:t>
            </w:r>
          </w:p>
        </w:tc>
        <w:tc>
          <w:tcPr>
            <w:tcW w:w="1830" w:type="dxa"/>
            <w:tcBorders>
              <w:top w:val="nil"/>
              <w:left w:val="nil"/>
              <w:bottom w:val="single" w:sz="4" w:space="0" w:color="auto"/>
              <w:right w:val="single" w:sz="4" w:space="0" w:color="auto"/>
            </w:tcBorders>
            <w:shd w:val="clear" w:color="auto" w:fill="auto"/>
            <w:vAlign w:val="bottom"/>
            <w:hideMark/>
          </w:tcPr>
          <w:p w:rsidR="00D54E08" w:rsidRPr="00E80F7B" w:rsidRDefault="00D54E08" w:rsidP="00D54E08">
            <w:pPr>
              <w:jc w:val="both"/>
              <w:rPr>
                <w:sz w:val="26"/>
                <w:szCs w:val="26"/>
              </w:rPr>
            </w:pPr>
            <w:r w:rsidRPr="00E80F7B">
              <w:rPr>
                <w:sz w:val="26"/>
                <w:szCs w:val="26"/>
              </w:rPr>
              <w:t>Cơ sở giáo dục đào tạo hiện đang nộp thuế</w:t>
            </w:r>
          </w:p>
        </w:tc>
        <w:tc>
          <w:tcPr>
            <w:tcW w:w="0" w:type="auto"/>
            <w:tcBorders>
              <w:top w:val="nil"/>
              <w:left w:val="nil"/>
              <w:bottom w:val="single" w:sz="4" w:space="0" w:color="auto"/>
              <w:right w:val="single" w:sz="4" w:space="0" w:color="auto"/>
            </w:tcBorders>
            <w:shd w:val="clear" w:color="auto" w:fill="auto"/>
            <w:noWrap/>
            <w:vAlign w:val="center"/>
            <w:hideMark/>
          </w:tcPr>
          <w:p w:rsidR="00D54E08" w:rsidRPr="00E80F7B" w:rsidRDefault="00D54E08" w:rsidP="00631161">
            <w:pPr>
              <w:jc w:val="center"/>
              <w:rPr>
                <w:sz w:val="26"/>
                <w:szCs w:val="26"/>
              </w:rPr>
            </w:pPr>
            <w:r w:rsidRPr="00E80F7B">
              <w:rPr>
                <w:sz w:val="26"/>
                <w:szCs w:val="26"/>
              </w:rPr>
              <w:t>25.516</w:t>
            </w:r>
          </w:p>
        </w:tc>
        <w:tc>
          <w:tcPr>
            <w:tcW w:w="931" w:type="dxa"/>
            <w:tcBorders>
              <w:top w:val="nil"/>
              <w:left w:val="nil"/>
              <w:bottom w:val="single" w:sz="4" w:space="0" w:color="auto"/>
              <w:right w:val="single" w:sz="4" w:space="0" w:color="auto"/>
            </w:tcBorders>
            <w:shd w:val="clear" w:color="auto" w:fill="auto"/>
            <w:noWrap/>
            <w:vAlign w:val="center"/>
            <w:hideMark/>
          </w:tcPr>
          <w:p w:rsidR="00D54E08" w:rsidRPr="00E80F7B" w:rsidRDefault="00D54E08" w:rsidP="00631161">
            <w:pPr>
              <w:jc w:val="center"/>
              <w:rPr>
                <w:sz w:val="26"/>
                <w:szCs w:val="26"/>
              </w:rPr>
            </w:pPr>
            <w:r w:rsidRPr="00E80F7B">
              <w:rPr>
                <w:sz w:val="26"/>
                <w:szCs w:val="26"/>
              </w:rPr>
              <w:t>26.781</w:t>
            </w:r>
          </w:p>
        </w:tc>
        <w:tc>
          <w:tcPr>
            <w:tcW w:w="931" w:type="dxa"/>
            <w:tcBorders>
              <w:top w:val="nil"/>
              <w:left w:val="nil"/>
              <w:bottom w:val="single" w:sz="4" w:space="0" w:color="auto"/>
              <w:right w:val="single" w:sz="4" w:space="0" w:color="auto"/>
            </w:tcBorders>
            <w:shd w:val="clear" w:color="auto" w:fill="auto"/>
            <w:noWrap/>
            <w:vAlign w:val="center"/>
            <w:hideMark/>
          </w:tcPr>
          <w:p w:rsidR="00D54E08" w:rsidRPr="00E80F7B" w:rsidRDefault="00D54E08" w:rsidP="00631161">
            <w:pPr>
              <w:jc w:val="center"/>
              <w:rPr>
                <w:sz w:val="26"/>
                <w:szCs w:val="26"/>
              </w:rPr>
            </w:pPr>
            <w:r w:rsidRPr="00E80F7B">
              <w:rPr>
                <w:sz w:val="26"/>
                <w:szCs w:val="26"/>
              </w:rPr>
              <w:t>28.503</w:t>
            </w:r>
          </w:p>
        </w:tc>
        <w:tc>
          <w:tcPr>
            <w:tcW w:w="0" w:type="auto"/>
            <w:tcBorders>
              <w:top w:val="nil"/>
              <w:left w:val="nil"/>
              <w:bottom w:val="single" w:sz="4" w:space="0" w:color="auto"/>
              <w:right w:val="single" w:sz="4" w:space="0" w:color="auto"/>
            </w:tcBorders>
            <w:shd w:val="clear" w:color="auto" w:fill="auto"/>
            <w:noWrap/>
            <w:vAlign w:val="center"/>
            <w:hideMark/>
          </w:tcPr>
          <w:p w:rsidR="00D54E08" w:rsidRPr="00E80F7B" w:rsidRDefault="00D54E08" w:rsidP="00631161">
            <w:pPr>
              <w:jc w:val="center"/>
              <w:rPr>
                <w:sz w:val="26"/>
                <w:szCs w:val="26"/>
              </w:rPr>
            </w:pPr>
            <w:r w:rsidRPr="00E80F7B">
              <w:rPr>
                <w:sz w:val="26"/>
                <w:szCs w:val="26"/>
              </w:rPr>
              <w:t>24.704</w:t>
            </w:r>
          </w:p>
        </w:tc>
        <w:tc>
          <w:tcPr>
            <w:tcW w:w="0" w:type="auto"/>
            <w:tcBorders>
              <w:top w:val="nil"/>
              <w:left w:val="nil"/>
              <w:bottom w:val="single" w:sz="4" w:space="0" w:color="auto"/>
              <w:right w:val="single" w:sz="4" w:space="0" w:color="auto"/>
            </w:tcBorders>
            <w:shd w:val="clear" w:color="auto" w:fill="auto"/>
            <w:noWrap/>
            <w:vAlign w:val="center"/>
            <w:hideMark/>
          </w:tcPr>
          <w:p w:rsidR="00D54E08" w:rsidRPr="00E80F7B" w:rsidRDefault="00D54E08" w:rsidP="00631161">
            <w:pPr>
              <w:jc w:val="center"/>
              <w:rPr>
                <w:sz w:val="26"/>
                <w:szCs w:val="26"/>
              </w:rPr>
            </w:pPr>
            <w:r w:rsidRPr="00E80F7B">
              <w:rPr>
                <w:sz w:val="26"/>
                <w:szCs w:val="26"/>
              </w:rPr>
              <w:t>25.654</w:t>
            </w:r>
          </w:p>
        </w:tc>
        <w:tc>
          <w:tcPr>
            <w:tcW w:w="0" w:type="auto"/>
            <w:tcBorders>
              <w:top w:val="nil"/>
              <w:left w:val="nil"/>
              <w:bottom w:val="single" w:sz="4" w:space="0" w:color="auto"/>
              <w:right w:val="single" w:sz="4" w:space="0" w:color="auto"/>
            </w:tcBorders>
            <w:shd w:val="clear" w:color="auto" w:fill="auto"/>
            <w:noWrap/>
            <w:vAlign w:val="center"/>
            <w:hideMark/>
          </w:tcPr>
          <w:p w:rsidR="00D54E08" w:rsidRPr="00E80F7B" w:rsidRDefault="00D54E08" w:rsidP="00631161">
            <w:pPr>
              <w:jc w:val="center"/>
              <w:rPr>
                <w:sz w:val="26"/>
                <w:szCs w:val="26"/>
              </w:rPr>
            </w:pPr>
            <w:r w:rsidRPr="00E80F7B">
              <w:rPr>
                <w:sz w:val="26"/>
                <w:szCs w:val="26"/>
              </w:rPr>
              <w:t>28.078</w:t>
            </w:r>
          </w:p>
        </w:tc>
        <w:tc>
          <w:tcPr>
            <w:tcW w:w="861" w:type="dxa"/>
            <w:tcBorders>
              <w:top w:val="nil"/>
              <w:left w:val="nil"/>
              <w:bottom w:val="single" w:sz="4" w:space="0" w:color="auto"/>
              <w:right w:val="single" w:sz="4" w:space="0" w:color="auto"/>
            </w:tcBorders>
            <w:shd w:val="clear" w:color="auto" w:fill="auto"/>
            <w:noWrap/>
            <w:vAlign w:val="center"/>
            <w:hideMark/>
          </w:tcPr>
          <w:p w:rsidR="00D54E08" w:rsidRPr="00E80F7B" w:rsidRDefault="00D54E08" w:rsidP="00631161">
            <w:pPr>
              <w:jc w:val="center"/>
              <w:rPr>
                <w:sz w:val="26"/>
                <w:szCs w:val="26"/>
              </w:rPr>
            </w:pPr>
            <w:r w:rsidRPr="00E80F7B">
              <w:rPr>
                <w:sz w:val="26"/>
                <w:szCs w:val="26"/>
              </w:rPr>
              <w:t>-</w:t>
            </w:r>
          </w:p>
        </w:tc>
        <w:tc>
          <w:tcPr>
            <w:tcW w:w="850" w:type="dxa"/>
            <w:tcBorders>
              <w:top w:val="nil"/>
              <w:left w:val="nil"/>
              <w:bottom w:val="single" w:sz="4" w:space="0" w:color="auto"/>
              <w:right w:val="single" w:sz="4" w:space="0" w:color="auto"/>
            </w:tcBorders>
            <w:shd w:val="clear" w:color="auto" w:fill="auto"/>
            <w:noWrap/>
            <w:vAlign w:val="center"/>
            <w:hideMark/>
          </w:tcPr>
          <w:p w:rsidR="00D54E08" w:rsidRPr="00E80F7B" w:rsidRDefault="00D54E08" w:rsidP="00631161">
            <w:pPr>
              <w:jc w:val="center"/>
              <w:rPr>
                <w:sz w:val="26"/>
                <w:szCs w:val="26"/>
              </w:rPr>
            </w:pPr>
            <w:r w:rsidRPr="00E80F7B">
              <w:rPr>
                <w:sz w:val="26"/>
                <w:szCs w:val="26"/>
              </w:rPr>
              <w:t>-</w:t>
            </w:r>
          </w:p>
        </w:tc>
        <w:tc>
          <w:tcPr>
            <w:tcW w:w="953" w:type="dxa"/>
            <w:tcBorders>
              <w:top w:val="nil"/>
              <w:left w:val="nil"/>
              <w:bottom w:val="single" w:sz="4" w:space="0" w:color="auto"/>
              <w:right w:val="single" w:sz="4" w:space="0" w:color="auto"/>
            </w:tcBorders>
            <w:shd w:val="clear" w:color="auto" w:fill="auto"/>
            <w:noWrap/>
            <w:vAlign w:val="center"/>
            <w:hideMark/>
          </w:tcPr>
          <w:p w:rsidR="00D54E08" w:rsidRPr="00E80F7B" w:rsidRDefault="00D54E08" w:rsidP="00631161">
            <w:pPr>
              <w:jc w:val="center"/>
              <w:rPr>
                <w:sz w:val="26"/>
                <w:szCs w:val="26"/>
              </w:rPr>
            </w:pPr>
            <w:r w:rsidRPr="00E80F7B">
              <w:rPr>
                <w:sz w:val="26"/>
                <w:szCs w:val="26"/>
              </w:rPr>
              <w:t>-</w:t>
            </w:r>
          </w:p>
        </w:tc>
      </w:tr>
    </w:tbl>
    <w:p w:rsidR="00631161" w:rsidRPr="00E80F7B" w:rsidRDefault="00D54E08" w:rsidP="00D54E08">
      <w:pPr>
        <w:widowControl w:val="0"/>
        <w:spacing w:before="120" w:after="120"/>
        <w:ind w:firstLine="720"/>
        <w:jc w:val="right"/>
        <w:rPr>
          <w:i/>
        </w:rPr>
      </w:pPr>
      <w:r w:rsidRPr="00E80F7B">
        <w:rPr>
          <w:i/>
        </w:rPr>
        <w:t xml:space="preserve">     Nguồn: Bộ Tài chính</w:t>
      </w:r>
    </w:p>
    <w:p w:rsidR="00695516" w:rsidRPr="00E80F7B" w:rsidRDefault="00CC1CC8" w:rsidP="00443E97">
      <w:pPr>
        <w:widowControl w:val="0"/>
        <w:spacing w:before="120" w:after="120"/>
        <w:ind w:firstLine="720"/>
        <w:jc w:val="both"/>
      </w:pPr>
      <w:r w:rsidRPr="00E80F7B">
        <w:rPr>
          <w:lang w:val="vi-VN"/>
        </w:rPr>
        <w:t xml:space="preserve">- Về đăng ký kê khai, nộp thuế: </w:t>
      </w:r>
    </w:p>
    <w:p w:rsidR="006727D6" w:rsidRPr="00E80F7B" w:rsidRDefault="00CC1CC8" w:rsidP="00443E97">
      <w:pPr>
        <w:widowControl w:val="0"/>
        <w:spacing w:before="120" w:after="120"/>
        <w:ind w:firstLine="720"/>
        <w:jc w:val="both"/>
        <w:rPr>
          <w:lang w:val="vi-VN"/>
        </w:rPr>
      </w:pPr>
      <w:r w:rsidRPr="00E80F7B">
        <w:rPr>
          <w:lang w:val="vi-VN"/>
        </w:rPr>
        <w:t xml:space="preserve">Do căn cứ tính thuế thay đổi cơ bản so với Pháp lệnh thuế nhà, đất cũ nên việc quy định cụ thể về đăng ký kê khai, nộp thuế </w:t>
      </w:r>
      <w:r w:rsidR="00EA1BE0" w:rsidRPr="00E80F7B">
        <w:rPr>
          <w:lang w:val="vi-VN"/>
        </w:rPr>
        <w:t>đã t</w:t>
      </w:r>
      <w:r w:rsidR="0055756B" w:rsidRPr="00E80F7B">
        <w:rPr>
          <w:lang w:val="vi-VN"/>
        </w:rPr>
        <w:t>ạo điều kiện kê khai, tính thuế, đặc biệt đối với trường hợp người nộp thuế c</w:t>
      </w:r>
      <w:r w:rsidR="00B07D93" w:rsidRPr="00E80F7B">
        <w:rPr>
          <w:lang w:val="vi-VN"/>
        </w:rPr>
        <w:t xml:space="preserve">ó quyền sử dụng nhiều thửa đất. Theo quy định thì người có nhiều thửa đất ngoài việc đăng ký, kê khai, tính và nộp thuế đối với từng thửa đất có quyền sở hữu tại địa phương thì người nộp </w:t>
      </w:r>
      <w:r w:rsidR="00B07D93" w:rsidRPr="00E80F7B">
        <w:rPr>
          <w:lang w:val="vi-VN"/>
        </w:rPr>
        <w:lastRenderedPageBreak/>
        <w:t>thuế c</w:t>
      </w:r>
      <w:r w:rsidR="00695516" w:rsidRPr="00E80F7B">
        <w:rPr>
          <w:lang w:val="vi-VN"/>
        </w:rPr>
        <w:t xml:space="preserve">òn phải lập tờ khai tổng hợp </w:t>
      </w:r>
      <w:r w:rsidR="00B07D93" w:rsidRPr="00E80F7B">
        <w:rPr>
          <w:lang w:val="vi-VN"/>
        </w:rPr>
        <w:t>tất cả các thửa đất có quyền sử dụng tại nơi người nộp thuế lựa chọn để xác định hạn mức đất ở tính thuế. Sau khi trừ đi số thuế đã nộp tại các địa phương nơi cơ quyền sử dụng đất, phần chênh lệch còn lại sẽ được nộp tại địa phương nơi người nộp thuế đã lựa chọn. Quy định này trong thực tiễn đã</w:t>
      </w:r>
      <w:r w:rsidR="0055756B" w:rsidRPr="00E80F7B">
        <w:rPr>
          <w:lang w:val="vi-VN"/>
        </w:rPr>
        <w:t xml:space="preserve"> góp phần quản lý nhà nước về đất đai, hạn chế đầu cơ về đất.</w:t>
      </w:r>
      <w:r w:rsidR="00B07D93" w:rsidRPr="00E80F7B">
        <w:rPr>
          <w:lang w:val="vi-VN"/>
        </w:rPr>
        <w:t xml:space="preserve"> </w:t>
      </w:r>
    </w:p>
    <w:p w:rsidR="00EC6D60" w:rsidRPr="00E80F7B" w:rsidRDefault="003A01D1" w:rsidP="00443E97">
      <w:pPr>
        <w:spacing w:before="120" w:after="120"/>
        <w:ind w:firstLine="720"/>
        <w:jc w:val="both"/>
        <w:rPr>
          <w:i/>
          <w:lang w:val="nl-NL"/>
        </w:rPr>
      </w:pPr>
      <w:r w:rsidRPr="00E80F7B">
        <w:rPr>
          <w:i/>
          <w:lang w:val="nl-NL"/>
        </w:rPr>
        <w:t>b</w:t>
      </w:r>
      <w:r w:rsidR="00AE22D6" w:rsidRPr="00E80F7B">
        <w:rPr>
          <w:i/>
          <w:lang w:val="nl-NL"/>
        </w:rPr>
        <w:t>)</w:t>
      </w:r>
      <w:r w:rsidR="00EC6D60" w:rsidRPr="00E80F7B">
        <w:rPr>
          <w:i/>
          <w:lang w:val="nl-NL"/>
        </w:rPr>
        <w:t xml:space="preserve"> </w:t>
      </w:r>
      <w:r w:rsidR="00EC6D60" w:rsidRPr="00E80F7B">
        <w:rPr>
          <w:rFonts w:eastAsia="Arial"/>
          <w:i/>
          <w:lang w:val="nl-NL"/>
        </w:rPr>
        <w:t xml:space="preserve">Góp phần tăng cường quản lý nhà nước đối với đất đai, khuyến khích tổ chức, cá nhân sử dụng đất tiết kiệm, có hiệu quả, </w:t>
      </w:r>
      <w:r w:rsidR="00243EBA" w:rsidRPr="00E80F7B">
        <w:rPr>
          <w:rFonts w:eastAsia="Arial"/>
          <w:i/>
          <w:lang w:val="nl-NL"/>
        </w:rPr>
        <w:t xml:space="preserve">khuyến khích thị trường </w:t>
      </w:r>
      <w:r w:rsidR="003F1DB7" w:rsidRPr="00E80F7B">
        <w:rPr>
          <w:rFonts w:eastAsia="Arial"/>
          <w:i/>
          <w:lang w:val="nl-NL"/>
        </w:rPr>
        <w:t>BĐS</w:t>
      </w:r>
      <w:r w:rsidR="00243EBA" w:rsidRPr="00E80F7B">
        <w:rPr>
          <w:rFonts w:eastAsia="Arial"/>
          <w:i/>
          <w:lang w:val="nl-NL"/>
        </w:rPr>
        <w:t xml:space="preserve"> phát triển lành mạnh</w:t>
      </w:r>
    </w:p>
    <w:p w:rsidR="00EC6D60" w:rsidRPr="00E80F7B" w:rsidRDefault="00980E99" w:rsidP="00443E97">
      <w:pPr>
        <w:spacing w:before="120" w:after="120"/>
        <w:ind w:firstLine="720"/>
        <w:jc w:val="both"/>
        <w:rPr>
          <w:lang w:val="nl-NL"/>
        </w:rPr>
      </w:pPr>
      <w:r w:rsidRPr="00E80F7B">
        <w:rPr>
          <w:lang w:val="nl-NL"/>
        </w:rPr>
        <w:t xml:space="preserve">Do căn cứ tính thuế SDĐPNN đã </w:t>
      </w:r>
      <w:r w:rsidRPr="00E80F7B">
        <w:rPr>
          <w:rFonts w:eastAsia="Arial"/>
          <w:lang w:val="nl-NL"/>
        </w:rPr>
        <w:t xml:space="preserve">chuyển từ tính theo thuế SDĐNN (tính bằng thóc) sang tính thuế dựa trên </w:t>
      </w:r>
      <w:r w:rsidRPr="00E80F7B">
        <w:rPr>
          <w:lang w:val="nl-NL"/>
        </w:rPr>
        <w:t xml:space="preserve">giá trị (giá tính thuế và thuế suất) đòi hỏi phải thống kê lại việc sử dụng đất của tổ chức, cá </w:t>
      </w:r>
      <w:r w:rsidR="008F2708" w:rsidRPr="00E80F7B">
        <w:rPr>
          <w:lang w:val="nl-NL"/>
        </w:rPr>
        <w:t>nhân, hộ gia đình đang có quyền</w:t>
      </w:r>
      <w:r w:rsidRPr="00E80F7B">
        <w:rPr>
          <w:lang w:val="nl-NL"/>
        </w:rPr>
        <w:t xml:space="preserve"> sử dụng</w:t>
      </w:r>
      <w:r w:rsidR="008F2708" w:rsidRPr="00E80F7B">
        <w:rPr>
          <w:lang w:val="nl-NL"/>
        </w:rPr>
        <w:t xml:space="preserve"> đất</w:t>
      </w:r>
      <w:r w:rsidRPr="00E80F7B">
        <w:rPr>
          <w:lang w:val="nl-NL"/>
        </w:rPr>
        <w:t>. Qua đó, góp phần quản lý</w:t>
      </w:r>
      <w:r w:rsidR="008F2708" w:rsidRPr="00E80F7B">
        <w:rPr>
          <w:lang w:val="nl-NL"/>
        </w:rPr>
        <w:t xml:space="preserve"> sử dụng đất đai, điều tiết </w:t>
      </w:r>
      <w:r w:rsidRPr="00E80F7B">
        <w:rPr>
          <w:lang w:val="nl-NL"/>
        </w:rPr>
        <w:t>với người sử dụng nhiều đất</w:t>
      </w:r>
      <w:r w:rsidR="008F2708" w:rsidRPr="00E80F7B">
        <w:rPr>
          <w:lang w:val="nl-NL"/>
        </w:rPr>
        <w:t>,</w:t>
      </w:r>
      <w:r w:rsidRPr="00E80F7B">
        <w:rPr>
          <w:lang w:val="nl-NL"/>
        </w:rPr>
        <w:t xml:space="preserve"> góp phần chống đầu cơ cũng như khuyến khích sử dụng đất đai tiết kiệm</w:t>
      </w:r>
      <w:r w:rsidR="008F2708" w:rsidRPr="00E80F7B">
        <w:rPr>
          <w:lang w:val="nl-NL"/>
        </w:rPr>
        <w:t>, hiệu quả</w:t>
      </w:r>
      <w:r w:rsidRPr="00E80F7B">
        <w:rPr>
          <w:lang w:val="nl-NL"/>
        </w:rPr>
        <w:t>.</w:t>
      </w:r>
    </w:p>
    <w:p w:rsidR="003B03AD" w:rsidRPr="00E80F7B" w:rsidRDefault="003B03AD" w:rsidP="003B03AD">
      <w:pPr>
        <w:widowControl w:val="0"/>
        <w:spacing w:before="120" w:after="120"/>
        <w:ind w:firstLine="720"/>
        <w:jc w:val="both"/>
        <w:rPr>
          <w:bCs/>
          <w:lang w:val="nl-NL"/>
        </w:rPr>
      </w:pPr>
      <w:r w:rsidRPr="00E80F7B">
        <w:rPr>
          <w:bCs/>
          <w:lang w:val="sv-SE"/>
        </w:rPr>
        <w:t>Tại</w:t>
      </w:r>
      <w:r w:rsidRPr="00E80F7B">
        <w:rPr>
          <w:bCs/>
        </w:rPr>
        <w:t xml:space="preserve"> Luật Thuế SDĐPNN quy định mức thuế lũy tiến đối với đất ở (kể cả đất nền, đất xây dựng nhà biệt thự, nhà liền kề, nhà phân lô) để đánh thuế cao đối với trường hợp có nhiều đất ở như sau: 0,03% đối với phần diện tích trong hạn mức, 0,07% đối với phần diện tích vượt không quá 3 lần hạn mức và 0,15% đối với phần diện tích vượt trên 3 lần hạn mức. Trường hợp có nhiều thửa đất ở trong phạm vi tỉnh, thành phố trực thuộc trung ương th</w:t>
      </w:r>
      <w:r w:rsidRPr="00E80F7B">
        <w:rPr>
          <w:bCs/>
          <w:lang w:val="sv-SE"/>
        </w:rPr>
        <w:t>ì ph</w:t>
      </w:r>
      <w:r w:rsidRPr="00E80F7B">
        <w:rPr>
          <w:bCs/>
        </w:rPr>
        <w:t xml:space="preserve">ải cộng tổng diện tích các thửa đất ở chịu thuế để xác định theo biểu thuế lũy tiến từng phần đối với phần diện tích đất vượt hạn mức. Quy định nêu trên đã góp phần tăng cường quản lý nhà nước về đất đai, khuyến khích tổ chức, cá nhân sử dụng đất tiết kiệm, có hiệu quả, góp phần hạn chế đầu cơ về đất, khuyến khích phát triển thị trường BĐS minh bạch, bền vững. </w:t>
      </w:r>
    </w:p>
    <w:p w:rsidR="00EC6D60" w:rsidRPr="00E80F7B" w:rsidRDefault="00980E99" w:rsidP="00443E97">
      <w:pPr>
        <w:spacing w:before="120" w:after="120"/>
        <w:ind w:firstLine="720"/>
        <w:jc w:val="both"/>
        <w:rPr>
          <w:lang w:val="nl-NL"/>
        </w:rPr>
      </w:pPr>
      <w:r w:rsidRPr="00E80F7B">
        <w:rPr>
          <w:lang w:val="nl-NL"/>
        </w:rPr>
        <w:t>Ngoài ra, việc thực hiện Luật cũng nâng cao hơn trách nhiệm của các cơ quan nhà nước trong việc hoàn thiện hệ thống văn bản quy phạm pháp luật về đất đai</w:t>
      </w:r>
      <w:r w:rsidR="005A7E28" w:rsidRPr="00E80F7B">
        <w:rPr>
          <w:lang w:val="nl-NL"/>
        </w:rPr>
        <w:t>, nâng cao trách nhiệm của cơ quan quản lý thuế trong việc nâng cấp dữ liệu về đất đai để nắm bắt các thông tin về đất, theo dõi tình hình dịch chuyển về nhà, đất thuộc diện đăng ký nhằm phục vụ cho yêu cầu quản lý thu thuế SDĐPNN.</w:t>
      </w:r>
    </w:p>
    <w:p w:rsidR="00EC6D60" w:rsidRPr="00E80F7B" w:rsidRDefault="003A01D1" w:rsidP="00443E97">
      <w:pPr>
        <w:spacing w:before="120" w:after="120"/>
        <w:ind w:firstLine="720"/>
        <w:jc w:val="both"/>
        <w:rPr>
          <w:i/>
          <w:lang w:val="nl-NL"/>
        </w:rPr>
      </w:pPr>
      <w:r w:rsidRPr="00E80F7B">
        <w:rPr>
          <w:rFonts w:eastAsia="Arial"/>
          <w:i/>
          <w:lang w:val="nl-NL"/>
        </w:rPr>
        <w:t>c</w:t>
      </w:r>
      <w:r w:rsidR="00AE22D6" w:rsidRPr="00E80F7B">
        <w:rPr>
          <w:rFonts w:eastAsia="Arial"/>
          <w:i/>
          <w:lang w:val="nl-NL"/>
        </w:rPr>
        <w:t>)</w:t>
      </w:r>
      <w:r w:rsidR="00EC6D60" w:rsidRPr="00E80F7B">
        <w:rPr>
          <w:rFonts w:eastAsia="Arial"/>
          <w:i/>
          <w:lang w:val="nl-NL"/>
        </w:rPr>
        <w:t xml:space="preserve"> </w:t>
      </w:r>
      <w:r w:rsidR="00EE7411" w:rsidRPr="00E80F7B">
        <w:rPr>
          <w:rFonts w:eastAsia="Arial"/>
          <w:i/>
          <w:lang w:val="nl-NL"/>
        </w:rPr>
        <w:t xml:space="preserve">Động viên sự đóng góp </w:t>
      </w:r>
      <w:r w:rsidR="00642E38" w:rsidRPr="00E80F7B">
        <w:rPr>
          <w:rFonts w:eastAsia="Arial"/>
          <w:i/>
          <w:lang w:val="nl-NL"/>
        </w:rPr>
        <w:t xml:space="preserve">của người sử dụng đất vào </w:t>
      </w:r>
      <w:r w:rsidR="002303A7" w:rsidRPr="00E80F7B">
        <w:rPr>
          <w:rFonts w:eastAsia="Arial"/>
          <w:i/>
          <w:lang w:val="nl-NL"/>
        </w:rPr>
        <w:t>NSNN</w:t>
      </w:r>
      <w:r w:rsidR="00642E38" w:rsidRPr="00E80F7B">
        <w:rPr>
          <w:rFonts w:eastAsia="Arial"/>
          <w:i/>
          <w:lang w:val="nl-NL"/>
        </w:rPr>
        <w:t>, g</w:t>
      </w:r>
      <w:r w:rsidR="00EC6D60" w:rsidRPr="00E80F7B">
        <w:rPr>
          <w:rFonts w:eastAsia="Arial"/>
          <w:i/>
          <w:lang w:val="nl-NL"/>
        </w:rPr>
        <w:t>óp phầ</w:t>
      </w:r>
      <w:r w:rsidR="00D723D7" w:rsidRPr="00E80F7B">
        <w:rPr>
          <w:rFonts w:eastAsia="Arial"/>
          <w:i/>
          <w:lang w:val="nl-NL"/>
        </w:rPr>
        <w:t>n tăng thu cho NSĐP</w:t>
      </w:r>
      <w:r w:rsidR="00642E38" w:rsidRPr="00E80F7B">
        <w:rPr>
          <w:rFonts w:eastAsia="Arial"/>
          <w:i/>
          <w:lang w:val="nl-NL"/>
        </w:rPr>
        <w:t xml:space="preserve"> để thực hiện các nhiệm vụ chi của địa phương</w:t>
      </w:r>
    </w:p>
    <w:p w:rsidR="000940EB" w:rsidRPr="00E80F7B" w:rsidRDefault="006119FD" w:rsidP="000940EB">
      <w:pPr>
        <w:spacing w:before="120" w:after="120"/>
        <w:ind w:firstLine="720"/>
        <w:jc w:val="both"/>
        <w:rPr>
          <w:lang w:val="nl-NL"/>
        </w:rPr>
      </w:pPr>
      <w:r w:rsidRPr="00E80F7B">
        <w:rPr>
          <w:lang w:val="nl-NL"/>
        </w:rPr>
        <w:t xml:space="preserve">Do được </w:t>
      </w:r>
      <w:r w:rsidR="00EC57D7" w:rsidRPr="00E80F7B">
        <w:rPr>
          <w:lang w:val="nl-NL"/>
        </w:rPr>
        <w:t>xây dựng</w:t>
      </w:r>
      <w:r w:rsidRPr="00E80F7B">
        <w:rPr>
          <w:lang w:val="nl-NL"/>
        </w:rPr>
        <w:t xml:space="preserve"> trên cơ sở của chính sách thuế nhà, đất trước đây nên mức thu thuế SDĐPNN không cao với mức thuế suất cơ bản là 0,03% và có điều tiết cao hơn đối với trường hợp sử dụng đất với diện tích lớn, trường hợp có quyền sử dụng nhiều thửa đất ở và trường hợp sử dụng đất không đúng mục đích, đất chưa sử dụng theo đúng quy định, đất lấn, chiếm, cụ thể: Thuế suất thuế SDĐPNN đối với đất ở áp dụng theo biểu thuế luỹ tiến từng phần (mức thuế suất là 0,03%, 0,07% và 0,15%); đối với đất sản xuất, kinh doanh phi nông nghiệp là 0,03%; đất sử dụng không đúng mục đích, đất chưa sử dụng theo đúng quy định là 0,15%; đất lấn, chiếm là 0,2%. Biểu thuế suất lũy tiến phản ánh mức độ điều tiết mạnh đối với việc sử dụng đất ngoài hạn mức.</w:t>
      </w:r>
    </w:p>
    <w:p w:rsidR="00443E97" w:rsidRPr="00E80F7B" w:rsidRDefault="00B224C9" w:rsidP="000940EB">
      <w:pPr>
        <w:spacing w:before="120" w:after="120"/>
        <w:ind w:firstLine="720"/>
        <w:jc w:val="both"/>
        <w:rPr>
          <w:lang w:val="nl-NL"/>
        </w:rPr>
      </w:pPr>
      <w:r w:rsidRPr="00E80F7B">
        <w:rPr>
          <w:lang w:val="nl-NL"/>
        </w:rPr>
        <w:lastRenderedPageBreak/>
        <w:t xml:space="preserve">Thuế </w:t>
      </w:r>
      <w:r w:rsidRPr="00E80F7B">
        <w:rPr>
          <w:rFonts w:eastAsia="Arial"/>
          <w:lang w:val="nl-NL"/>
        </w:rPr>
        <w:t>SDĐPNN có số thu bình quân khoả</w:t>
      </w:r>
      <w:r w:rsidR="006A5947" w:rsidRPr="00E80F7B">
        <w:rPr>
          <w:rFonts w:eastAsia="Arial"/>
          <w:lang w:val="nl-NL"/>
        </w:rPr>
        <w:t xml:space="preserve">ng </w:t>
      </w:r>
      <w:r w:rsidR="00262B63" w:rsidRPr="00E80F7B">
        <w:rPr>
          <w:rFonts w:eastAsia="Arial"/>
          <w:lang w:val="nl-NL"/>
        </w:rPr>
        <w:t>3</w:t>
      </w:r>
      <w:r w:rsidR="006A5947" w:rsidRPr="00E80F7B">
        <w:rPr>
          <w:rFonts w:eastAsia="Arial"/>
          <w:lang w:val="nl-NL"/>
        </w:rPr>
        <w:t>.</w:t>
      </w:r>
      <w:r w:rsidR="00262B63" w:rsidRPr="00E80F7B">
        <w:rPr>
          <w:rFonts w:eastAsia="Arial"/>
          <w:lang w:val="nl-NL"/>
        </w:rPr>
        <w:t>0</w:t>
      </w:r>
      <w:r w:rsidR="006A5947" w:rsidRPr="00E80F7B">
        <w:rPr>
          <w:rFonts w:eastAsia="Arial"/>
          <w:lang w:val="nl-NL"/>
        </w:rPr>
        <w:t xml:space="preserve">00 tỷ đồng </w:t>
      </w:r>
      <w:r w:rsidRPr="00E80F7B">
        <w:rPr>
          <w:rFonts w:eastAsia="Arial"/>
          <w:lang w:val="nl-NL"/>
        </w:rPr>
        <w:t>mỗi năm</w:t>
      </w:r>
      <w:r w:rsidR="00262B63" w:rsidRPr="00E80F7B">
        <w:rPr>
          <w:rFonts w:eastAsia="Arial"/>
          <w:lang w:val="nl-NL"/>
        </w:rPr>
        <w:t xml:space="preserve"> </w:t>
      </w:r>
      <w:r w:rsidRPr="00E80F7B">
        <w:rPr>
          <w:rFonts w:eastAsia="Arial"/>
          <w:lang w:val="nl-NL"/>
        </w:rPr>
        <w:t>và tốc độ</w:t>
      </w:r>
      <w:r w:rsidR="006A5947" w:rsidRPr="00E80F7B">
        <w:rPr>
          <w:rFonts w:eastAsia="Arial"/>
          <w:lang w:val="nl-NL"/>
        </w:rPr>
        <w:t xml:space="preserve"> tăng bình quân hàng năm 1</w:t>
      </w:r>
      <w:r w:rsidR="00AF2BC6" w:rsidRPr="00E80F7B">
        <w:rPr>
          <w:rFonts w:eastAsia="Arial"/>
          <w:lang w:val="nl-NL"/>
        </w:rPr>
        <w:t>3</w:t>
      </w:r>
      <w:r w:rsidR="006A5947" w:rsidRPr="00E80F7B">
        <w:rPr>
          <w:rFonts w:eastAsia="Arial"/>
          <w:lang w:val="nl-NL"/>
        </w:rPr>
        <w:t>,</w:t>
      </w:r>
      <w:r w:rsidR="00AF2BC6" w:rsidRPr="00E80F7B">
        <w:rPr>
          <w:rFonts w:eastAsia="Arial"/>
          <w:lang w:val="nl-NL"/>
        </w:rPr>
        <w:t>1</w:t>
      </w:r>
      <w:r w:rsidRPr="00E80F7B">
        <w:rPr>
          <w:rFonts w:eastAsia="Arial"/>
          <w:lang w:val="nl-NL"/>
        </w:rPr>
        <w:t>%</w:t>
      </w:r>
      <w:r w:rsidR="00AF2BC6" w:rsidRPr="00E80F7B">
        <w:rPr>
          <w:rFonts w:eastAsia="Arial"/>
          <w:lang w:val="nl-NL"/>
        </w:rPr>
        <w:t xml:space="preserve"> trong giai đoạn 2020-2025</w:t>
      </w:r>
      <w:r w:rsidRPr="00E80F7B">
        <w:rPr>
          <w:lang w:val="nl-NL"/>
        </w:rPr>
        <w:t xml:space="preserve">. </w:t>
      </w:r>
      <w:r w:rsidR="00EC6D60" w:rsidRPr="00E80F7B">
        <w:rPr>
          <w:lang w:val="nl-NL"/>
        </w:rPr>
        <w:t xml:space="preserve">Số thu thuế </w:t>
      </w:r>
      <w:r w:rsidR="00EC6D60" w:rsidRPr="00E80F7B">
        <w:rPr>
          <w:rFonts w:eastAsia="Arial"/>
          <w:lang w:val="nl-NL"/>
        </w:rPr>
        <w:t>SDĐPNN</w:t>
      </w:r>
      <w:r w:rsidR="00EC6D60" w:rsidRPr="00E80F7B">
        <w:rPr>
          <w:lang w:val="nl-NL"/>
        </w:rPr>
        <w:t xml:space="preserve"> trong những năm qua là nguồn thu ổn định, góp phần động viên đóng góp của người sử dụng đất vào NSNN, tạo nguồn thu cho NSĐP để thực hiện các nhiệm vụ chi của NSĐP.</w:t>
      </w:r>
      <w:r w:rsidR="00642E38" w:rsidRPr="00E80F7B">
        <w:rPr>
          <w:lang w:val="nl-NL"/>
        </w:rPr>
        <w:t xml:space="preserve"> </w:t>
      </w:r>
      <w:r w:rsidR="00AF2BC6" w:rsidRPr="00E80F7B">
        <w:rPr>
          <w:lang w:val="nl-NL"/>
        </w:rPr>
        <w:t>Số thu thuế SDĐPNN tuy</w:t>
      </w:r>
      <w:r w:rsidR="00642E38" w:rsidRPr="00E80F7B">
        <w:rPr>
          <w:lang w:val="nl-NL"/>
        </w:rPr>
        <w:t xml:space="preserve"> là số thu không lớn nhưng là nguồn thu ổn định, </w:t>
      </w:r>
      <w:r w:rsidR="00076590" w:rsidRPr="00E80F7B">
        <w:rPr>
          <w:lang w:val="nl-NL" w:eastAsia="vi-VN"/>
        </w:rPr>
        <w:t xml:space="preserve">tạo được nguồn thu thường xuyên, phục vụ tốt yêu cầu quản lý và điều tiết vĩ mô nền kinh tế, tăng thêm nguồn kinh phí giúp Nhà nước đầu tư vào lĩnh vực quản lý đất đai, từng bước thực hiện chính sách động viên công bằng giữa các tầng lớp dân cư, </w:t>
      </w:r>
      <w:r w:rsidR="00642E38" w:rsidRPr="00E80F7B">
        <w:rPr>
          <w:lang w:val="nl-NL"/>
        </w:rPr>
        <w:t>góp phần thực hiện các nhiệm vụ chi của địa phương.</w:t>
      </w:r>
      <w:r w:rsidR="00642E38" w:rsidRPr="00E80F7B">
        <w:rPr>
          <w:b/>
          <w:lang w:val="nl-NL"/>
        </w:rPr>
        <w:t xml:space="preserve">       </w:t>
      </w:r>
    </w:p>
    <w:p w:rsidR="00331940" w:rsidRPr="00E80F7B" w:rsidRDefault="00331940" w:rsidP="00234225">
      <w:pPr>
        <w:spacing w:before="120" w:after="120" w:line="288" w:lineRule="auto"/>
        <w:jc w:val="center"/>
        <w:rPr>
          <w:b/>
          <w:sz w:val="2"/>
          <w:lang w:val="nl-NL"/>
        </w:rPr>
      </w:pPr>
    </w:p>
    <w:p w:rsidR="00312DF5" w:rsidRPr="00E80F7B" w:rsidRDefault="00CC2E70" w:rsidP="00312DF5">
      <w:pPr>
        <w:spacing w:before="120" w:after="120" w:line="288" w:lineRule="auto"/>
        <w:jc w:val="center"/>
        <w:rPr>
          <w:b/>
          <w:lang w:val="nl-NL"/>
        </w:rPr>
      </w:pPr>
      <w:r w:rsidRPr="00E80F7B">
        <w:rPr>
          <w:b/>
          <w:lang w:val="nl-NL"/>
        </w:rPr>
        <w:t>Biểu 3</w:t>
      </w:r>
      <w:r w:rsidR="00312DF5" w:rsidRPr="00E80F7B">
        <w:rPr>
          <w:b/>
          <w:lang w:val="nl-NL"/>
        </w:rPr>
        <w:t>. Số thu thuế SDĐPNN giai đoạn 202</w:t>
      </w:r>
      <w:r w:rsidR="00D25F9C" w:rsidRPr="00E80F7B">
        <w:rPr>
          <w:b/>
          <w:lang w:val="nl-NL"/>
        </w:rPr>
        <w:t>0</w:t>
      </w:r>
      <w:r w:rsidR="00312DF5" w:rsidRPr="00E80F7B">
        <w:rPr>
          <w:b/>
          <w:lang w:val="nl-NL"/>
        </w:rPr>
        <w:t>-2025</w:t>
      </w:r>
    </w:p>
    <w:p w:rsidR="00312DF5" w:rsidRPr="00E80F7B" w:rsidRDefault="00312DF5" w:rsidP="00312DF5">
      <w:pPr>
        <w:spacing w:before="80" w:after="80"/>
        <w:ind w:firstLine="720"/>
        <w:jc w:val="right"/>
        <w:rPr>
          <w:rFonts w:eastAsia="Calibri"/>
          <w:i/>
          <w:sz w:val="2"/>
          <w:lang w:val="nl-NL"/>
        </w:rPr>
      </w:pPr>
    </w:p>
    <w:p w:rsidR="00312DF5" w:rsidRPr="00E80F7B" w:rsidRDefault="00312DF5" w:rsidP="00312DF5">
      <w:pPr>
        <w:spacing w:before="80" w:after="80"/>
        <w:ind w:firstLine="720"/>
        <w:jc w:val="right"/>
        <w:rPr>
          <w:rFonts w:eastAsia="Calibri"/>
          <w:i/>
          <w:lang w:val="nl-NL"/>
        </w:rPr>
      </w:pPr>
      <w:r w:rsidRPr="00E80F7B">
        <w:rPr>
          <w:rFonts w:eastAsia="Calibri"/>
          <w:i/>
          <w:lang w:val="nl-NL"/>
        </w:rPr>
        <w:t xml:space="preserve">Đơn vị tính: </w:t>
      </w:r>
      <w:r w:rsidR="000573F9" w:rsidRPr="00E80F7B">
        <w:rPr>
          <w:rFonts w:eastAsia="Calibri"/>
          <w:i/>
          <w:lang w:val="nl-NL"/>
        </w:rPr>
        <w:t xml:space="preserve">tỷ </w:t>
      </w:r>
      <w:r w:rsidRPr="00E80F7B">
        <w:rPr>
          <w:rFonts w:eastAsia="Calibri"/>
          <w:i/>
          <w:lang w:val="nl-NL"/>
        </w:rPr>
        <w:t>đồng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8"/>
        <w:gridCol w:w="1547"/>
        <w:gridCol w:w="1547"/>
        <w:gridCol w:w="1549"/>
        <w:gridCol w:w="1551"/>
        <w:gridCol w:w="1545"/>
      </w:tblGrid>
      <w:tr w:rsidR="00312DF5" w:rsidRPr="00E80F7B" w:rsidTr="00312DF5">
        <w:trPr>
          <w:trHeight w:val="513"/>
          <w:jc w:val="center"/>
        </w:trPr>
        <w:tc>
          <w:tcPr>
            <w:tcW w:w="5000" w:type="pct"/>
            <w:gridSpan w:val="6"/>
            <w:shd w:val="clear" w:color="auto" w:fill="auto"/>
            <w:noWrap/>
            <w:vAlign w:val="center"/>
          </w:tcPr>
          <w:p w:rsidR="00312DF5" w:rsidRPr="00E80F7B" w:rsidRDefault="00312DF5" w:rsidP="00312DF5">
            <w:pPr>
              <w:spacing w:before="80" w:after="80"/>
              <w:jc w:val="center"/>
              <w:rPr>
                <w:b/>
                <w:bCs/>
                <w:sz w:val="26"/>
                <w:szCs w:val="24"/>
                <w:lang w:val="nl-NL"/>
              </w:rPr>
            </w:pPr>
            <w:r w:rsidRPr="00E80F7B">
              <w:rPr>
                <w:b/>
                <w:bCs/>
                <w:sz w:val="26"/>
                <w:szCs w:val="24"/>
                <w:lang w:val="nl-NL"/>
              </w:rPr>
              <w:t>TỔNG SỐ THU THUẾ SDĐPNN (2020 – 2025)</w:t>
            </w:r>
          </w:p>
        </w:tc>
      </w:tr>
      <w:tr w:rsidR="00312DF5" w:rsidRPr="00E80F7B" w:rsidTr="00312DF5">
        <w:trPr>
          <w:trHeight w:val="300"/>
          <w:jc w:val="center"/>
        </w:trPr>
        <w:tc>
          <w:tcPr>
            <w:tcW w:w="833" w:type="pct"/>
            <w:noWrap/>
            <w:vAlign w:val="center"/>
            <w:hideMark/>
          </w:tcPr>
          <w:p w:rsidR="00312DF5" w:rsidRPr="00E80F7B" w:rsidRDefault="00312DF5" w:rsidP="00312DF5">
            <w:pPr>
              <w:spacing w:before="80" w:after="80"/>
              <w:jc w:val="center"/>
              <w:rPr>
                <w:b/>
                <w:bCs/>
                <w:sz w:val="26"/>
                <w:szCs w:val="24"/>
              </w:rPr>
            </w:pPr>
            <w:r w:rsidRPr="00E80F7B">
              <w:rPr>
                <w:b/>
                <w:bCs/>
                <w:sz w:val="26"/>
                <w:szCs w:val="24"/>
              </w:rPr>
              <w:t>Năm 2020</w:t>
            </w:r>
          </w:p>
        </w:tc>
        <w:tc>
          <w:tcPr>
            <w:tcW w:w="833" w:type="pct"/>
            <w:noWrap/>
            <w:vAlign w:val="center"/>
            <w:hideMark/>
          </w:tcPr>
          <w:p w:rsidR="00312DF5" w:rsidRPr="00E80F7B" w:rsidRDefault="00312DF5" w:rsidP="00312DF5">
            <w:pPr>
              <w:spacing w:before="80" w:after="80"/>
              <w:jc w:val="center"/>
              <w:rPr>
                <w:b/>
                <w:bCs/>
                <w:sz w:val="26"/>
                <w:szCs w:val="24"/>
              </w:rPr>
            </w:pPr>
            <w:r w:rsidRPr="00E80F7B">
              <w:rPr>
                <w:b/>
                <w:bCs/>
                <w:sz w:val="26"/>
                <w:szCs w:val="24"/>
              </w:rPr>
              <w:t>Năm 2021</w:t>
            </w:r>
          </w:p>
        </w:tc>
        <w:tc>
          <w:tcPr>
            <w:tcW w:w="833" w:type="pct"/>
            <w:noWrap/>
            <w:vAlign w:val="center"/>
            <w:hideMark/>
          </w:tcPr>
          <w:p w:rsidR="00312DF5" w:rsidRPr="00E80F7B" w:rsidRDefault="00312DF5" w:rsidP="00312DF5">
            <w:pPr>
              <w:spacing w:before="80" w:after="80"/>
              <w:jc w:val="center"/>
              <w:rPr>
                <w:b/>
                <w:bCs/>
                <w:sz w:val="26"/>
                <w:szCs w:val="24"/>
              </w:rPr>
            </w:pPr>
            <w:r w:rsidRPr="00E80F7B">
              <w:rPr>
                <w:b/>
                <w:bCs/>
                <w:sz w:val="26"/>
                <w:szCs w:val="24"/>
              </w:rPr>
              <w:t>Năm 2022</w:t>
            </w:r>
          </w:p>
        </w:tc>
        <w:tc>
          <w:tcPr>
            <w:tcW w:w="834" w:type="pct"/>
            <w:noWrap/>
            <w:vAlign w:val="center"/>
            <w:hideMark/>
          </w:tcPr>
          <w:p w:rsidR="00312DF5" w:rsidRPr="00E80F7B" w:rsidRDefault="00312DF5" w:rsidP="00312DF5">
            <w:pPr>
              <w:spacing w:before="80" w:after="80"/>
              <w:jc w:val="center"/>
              <w:rPr>
                <w:b/>
                <w:bCs/>
                <w:sz w:val="26"/>
                <w:szCs w:val="24"/>
              </w:rPr>
            </w:pPr>
            <w:r w:rsidRPr="00E80F7B">
              <w:rPr>
                <w:b/>
                <w:bCs/>
                <w:sz w:val="26"/>
                <w:szCs w:val="24"/>
              </w:rPr>
              <w:t>Năm 2023</w:t>
            </w:r>
          </w:p>
        </w:tc>
        <w:tc>
          <w:tcPr>
            <w:tcW w:w="835" w:type="pct"/>
            <w:noWrap/>
            <w:vAlign w:val="center"/>
            <w:hideMark/>
          </w:tcPr>
          <w:p w:rsidR="00312DF5" w:rsidRPr="00E80F7B" w:rsidRDefault="00312DF5" w:rsidP="00312DF5">
            <w:pPr>
              <w:spacing w:before="80" w:after="80"/>
              <w:jc w:val="center"/>
              <w:rPr>
                <w:b/>
                <w:bCs/>
                <w:sz w:val="26"/>
                <w:szCs w:val="24"/>
              </w:rPr>
            </w:pPr>
            <w:r w:rsidRPr="00E80F7B">
              <w:rPr>
                <w:b/>
                <w:bCs/>
                <w:sz w:val="26"/>
                <w:szCs w:val="24"/>
              </w:rPr>
              <w:t>Năm 2024</w:t>
            </w:r>
          </w:p>
        </w:tc>
        <w:tc>
          <w:tcPr>
            <w:tcW w:w="832" w:type="pct"/>
            <w:noWrap/>
            <w:vAlign w:val="center"/>
            <w:hideMark/>
          </w:tcPr>
          <w:p w:rsidR="00312DF5" w:rsidRPr="00E80F7B" w:rsidRDefault="00312DF5" w:rsidP="00312DF5">
            <w:pPr>
              <w:spacing w:before="80" w:after="80"/>
              <w:jc w:val="center"/>
              <w:rPr>
                <w:b/>
                <w:bCs/>
                <w:sz w:val="26"/>
                <w:szCs w:val="24"/>
              </w:rPr>
            </w:pPr>
            <w:r w:rsidRPr="00E80F7B">
              <w:rPr>
                <w:b/>
                <w:bCs/>
                <w:sz w:val="26"/>
                <w:szCs w:val="24"/>
              </w:rPr>
              <w:t>Năm 2025</w:t>
            </w:r>
          </w:p>
        </w:tc>
      </w:tr>
      <w:tr w:rsidR="00312DF5" w:rsidRPr="00E80F7B" w:rsidTr="00312DF5">
        <w:trPr>
          <w:trHeight w:val="465"/>
          <w:jc w:val="center"/>
        </w:trPr>
        <w:tc>
          <w:tcPr>
            <w:tcW w:w="833" w:type="pct"/>
            <w:noWrap/>
            <w:vAlign w:val="center"/>
            <w:hideMark/>
          </w:tcPr>
          <w:p w:rsidR="00312DF5" w:rsidRPr="00E80F7B" w:rsidRDefault="00312DF5" w:rsidP="000573F9">
            <w:pPr>
              <w:spacing w:before="80" w:after="80"/>
              <w:jc w:val="center"/>
              <w:rPr>
                <w:bCs/>
                <w:sz w:val="26"/>
                <w:szCs w:val="24"/>
              </w:rPr>
            </w:pPr>
            <w:r w:rsidRPr="00E80F7B">
              <w:rPr>
                <w:bCs/>
                <w:sz w:val="26"/>
                <w:szCs w:val="24"/>
              </w:rPr>
              <w:t>2.067</w:t>
            </w:r>
            <w:r w:rsidR="000573F9" w:rsidRPr="00E80F7B">
              <w:rPr>
                <w:bCs/>
                <w:sz w:val="26"/>
                <w:szCs w:val="24"/>
              </w:rPr>
              <w:t>,</w:t>
            </w:r>
            <w:r w:rsidRPr="00E80F7B">
              <w:rPr>
                <w:bCs/>
                <w:sz w:val="26"/>
                <w:szCs w:val="24"/>
              </w:rPr>
              <w:t>2</w:t>
            </w:r>
          </w:p>
        </w:tc>
        <w:tc>
          <w:tcPr>
            <w:tcW w:w="833" w:type="pct"/>
            <w:noWrap/>
            <w:vAlign w:val="center"/>
            <w:hideMark/>
          </w:tcPr>
          <w:p w:rsidR="00312DF5" w:rsidRPr="00E80F7B" w:rsidRDefault="00312DF5" w:rsidP="000573F9">
            <w:pPr>
              <w:spacing w:before="80" w:after="80"/>
              <w:jc w:val="center"/>
              <w:rPr>
                <w:bCs/>
                <w:sz w:val="26"/>
                <w:szCs w:val="24"/>
              </w:rPr>
            </w:pPr>
            <w:r w:rsidRPr="00E80F7B">
              <w:rPr>
                <w:bCs/>
                <w:sz w:val="26"/>
                <w:szCs w:val="24"/>
              </w:rPr>
              <w:t>2.024</w:t>
            </w:r>
            <w:r w:rsidR="000573F9" w:rsidRPr="00E80F7B">
              <w:rPr>
                <w:bCs/>
                <w:sz w:val="26"/>
                <w:szCs w:val="24"/>
              </w:rPr>
              <w:t>,5</w:t>
            </w:r>
          </w:p>
        </w:tc>
        <w:tc>
          <w:tcPr>
            <w:tcW w:w="833" w:type="pct"/>
            <w:noWrap/>
            <w:vAlign w:val="center"/>
            <w:hideMark/>
          </w:tcPr>
          <w:p w:rsidR="00312DF5" w:rsidRPr="00E80F7B" w:rsidRDefault="00312DF5" w:rsidP="000573F9">
            <w:pPr>
              <w:spacing w:before="80" w:after="80"/>
              <w:jc w:val="center"/>
              <w:rPr>
                <w:bCs/>
                <w:sz w:val="26"/>
                <w:szCs w:val="24"/>
              </w:rPr>
            </w:pPr>
            <w:r w:rsidRPr="00E80F7B">
              <w:rPr>
                <w:bCs/>
                <w:sz w:val="26"/>
                <w:szCs w:val="24"/>
              </w:rPr>
              <w:t>3.21</w:t>
            </w:r>
            <w:r w:rsidR="000573F9" w:rsidRPr="00E80F7B">
              <w:rPr>
                <w:bCs/>
                <w:sz w:val="26"/>
                <w:szCs w:val="24"/>
              </w:rPr>
              <w:t>8</w:t>
            </w:r>
            <w:r w:rsidRPr="00E80F7B">
              <w:rPr>
                <w:bCs/>
                <w:sz w:val="26"/>
                <w:szCs w:val="24"/>
              </w:rPr>
              <w:t>.</w:t>
            </w:r>
            <w:r w:rsidR="000573F9" w:rsidRPr="00E80F7B">
              <w:rPr>
                <w:bCs/>
                <w:sz w:val="26"/>
                <w:szCs w:val="24"/>
              </w:rPr>
              <w:t>0</w:t>
            </w:r>
          </w:p>
        </w:tc>
        <w:tc>
          <w:tcPr>
            <w:tcW w:w="834" w:type="pct"/>
            <w:noWrap/>
            <w:vAlign w:val="center"/>
            <w:hideMark/>
          </w:tcPr>
          <w:p w:rsidR="00312DF5" w:rsidRPr="00E80F7B" w:rsidRDefault="00312DF5" w:rsidP="000573F9">
            <w:pPr>
              <w:spacing w:before="80" w:after="80"/>
              <w:jc w:val="center"/>
              <w:rPr>
                <w:bCs/>
                <w:sz w:val="26"/>
                <w:szCs w:val="24"/>
              </w:rPr>
            </w:pPr>
            <w:r w:rsidRPr="00E80F7B">
              <w:rPr>
                <w:bCs/>
                <w:sz w:val="26"/>
                <w:szCs w:val="24"/>
              </w:rPr>
              <w:t>3.401</w:t>
            </w:r>
            <w:r w:rsidR="000573F9" w:rsidRPr="00E80F7B">
              <w:rPr>
                <w:bCs/>
                <w:sz w:val="26"/>
                <w:szCs w:val="24"/>
              </w:rPr>
              <w:t>,</w:t>
            </w:r>
            <w:r w:rsidRPr="00E80F7B">
              <w:rPr>
                <w:bCs/>
                <w:sz w:val="26"/>
                <w:szCs w:val="24"/>
              </w:rPr>
              <w:t>4</w:t>
            </w:r>
          </w:p>
        </w:tc>
        <w:tc>
          <w:tcPr>
            <w:tcW w:w="835" w:type="pct"/>
            <w:noWrap/>
            <w:vAlign w:val="center"/>
            <w:hideMark/>
          </w:tcPr>
          <w:p w:rsidR="00312DF5" w:rsidRPr="00E80F7B" w:rsidRDefault="00312DF5" w:rsidP="000573F9">
            <w:pPr>
              <w:spacing w:before="80" w:after="80"/>
              <w:jc w:val="center"/>
              <w:rPr>
                <w:bCs/>
                <w:sz w:val="26"/>
                <w:szCs w:val="24"/>
              </w:rPr>
            </w:pPr>
            <w:r w:rsidRPr="00E80F7B">
              <w:rPr>
                <w:bCs/>
                <w:sz w:val="26"/>
                <w:szCs w:val="24"/>
              </w:rPr>
              <w:t>3.861</w:t>
            </w:r>
            <w:r w:rsidR="000573F9" w:rsidRPr="00E80F7B">
              <w:rPr>
                <w:bCs/>
                <w:sz w:val="26"/>
                <w:szCs w:val="24"/>
              </w:rPr>
              <w:t>,0</w:t>
            </w:r>
          </w:p>
        </w:tc>
        <w:tc>
          <w:tcPr>
            <w:tcW w:w="832" w:type="pct"/>
            <w:noWrap/>
            <w:vAlign w:val="center"/>
            <w:hideMark/>
          </w:tcPr>
          <w:p w:rsidR="00312DF5" w:rsidRPr="00E80F7B" w:rsidRDefault="00312DF5" w:rsidP="000573F9">
            <w:pPr>
              <w:spacing w:before="80" w:after="80"/>
              <w:jc w:val="center"/>
              <w:rPr>
                <w:bCs/>
                <w:sz w:val="26"/>
                <w:szCs w:val="24"/>
              </w:rPr>
            </w:pPr>
            <w:r w:rsidRPr="00E80F7B">
              <w:rPr>
                <w:bCs/>
                <w:sz w:val="26"/>
                <w:szCs w:val="24"/>
              </w:rPr>
              <w:t>3.906</w:t>
            </w:r>
            <w:r w:rsidR="000573F9" w:rsidRPr="00E80F7B">
              <w:rPr>
                <w:bCs/>
                <w:sz w:val="26"/>
                <w:szCs w:val="24"/>
              </w:rPr>
              <w:t>,7</w:t>
            </w:r>
          </w:p>
        </w:tc>
      </w:tr>
      <w:tr w:rsidR="00312DF5" w:rsidRPr="00E80F7B" w:rsidTr="00312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jc w:val="center"/>
        </w:trPr>
        <w:tc>
          <w:tcPr>
            <w:tcW w:w="5000" w:type="pct"/>
            <w:gridSpan w:val="6"/>
            <w:tcBorders>
              <w:top w:val="single" w:sz="4" w:space="0" w:color="auto"/>
              <w:left w:val="single" w:sz="4" w:space="0" w:color="auto"/>
              <w:bottom w:val="single" w:sz="4" w:space="0" w:color="auto"/>
              <w:right w:val="single" w:sz="4" w:space="0" w:color="auto"/>
            </w:tcBorders>
            <w:noWrap/>
            <w:vAlign w:val="center"/>
            <w:hideMark/>
          </w:tcPr>
          <w:p w:rsidR="00312DF5" w:rsidRPr="00E80F7B" w:rsidRDefault="00312DF5" w:rsidP="00312DF5">
            <w:pPr>
              <w:spacing w:before="80" w:after="80"/>
              <w:jc w:val="center"/>
              <w:rPr>
                <w:b/>
                <w:bCs/>
                <w:sz w:val="26"/>
                <w:szCs w:val="24"/>
              </w:rPr>
            </w:pPr>
            <w:r w:rsidRPr="00E80F7B">
              <w:rPr>
                <w:b/>
                <w:bCs/>
                <w:sz w:val="26"/>
                <w:szCs w:val="24"/>
              </w:rPr>
              <w:t>SO SÁNH CÙNG KỲ</w:t>
            </w:r>
          </w:p>
        </w:tc>
      </w:tr>
      <w:tr w:rsidR="00312DF5" w:rsidRPr="00E80F7B" w:rsidTr="00312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jc w:val="center"/>
        </w:trPr>
        <w:tc>
          <w:tcPr>
            <w:tcW w:w="833" w:type="pct"/>
            <w:tcBorders>
              <w:top w:val="single" w:sz="4" w:space="0" w:color="auto"/>
              <w:left w:val="single" w:sz="4" w:space="0" w:color="auto"/>
              <w:bottom w:val="single" w:sz="4" w:space="0" w:color="auto"/>
              <w:right w:val="single" w:sz="4" w:space="0" w:color="auto"/>
            </w:tcBorders>
            <w:noWrap/>
            <w:vAlign w:val="center"/>
            <w:hideMark/>
          </w:tcPr>
          <w:p w:rsidR="00312DF5" w:rsidRPr="00E80F7B" w:rsidRDefault="00312DF5" w:rsidP="00312DF5">
            <w:pPr>
              <w:spacing w:before="80" w:after="80"/>
              <w:jc w:val="center"/>
              <w:rPr>
                <w:b/>
                <w:bCs/>
                <w:sz w:val="26"/>
                <w:szCs w:val="24"/>
              </w:rPr>
            </w:pPr>
            <w:r w:rsidRPr="00E80F7B">
              <w:rPr>
                <w:b/>
                <w:bCs/>
                <w:sz w:val="26"/>
                <w:szCs w:val="24"/>
              </w:rPr>
              <w:t>Năm 2020</w:t>
            </w:r>
          </w:p>
        </w:tc>
        <w:tc>
          <w:tcPr>
            <w:tcW w:w="833" w:type="pct"/>
            <w:tcBorders>
              <w:top w:val="single" w:sz="4" w:space="0" w:color="auto"/>
              <w:left w:val="nil"/>
              <w:bottom w:val="single" w:sz="4" w:space="0" w:color="auto"/>
              <w:right w:val="single" w:sz="4" w:space="0" w:color="auto"/>
            </w:tcBorders>
            <w:noWrap/>
            <w:vAlign w:val="center"/>
            <w:hideMark/>
          </w:tcPr>
          <w:p w:rsidR="00312DF5" w:rsidRPr="00E80F7B" w:rsidRDefault="00312DF5" w:rsidP="00312DF5">
            <w:pPr>
              <w:spacing w:before="80" w:after="80"/>
              <w:jc w:val="center"/>
              <w:rPr>
                <w:b/>
                <w:bCs/>
                <w:sz w:val="26"/>
                <w:szCs w:val="24"/>
              </w:rPr>
            </w:pPr>
            <w:r w:rsidRPr="00E80F7B">
              <w:rPr>
                <w:b/>
                <w:bCs/>
                <w:sz w:val="26"/>
                <w:szCs w:val="24"/>
              </w:rPr>
              <w:t>Năm 2021</w:t>
            </w:r>
          </w:p>
        </w:tc>
        <w:tc>
          <w:tcPr>
            <w:tcW w:w="833" w:type="pct"/>
            <w:tcBorders>
              <w:top w:val="single" w:sz="4" w:space="0" w:color="auto"/>
              <w:left w:val="nil"/>
              <w:bottom w:val="single" w:sz="4" w:space="0" w:color="auto"/>
              <w:right w:val="single" w:sz="4" w:space="0" w:color="auto"/>
            </w:tcBorders>
            <w:noWrap/>
            <w:vAlign w:val="center"/>
            <w:hideMark/>
          </w:tcPr>
          <w:p w:rsidR="00312DF5" w:rsidRPr="00E80F7B" w:rsidRDefault="00312DF5" w:rsidP="00312DF5">
            <w:pPr>
              <w:spacing w:before="80" w:after="80"/>
              <w:jc w:val="center"/>
              <w:rPr>
                <w:b/>
                <w:bCs/>
                <w:sz w:val="26"/>
                <w:szCs w:val="24"/>
              </w:rPr>
            </w:pPr>
            <w:r w:rsidRPr="00E80F7B">
              <w:rPr>
                <w:b/>
                <w:bCs/>
                <w:sz w:val="26"/>
                <w:szCs w:val="24"/>
              </w:rPr>
              <w:t>Năm 2022</w:t>
            </w:r>
          </w:p>
        </w:tc>
        <w:tc>
          <w:tcPr>
            <w:tcW w:w="834" w:type="pct"/>
            <w:tcBorders>
              <w:top w:val="single" w:sz="4" w:space="0" w:color="auto"/>
              <w:left w:val="nil"/>
              <w:bottom w:val="single" w:sz="4" w:space="0" w:color="auto"/>
              <w:right w:val="single" w:sz="4" w:space="0" w:color="auto"/>
            </w:tcBorders>
            <w:noWrap/>
            <w:vAlign w:val="center"/>
            <w:hideMark/>
          </w:tcPr>
          <w:p w:rsidR="00312DF5" w:rsidRPr="00E80F7B" w:rsidRDefault="00312DF5" w:rsidP="00312DF5">
            <w:pPr>
              <w:spacing w:before="80" w:after="80"/>
              <w:jc w:val="center"/>
              <w:rPr>
                <w:b/>
                <w:bCs/>
                <w:sz w:val="26"/>
                <w:szCs w:val="24"/>
              </w:rPr>
            </w:pPr>
            <w:r w:rsidRPr="00E80F7B">
              <w:rPr>
                <w:b/>
                <w:bCs/>
                <w:sz w:val="26"/>
                <w:szCs w:val="24"/>
              </w:rPr>
              <w:t>Năm 2023</w:t>
            </w:r>
          </w:p>
        </w:tc>
        <w:tc>
          <w:tcPr>
            <w:tcW w:w="835" w:type="pct"/>
            <w:tcBorders>
              <w:top w:val="single" w:sz="4" w:space="0" w:color="auto"/>
              <w:left w:val="nil"/>
              <w:bottom w:val="single" w:sz="4" w:space="0" w:color="auto"/>
              <w:right w:val="single" w:sz="4" w:space="0" w:color="auto"/>
            </w:tcBorders>
            <w:noWrap/>
            <w:vAlign w:val="center"/>
            <w:hideMark/>
          </w:tcPr>
          <w:p w:rsidR="00312DF5" w:rsidRPr="00E80F7B" w:rsidRDefault="00312DF5" w:rsidP="00312DF5">
            <w:pPr>
              <w:spacing w:before="80" w:after="80"/>
              <w:jc w:val="center"/>
              <w:rPr>
                <w:b/>
                <w:bCs/>
                <w:sz w:val="26"/>
                <w:szCs w:val="24"/>
              </w:rPr>
            </w:pPr>
            <w:r w:rsidRPr="00E80F7B">
              <w:rPr>
                <w:b/>
                <w:bCs/>
                <w:sz w:val="26"/>
                <w:szCs w:val="24"/>
              </w:rPr>
              <w:t>Năm 2024</w:t>
            </w:r>
          </w:p>
        </w:tc>
        <w:tc>
          <w:tcPr>
            <w:tcW w:w="832" w:type="pct"/>
            <w:tcBorders>
              <w:top w:val="single" w:sz="4" w:space="0" w:color="auto"/>
              <w:left w:val="nil"/>
              <w:bottom w:val="single" w:sz="4" w:space="0" w:color="auto"/>
              <w:right w:val="single" w:sz="4" w:space="0" w:color="auto"/>
            </w:tcBorders>
            <w:noWrap/>
            <w:vAlign w:val="center"/>
            <w:hideMark/>
          </w:tcPr>
          <w:p w:rsidR="00312DF5" w:rsidRPr="00E80F7B" w:rsidRDefault="00312DF5" w:rsidP="00312DF5">
            <w:pPr>
              <w:spacing w:before="80" w:after="80"/>
              <w:jc w:val="center"/>
              <w:rPr>
                <w:b/>
                <w:bCs/>
                <w:sz w:val="26"/>
                <w:szCs w:val="24"/>
              </w:rPr>
            </w:pPr>
            <w:r w:rsidRPr="00E80F7B">
              <w:rPr>
                <w:b/>
                <w:bCs/>
                <w:sz w:val="26"/>
                <w:szCs w:val="24"/>
              </w:rPr>
              <w:t>Năm 2025</w:t>
            </w:r>
          </w:p>
        </w:tc>
      </w:tr>
      <w:tr w:rsidR="00312DF5" w:rsidRPr="00E80F7B" w:rsidTr="00312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jc w:val="center"/>
        </w:trPr>
        <w:tc>
          <w:tcPr>
            <w:tcW w:w="833" w:type="pct"/>
            <w:tcBorders>
              <w:top w:val="single" w:sz="4" w:space="0" w:color="auto"/>
              <w:left w:val="single" w:sz="4" w:space="0" w:color="auto"/>
              <w:bottom w:val="single" w:sz="4" w:space="0" w:color="auto"/>
              <w:right w:val="single" w:sz="4" w:space="0" w:color="auto"/>
            </w:tcBorders>
            <w:noWrap/>
            <w:vAlign w:val="center"/>
            <w:hideMark/>
          </w:tcPr>
          <w:p w:rsidR="00312DF5" w:rsidRPr="00E80F7B" w:rsidRDefault="00312DF5" w:rsidP="00312DF5">
            <w:pPr>
              <w:spacing w:before="80" w:after="80"/>
              <w:jc w:val="center"/>
              <w:rPr>
                <w:bCs/>
                <w:sz w:val="26"/>
                <w:szCs w:val="24"/>
              </w:rPr>
            </w:pPr>
            <w:r w:rsidRPr="00E80F7B">
              <w:rPr>
                <w:bCs/>
                <w:sz w:val="26"/>
                <w:szCs w:val="24"/>
              </w:rPr>
              <w:t>101,4 %</w:t>
            </w:r>
          </w:p>
        </w:tc>
        <w:tc>
          <w:tcPr>
            <w:tcW w:w="833" w:type="pct"/>
            <w:tcBorders>
              <w:top w:val="single" w:sz="4" w:space="0" w:color="auto"/>
              <w:left w:val="nil"/>
              <w:bottom w:val="single" w:sz="4" w:space="0" w:color="auto"/>
              <w:right w:val="single" w:sz="4" w:space="0" w:color="auto"/>
            </w:tcBorders>
            <w:noWrap/>
            <w:vAlign w:val="center"/>
            <w:hideMark/>
          </w:tcPr>
          <w:p w:rsidR="00312DF5" w:rsidRPr="00E80F7B" w:rsidRDefault="00312DF5" w:rsidP="00312DF5">
            <w:pPr>
              <w:spacing w:before="80" w:after="80"/>
              <w:jc w:val="center"/>
              <w:rPr>
                <w:bCs/>
                <w:sz w:val="26"/>
                <w:szCs w:val="24"/>
              </w:rPr>
            </w:pPr>
            <w:r w:rsidRPr="00E80F7B">
              <w:rPr>
                <w:bCs/>
                <w:sz w:val="26"/>
                <w:szCs w:val="24"/>
              </w:rPr>
              <w:t>97,9 %</w:t>
            </w:r>
          </w:p>
        </w:tc>
        <w:tc>
          <w:tcPr>
            <w:tcW w:w="833" w:type="pct"/>
            <w:tcBorders>
              <w:top w:val="single" w:sz="4" w:space="0" w:color="auto"/>
              <w:left w:val="nil"/>
              <w:bottom w:val="single" w:sz="4" w:space="0" w:color="auto"/>
              <w:right w:val="single" w:sz="4" w:space="0" w:color="auto"/>
            </w:tcBorders>
            <w:noWrap/>
            <w:vAlign w:val="center"/>
            <w:hideMark/>
          </w:tcPr>
          <w:p w:rsidR="00312DF5" w:rsidRPr="00E80F7B" w:rsidRDefault="00312DF5" w:rsidP="00312DF5">
            <w:pPr>
              <w:spacing w:before="80" w:after="80"/>
              <w:jc w:val="center"/>
              <w:rPr>
                <w:bCs/>
                <w:sz w:val="26"/>
                <w:szCs w:val="24"/>
              </w:rPr>
            </w:pPr>
            <w:r w:rsidRPr="00E80F7B">
              <w:rPr>
                <w:bCs/>
                <w:sz w:val="26"/>
                <w:szCs w:val="24"/>
              </w:rPr>
              <w:t>158,9 %</w:t>
            </w:r>
          </w:p>
        </w:tc>
        <w:tc>
          <w:tcPr>
            <w:tcW w:w="834" w:type="pct"/>
            <w:tcBorders>
              <w:top w:val="single" w:sz="4" w:space="0" w:color="auto"/>
              <w:left w:val="nil"/>
              <w:bottom w:val="single" w:sz="4" w:space="0" w:color="auto"/>
              <w:right w:val="single" w:sz="4" w:space="0" w:color="auto"/>
            </w:tcBorders>
            <w:noWrap/>
            <w:vAlign w:val="center"/>
            <w:hideMark/>
          </w:tcPr>
          <w:p w:rsidR="00312DF5" w:rsidRPr="00E80F7B" w:rsidRDefault="00312DF5" w:rsidP="00312DF5">
            <w:pPr>
              <w:spacing w:before="80" w:after="80"/>
              <w:jc w:val="center"/>
              <w:rPr>
                <w:bCs/>
                <w:sz w:val="26"/>
                <w:szCs w:val="24"/>
              </w:rPr>
            </w:pPr>
            <w:r w:rsidRPr="00E80F7B">
              <w:rPr>
                <w:bCs/>
                <w:sz w:val="26"/>
                <w:szCs w:val="24"/>
              </w:rPr>
              <w:t>105,7 %</w:t>
            </w:r>
          </w:p>
        </w:tc>
        <w:tc>
          <w:tcPr>
            <w:tcW w:w="835" w:type="pct"/>
            <w:tcBorders>
              <w:top w:val="single" w:sz="4" w:space="0" w:color="auto"/>
              <w:left w:val="nil"/>
              <w:bottom w:val="single" w:sz="4" w:space="0" w:color="auto"/>
              <w:right w:val="single" w:sz="4" w:space="0" w:color="auto"/>
            </w:tcBorders>
            <w:noWrap/>
            <w:vAlign w:val="center"/>
            <w:hideMark/>
          </w:tcPr>
          <w:p w:rsidR="00312DF5" w:rsidRPr="00E80F7B" w:rsidRDefault="00312DF5" w:rsidP="00312DF5">
            <w:pPr>
              <w:spacing w:before="80" w:after="80"/>
              <w:jc w:val="center"/>
              <w:rPr>
                <w:bCs/>
                <w:sz w:val="26"/>
                <w:szCs w:val="24"/>
              </w:rPr>
            </w:pPr>
            <w:r w:rsidRPr="00E80F7B">
              <w:rPr>
                <w:bCs/>
                <w:sz w:val="26"/>
                <w:szCs w:val="24"/>
              </w:rPr>
              <w:t>113,5 %</w:t>
            </w:r>
          </w:p>
        </w:tc>
        <w:tc>
          <w:tcPr>
            <w:tcW w:w="832" w:type="pct"/>
            <w:tcBorders>
              <w:top w:val="single" w:sz="4" w:space="0" w:color="auto"/>
              <w:left w:val="nil"/>
              <w:bottom w:val="single" w:sz="4" w:space="0" w:color="auto"/>
              <w:right w:val="single" w:sz="4" w:space="0" w:color="auto"/>
            </w:tcBorders>
            <w:noWrap/>
            <w:vAlign w:val="center"/>
            <w:hideMark/>
          </w:tcPr>
          <w:p w:rsidR="00312DF5" w:rsidRPr="00E80F7B" w:rsidRDefault="00312DF5" w:rsidP="00312DF5">
            <w:pPr>
              <w:spacing w:before="80" w:after="80"/>
              <w:jc w:val="center"/>
              <w:rPr>
                <w:bCs/>
                <w:sz w:val="26"/>
                <w:szCs w:val="24"/>
              </w:rPr>
            </w:pPr>
            <w:r w:rsidRPr="00E80F7B">
              <w:rPr>
                <w:bCs/>
                <w:sz w:val="26"/>
                <w:szCs w:val="24"/>
              </w:rPr>
              <w:t>101,2 %</w:t>
            </w:r>
          </w:p>
        </w:tc>
      </w:tr>
    </w:tbl>
    <w:p w:rsidR="00312DF5" w:rsidRPr="00E80F7B" w:rsidRDefault="00312DF5" w:rsidP="00F724C9">
      <w:pPr>
        <w:spacing w:before="80" w:after="80"/>
        <w:ind w:firstLine="720"/>
        <w:jc w:val="both"/>
        <w:rPr>
          <w:b/>
          <w:i/>
          <w:sz w:val="14"/>
          <w:lang w:val="nl-NL"/>
        </w:rPr>
      </w:pPr>
      <w:r w:rsidRPr="00E80F7B">
        <w:rPr>
          <w:rFonts w:eastAsia="Calibri"/>
          <w:i/>
        </w:rPr>
        <w:t>(Bảng chi tiết thống kê số thu thuế SDĐPNN theo từng địa phương tại phụ lục kèm theo)</w:t>
      </w:r>
    </w:p>
    <w:p w:rsidR="00CF5539" w:rsidRPr="00E80F7B" w:rsidRDefault="00CF5539" w:rsidP="00F724C9">
      <w:pPr>
        <w:spacing w:before="120" w:after="120"/>
        <w:ind w:firstLine="720"/>
        <w:rPr>
          <w:b/>
          <w:i/>
          <w:lang w:val="nl-NL"/>
        </w:rPr>
      </w:pPr>
      <w:r w:rsidRPr="00E80F7B">
        <w:rPr>
          <w:b/>
          <w:i/>
          <w:lang w:val="nl-NL"/>
        </w:rPr>
        <w:t>2.2. Một số tồn tại, hạn chế</w:t>
      </w:r>
    </w:p>
    <w:p w:rsidR="00B15510" w:rsidRPr="00E80F7B" w:rsidRDefault="00B15510" w:rsidP="00F724C9">
      <w:pPr>
        <w:widowControl w:val="0"/>
        <w:spacing w:before="120" w:after="120"/>
        <w:ind w:firstLine="720"/>
        <w:jc w:val="both"/>
        <w:rPr>
          <w:lang w:val="nb-NO"/>
        </w:rPr>
      </w:pPr>
      <w:r w:rsidRPr="00E80F7B">
        <w:rPr>
          <w:lang w:val="nb-NO"/>
        </w:rPr>
        <w:t xml:space="preserve">Bên cạnh những kết quả tích cực nêu trên, qua đánh giá tình hình thực hiện chính sách thuế SDĐPNN đã bộc lộ những hạn chế, </w:t>
      </w:r>
      <w:r w:rsidR="00EC57D7" w:rsidRPr="00E80F7B">
        <w:rPr>
          <w:lang w:val="nb-NO"/>
        </w:rPr>
        <w:t>bất cập</w:t>
      </w:r>
      <w:r w:rsidRPr="00E80F7B">
        <w:rPr>
          <w:lang w:val="nb-NO"/>
        </w:rPr>
        <w:t xml:space="preserve"> cụ thể như sau:</w:t>
      </w:r>
    </w:p>
    <w:p w:rsidR="00076590" w:rsidRPr="00E80F7B" w:rsidRDefault="003F04D9" w:rsidP="00F724C9">
      <w:pPr>
        <w:spacing w:before="120" w:after="120"/>
        <w:ind w:firstLine="720"/>
        <w:jc w:val="both"/>
        <w:rPr>
          <w:i/>
          <w:lang w:val="sv-SE"/>
        </w:rPr>
      </w:pPr>
      <w:r w:rsidRPr="00E80F7B">
        <w:rPr>
          <w:i/>
          <w:lang w:val="nl-NL"/>
        </w:rPr>
        <w:t>a)</w:t>
      </w:r>
      <w:r w:rsidR="00B15510" w:rsidRPr="00E80F7B">
        <w:rPr>
          <w:i/>
          <w:lang w:val="nl-NL"/>
        </w:rPr>
        <w:t xml:space="preserve"> </w:t>
      </w:r>
      <w:r w:rsidR="00B15510" w:rsidRPr="00E80F7B">
        <w:rPr>
          <w:i/>
          <w:lang w:val="sv-SE"/>
        </w:rPr>
        <w:t>Về đối tượng chịu thuế</w:t>
      </w:r>
      <w:r w:rsidR="00922F62" w:rsidRPr="00E80F7B">
        <w:rPr>
          <w:i/>
          <w:lang w:val="sv-SE"/>
        </w:rPr>
        <w:t xml:space="preserve"> và đối tượng không chịu thuế</w:t>
      </w:r>
    </w:p>
    <w:p w:rsidR="00D25F9C" w:rsidRPr="00E80F7B" w:rsidRDefault="00B15620" w:rsidP="00F724C9">
      <w:pPr>
        <w:widowControl w:val="0"/>
        <w:spacing w:before="120" w:after="120"/>
        <w:ind w:firstLine="720"/>
        <w:jc w:val="both"/>
        <w:rPr>
          <w:iCs/>
          <w:lang w:val="nl-NL"/>
        </w:rPr>
      </w:pPr>
      <w:r w:rsidRPr="00E80F7B">
        <w:rPr>
          <w:i/>
          <w:iCs/>
          <w:lang w:val="nl-NL"/>
        </w:rPr>
        <w:t>Thứ nhất,</w:t>
      </w:r>
      <w:r w:rsidRPr="00E80F7B">
        <w:rPr>
          <w:iCs/>
          <w:lang w:val="nl-NL"/>
        </w:rPr>
        <w:t xml:space="preserve"> về đối tượng chịu thuế và đối tượng không chịu thuế </w:t>
      </w:r>
    </w:p>
    <w:p w:rsidR="00B15620" w:rsidRPr="00E80F7B" w:rsidRDefault="00E771B7" w:rsidP="00F724C9">
      <w:pPr>
        <w:widowControl w:val="0"/>
        <w:spacing w:before="120" w:after="120"/>
        <w:ind w:firstLine="720"/>
        <w:jc w:val="both"/>
        <w:rPr>
          <w:iCs/>
          <w:lang w:val="nl-NL"/>
        </w:rPr>
      </w:pPr>
      <w:r w:rsidRPr="00E80F7B">
        <w:rPr>
          <w:iCs/>
          <w:lang w:val="nl-NL"/>
        </w:rPr>
        <w:t>-</w:t>
      </w:r>
      <w:r w:rsidR="00B15620" w:rsidRPr="00E80F7B">
        <w:rPr>
          <w:iCs/>
          <w:lang w:val="nl-NL"/>
        </w:rPr>
        <w:t xml:space="preserve"> Đối tượng chịu thuế SDĐPNN</w:t>
      </w:r>
      <w:r w:rsidR="00EB3E81" w:rsidRPr="00E80F7B">
        <w:rPr>
          <w:iCs/>
          <w:lang w:val="nl-NL"/>
        </w:rPr>
        <w:t>,</w:t>
      </w:r>
      <w:r w:rsidR="00B15620" w:rsidRPr="00E80F7B">
        <w:rPr>
          <w:iCs/>
          <w:lang w:val="nl-NL"/>
        </w:rPr>
        <w:t xml:space="preserve"> bao gồm</w:t>
      </w:r>
      <w:r w:rsidR="0036745D" w:rsidRPr="00E80F7B">
        <w:rPr>
          <w:iCs/>
          <w:lang w:val="nl-NL"/>
        </w:rPr>
        <w:t>:</w:t>
      </w:r>
      <w:r w:rsidR="00B15620" w:rsidRPr="00E80F7B">
        <w:rPr>
          <w:iCs/>
          <w:lang w:val="nl-NL"/>
        </w:rPr>
        <w:t xml:space="preserve"> (i) Đất ở tại nông thôn, đất ở tại đô thị; (ii) Đất sản xuất, kinh doanh phi nông nghiệp</w:t>
      </w:r>
      <w:r w:rsidR="00EB3E81" w:rsidRPr="00E80F7B">
        <w:rPr>
          <w:iCs/>
          <w:lang w:val="nl-NL"/>
        </w:rPr>
        <w:t>,</w:t>
      </w:r>
      <w:r w:rsidR="00B15620" w:rsidRPr="00E80F7B">
        <w:rPr>
          <w:iCs/>
          <w:lang w:val="nl-NL"/>
        </w:rPr>
        <w:t xml:space="preserve"> bao gồm: đất xây dựng khu công nghiệp; đất làm mặt bằng xây dựng cơ sở sản xuất, kinh doanh; đất khai thác, chế biến khoáng sản; đất sản xuất vật liệu xây dựng, làm đồ gốm; (iii) Đất phi nông nghiệp thuộc đối tượng không chịu thuế nhưng sử dụng vào mục đích kinh doanh. </w:t>
      </w:r>
    </w:p>
    <w:p w:rsidR="00B15620" w:rsidRPr="00E80F7B" w:rsidRDefault="00E771B7" w:rsidP="00F724C9">
      <w:pPr>
        <w:widowControl w:val="0"/>
        <w:spacing w:before="120" w:after="120"/>
        <w:ind w:firstLine="720"/>
        <w:jc w:val="both"/>
        <w:rPr>
          <w:iCs/>
          <w:lang w:val="nl-NL"/>
        </w:rPr>
      </w:pPr>
      <w:r w:rsidRPr="00E80F7B">
        <w:rPr>
          <w:iCs/>
          <w:lang w:val="nl-NL"/>
        </w:rPr>
        <w:t>-</w:t>
      </w:r>
      <w:r w:rsidR="00B15620" w:rsidRPr="00E80F7B">
        <w:rPr>
          <w:iCs/>
          <w:lang w:val="nl-NL"/>
        </w:rPr>
        <w:t xml:space="preserve"> Đối tượng không chịu thuế SDĐPNN</w:t>
      </w:r>
      <w:r w:rsidR="00EB3E81" w:rsidRPr="00E80F7B">
        <w:rPr>
          <w:iCs/>
          <w:lang w:val="nl-NL"/>
        </w:rPr>
        <w:t>,</w:t>
      </w:r>
      <w:r w:rsidR="00B15620" w:rsidRPr="00E80F7B">
        <w:rPr>
          <w:iCs/>
          <w:lang w:val="nl-NL"/>
        </w:rPr>
        <w:t xml:space="preserve"> bao gồm: (i) Đất sử dụng vào mục đích công cộng</w:t>
      </w:r>
      <w:r w:rsidR="00EB3E81" w:rsidRPr="00E80F7B">
        <w:rPr>
          <w:iCs/>
          <w:lang w:val="nl-NL"/>
        </w:rPr>
        <w:t>,</w:t>
      </w:r>
      <w:r w:rsidR="00B15620" w:rsidRPr="00E80F7B">
        <w:rPr>
          <w:iCs/>
          <w:lang w:val="nl-NL"/>
        </w:rPr>
        <w:t xml:space="preserve"> bao gồm: đất giao thông, thủy lợi; đất xây dựng công trình văn hóa, y tế, giáo dục và đào tạo, thể dục thể thao phục vụ lợi ích công cộng; đất có di tích lịch sử - văn hóa, danh lam thắng cảnh; đất xây dựng công trình công cộng khác theo quy định của Chính phủ; (ii) Đất do cơ sở tôn giáo sử dụng; (iii) Đất làm nghĩa trang, nghĩa địa; (iv) Đất sông, ngòi, kênh, rạch, suối </w:t>
      </w:r>
      <w:r w:rsidR="00B15620" w:rsidRPr="00E80F7B">
        <w:rPr>
          <w:iCs/>
          <w:lang w:val="nl-NL"/>
        </w:rPr>
        <w:lastRenderedPageBreak/>
        <w:t>và mặt nước chuyên dùng; (v) Đất có công trình là đình, đền, miếu, am, từ đường, nhà thờ họ; (vi) Đất xây dựng trụ sở cơ quan, xây dựng công trình sự nghiệp, đất sử dụng v</w:t>
      </w:r>
      <w:r w:rsidR="00CE6FBD" w:rsidRPr="00E80F7B">
        <w:rPr>
          <w:iCs/>
          <w:lang w:val="nl-NL"/>
        </w:rPr>
        <w:t>ào mục đích quốc phòng, an ninh;</w:t>
      </w:r>
      <w:r w:rsidR="00B15620" w:rsidRPr="00E80F7B">
        <w:rPr>
          <w:iCs/>
          <w:lang w:val="nl-NL"/>
        </w:rPr>
        <w:t xml:space="preserve"> (vii) Đất phi nông nghiệp khác theo quy định của pháp luật.</w:t>
      </w:r>
    </w:p>
    <w:p w:rsidR="0059438F" w:rsidRPr="00E80F7B" w:rsidRDefault="0059438F" w:rsidP="00F724C9">
      <w:pPr>
        <w:widowControl w:val="0"/>
        <w:spacing w:before="120" w:after="120"/>
        <w:ind w:firstLine="567"/>
        <w:jc w:val="both"/>
      </w:pPr>
      <w:r w:rsidRPr="00E80F7B">
        <w:rPr>
          <w:iCs/>
          <w:lang w:val="nl-NL"/>
        </w:rPr>
        <w:t xml:space="preserve">Nhìn chung, qua rà soát, đánh giá cho thấy quy định về đối tượng chịu thuế tại Luật </w:t>
      </w:r>
      <w:r w:rsidR="003F1DB7" w:rsidRPr="00E80F7B">
        <w:rPr>
          <w:iCs/>
          <w:lang w:val="nl-NL"/>
        </w:rPr>
        <w:t>T</w:t>
      </w:r>
      <w:r w:rsidRPr="00E80F7B">
        <w:rPr>
          <w:iCs/>
          <w:lang w:val="nl-NL"/>
        </w:rPr>
        <w:t>huế SDĐPNN đã bao quát tương đối đầy đủ các loại đất theo quy định của pháp luật về đất đai tại thời điểm ban hành (Luật Đất đai năm 2003). Tuy nhiên, pháp luật về Luật đất đai năm 2024 đã có sự thay đổi, hoàn thiện theo thể chế kinh tế thị trường, trong đó có sửa đổi, bổ sung và hoàn thiện về phân loại đất. Qua rà soát thì cách phân loại đối tượng chịu thuế SDĐPNN còn chưa thống nhất với cách phân loại đất phi nông nghiệp theo quy định của Luật Đất đai năm 2024, cụ thể:</w:t>
      </w:r>
    </w:p>
    <w:p w:rsidR="0059438F" w:rsidRPr="00E80F7B" w:rsidRDefault="003F3711" w:rsidP="00F724C9">
      <w:pPr>
        <w:pStyle w:val="FootnoteText"/>
        <w:spacing w:before="120" w:after="120"/>
        <w:ind w:firstLine="720"/>
        <w:jc w:val="both"/>
        <w:rPr>
          <w:iCs/>
          <w:sz w:val="28"/>
          <w:szCs w:val="28"/>
          <w:lang w:val="nl-NL"/>
        </w:rPr>
      </w:pPr>
      <w:r w:rsidRPr="00E80F7B">
        <w:rPr>
          <w:sz w:val="28"/>
          <w:szCs w:val="28"/>
          <w:lang w:val="nl-NL"/>
        </w:rPr>
        <w:t>Tại Luật Đất đai năm 2024 quy định nhóm đất phi nông nghiệp theo mục đích sử dụng: (i) Đất ở, gồm đất ở tại nông thôn, đất ở tại đô thị; (ii) Đất xây dựng trụ sở cơ quan; (iii) Đất sử dụng vào mục đích quốc phòng, an ninh; (iv) Đất xây dựng công trình sự nghiệp; (v) Đất sản xuất, kinh doanh phi nông nghiệp; (vi) Đất sử dụng vào mục đích công cộng; (vii) Đất sử dụng cho hoạt động tôn giáo, tín ngưỡng; (viii) Đất nghĩa trang, nhà tang lễ, cơ sở hỏa táng, đất cơ sở lưu trữ tro cốt; (ix) Đất có mặt nước chuyên dùng; (x) Đất phi nông nghiệp khác.</w:t>
      </w:r>
      <w:r w:rsidR="0059438F" w:rsidRPr="00E80F7B">
        <w:rPr>
          <w:iCs/>
          <w:sz w:val="28"/>
          <w:szCs w:val="28"/>
          <w:lang w:val="nl-NL"/>
        </w:rPr>
        <w:t xml:space="preserve"> Theo đó, Luật Đất đai năm 2024 đã có sửa đổi về phân loại đất so với Luật Đất đai năm 2003 như sau:</w:t>
      </w:r>
    </w:p>
    <w:p w:rsidR="0059438F" w:rsidRPr="00E80F7B" w:rsidRDefault="0059438F" w:rsidP="00F724C9">
      <w:pPr>
        <w:pStyle w:val="FootnoteText"/>
        <w:spacing w:before="120" w:after="120"/>
        <w:ind w:firstLine="720"/>
        <w:jc w:val="both"/>
        <w:rPr>
          <w:iCs/>
          <w:sz w:val="28"/>
          <w:szCs w:val="28"/>
          <w:lang w:val="nl-NL"/>
        </w:rPr>
      </w:pPr>
      <w:r w:rsidRPr="00E80F7B">
        <w:rPr>
          <w:iCs/>
          <w:sz w:val="28"/>
          <w:szCs w:val="28"/>
          <w:lang w:val="nl-NL"/>
        </w:rPr>
        <w:t>- Đối với đất sản xuất kinh doanh phi nông nghiệp:</w:t>
      </w:r>
    </w:p>
    <w:p w:rsidR="003F3711" w:rsidRPr="00E80F7B" w:rsidRDefault="003F3711" w:rsidP="00F724C9">
      <w:pPr>
        <w:widowControl w:val="0"/>
        <w:pBdr>
          <w:top w:val="dotted" w:sz="4" w:space="0" w:color="FFFFFF"/>
          <w:left w:val="dotted" w:sz="4" w:space="0" w:color="FFFFFF"/>
          <w:bottom w:val="dotted" w:sz="4" w:space="4" w:color="FFFFFF"/>
          <w:right w:val="dotted" w:sz="4" w:space="0" w:color="FFFFFF"/>
        </w:pBdr>
        <w:spacing w:before="120" w:after="120"/>
        <w:ind w:firstLine="720"/>
        <w:jc w:val="both"/>
        <w:rPr>
          <w:rFonts w:eastAsiaTheme="minorHAnsi"/>
          <w:iCs/>
          <w:lang w:val="nl-NL"/>
        </w:rPr>
      </w:pPr>
      <w:r w:rsidRPr="00E80F7B">
        <w:rPr>
          <w:rFonts w:eastAsiaTheme="minorHAnsi"/>
          <w:iCs/>
          <w:lang w:val="nl-NL"/>
        </w:rPr>
        <w:t>+ Bổ sung “đất cụm công nghiệp”, “đất thương mại, dịch vụ”.</w:t>
      </w:r>
    </w:p>
    <w:p w:rsidR="003F3711" w:rsidRPr="00E80F7B" w:rsidRDefault="003F3711" w:rsidP="00F724C9">
      <w:pPr>
        <w:widowControl w:val="0"/>
        <w:pBdr>
          <w:top w:val="dotted" w:sz="4" w:space="0" w:color="FFFFFF"/>
          <w:left w:val="dotted" w:sz="4" w:space="0" w:color="FFFFFF"/>
          <w:bottom w:val="dotted" w:sz="4" w:space="4" w:color="FFFFFF"/>
          <w:right w:val="dotted" w:sz="4" w:space="0" w:color="FFFFFF"/>
        </w:pBdr>
        <w:spacing w:before="120" w:after="120"/>
        <w:ind w:firstLine="720"/>
        <w:jc w:val="both"/>
        <w:rPr>
          <w:rFonts w:eastAsiaTheme="minorHAnsi"/>
          <w:iCs/>
          <w:lang w:val="nl-NL"/>
        </w:rPr>
      </w:pPr>
      <w:r w:rsidRPr="00E80F7B">
        <w:rPr>
          <w:rFonts w:eastAsiaTheme="minorHAnsi"/>
          <w:iCs/>
          <w:lang w:val="nl-NL"/>
        </w:rPr>
        <w:t>+ Thay thế cụm từ “đất làm mặt bằng xây dựng cơ sở sản xuất, kinh doanh” thành “đất cơ sở sản xuất phi nông nghiệp”; thay thế cụm từ</w:t>
      </w:r>
      <w:r w:rsidRPr="00E80F7B">
        <w:rPr>
          <w:rFonts w:eastAsiaTheme="minorHAnsi"/>
          <w:b/>
          <w:i/>
          <w:iCs/>
          <w:lang w:val="nl-NL"/>
        </w:rPr>
        <w:t xml:space="preserve"> </w:t>
      </w:r>
      <w:r w:rsidRPr="00E80F7B">
        <w:rPr>
          <w:rFonts w:eastAsiaTheme="minorHAnsi"/>
          <w:iCs/>
          <w:lang w:val="nl-NL"/>
        </w:rPr>
        <w:t>“đất khai thác, chế biến khoáng sản” thành “đất sử dụng cho hoạt động khoáng sản”.</w:t>
      </w:r>
    </w:p>
    <w:p w:rsidR="003F3711" w:rsidRPr="00E80F7B" w:rsidRDefault="003F3711" w:rsidP="00F724C9">
      <w:pPr>
        <w:widowControl w:val="0"/>
        <w:pBdr>
          <w:top w:val="dotted" w:sz="4" w:space="0" w:color="FFFFFF"/>
          <w:left w:val="dotted" w:sz="4" w:space="0" w:color="FFFFFF"/>
          <w:bottom w:val="dotted" w:sz="4" w:space="4" w:color="FFFFFF"/>
          <w:right w:val="dotted" w:sz="4" w:space="0" w:color="FFFFFF"/>
        </w:pBdr>
        <w:spacing w:before="120" w:after="120"/>
        <w:ind w:firstLine="720"/>
        <w:jc w:val="both"/>
        <w:rPr>
          <w:rFonts w:eastAsiaTheme="minorHAnsi"/>
          <w:iCs/>
          <w:lang w:val="nl-NL"/>
        </w:rPr>
      </w:pPr>
      <w:r w:rsidRPr="00E80F7B">
        <w:rPr>
          <w:rFonts w:eastAsiaTheme="minorHAnsi"/>
          <w:iCs/>
          <w:lang w:val="nl-NL"/>
        </w:rPr>
        <w:t>+ Bỏ “đất sản xuất vật liệu xây dựng, làm đồ gốm”.</w:t>
      </w:r>
    </w:p>
    <w:p w:rsidR="003F3711" w:rsidRPr="00E80F7B" w:rsidRDefault="003F3711" w:rsidP="00F724C9">
      <w:pPr>
        <w:widowControl w:val="0"/>
        <w:pBdr>
          <w:top w:val="dotted" w:sz="4" w:space="0" w:color="FFFFFF"/>
          <w:left w:val="dotted" w:sz="4" w:space="0" w:color="FFFFFF"/>
          <w:bottom w:val="dotted" w:sz="4" w:space="4" w:color="FFFFFF"/>
          <w:right w:val="dotted" w:sz="4" w:space="0" w:color="FFFFFF"/>
        </w:pBdr>
        <w:spacing w:before="120" w:after="120"/>
        <w:ind w:firstLine="720"/>
        <w:jc w:val="both"/>
        <w:rPr>
          <w:rFonts w:eastAsiaTheme="minorHAnsi"/>
          <w:iCs/>
          <w:lang w:val="nl-NL"/>
        </w:rPr>
      </w:pPr>
      <w:r w:rsidRPr="00E80F7B">
        <w:rPr>
          <w:rFonts w:eastAsiaTheme="minorHAnsi"/>
          <w:iCs/>
          <w:lang w:val="nl-NL"/>
        </w:rPr>
        <w:t>- Thay thế cụm từ “đất giao thông” thành “đất công trình giao thông”; “đất thủy lợi” thành “đất công trình thủy lợi”; “đất do các tổ chức tôn giáo sử dụng” thành “đất tôn giáo”; “đất có công trình là đình, đền, miếu, am, từ đường, nhà thờ họ” thành “đất tín ngưỡng”; “đất làm nghĩa trang, nghĩa địa” thành “đất nghĩa trang, nhà tang lễ, cơ sở hỏa táng; đất cơ sở lưu trữ tro cốt”.</w:t>
      </w:r>
    </w:p>
    <w:p w:rsidR="003F3711" w:rsidRPr="00E80F7B" w:rsidRDefault="003F3711" w:rsidP="00F724C9">
      <w:pPr>
        <w:widowControl w:val="0"/>
        <w:pBdr>
          <w:top w:val="dotted" w:sz="4" w:space="0" w:color="FFFFFF"/>
          <w:left w:val="dotted" w:sz="4" w:space="0" w:color="FFFFFF"/>
          <w:bottom w:val="dotted" w:sz="4" w:space="4" w:color="FFFFFF"/>
          <w:right w:val="dotted" w:sz="4" w:space="0" w:color="FFFFFF"/>
        </w:pBdr>
        <w:spacing w:before="120" w:after="120"/>
        <w:ind w:firstLine="720"/>
        <w:jc w:val="both"/>
        <w:rPr>
          <w:rFonts w:eastAsiaTheme="minorHAnsi"/>
          <w:iCs/>
          <w:lang w:val="nl-NL"/>
        </w:rPr>
      </w:pPr>
      <w:r w:rsidRPr="00E80F7B">
        <w:rPr>
          <w:rFonts w:eastAsiaTheme="minorHAnsi"/>
          <w:iCs/>
          <w:lang w:val="nl-NL"/>
        </w:rPr>
        <w:t>- Bỏ “đất xây dựng các công trình văn hóa, y tế, giáo dục và đào tạo, thể dục thể thao phục vụ lợi ích công cộng”, “đất sông, ngòi, kênh, rạch, suối”.</w:t>
      </w:r>
    </w:p>
    <w:p w:rsidR="003F3711" w:rsidRPr="00E80F7B" w:rsidRDefault="003F3711" w:rsidP="00F724C9">
      <w:pPr>
        <w:widowControl w:val="0"/>
        <w:pBdr>
          <w:top w:val="dotted" w:sz="4" w:space="0" w:color="FFFFFF"/>
          <w:left w:val="dotted" w:sz="4" w:space="0" w:color="FFFFFF"/>
          <w:bottom w:val="dotted" w:sz="4" w:space="4" w:color="FFFFFF"/>
          <w:right w:val="dotted" w:sz="4" w:space="0" w:color="FFFFFF"/>
        </w:pBdr>
        <w:spacing w:before="120" w:after="120"/>
        <w:ind w:firstLine="720"/>
        <w:jc w:val="both"/>
        <w:rPr>
          <w:rFonts w:eastAsiaTheme="minorHAnsi"/>
          <w:iCs/>
          <w:lang w:val="nl-NL"/>
        </w:rPr>
      </w:pPr>
      <w:r w:rsidRPr="00E80F7B">
        <w:rPr>
          <w:rFonts w:eastAsiaTheme="minorHAnsi"/>
          <w:iCs/>
          <w:lang w:val="nl-NL"/>
        </w:rPr>
        <w:t xml:space="preserve">- Bổ sung “đất công trình cấp nước, thoát nước”; “đất công trình phòng, chống thiên tai”, “đất có di sản thiên nhiên”; “đất công trình xử lý chất thải; đất công trình năng lượng, chiếu sáng công cộng; đất công trình hạ tầng bưu chính, viễn thông, công nghệ thông tin; đất chợ dân sinh, chợ đầu mối; đất khu vui chơi, giải trí công cộng, sinh hoạt cộng đồng”; “Đất xây dựng công trình sự nghiệp bao gồm: đất xây dựng cơ sở văn hóa, xã hội, y tế, giáo dục và đào tạo, thể dục, thể thao, khoa học và công nghệ, môi trường, khí tượng thủy văn, ngoại </w:t>
      </w:r>
      <w:r w:rsidRPr="00E80F7B">
        <w:rPr>
          <w:rFonts w:eastAsiaTheme="minorHAnsi"/>
          <w:iCs/>
          <w:lang w:val="nl-NL"/>
        </w:rPr>
        <w:lastRenderedPageBreak/>
        <w:t>giao và công trình sự nghiệp khác</w:t>
      </w:r>
      <w:r w:rsidRPr="00E80F7B">
        <w:rPr>
          <w:iCs/>
          <w:lang w:val="nl-NL"/>
        </w:rPr>
        <w:t xml:space="preserve"> hoặc đất xây dựng trụ sở của đơn vị sự nghiệp công lập khác</w:t>
      </w:r>
      <w:r w:rsidRPr="00E80F7B">
        <w:rPr>
          <w:rFonts w:eastAsiaTheme="minorHAnsi"/>
          <w:iCs/>
          <w:lang w:val="nl-NL"/>
        </w:rPr>
        <w:t>”.</w:t>
      </w:r>
    </w:p>
    <w:p w:rsidR="003F3711" w:rsidRPr="00E80F7B" w:rsidRDefault="00B15620" w:rsidP="00F724C9">
      <w:pPr>
        <w:widowControl w:val="0"/>
        <w:pBdr>
          <w:top w:val="dotted" w:sz="4" w:space="0" w:color="FFFFFF"/>
          <w:left w:val="dotted" w:sz="4" w:space="0" w:color="FFFFFF"/>
          <w:bottom w:val="dotted" w:sz="4" w:space="4" w:color="FFFFFF"/>
          <w:right w:val="dotted" w:sz="4" w:space="0" w:color="FFFFFF"/>
        </w:pBdr>
        <w:spacing w:before="120" w:after="120"/>
        <w:ind w:firstLine="720"/>
        <w:jc w:val="both"/>
        <w:rPr>
          <w:iCs/>
          <w:lang w:val="nl-NL"/>
        </w:rPr>
      </w:pPr>
      <w:r w:rsidRPr="00E80F7B">
        <w:rPr>
          <w:iCs/>
          <w:lang w:val="nl-NL"/>
        </w:rPr>
        <w:t>Do đó, để phù hợp với pháp luật về đất đai hiện hành, cần thiết nghiên cứu sửa đổi, bổ sung đối tượng chịu thuế và đối tượng không chịu thuế đối với đất cho phù hợp.</w:t>
      </w:r>
    </w:p>
    <w:p w:rsidR="003F3711" w:rsidRPr="00E80F7B" w:rsidRDefault="003F04D9" w:rsidP="00F724C9">
      <w:pPr>
        <w:widowControl w:val="0"/>
        <w:pBdr>
          <w:top w:val="dotted" w:sz="4" w:space="0" w:color="FFFFFF"/>
          <w:left w:val="dotted" w:sz="4" w:space="0" w:color="FFFFFF"/>
          <w:bottom w:val="dotted" w:sz="4" w:space="4" w:color="FFFFFF"/>
          <w:right w:val="dotted" w:sz="4" w:space="0" w:color="FFFFFF"/>
        </w:pBdr>
        <w:spacing w:before="120" w:after="120"/>
        <w:ind w:firstLine="720"/>
        <w:jc w:val="both"/>
        <w:rPr>
          <w:i/>
          <w:lang w:val="nl-NL"/>
        </w:rPr>
      </w:pPr>
      <w:r w:rsidRPr="00E80F7B">
        <w:rPr>
          <w:i/>
          <w:lang w:val="nl-NL"/>
        </w:rPr>
        <w:t>b)</w:t>
      </w:r>
      <w:r w:rsidR="002C34F4" w:rsidRPr="00E80F7B">
        <w:rPr>
          <w:i/>
          <w:lang w:val="nl-NL"/>
        </w:rPr>
        <w:t xml:space="preserve"> </w:t>
      </w:r>
      <w:r w:rsidR="001B724C" w:rsidRPr="00E80F7B">
        <w:rPr>
          <w:i/>
          <w:lang w:val="nl-NL"/>
        </w:rPr>
        <w:t>Về thuế suất</w:t>
      </w:r>
    </w:p>
    <w:p w:rsidR="003F3711" w:rsidRPr="00E80F7B" w:rsidRDefault="00B15620" w:rsidP="00F724C9">
      <w:pPr>
        <w:widowControl w:val="0"/>
        <w:pBdr>
          <w:top w:val="dotted" w:sz="4" w:space="0" w:color="FFFFFF"/>
          <w:left w:val="dotted" w:sz="4" w:space="0" w:color="FFFFFF"/>
          <w:bottom w:val="dotted" w:sz="4" w:space="4" w:color="FFFFFF"/>
          <w:right w:val="dotted" w:sz="4" w:space="0" w:color="FFFFFF"/>
        </w:pBdr>
        <w:spacing w:before="120" w:after="120"/>
        <w:ind w:firstLine="720"/>
        <w:jc w:val="both"/>
        <w:rPr>
          <w:iCs/>
          <w:lang w:val="nl-NL"/>
        </w:rPr>
      </w:pPr>
      <w:r w:rsidRPr="00E80F7B">
        <w:rPr>
          <w:iCs/>
          <w:lang w:val="nl-NL"/>
        </w:rPr>
        <w:t xml:space="preserve">Kể từ ngày Luật </w:t>
      </w:r>
      <w:r w:rsidR="003F1DB7" w:rsidRPr="00E80F7B">
        <w:rPr>
          <w:iCs/>
          <w:lang w:val="nl-NL"/>
        </w:rPr>
        <w:t>T</w:t>
      </w:r>
      <w:r w:rsidRPr="00E80F7B">
        <w:rPr>
          <w:iCs/>
          <w:lang w:val="nl-NL"/>
        </w:rPr>
        <w:t xml:space="preserve">huế SDĐPNN có hiệu lực thi hành (01/01/2012), chính sách thuế đối với đất mặc dù đã có những thay đổi khá căn bản về phương pháp tính thuế nhưng số tiền thuế phải nộp theo Luật </w:t>
      </w:r>
      <w:r w:rsidR="003F1DB7" w:rsidRPr="00E80F7B">
        <w:rPr>
          <w:iCs/>
          <w:lang w:val="nl-NL"/>
        </w:rPr>
        <w:t>T</w:t>
      </w:r>
      <w:r w:rsidRPr="00E80F7B">
        <w:rPr>
          <w:iCs/>
          <w:lang w:val="nl-NL"/>
        </w:rPr>
        <w:t>huế SDĐPNN còn thấp, mức thuế suất chưa đủ lớn để điều tiết mạnh đối với người sở hữu nhiều đất đai, chưa thúc đẩy các tổ chức, cá nhân trong xã hội sử dụng đất tiết kiệm, có hiệu quả.</w:t>
      </w:r>
    </w:p>
    <w:p w:rsidR="003F3711" w:rsidRPr="00E80F7B" w:rsidRDefault="00E70D94" w:rsidP="00F724C9">
      <w:pPr>
        <w:widowControl w:val="0"/>
        <w:pBdr>
          <w:top w:val="dotted" w:sz="4" w:space="0" w:color="FFFFFF"/>
          <w:left w:val="dotted" w:sz="4" w:space="0" w:color="FFFFFF"/>
          <w:bottom w:val="dotted" w:sz="4" w:space="4" w:color="FFFFFF"/>
          <w:right w:val="dotted" w:sz="4" w:space="0" w:color="FFFFFF"/>
        </w:pBdr>
        <w:spacing w:before="120" w:after="120"/>
        <w:ind w:firstLine="720"/>
        <w:jc w:val="both"/>
        <w:rPr>
          <w:lang w:val="nl-NL"/>
        </w:rPr>
      </w:pPr>
      <w:r w:rsidRPr="00E80F7B">
        <w:rPr>
          <w:lang w:val="nl-NL"/>
        </w:rPr>
        <w:t xml:space="preserve">Thuế suất </w:t>
      </w:r>
      <w:r w:rsidR="00305C65" w:rsidRPr="00E80F7B">
        <w:rPr>
          <w:lang w:val="nl-NL"/>
        </w:rPr>
        <w:t>t</w:t>
      </w:r>
      <w:r w:rsidRPr="00E80F7B">
        <w:rPr>
          <w:lang w:val="nl-NL"/>
        </w:rPr>
        <w:t xml:space="preserve">huế </w:t>
      </w:r>
      <w:r w:rsidRPr="00E80F7B">
        <w:rPr>
          <w:rFonts w:eastAsia="Arial"/>
          <w:lang w:val="nl-NL"/>
        </w:rPr>
        <w:t>SDĐPNN</w:t>
      </w:r>
      <w:r w:rsidRPr="00E80F7B">
        <w:rPr>
          <w:lang w:val="nl-NL"/>
        </w:rPr>
        <w:t xml:space="preserve"> đối với đất ở áp dụng theo biểu thuế luỹ tiến từng phần (mức thuế suất là 0,03%, 0,07% và 0,15%); đối với đ</w:t>
      </w:r>
      <w:r w:rsidRPr="00E80F7B">
        <w:rPr>
          <w:lang w:val="vi-VN"/>
        </w:rPr>
        <w:t xml:space="preserve">ất sản xuất, </w:t>
      </w:r>
      <w:r w:rsidRPr="00E80F7B">
        <w:rPr>
          <w:bCs/>
          <w:lang w:val="vi-VN"/>
        </w:rPr>
        <w:t>kinh doanh</w:t>
      </w:r>
      <w:r w:rsidRPr="00E80F7B">
        <w:rPr>
          <w:lang w:val="vi-VN"/>
        </w:rPr>
        <w:t xml:space="preserve"> phi nông nghiệp là 0,03%; đất sử dụng không đúng mục đích, đất chưa sử dụng theo đúng quy định là 0,15%; đất lấn, chiếm là 0,2%.</w:t>
      </w:r>
      <w:r w:rsidRPr="00E80F7B">
        <w:rPr>
          <w:lang w:val="nl-NL"/>
        </w:rPr>
        <w:t xml:space="preserve"> </w:t>
      </w:r>
      <w:r w:rsidR="008C6521" w:rsidRPr="00E80F7B">
        <w:rPr>
          <w:lang w:val="nl-NL"/>
        </w:rPr>
        <w:t xml:space="preserve">Đánh giá tác động mức thuế suất hiện hành có thể thấy tỷ lệ huy động về thuế là rất thấp, so sánh số tiền phải nộp thấp hơn </w:t>
      </w:r>
      <w:r w:rsidR="00A1630A" w:rsidRPr="00E80F7B">
        <w:rPr>
          <w:lang w:val="nl-NL"/>
        </w:rPr>
        <w:t>P</w:t>
      </w:r>
      <w:r w:rsidR="008C6521" w:rsidRPr="00E80F7B">
        <w:rPr>
          <w:lang w:val="nl-NL"/>
        </w:rPr>
        <w:t>háp lệnh thuế nhà</w:t>
      </w:r>
      <w:r w:rsidR="009A4F09" w:rsidRPr="00E80F7B">
        <w:rPr>
          <w:lang w:val="nl-NL"/>
        </w:rPr>
        <w:t>,</w:t>
      </w:r>
      <w:r w:rsidR="008C6521" w:rsidRPr="00E80F7B">
        <w:rPr>
          <w:lang w:val="nl-NL"/>
        </w:rPr>
        <w:t xml:space="preserve"> đất, mức thuế suất chưa đủ lớn để điều tiết mạnh đối với người sở hữu nhiều đất đai, chưa thúc đẩy các tổ chức, cá nhân trong xã hội sử dụng đất tiết kiệm, có hiệu quả. Đặc biệt, </w:t>
      </w:r>
      <w:r w:rsidR="008C6521" w:rsidRPr="00E80F7B">
        <w:rPr>
          <w:shd w:val="clear" w:color="auto" w:fill="FFFFFF"/>
          <w:lang w:val="nl-NL"/>
        </w:rPr>
        <w:t xml:space="preserve">các mức thuế suất 0,07% và 0,15% tương ứng với diện tích đất vượt từ trên 1 lần đến 3 lần và trên 3 lần hạn mức sử dụng đất ở là thấp, </w:t>
      </w:r>
      <w:r w:rsidR="008C6521" w:rsidRPr="00E80F7B">
        <w:rPr>
          <w:lang w:val="nl-NL"/>
        </w:rPr>
        <w:t xml:space="preserve">chủ sử dụng đất không bị tác động nhiều từ thuế, đất không được sử dụng hết hiệu suất cho sản xuất, kinh doanh, thậm chí còn bị bỏ trống, gây lãng phí nguồn tài nguyên đất đai. </w:t>
      </w:r>
      <w:r w:rsidR="008C6521" w:rsidRPr="00E80F7B">
        <w:rPr>
          <w:shd w:val="clear" w:color="auto" w:fill="FFFFFF"/>
          <w:lang w:val="nl-NL"/>
        </w:rPr>
        <w:t>Nhiều nước trên thế giới có mức thu khá cao so với Việt Nam: Indonesia 0,5%; Chile từ 1% đến 2%; Mỹ từ 0,2%  đến  4%,  Đài  Loan  (Trung Quốc) từ 0,2% đến 6%…</w:t>
      </w:r>
      <w:r w:rsidR="00E84FEC" w:rsidRPr="00E80F7B">
        <w:rPr>
          <w:shd w:val="clear" w:color="auto" w:fill="FFFFFF"/>
          <w:lang w:val="nl-NL"/>
        </w:rPr>
        <w:t xml:space="preserve">Do mức thuế còn thấp nên quy mô thu thuế SDĐPNN chỉ khoảng </w:t>
      </w:r>
      <w:r w:rsidR="00FC7B34" w:rsidRPr="00E80F7B">
        <w:rPr>
          <w:shd w:val="clear" w:color="auto" w:fill="FFFFFF"/>
          <w:lang w:val="nl-NL"/>
        </w:rPr>
        <w:t>3</w:t>
      </w:r>
      <w:r w:rsidR="00E84FEC" w:rsidRPr="00E80F7B">
        <w:rPr>
          <w:shd w:val="clear" w:color="auto" w:fill="FFFFFF"/>
          <w:lang w:val="nl-NL"/>
        </w:rPr>
        <w:t>.</w:t>
      </w:r>
      <w:r w:rsidR="00FC7B34" w:rsidRPr="00E80F7B">
        <w:rPr>
          <w:shd w:val="clear" w:color="auto" w:fill="FFFFFF"/>
          <w:lang w:val="nl-NL"/>
        </w:rPr>
        <w:t>0</w:t>
      </w:r>
      <w:r w:rsidR="00E84FEC" w:rsidRPr="00E80F7B">
        <w:rPr>
          <w:shd w:val="clear" w:color="auto" w:fill="FFFFFF"/>
          <w:lang w:val="nl-NL"/>
        </w:rPr>
        <w:t>00 tỷ đồng/năm</w:t>
      </w:r>
      <w:r w:rsidR="00FC7B34" w:rsidRPr="00E80F7B">
        <w:rPr>
          <w:shd w:val="clear" w:color="auto" w:fill="FFFFFF"/>
          <w:lang w:val="nl-NL"/>
        </w:rPr>
        <w:t xml:space="preserve"> trong giai đoạn 2020-2025</w:t>
      </w:r>
      <w:r w:rsidR="00E84FEC" w:rsidRPr="00E80F7B">
        <w:rPr>
          <w:shd w:val="clear" w:color="auto" w:fill="FFFFFF"/>
          <w:lang w:val="nl-NL"/>
        </w:rPr>
        <w:t xml:space="preserve">, </w:t>
      </w:r>
      <w:r w:rsidR="00B15620" w:rsidRPr="00E80F7B">
        <w:rPr>
          <w:lang w:val="nl-NL"/>
        </w:rPr>
        <w:t>chưa tương xứng với tiềm năng, chưa đảm bảo góp phần tạo nguồn thu chính và bền vững cho NSĐP.</w:t>
      </w:r>
    </w:p>
    <w:p w:rsidR="003F3711" w:rsidRPr="00E80F7B" w:rsidRDefault="00C122E9" w:rsidP="00F724C9">
      <w:pPr>
        <w:widowControl w:val="0"/>
        <w:pBdr>
          <w:top w:val="dotted" w:sz="4" w:space="0" w:color="FFFFFF"/>
          <w:left w:val="dotted" w:sz="4" w:space="0" w:color="FFFFFF"/>
          <w:bottom w:val="dotted" w:sz="4" w:space="4" w:color="FFFFFF"/>
          <w:right w:val="dotted" w:sz="4" w:space="0" w:color="FFFFFF"/>
        </w:pBdr>
        <w:spacing w:before="120" w:after="120"/>
        <w:ind w:firstLine="720"/>
        <w:jc w:val="both"/>
        <w:rPr>
          <w:shd w:val="clear" w:color="auto" w:fill="FFFFFF"/>
          <w:lang w:val="nl-NL"/>
        </w:rPr>
      </w:pPr>
      <w:r w:rsidRPr="00E80F7B">
        <w:rPr>
          <w:shd w:val="clear" w:color="auto" w:fill="FFFFFF"/>
          <w:lang w:val="nl-NL"/>
        </w:rPr>
        <w:t xml:space="preserve">Ngoài ra, theo quy định của Luật </w:t>
      </w:r>
      <w:r w:rsidR="003F1DB7" w:rsidRPr="00E80F7B">
        <w:rPr>
          <w:shd w:val="clear" w:color="auto" w:fill="FFFFFF"/>
          <w:lang w:val="nl-NL"/>
        </w:rPr>
        <w:t>T</w:t>
      </w:r>
      <w:r w:rsidRPr="00E80F7B">
        <w:rPr>
          <w:shd w:val="clear" w:color="auto" w:fill="FFFFFF"/>
          <w:lang w:val="nl-NL"/>
        </w:rPr>
        <w:t xml:space="preserve">huế SDĐPNN thì mức thuế suất đối với đất ở được xác định theo biểu thuế lũy tiến từng phần theo hạn mức đất ở. </w:t>
      </w:r>
      <w:r w:rsidR="004D1416" w:rsidRPr="00E80F7B">
        <w:rPr>
          <w:shd w:val="clear" w:color="auto" w:fill="FFFFFF"/>
          <w:lang w:val="nl-NL"/>
        </w:rPr>
        <w:t>Qua đánh giá thực tiễn thực thi tại các địa phương cho thấy việc xác định thuế SDĐPNN áp dụng hạn mức đất ở còn gặp nhiều vướng mắc trong triển khai.</w:t>
      </w:r>
    </w:p>
    <w:p w:rsidR="003F3711" w:rsidRPr="00E80F7B" w:rsidRDefault="006467D5" w:rsidP="00F724C9">
      <w:pPr>
        <w:widowControl w:val="0"/>
        <w:pBdr>
          <w:top w:val="dotted" w:sz="4" w:space="0" w:color="FFFFFF"/>
          <w:left w:val="dotted" w:sz="4" w:space="0" w:color="FFFFFF"/>
          <w:bottom w:val="dotted" w:sz="4" w:space="4" w:color="FFFFFF"/>
          <w:right w:val="dotted" w:sz="4" w:space="0" w:color="FFFFFF"/>
        </w:pBdr>
        <w:spacing w:before="120" w:after="120"/>
        <w:ind w:firstLine="720"/>
        <w:jc w:val="both"/>
        <w:rPr>
          <w:shd w:val="clear" w:color="auto" w:fill="FFFFFF"/>
          <w:lang w:val="nl-NL"/>
        </w:rPr>
      </w:pPr>
      <w:r w:rsidRPr="00E80F7B">
        <w:rPr>
          <w:shd w:val="clear" w:color="auto" w:fill="FFFFFF"/>
          <w:lang w:val="nl-NL"/>
        </w:rPr>
        <w:t xml:space="preserve">Theo đó, </w:t>
      </w:r>
      <w:r w:rsidR="00635E4C" w:rsidRPr="00E80F7B">
        <w:rPr>
          <w:shd w:val="clear" w:color="auto" w:fill="FFFFFF"/>
          <w:lang w:val="nl-NL"/>
        </w:rPr>
        <w:t>có thể</w:t>
      </w:r>
      <w:r w:rsidRPr="00E80F7B">
        <w:rPr>
          <w:shd w:val="clear" w:color="auto" w:fill="FFFFFF"/>
          <w:lang w:val="nl-NL"/>
        </w:rPr>
        <w:t xml:space="preserve"> nghiên cứu điều chỉnh tăng mức thuế suất đối với đất ở cho phù hợp với điều kiện KT-XH hiện này và thông lệ quốc tế.</w:t>
      </w:r>
    </w:p>
    <w:p w:rsidR="003F3711" w:rsidRPr="00E80F7B" w:rsidRDefault="007B45B8" w:rsidP="00F724C9">
      <w:pPr>
        <w:widowControl w:val="0"/>
        <w:pBdr>
          <w:top w:val="dotted" w:sz="4" w:space="0" w:color="FFFFFF"/>
          <w:left w:val="dotted" w:sz="4" w:space="0" w:color="FFFFFF"/>
          <w:bottom w:val="dotted" w:sz="4" w:space="4" w:color="FFFFFF"/>
          <w:right w:val="dotted" w:sz="4" w:space="0" w:color="FFFFFF"/>
        </w:pBdr>
        <w:spacing w:before="120" w:after="120"/>
        <w:ind w:firstLine="720"/>
        <w:jc w:val="both"/>
        <w:rPr>
          <w:i/>
        </w:rPr>
      </w:pPr>
      <w:r w:rsidRPr="00E80F7B">
        <w:rPr>
          <w:i/>
        </w:rPr>
        <w:t>c</w:t>
      </w:r>
      <w:r w:rsidR="0036745D" w:rsidRPr="00E80F7B">
        <w:rPr>
          <w:i/>
        </w:rPr>
        <w:t>) Về miễn, giảm thuế</w:t>
      </w:r>
    </w:p>
    <w:p w:rsidR="003F3711" w:rsidRPr="00E80F7B" w:rsidRDefault="008C6521" w:rsidP="00F724C9">
      <w:pPr>
        <w:widowControl w:val="0"/>
        <w:pBdr>
          <w:top w:val="dotted" w:sz="4" w:space="0" w:color="FFFFFF"/>
          <w:left w:val="dotted" w:sz="4" w:space="0" w:color="FFFFFF"/>
          <w:bottom w:val="dotted" w:sz="4" w:space="4" w:color="FFFFFF"/>
          <w:right w:val="dotted" w:sz="4" w:space="0" w:color="FFFFFF"/>
        </w:pBdr>
        <w:spacing w:before="120" w:after="120"/>
        <w:ind w:firstLine="720"/>
        <w:jc w:val="both"/>
        <w:rPr>
          <w:lang w:val="nl-NL"/>
        </w:rPr>
      </w:pPr>
      <w:r w:rsidRPr="00E80F7B">
        <w:rPr>
          <w:bCs/>
          <w:lang w:val="nl-NL"/>
        </w:rPr>
        <w:t xml:space="preserve">Đánh giá thực thi chính sách miễn, giảm thuế SDĐPNN cho thấy </w:t>
      </w:r>
      <w:r w:rsidR="000E6236" w:rsidRPr="00E80F7B">
        <w:rPr>
          <w:lang w:val="nl-NL"/>
        </w:rPr>
        <w:t>c</w:t>
      </w:r>
      <w:r w:rsidRPr="00E80F7B">
        <w:rPr>
          <w:lang w:val="nl-NL"/>
        </w:rPr>
        <w:t xml:space="preserve">hính sách miễn, giảm thuế cơ bản đã phù hợp với tình hình thực tế tại địa phương; bao quát được đối tượng ưu đãi và thực hiện chính sách </w:t>
      </w:r>
      <w:r w:rsidR="00B43C59" w:rsidRPr="00E80F7B">
        <w:rPr>
          <w:lang w:val="nl-NL"/>
        </w:rPr>
        <w:t>đối với các đối tượng thuộc diện chính sách theo quy định của pháp luật hiện hành</w:t>
      </w:r>
      <w:r w:rsidRPr="00E80F7B">
        <w:rPr>
          <w:lang w:val="nl-NL"/>
        </w:rPr>
        <w:t xml:space="preserve">. Tuy nhiên, </w:t>
      </w:r>
      <w:r w:rsidR="006467D5" w:rsidRPr="00E80F7B">
        <w:rPr>
          <w:lang w:val="nl-NL"/>
        </w:rPr>
        <w:t>một số trường hợp miễn, giảm thuế cụ thể, c</w:t>
      </w:r>
      <w:r w:rsidR="005E0C6F" w:rsidRPr="00E80F7B">
        <w:rPr>
          <w:lang w:val="nl-NL"/>
        </w:rPr>
        <w:t>ần thiết có rà soát về đối tượng miễn</w:t>
      </w:r>
      <w:r w:rsidR="00A00D62" w:rsidRPr="00E80F7B">
        <w:rPr>
          <w:lang w:val="nl-NL"/>
        </w:rPr>
        <w:t>, giảm</w:t>
      </w:r>
      <w:r w:rsidR="005E0C6F" w:rsidRPr="00E80F7B">
        <w:rPr>
          <w:lang w:val="nl-NL"/>
        </w:rPr>
        <w:t xml:space="preserve"> thuế để đảm bảo phù hợp với pháp luật hiện hành, cụ thể:</w:t>
      </w:r>
    </w:p>
    <w:p w:rsidR="004B38F9" w:rsidRPr="00E80F7B" w:rsidRDefault="006467D5" w:rsidP="00F724C9">
      <w:pPr>
        <w:widowControl w:val="0"/>
        <w:pBdr>
          <w:top w:val="dotted" w:sz="4" w:space="0" w:color="FFFFFF"/>
          <w:left w:val="dotted" w:sz="4" w:space="0" w:color="FFFFFF"/>
          <w:bottom w:val="dotted" w:sz="4" w:space="4" w:color="FFFFFF"/>
          <w:right w:val="dotted" w:sz="4" w:space="0" w:color="FFFFFF"/>
        </w:pBdr>
        <w:spacing w:before="120" w:after="120"/>
        <w:ind w:firstLine="720"/>
        <w:jc w:val="both"/>
        <w:rPr>
          <w:lang w:val="nl-NL"/>
        </w:rPr>
      </w:pPr>
      <w:r w:rsidRPr="00E80F7B">
        <w:rPr>
          <w:lang w:val="nl-NL"/>
        </w:rPr>
        <w:lastRenderedPageBreak/>
        <w:t>-</w:t>
      </w:r>
      <w:r w:rsidR="005E0C6F" w:rsidRPr="00E80F7B">
        <w:rPr>
          <w:lang w:val="nl-NL"/>
        </w:rPr>
        <w:t xml:space="preserve"> Đối với đất của cơ sở thực hiện xã hội hóa: Tại Nghị định số 59/2014/NĐ-CP của Chính phủ quy định cụ thể 7 lĩnh vực xã hội hóa gồm có: </w:t>
      </w:r>
      <w:r w:rsidR="005E0C6F" w:rsidRPr="00E80F7B">
        <w:rPr>
          <w:shd w:val="clear" w:color="auto" w:fill="FFFFFF"/>
        </w:rPr>
        <w:t>Giáo dục - đào tạo, dạy nghề, y tế, văn hóa, thể dục thể thao, môi trường, giám định tư pháp</w:t>
      </w:r>
      <w:r w:rsidR="005E0C6F" w:rsidRPr="00E80F7B">
        <w:rPr>
          <w:lang w:val="nl-NL"/>
        </w:rPr>
        <w:t xml:space="preserve">. Do đó, </w:t>
      </w:r>
      <w:r w:rsidR="0045225D" w:rsidRPr="00E80F7B">
        <w:rPr>
          <w:lang w:val="nl-NL"/>
        </w:rPr>
        <w:t>có thể</w:t>
      </w:r>
      <w:r w:rsidR="005E0C6F" w:rsidRPr="00E80F7B">
        <w:rPr>
          <w:lang w:val="nl-NL"/>
        </w:rPr>
        <w:t xml:space="preserve"> nghiên cứu bổ sung miễn thuế đối với cơ sở thực hiện xã hội hóa trong lĩnh vực giám định tư pháp. </w:t>
      </w:r>
    </w:p>
    <w:p w:rsidR="0024613E" w:rsidRPr="00E80F7B" w:rsidRDefault="006467D5" w:rsidP="00F724C9">
      <w:pPr>
        <w:widowControl w:val="0"/>
        <w:pBdr>
          <w:top w:val="dotted" w:sz="4" w:space="0" w:color="FFFFFF"/>
          <w:left w:val="dotted" w:sz="4" w:space="0" w:color="FFFFFF"/>
          <w:bottom w:val="dotted" w:sz="4" w:space="4" w:color="FFFFFF"/>
          <w:right w:val="dotted" w:sz="4" w:space="0" w:color="FFFFFF"/>
        </w:pBdr>
        <w:spacing w:before="120" w:after="120"/>
        <w:ind w:firstLine="720"/>
        <w:jc w:val="both"/>
        <w:rPr>
          <w:i/>
          <w:lang w:val="nl-NL"/>
        </w:rPr>
      </w:pPr>
      <w:r w:rsidRPr="00E80F7B">
        <w:rPr>
          <w:lang w:val="nl-NL"/>
        </w:rPr>
        <w:t>-</w:t>
      </w:r>
      <w:r w:rsidR="005E0C6F" w:rsidRPr="00E80F7B">
        <w:rPr>
          <w:lang w:val="nl-NL"/>
        </w:rPr>
        <w:t xml:space="preserve"> Đối với đất xây dựng cơ sở nuôi dưỡng người già cô đơn, người khuyết tật, trẻ mồ côi: </w:t>
      </w:r>
      <w:r w:rsidR="00692996" w:rsidRPr="00E80F7B">
        <w:rPr>
          <w:lang w:val="nl-NL"/>
        </w:rPr>
        <w:t>Tại Nghị định số 103/2017/NĐ-CP ngày 12/9/2017 của Chính phủ quy định về thành lập, tổ chức, hoạt động, giải thể và quản lý các cơ sở trợ giúp xã hội đã có quy định về các loại hình cơ sở trợ giúp xã hội</w:t>
      </w:r>
      <w:r w:rsidR="00692996" w:rsidRPr="00E80F7B">
        <w:rPr>
          <w:rStyle w:val="FootnoteReference"/>
          <w:lang w:val="nl-NL"/>
        </w:rPr>
        <w:footnoteReference w:id="5"/>
      </w:r>
      <w:r w:rsidR="00692996" w:rsidRPr="00E80F7B">
        <w:rPr>
          <w:lang w:val="nl-NL"/>
        </w:rPr>
        <w:t xml:space="preserve">. Theo đó, có thể nghiên cứu sửa đổi theo hướng quy định chung nhóm đất xây dựng cho các cơ sở này là </w:t>
      </w:r>
      <w:r w:rsidR="00692996" w:rsidRPr="00E80F7B">
        <w:rPr>
          <w:i/>
          <w:lang w:val="nl-NL"/>
        </w:rPr>
        <w:t>“đất xây dựng cơ sở trợ giúp xã hội”.</w:t>
      </w:r>
    </w:p>
    <w:p w:rsidR="002C57DE" w:rsidRPr="00E80F7B" w:rsidRDefault="00F3471D" w:rsidP="00F724C9">
      <w:pPr>
        <w:widowControl w:val="0"/>
        <w:pBdr>
          <w:top w:val="dotted" w:sz="4" w:space="0" w:color="FFFFFF"/>
          <w:left w:val="dotted" w:sz="4" w:space="0" w:color="FFFFFF"/>
          <w:bottom w:val="dotted" w:sz="4" w:space="4" w:color="FFFFFF"/>
          <w:right w:val="dotted" w:sz="4" w:space="0" w:color="FFFFFF"/>
        </w:pBdr>
        <w:spacing w:before="120" w:after="120"/>
        <w:ind w:firstLine="720"/>
        <w:jc w:val="both"/>
        <w:rPr>
          <w:lang w:val="nl-NL"/>
        </w:rPr>
      </w:pPr>
      <w:r w:rsidRPr="00E80F7B">
        <w:rPr>
          <w:lang w:val="nl-NL"/>
        </w:rPr>
        <w:t xml:space="preserve">- Đối với đất của cơ sở giáo dục không đạt tiêu chí xã hội hóa: </w:t>
      </w:r>
    </w:p>
    <w:p w:rsidR="005732BA" w:rsidRPr="00E80F7B" w:rsidRDefault="00052298" w:rsidP="00F724C9">
      <w:pPr>
        <w:widowControl w:val="0"/>
        <w:pBdr>
          <w:top w:val="dotted" w:sz="4" w:space="0" w:color="FFFFFF"/>
          <w:left w:val="dotted" w:sz="4" w:space="0" w:color="FFFFFF"/>
          <w:bottom w:val="dotted" w:sz="4" w:space="4" w:color="FFFFFF"/>
          <w:right w:val="dotted" w:sz="4" w:space="0" w:color="FFFFFF"/>
        </w:pBdr>
        <w:spacing w:before="120" w:after="120"/>
        <w:ind w:firstLine="720"/>
        <w:jc w:val="both"/>
        <w:rPr>
          <w:lang w:val="nl-NL"/>
        </w:rPr>
      </w:pPr>
      <w:r w:rsidRPr="00E80F7B">
        <w:rPr>
          <w:lang w:val="nl-NL"/>
        </w:rPr>
        <w:t xml:space="preserve">Qua đánh giá tình hình thực hiện chính sách xã hội hóa trong lĩnh vực giáo dục và đào tạo cho thấy một số hạn chế, khó khăn như: </w:t>
      </w:r>
      <w:r w:rsidR="005732BA" w:rsidRPr="00E80F7B">
        <w:rPr>
          <w:lang w:val="nl-NL"/>
        </w:rPr>
        <w:t>(i) M</w:t>
      </w:r>
      <w:r w:rsidRPr="00E80F7B">
        <w:rPr>
          <w:lang w:val="nl-NL"/>
        </w:rPr>
        <w:t>ức độ xã hội hóa thường chỉ tập trung ở một số lĩnh vực, loại hình dễ đem lại lợi nhuận và tập trung ở các địa bàn có điều kiện KT-XH phát triển; chưa phát huy nhiều tác dụng ở các địa bàn khó khăn do yếu tố lợi nhuận của các doanh nghiệp tham gia đầu tư, chưa thu hút được các nhà đầu tư trong và ngoài nước xây dựng và phát triển giáo dục ngoài công lập ở vùng đồng bào dân tộc thiểu số và miền núi, địa bàn đặ</w:t>
      </w:r>
      <w:r w:rsidR="001417F6" w:rsidRPr="00E80F7B">
        <w:rPr>
          <w:lang w:val="nl-NL"/>
        </w:rPr>
        <w:t xml:space="preserve">c biệt khó khăn </w:t>
      </w:r>
      <w:r w:rsidR="005732BA" w:rsidRPr="00E80F7B">
        <w:rPr>
          <w:lang w:val="nl-NL"/>
        </w:rPr>
        <w:t xml:space="preserve">(ii) Cơ sở giáo dục mầm non ngoài công lập, đặc biệt là cơ sở giáo dục mầm non độc lập hoạt động không ổn định, </w:t>
      </w:r>
      <w:r w:rsidR="00DF3111" w:rsidRPr="00E80F7B">
        <w:rPr>
          <w:lang w:val="nl-NL"/>
        </w:rPr>
        <w:t>đi thuê nhà đất, không có tài sản đảm bảo để được thực hiện ưu đãi về tín dụng và tiếp nhận các hỗ trợ theo quy định.</w:t>
      </w:r>
      <w:r w:rsidR="001417F6" w:rsidRPr="00E80F7B">
        <w:rPr>
          <w:lang w:val="nl-NL"/>
        </w:rPr>
        <w:t xml:space="preserve"> Một trong các nguyên nhân của hạn chế là chính sách ưu đãi chưa đủ mạnh, thủ tục quy trình còn phức tạp, chưa thu hút sự tham gia của các nguồn lực vào xã hội hóa giáo dục.</w:t>
      </w:r>
    </w:p>
    <w:p w:rsidR="007349C8" w:rsidRPr="00E80F7B" w:rsidRDefault="0092384D" w:rsidP="00F724C9">
      <w:pPr>
        <w:widowControl w:val="0"/>
        <w:pBdr>
          <w:top w:val="dotted" w:sz="4" w:space="0" w:color="FFFFFF"/>
          <w:left w:val="dotted" w:sz="4" w:space="0" w:color="FFFFFF"/>
          <w:bottom w:val="dotted" w:sz="4" w:space="0" w:color="FFFFFF"/>
          <w:right w:val="dotted" w:sz="4" w:space="0" w:color="FFFFFF"/>
        </w:pBdr>
        <w:spacing w:before="120" w:after="120"/>
        <w:ind w:firstLine="720"/>
        <w:jc w:val="both"/>
        <w:rPr>
          <w:i/>
          <w:lang w:val="nl-NL"/>
        </w:rPr>
      </w:pPr>
      <w:r w:rsidRPr="00E80F7B">
        <w:t>Trong bối cảnh thế giới có những thay đổi sâu sắc, toàn diện, đặc biệt công nghệ số và trí tuệ nhân tạo đang tái định hình nền giáo dục trên phạm vi toàn cầu, mỗi quốc gia đều phải xác định lại tầm nhìn và chiến lược mới cho hệ thống giáo dục trong tương lai. Đất nước ta đang đứng trước vận hội lịch sử để phát triển bứt phá, yêu cầu xây dựng con người, xây dựng nguồn nhân lực đặt ra rất quan trọng và cấp bách, đòi hỏi phải đột phá phát triển giáo dục và đào tạo</w:t>
      </w:r>
      <w:r w:rsidR="00DE2809" w:rsidRPr="00E80F7B">
        <w:t xml:space="preserve">, Bộ Chính trị đã ban hành Nghị quyết số 71-NQ/TW tập trung vào </w:t>
      </w:r>
      <w:r w:rsidR="00DE2809" w:rsidRPr="00E80F7B">
        <w:rPr>
          <w:rStyle w:val="Strong"/>
          <w:b w:val="0"/>
        </w:rPr>
        <w:t>đột phá phát triển giáo dục và đào tạo</w:t>
      </w:r>
      <w:r w:rsidR="00DE2809" w:rsidRPr="00E80F7B">
        <w:t xml:space="preserve"> và đặt mục tiêu Việt Nam đứng vào nhóm 20 quốc gia hàng đầu về hệ thống giáo dục vào năm 2045.</w:t>
      </w:r>
      <w:r w:rsidR="007349C8" w:rsidRPr="00E80F7B">
        <w:t xml:space="preserve"> Theo đó, tại Nghị quyết số 71-NQ/TW </w:t>
      </w:r>
      <w:r w:rsidR="007349C8" w:rsidRPr="00E80F7B">
        <w:rPr>
          <w:lang w:val="nl-NL"/>
        </w:rPr>
        <w:t>nêu nhiệm vụ, giải pháp:</w:t>
      </w:r>
      <w:r w:rsidR="00930EA1" w:rsidRPr="00E80F7B">
        <w:rPr>
          <w:lang w:val="nl-NL"/>
        </w:rPr>
        <w:t xml:space="preserve"> </w:t>
      </w:r>
      <w:r w:rsidR="007349C8" w:rsidRPr="00E80F7B">
        <w:rPr>
          <w:i/>
          <w:lang w:val="nl-NL"/>
        </w:rPr>
        <w:t>“Đổi mới căn bản cơ chế, chính sách tài chính và đầu tư cho giáo dục, đào tạo”; “Xây dựng cơ chế, chính sách đủ mạnh khuyến khích tổ chức, doanh nghiệp đầu tư phát triển giáo dục, đào tạo”;</w:t>
      </w:r>
      <w:r w:rsidR="007349C8" w:rsidRPr="00E80F7B">
        <w:rPr>
          <w:lang w:val="nl-NL"/>
        </w:rPr>
        <w:t xml:space="preserve"> </w:t>
      </w:r>
      <w:r w:rsidR="007349C8" w:rsidRPr="00E80F7B">
        <w:rPr>
          <w:i/>
          <w:lang w:val="nl-NL"/>
        </w:rPr>
        <w:t xml:space="preserve">“Sửa </w:t>
      </w:r>
      <w:r w:rsidR="007349C8" w:rsidRPr="00E80F7B">
        <w:rPr>
          <w:i/>
          <w:lang w:val="nl-NL"/>
        </w:rPr>
        <w:lastRenderedPageBreak/>
        <w:t>đổi, bổ sung các văn bản quy phạm pháp luật có liên quan để bổ sung các quy định không thu tiền sử dụng đất, giảm tiền thuê đất, tiền thuế đất đối với các cơ sở giáo dục trong nước.</w:t>
      </w:r>
      <w:r w:rsidR="007349C8" w:rsidRPr="00E80F7B">
        <w:rPr>
          <w:rFonts w:ascii="Inter" w:hAnsi="Inter"/>
          <w:sz w:val="26"/>
          <w:szCs w:val="26"/>
        </w:rPr>
        <w:t xml:space="preserve"> </w:t>
      </w:r>
      <w:r w:rsidR="007349C8" w:rsidRPr="00E80F7B">
        <w:rPr>
          <w:i/>
          <w:lang w:val="nl-NL"/>
        </w:rPr>
        <w:t xml:space="preserve">Không áp dụng thuế TNDN đối với cơ sở giáo dục công lập, cơ sở giáo dục tư thục hoạt động không vì lợi nhuận”. </w:t>
      </w:r>
    </w:p>
    <w:p w:rsidR="002C57DE" w:rsidRPr="00E80F7B" w:rsidRDefault="007349C8" w:rsidP="00F724C9">
      <w:pPr>
        <w:widowControl w:val="0"/>
        <w:pBdr>
          <w:top w:val="dotted" w:sz="4" w:space="0" w:color="FFFFFF"/>
          <w:left w:val="dotted" w:sz="4" w:space="0" w:color="FFFFFF"/>
          <w:bottom w:val="dotted" w:sz="4" w:space="4" w:color="FFFFFF"/>
          <w:right w:val="dotted" w:sz="4" w:space="0" w:color="FFFFFF"/>
        </w:pBdr>
        <w:spacing w:before="120" w:after="120"/>
        <w:ind w:firstLine="720"/>
        <w:jc w:val="both"/>
      </w:pPr>
      <w:r w:rsidRPr="00E80F7B">
        <w:t xml:space="preserve">Thể chế hóa chủ trương về đột phá phát triển giáo dục đào tạo, cần thiết có nghiên cứu sửa đổi, bổ sung ưu đãi thuế đối với cơ sở giáo dục đào tạo nhằm thu hút nguồn lực đầu tư cho giáo dục, đáp ứng yêu cầu đào tạo nguồn nhân lực chất lượng cao, góp phần </w:t>
      </w:r>
      <w:r w:rsidR="00CE5B06" w:rsidRPr="00E80F7B">
        <w:t xml:space="preserve">nâng cao năng lực nội sinh quốc gia, là đột phá chiến lược để đất nước </w:t>
      </w:r>
      <w:r w:rsidRPr="00E80F7B">
        <w:t xml:space="preserve">phát triển bứt phá </w:t>
      </w:r>
      <w:r w:rsidR="00CE5B06" w:rsidRPr="00E80F7B">
        <w:t>và bền vững.</w:t>
      </w:r>
    </w:p>
    <w:p w:rsidR="0024613E" w:rsidRPr="00E80F7B" w:rsidRDefault="001549A1" w:rsidP="00F724C9">
      <w:pPr>
        <w:widowControl w:val="0"/>
        <w:pBdr>
          <w:top w:val="dotted" w:sz="4" w:space="0" w:color="FFFFFF"/>
          <w:left w:val="dotted" w:sz="4" w:space="0" w:color="FFFFFF"/>
          <w:bottom w:val="dotted" w:sz="4" w:space="4" w:color="FFFFFF"/>
          <w:right w:val="dotted" w:sz="4" w:space="0" w:color="FFFFFF"/>
        </w:pBdr>
        <w:spacing w:before="120" w:after="120"/>
        <w:ind w:firstLine="720"/>
        <w:jc w:val="both"/>
        <w:rPr>
          <w:i/>
          <w:lang w:val="nl-NL"/>
        </w:rPr>
      </w:pPr>
      <w:r w:rsidRPr="00E80F7B">
        <w:rPr>
          <w:i/>
          <w:lang w:val="nl-NL"/>
        </w:rPr>
        <w:t>d</w:t>
      </w:r>
      <w:r w:rsidR="006F708A" w:rsidRPr="00E80F7B">
        <w:rPr>
          <w:i/>
          <w:lang w:val="nl-NL"/>
        </w:rPr>
        <w:t xml:space="preserve">) Về </w:t>
      </w:r>
      <w:r w:rsidR="00684320" w:rsidRPr="00E80F7B">
        <w:rPr>
          <w:i/>
          <w:lang w:val="nl-NL"/>
        </w:rPr>
        <w:t xml:space="preserve">đăng ký, </w:t>
      </w:r>
      <w:r w:rsidR="006F708A" w:rsidRPr="00E80F7B">
        <w:rPr>
          <w:i/>
          <w:lang w:val="nl-NL"/>
        </w:rPr>
        <w:t>khai, nộp thuế</w:t>
      </w:r>
    </w:p>
    <w:p w:rsidR="0024613E" w:rsidRPr="00E80F7B" w:rsidRDefault="00F47283" w:rsidP="00F724C9">
      <w:pPr>
        <w:widowControl w:val="0"/>
        <w:pBdr>
          <w:top w:val="dotted" w:sz="4" w:space="0" w:color="FFFFFF"/>
          <w:left w:val="dotted" w:sz="4" w:space="0" w:color="FFFFFF"/>
          <w:bottom w:val="dotted" w:sz="4" w:space="4" w:color="FFFFFF"/>
          <w:right w:val="dotted" w:sz="4" w:space="0" w:color="FFFFFF"/>
        </w:pBdr>
        <w:spacing w:before="120" w:after="120"/>
        <w:ind w:firstLine="720"/>
        <w:jc w:val="both"/>
        <w:rPr>
          <w:lang w:val="nl-NL"/>
        </w:rPr>
      </w:pPr>
      <w:r w:rsidRPr="00E80F7B">
        <w:rPr>
          <w:shd w:val="clear" w:color="auto" w:fill="FFFFFF"/>
          <w:lang w:val="nl-NL"/>
        </w:rPr>
        <w:t xml:space="preserve">Do căn cứ tính thuế thay đổi cơ bản so với Pháp lệnh thuế nhà, đất nên trong thời gian đầu thực hiện chính sách thuế SDĐPNN còn gặp khó khăn, nhất là việc thực hiện kê khai, tính thuế của người nộp thuế và việc lập sổ bộ của cơ quan thuế. </w:t>
      </w:r>
      <w:r w:rsidR="003F04D9" w:rsidRPr="00E80F7B">
        <w:rPr>
          <w:shd w:val="clear" w:color="auto" w:fill="FFFFFF"/>
          <w:lang w:val="nl-NL"/>
        </w:rPr>
        <w:t xml:space="preserve">Trong trường hợp </w:t>
      </w:r>
      <w:r w:rsidRPr="00E80F7B">
        <w:rPr>
          <w:shd w:val="clear" w:color="auto" w:fill="FFFFFF"/>
          <w:lang w:val="nl-NL"/>
        </w:rPr>
        <w:t>người nộp thuế</w:t>
      </w:r>
      <w:r w:rsidR="003F04D9" w:rsidRPr="00E80F7B">
        <w:rPr>
          <w:shd w:val="clear" w:color="auto" w:fill="FFFFFF"/>
          <w:lang w:val="nl-NL"/>
        </w:rPr>
        <w:t xml:space="preserve"> có nhiều thửa đất phải kê khai tổng hợp </w:t>
      </w:r>
      <w:r w:rsidRPr="00E80F7B">
        <w:rPr>
          <w:shd w:val="clear" w:color="auto" w:fill="FFFFFF"/>
          <w:lang w:val="nl-NL"/>
        </w:rPr>
        <w:t xml:space="preserve">thì cách tính thuế được đánh giá là khá phức tạp. Thực tế triển khai tại các địa phương cho thấy, mặc dù đã được cơ quan thuế tuyên truyền, hướng dẫn nhưng người nộp thuế vẫn khá lúng túng trong việc kê khai tổng hợp, hiệu quả thu thuế </w:t>
      </w:r>
      <w:r w:rsidR="003F04D9" w:rsidRPr="00E80F7B">
        <w:rPr>
          <w:shd w:val="clear" w:color="auto" w:fill="FFFFFF"/>
          <w:lang w:val="nl-NL"/>
        </w:rPr>
        <w:t xml:space="preserve">chưa cao, số thuế </w:t>
      </w:r>
      <w:r w:rsidRPr="00E80F7B">
        <w:rPr>
          <w:shd w:val="clear" w:color="auto" w:fill="FFFFFF"/>
          <w:lang w:val="nl-NL"/>
        </w:rPr>
        <w:t>thu thêm phát sinh không nhiều.</w:t>
      </w:r>
      <w:r w:rsidRPr="00E80F7B">
        <w:rPr>
          <w:lang w:val="nl-NL"/>
        </w:rPr>
        <w:t xml:space="preserve"> </w:t>
      </w:r>
    </w:p>
    <w:p w:rsidR="00F012D0" w:rsidRPr="00E80F7B" w:rsidRDefault="008E4290" w:rsidP="00F724C9">
      <w:pPr>
        <w:widowControl w:val="0"/>
        <w:pBdr>
          <w:top w:val="dotted" w:sz="4" w:space="0" w:color="FFFFFF"/>
          <w:left w:val="dotted" w:sz="4" w:space="0" w:color="FFFFFF"/>
          <w:bottom w:val="dotted" w:sz="4" w:space="4" w:color="FFFFFF"/>
          <w:right w:val="dotted" w:sz="4" w:space="0" w:color="FFFFFF"/>
        </w:pBdr>
        <w:spacing w:before="120" w:after="120"/>
        <w:ind w:firstLine="720"/>
        <w:jc w:val="both"/>
        <w:rPr>
          <w:lang w:val="nl-NL"/>
        </w:rPr>
      </w:pPr>
      <w:r w:rsidRPr="00E80F7B">
        <w:rPr>
          <w:lang w:val="nl-NL"/>
        </w:rPr>
        <w:t xml:space="preserve">Ngoài ra, cần thiết sửa đổi các quy định về nơi đăng ký, khai, nộp thuế để đảm bảo đồng bộ với </w:t>
      </w:r>
      <w:r w:rsidR="00F724C9" w:rsidRPr="00E80F7B">
        <w:t>cho phù hợp với pháp luật quản lý thuế và chính quyền địa phương 02 cấp, đồng thời phù hợp</w:t>
      </w:r>
      <w:r w:rsidRPr="00E80F7B">
        <w:rPr>
          <w:lang w:val="nl-NL"/>
        </w:rPr>
        <w:t xml:space="preserve"> thời hạn quy định tại khoản 2 Điều 11 Nghị quyết số 190/2025/QH15 của Quốc hội.</w:t>
      </w:r>
      <w:r w:rsidR="00F012D0" w:rsidRPr="00E80F7B">
        <w:rPr>
          <w:lang w:val="nl-NL"/>
        </w:rPr>
        <w:t xml:space="preserve"> </w:t>
      </w:r>
    </w:p>
    <w:p w:rsidR="0024613E" w:rsidRPr="00E80F7B" w:rsidRDefault="00F012D0" w:rsidP="00F012D0">
      <w:pPr>
        <w:spacing w:before="100" w:after="100" w:line="257" w:lineRule="auto"/>
        <w:ind w:firstLine="720"/>
        <w:jc w:val="both"/>
        <w:rPr>
          <w:lang w:val="nl-NL"/>
        </w:rPr>
      </w:pPr>
      <w:r w:rsidRPr="00E80F7B">
        <w:rPr>
          <w:lang w:val="nl-NL"/>
        </w:rPr>
        <w:t xml:space="preserve">Để đơn giản hóa thủ tục hành chính trong kê khai, nộp thuế SDĐPNN, </w:t>
      </w:r>
      <w:r w:rsidRPr="00E80F7B">
        <w:rPr>
          <w:rFonts w:eastAsia="Calibri"/>
          <w:szCs w:val="22"/>
        </w:rPr>
        <w:t xml:space="preserve">tại dự thảo các VBQPPL hướng dẫn thi hành Luật Quản lý thuế số 108/2025/QH15 (dự kiến có hiệu lực thi hành từ ngày 01/7/2026), Bộ Tài chính dự kiến sửa đổi, bổ sung các quy định: (i) Bổ sung quy định người nộp thuế không phải nộp hồ sơ khai thuế SDĐPNN trong trường hợp cơ quan thuế đã kết nối, chia sẻ, sử dụng được thông tin có trong cơ sở dữ liệu quốc gia, cơ sở dữ liệu của cơ quan nhà nước có thẩm quyền, hệ thống thông tin quản lý thuế hoặc hồ sơ xác định nghĩa vụ tài chính, phiếu chuyển thông tin do cơ quan có thẩm quyền chuyển đến và các thông tin, dữ liệu này đảm bảo đầy đủ căn cứ để cơ quan thuế tính thuế. (ii) Đơn giản hóa tờ khai thuế SDĐPNN của hộ gia đình, cá nhân, cụ thể lược bỏ phần xác nhận của cơ quan nhà nước có thẩm quyền (UBND cấp xã, Văn phòng đăng ký đất đai) tại tờ khai thuế SDĐPNN đối với hộ gia đình, cá nhân. </w:t>
      </w:r>
    </w:p>
    <w:p w:rsidR="0024613E" w:rsidRPr="00E80F7B" w:rsidRDefault="00FF4EEE" w:rsidP="00F724C9">
      <w:pPr>
        <w:widowControl w:val="0"/>
        <w:pBdr>
          <w:top w:val="dotted" w:sz="4" w:space="0" w:color="FFFFFF"/>
          <w:left w:val="dotted" w:sz="4" w:space="0" w:color="FFFFFF"/>
          <w:bottom w:val="dotted" w:sz="4" w:space="4" w:color="FFFFFF"/>
          <w:right w:val="dotted" w:sz="4" w:space="0" w:color="FFFFFF"/>
        </w:pBdr>
        <w:spacing w:before="120" w:after="120"/>
        <w:ind w:firstLine="720"/>
        <w:jc w:val="both"/>
        <w:rPr>
          <w:i/>
          <w:lang w:val="nl-NL"/>
        </w:rPr>
      </w:pPr>
      <w:r w:rsidRPr="00E80F7B">
        <w:rPr>
          <w:i/>
          <w:lang w:val="nl-NL"/>
        </w:rPr>
        <w:t>e</w:t>
      </w:r>
      <w:r w:rsidR="00964E3B" w:rsidRPr="00E80F7B">
        <w:rPr>
          <w:i/>
          <w:lang w:val="nl-NL"/>
        </w:rPr>
        <w:t>) Về quản lý thuế</w:t>
      </w:r>
    </w:p>
    <w:p w:rsidR="0024613E" w:rsidRPr="00E80F7B" w:rsidRDefault="00C122E9" w:rsidP="00F724C9">
      <w:pPr>
        <w:widowControl w:val="0"/>
        <w:pBdr>
          <w:top w:val="dotted" w:sz="4" w:space="0" w:color="FFFFFF"/>
          <w:left w:val="dotted" w:sz="4" w:space="0" w:color="FFFFFF"/>
          <w:bottom w:val="dotted" w:sz="4" w:space="4" w:color="FFFFFF"/>
          <w:right w:val="dotted" w:sz="4" w:space="0" w:color="FFFFFF"/>
        </w:pBdr>
        <w:spacing w:before="120" w:after="120"/>
        <w:ind w:firstLine="720"/>
        <w:jc w:val="both"/>
        <w:rPr>
          <w:lang w:val="nl-NL"/>
        </w:rPr>
      </w:pPr>
      <w:r w:rsidRPr="00E80F7B">
        <w:rPr>
          <w:lang w:val="nl-NL"/>
        </w:rPr>
        <w:t xml:space="preserve">Sau </w:t>
      </w:r>
      <w:r w:rsidR="004F7056" w:rsidRPr="00E80F7B">
        <w:rPr>
          <w:lang w:val="nl-NL"/>
        </w:rPr>
        <w:t>hơn</w:t>
      </w:r>
      <w:r w:rsidR="002731B1" w:rsidRPr="00E80F7B">
        <w:rPr>
          <w:lang w:val="nl-NL"/>
        </w:rPr>
        <w:t xml:space="preserve"> 15</w:t>
      </w:r>
      <w:r w:rsidR="003F1DB7" w:rsidRPr="00E80F7B">
        <w:rPr>
          <w:lang w:val="nl-NL"/>
        </w:rPr>
        <w:t xml:space="preserve"> năm thực hiện Luật T</w:t>
      </w:r>
      <w:r w:rsidRPr="00E80F7B">
        <w:rPr>
          <w:lang w:val="nl-NL"/>
        </w:rPr>
        <w:t xml:space="preserve">huế SDĐPNN, đến nay việc thu thuế </w:t>
      </w:r>
      <w:r w:rsidR="006A1066" w:rsidRPr="00E80F7B">
        <w:rPr>
          <w:lang w:val="nl-NL"/>
        </w:rPr>
        <w:t>đã</w:t>
      </w:r>
      <w:r w:rsidRPr="00E80F7B">
        <w:rPr>
          <w:lang w:val="nl-NL"/>
        </w:rPr>
        <w:t xml:space="preserve"> đi vào ổn định, Sổ bộ thuế thường xuyên được cập nhật, bổ sung cho phù hợp với thực trạng biến động của tình hình đất đai tại địa phương. Người dân dần nhận thấy trách nhiệm và nghĩa vụ thuế đối với Nhà nước, nghiêm chỉnh chấp hành thực hiện chính sách của </w:t>
      </w:r>
      <w:r w:rsidR="005105AB" w:rsidRPr="00E80F7B">
        <w:rPr>
          <w:lang w:val="nl-NL"/>
        </w:rPr>
        <w:t>N</w:t>
      </w:r>
      <w:r w:rsidRPr="00E80F7B">
        <w:rPr>
          <w:lang w:val="nl-NL"/>
        </w:rPr>
        <w:t xml:space="preserve">hà nước. Tuy nhiên, do nguồn thu từ </w:t>
      </w:r>
      <w:r w:rsidR="00305C65" w:rsidRPr="00E80F7B">
        <w:rPr>
          <w:lang w:val="nl-NL"/>
        </w:rPr>
        <w:t>t</w:t>
      </w:r>
      <w:r w:rsidRPr="00E80F7B">
        <w:rPr>
          <w:lang w:val="nl-NL"/>
        </w:rPr>
        <w:t xml:space="preserve">huế </w:t>
      </w:r>
      <w:r w:rsidRPr="00E80F7B">
        <w:rPr>
          <w:lang w:val="nl-NL"/>
        </w:rPr>
        <w:lastRenderedPageBreak/>
        <w:t xml:space="preserve">SDĐPNN thấp trong khi số lượng người nộp thuế lớn, một số quy định của Luật </w:t>
      </w:r>
      <w:r w:rsidR="003F1DB7" w:rsidRPr="00E80F7B">
        <w:rPr>
          <w:lang w:val="nl-NL"/>
        </w:rPr>
        <w:t>T</w:t>
      </w:r>
      <w:r w:rsidRPr="00E80F7B">
        <w:rPr>
          <w:lang w:val="nl-NL"/>
        </w:rPr>
        <w:t xml:space="preserve">huế SDĐPNN chưa phù hợp nên công tác quản lý thu </w:t>
      </w:r>
      <w:r w:rsidR="00305C65" w:rsidRPr="00E80F7B">
        <w:rPr>
          <w:lang w:val="nl-NL"/>
        </w:rPr>
        <w:t>t</w:t>
      </w:r>
      <w:r w:rsidRPr="00E80F7B">
        <w:rPr>
          <w:lang w:val="nl-NL"/>
        </w:rPr>
        <w:t>huế SDĐPNN chưa được sự quan tâm đúng mức của chính quyền địa phương, t</w:t>
      </w:r>
      <w:r w:rsidRPr="00E80F7B">
        <w:rPr>
          <w:shd w:val="clear" w:color="auto" w:fill="FFFFFF"/>
          <w:lang w:val="nl-NL"/>
        </w:rPr>
        <w:t xml:space="preserve">ừ đó, ảnh hưởng lớn đến hiệu quả thu </w:t>
      </w:r>
      <w:r w:rsidR="000528FE" w:rsidRPr="00E80F7B">
        <w:rPr>
          <w:shd w:val="clear" w:color="auto" w:fill="FFFFFF"/>
          <w:lang w:val="nl-NL"/>
        </w:rPr>
        <w:t>t</w:t>
      </w:r>
      <w:r w:rsidRPr="00E80F7B">
        <w:rPr>
          <w:shd w:val="clear" w:color="auto" w:fill="FFFFFF"/>
          <w:lang w:val="nl-NL"/>
        </w:rPr>
        <w:t xml:space="preserve">huế SDĐPNN, ảnh hưởng đến nguồn thu </w:t>
      </w:r>
      <w:r w:rsidR="00305C65" w:rsidRPr="00E80F7B">
        <w:rPr>
          <w:shd w:val="clear" w:color="auto" w:fill="FFFFFF"/>
          <w:lang w:val="nl-NL"/>
        </w:rPr>
        <w:t>t</w:t>
      </w:r>
      <w:r w:rsidRPr="00E80F7B">
        <w:rPr>
          <w:shd w:val="clear" w:color="auto" w:fill="FFFFFF"/>
          <w:lang w:val="nl-NL"/>
        </w:rPr>
        <w:t xml:space="preserve">huế SDĐPNN. </w:t>
      </w:r>
      <w:r w:rsidRPr="00E80F7B">
        <w:rPr>
          <w:lang w:val="nl-NL"/>
        </w:rPr>
        <w:t xml:space="preserve">Cụ thể các vấn đề phát sinh trong công tác quản lý thu </w:t>
      </w:r>
      <w:r w:rsidR="00305C65" w:rsidRPr="00E80F7B">
        <w:rPr>
          <w:lang w:val="nl-NL"/>
        </w:rPr>
        <w:t>t</w:t>
      </w:r>
      <w:r w:rsidRPr="00E80F7B">
        <w:rPr>
          <w:lang w:val="nl-NL"/>
        </w:rPr>
        <w:t>huế SDĐPNN</w:t>
      </w:r>
      <w:r w:rsidR="00AD1319" w:rsidRPr="00E80F7B">
        <w:rPr>
          <w:lang w:val="nl-NL"/>
        </w:rPr>
        <w:t xml:space="preserve"> </w:t>
      </w:r>
      <w:r w:rsidRPr="00E80F7B">
        <w:rPr>
          <w:lang w:val="nl-NL"/>
        </w:rPr>
        <w:t>như sau:</w:t>
      </w:r>
    </w:p>
    <w:p w:rsidR="0024613E" w:rsidRPr="00E80F7B" w:rsidRDefault="008148E4" w:rsidP="00F724C9">
      <w:pPr>
        <w:widowControl w:val="0"/>
        <w:pBdr>
          <w:top w:val="dotted" w:sz="4" w:space="0" w:color="FFFFFF"/>
          <w:left w:val="dotted" w:sz="4" w:space="0" w:color="FFFFFF"/>
          <w:bottom w:val="dotted" w:sz="4" w:space="4" w:color="FFFFFF"/>
          <w:right w:val="dotted" w:sz="4" w:space="0" w:color="FFFFFF"/>
        </w:pBdr>
        <w:spacing w:before="120" w:after="120"/>
        <w:ind w:firstLine="720"/>
        <w:jc w:val="both"/>
        <w:rPr>
          <w:lang w:val="nl-NL"/>
        </w:rPr>
      </w:pPr>
      <w:r w:rsidRPr="00E80F7B">
        <w:rPr>
          <w:lang w:val="nl-NL"/>
        </w:rPr>
        <w:t>-</w:t>
      </w:r>
      <w:r w:rsidR="00E51237" w:rsidRPr="00E80F7B">
        <w:rPr>
          <w:lang w:val="nl-NL"/>
        </w:rPr>
        <w:t xml:space="preserve"> </w:t>
      </w:r>
      <w:r w:rsidR="00C122E9" w:rsidRPr="00E80F7B">
        <w:rPr>
          <w:lang w:val="nl-NL"/>
        </w:rPr>
        <w:t>Trên thực tế công tác thu thuế đối với phần diện tích vượt hạn mức gặp rất nhiều khó khăn cho các hộ không nộp, nguyên nhân các hộ phần lớn là nông dân lao động thuần tuý không đầu cơ đất để kinh doanh mà có 2 đến 3 thửa đất nhưng chưa làm thủ tục thừa kế cho các con dẫn đến có diện tích vượt hạn mức.</w:t>
      </w:r>
    </w:p>
    <w:p w:rsidR="0024613E" w:rsidRPr="00E80F7B" w:rsidRDefault="008E4290" w:rsidP="00F724C9">
      <w:pPr>
        <w:widowControl w:val="0"/>
        <w:pBdr>
          <w:top w:val="dotted" w:sz="4" w:space="0" w:color="FFFFFF"/>
          <w:left w:val="dotted" w:sz="4" w:space="0" w:color="FFFFFF"/>
          <w:bottom w:val="dotted" w:sz="4" w:space="4" w:color="FFFFFF"/>
          <w:right w:val="dotted" w:sz="4" w:space="0" w:color="FFFFFF"/>
        </w:pBdr>
        <w:spacing w:before="120" w:after="120"/>
        <w:ind w:firstLine="720"/>
        <w:jc w:val="both"/>
        <w:rPr>
          <w:lang w:val="nl-NL"/>
        </w:rPr>
      </w:pPr>
      <w:r w:rsidRPr="00E80F7B">
        <w:rPr>
          <w:lang w:val="nl-NL"/>
        </w:rPr>
        <w:t>-</w:t>
      </w:r>
      <w:r w:rsidR="006A1066" w:rsidRPr="00E80F7B">
        <w:rPr>
          <w:lang w:val="nl-NL"/>
        </w:rPr>
        <w:t xml:space="preserve"> Việc kê khai, nộp thuế qua E</w:t>
      </w:r>
      <w:r w:rsidR="00F63F02" w:rsidRPr="00E80F7B">
        <w:rPr>
          <w:lang w:val="nl-NL"/>
        </w:rPr>
        <w:t>tax đã được triển khai trên phạm vi toàn quốc. Tuy nhiên, việc triển khai trên t</w:t>
      </w:r>
      <w:r w:rsidR="00E667DB" w:rsidRPr="00E80F7B">
        <w:rPr>
          <w:lang w:val="nl-NL"/>
        </w:rPr>
        <w:t xml:space="preserve">hực tế còn gặp khó khăn </w:t>
      </w:r>
      <w:r w:rsidR="00E667DB" w:rsidRPr="00E80F7B">
        <w:rPr>
          <w:rFonts w:eastAsia="Calibri"/>
          <w:lang w:val="nl-NL"/>
        </w:rPr>
        <w:t xml:space="preserve">tại các địa bàn vùng sâu, vùng xa, miền núi, đời sống người dân khó khăn, người nộp thuế là người cao tuổi chưa có điều kiện tiếp cận internet; việc thực hiện nghĩa vụ thuế cần sự hỗ trợ, hướng dẫn của cơ quan thuế và cán bộ được uỷ nhiệm thu thuế, làm tăng khối lượng công việc của cán bộ thuế. </w:t>
      </w:r>
      <w:r w:rsidR="00E667DB" w:rsidRPr="00E80F7B">
        <w:rPr>
          <w:lang w:val="nl-NL"/>
        </w:rPr>
        <w:t xml:space="preserve">Ngoài ra, việc triển khai các phương thức nộp thuế điện tử trong giai đoạn đầu còn gặp khó khăn đối với một bộ phận người dân chưa tiếp nhận được phương thức điện tử mới, người </w:t>
      </w:r>
      <w:r w:rsidR="00C705D9" w:rsidRPr="00E80F7B">
        <w:rPr>
          <w:lang w:val="nl-NL"/>
        </w:rPr>
        <w:t>nộp thuế</w:t>
      </w:r>
      <w:r w:rsidR="00E667DB" w:rsidRPr="00E80F7B">
        <w:rPr>
          <w:lang w:val="nl-NL"/>
        </w:rPr>
        <w:t xml:space="preserve"> chưa làm định danh VNEID mức 2, chưa có tài khoản ngân hàng.</w:t>
      </w:r>
    </w:p>
    <w:p w:rsidR="0024613E" w:rsidRPr="00E80F7B" w:rsidRDefault="008E4290" w:rsidP="00F724C9">
      <w:pPr>
        <w:spacing w:before="120" w:after="120"/>
        <w:ind w:firstLine="720"/>
        <w:jc w:val="both"/>
        <w:rPr>
          <w:lang w:val="nl-NL"/>
        </w:rPr>
      </w:pPr>
      <w:r w:rsidRPr="00E80F7B">
        <w:rPr>
          <w:lang w:val="nl-NL"/>
        </w:rPr>
        <w:t xml:space="preserve">- </w:t>
      </w:r>
      <w:r w:rsidR="007B37AD" w:rsidRPr="00E80F7B">
        <w:rPr>
          <w:lang w:val="nl-NL"/>
        </w:rPr>
        <w:t xml:space="preserve">Về </w:t>
      </w:r>
      <w:r w:rsidR="00E667DB" w:rsidRPr="00E80F7B">
        <w:rPr>
          <w:lang w:val="nl-NL"/>
        </w:rPr>
        <w:t xml:space="preserve">chi phí hành chính, </w:t>
      </w:r>
      <w:r w:rsidR="007B37AD" w:rsidRPr="00E80F7B">
        <w:rPr>
          <w:lang w:val="nl-NL"/>
        </w:rPr>
        <w:t>ủy nhiệm thu thuế:</w:t>
      </w:r>
      <w:r w:rsidR="00E667DB" w:rsidRPr="00E80F7B">
        <w:rPr>
          <w:rFonts w:eastAsia="SimSun"/>
          <w:lang w:val="nl-NL" w:eastAsia="zh-CN"/>
        </w:rPr>
        <w:t xml:space="preserve"> Về chi phí hành chính, nhiều địa phương phản ánh chi phí tổ chức thực hiện thu thuế SDĐPNN còn cao so với số thu thực tế, do cơ quan thuế và chính quyền cơ sở phải thực hiện đầy đủ các khâu như hướng dẫn kê khai, lập bộ, rà soát, cập nhật biến động, xét miễn giảm, in và phát hành thông báo, tổ chức thu và đôn đốc thu nộp. Đặc biệt, việc thực hiện cơ chế ủy nhiệm thu tại cấ</w:t>
      </w:r>
      <w:r w:rsidR="00470C2B" w:rsidRPr="00E80F7B">
        <w:rPr>
          <w:rFonts w:eastAsia="SimSun"/>
          <w:lang w:val="nl-NL" w:eastAsia="zh-CN"/>
        </w:rPr>
        <w:t>p xã</w:t>
      </w:r>
      <w:r w:rsidR="00E667DB" w:rsidRPr="00E80F7B">
        <w:rPr>
          <w:rFonts w:eastAsia="SimSun"/>
          <w:lang w:val="nl-NL" w:eastAsia="zh-CN"/>
        </w:rPr>
        <w:t xml:space="preserve"> tuy góp phần hỗ trợ tổ chức thu tại cơ sở nhưng cũng phát sinh thêm chi phí và thủ tục liên quan đến hợp đồng, chứng từ, thanh quyết toán, trong khi mức chi trả thù lao chưa thực sự tương xứng với khối lượng công việc, dẫn đến hiệu quả tổ chức thu còn thấp, phát sinh nhiều tình trạng nợ đọng. </w:t>
      </w:r>
    </w:p>
    <w:p w:rsidR="00B50613" w:rsidRPr="00E80F7B" w:rsidRDefault="00113132" w:rsidP="00F724C9">
      <w:pPr>
        <w:spacing w:before="120" w:after="120"/>
        <w:ind w:firstLine="720"/>
        <w:rPr>
          <w:b/>
          <w:lang w:val="nl-NL"/>
        </w:rPr>
      </w:pPr>
      <w:r w:rsidRPr="00E80F7B">
        <w:rPr>
          <w:b/>
          <w:lang w:val="nl-NL"/>
        </w:rPr>
        <w:t>3</w:t>
      </w:r>
      <w:r w:rsidR="00F12A5F" w:rsidRPr="00E80F7B">
        <w:rPr>
          <w:b/>
          <w:lang w:val="nl-NL"/>
        </w:rPr>
        <w:t xml:space="preserve">. </w:t>
      </w:r>
      <w:r w:rsidR="00B50613" w:rsidRPr="00E80F7B">
        <w:rPr>
          <w:b/>
          <w:lang w:val="nl-NL"/>
        </w:rPr>
        <w:t>Kết quả thực hiện Luật thuế TNDN</w:t>
      </w:r>
    </w:p>
    <w:p w:rsidR="00B50613" w:rsidRPr="00E80F7B" w:rsidRDefault="002142D2" w:rsidP="00B50613">
      <w:pPr>
        <w:spacing w:before="120" w:after="120"/>
        <w:ind w:firstLine="720"/>
        <w:jc w:val="both"/>
        <w:rPr>
          <w:b/>
          <w:i/>
          <w:lang w:val="nl-NL"/>
        </w:rPr>
      </w:pPr>
      <w:r w:rsidRPr="00E80F7B">
        <w:rPr>
          <w:b/>
          <w:i/>
          <w:lang w:val="nl-NL"/>
        </w:rPr>
        <w:t>3</w:t>
      </w:r>
      <w:r w:rsidR="00B509B1" w:rsidRPr="00E80F7B">
        <w:rPr>
          <w:b/>
          <w:i/>
          <w:lang w:val="nl-NL"/>
        </w:rPr>
        <w:t>.</w:t>
      </w:r>
      <w:r w:rsidRPr="00E80F7B">
        <w:rPr>
          <w:b/>
          <w:i/>
          <w:lang w:val="nl-NL"/>
        </w:rPr>
        <w:t>1. Kết quả đạt được</w:t>
      </w:r>
    </w:p>
    <w:p w:rsidR="00B509B1" w:rsidRPr="00E80F7B" w:rsidRDefault="00B509B1" w:rsidP="00B509B1">
      <w:pPr>
        <w:spacing w:before="120" w:after="120"/>
        <w:ind w:firstLine="720"/>
        <w:jc w:val="both"/>
        <w:rPr>
          <w:bCs/>
          <w:kern w:val="2"/>
          <w:lang w:val="nl-NL"/>
        </w:rPr>
      </w:pPr>
      <w:r w:rsidRPr="00E80F7B">
        <w:rPr>
          <w:shd w:val="clear" w:color="auto" w:fill="FFFFFF"/>
          <w:lang w:val="nl-NL"/>
        </w:rPr>
        <w:t xml:space="preserve">Luật </w:t>
      </w:r>
      <w:r w:rsidRPr="00E80F7B">
        <w:rPr>
          <w:lang w:val="nl-NL"/>
        </w:rPr>
        <w:t xml:space="preserve">Thuế TNDN số 67/2025/QH15 và các văn bản hướng dẫn đã </w:t>
      </w:r>
      <w:r w:rsidRPr="00E80F7B">
        <w:rPr>
          <w:kern w:val="2"/>
          <w:lang w:val="nl-NL"/>
        </w:rPr>
        <w:t xml:space="preserve">thể chế hóa đầy đủ, kịp thời các chủ trương, định hướng của Đảng, Nhà nước về cải cách hệ thống chính sách thuế nói chung </w:t>
      </w:r>
      <w:r w:rsidRPr="00E80F7B">
        <w:rPr>
          <w:bCs/>
          <w:kern w:val="2"/>
          <w:lang w:val="nl-NL"/>
        </w:rPr>
        <w:t>(Nghị quyết số 07-NQ/TW của Bộ Chính trị, Văn kiện Đại hội đại biểu toàn quốc lần thứ XIII của Đảng;</w:t>
      </w:r>
      <w:r w:rsidRPr="00E80F7B">
        <w:rPr>
          <w:kern w:val="2"/>
          <w:shd w:val="clear" w:color="auto" w:fill="FFFFFF"/>
          <w:lang w:val="nl-NL"/>
        </w:rPr>
        <w:t xml:space="preserve"> </w:t>
      </w:r>
      <w:r w:rsidRPr="00E80F7B">
        <w:rPr>
          <w:kern w:val="2"/>
          <w:lang w:val="nl-NL"/>
        </w:rPr>
        <w:t>Nghị quyết số 23/2021/QH15 của Quốc hội và</w:t>
      </w:r>
      <w:r w:rsidRPr="00E80F7B">
        <w:rPr>
          <w:kern w:val="2"/>
          <w:shd w:val="clear" w:color="auto" w:fill="FFFFFF"/>
          <w:lang w:val="nl-NL"/>
        </w:rPr>
        <w:t xml:space="preserve"> Quyết định số 508/QĐ-TTg ngày 23/4/2022 của Thủ tướng Chính phủ...)</w:t>
      </w:r>
      <w:r w:rsidRPr="00E80F7B">
        <w:rPr>
          <w:kern w:val="2"/>
          <w:lang w:val="nl-NL"/>
        </w:rPr>
        <w:t xml:space="preserve">, chính sách thuế TNDN nói riêng; đảm bảo tính minh bạch, dễ hiểu, dễ thực hiện, tính thống nhất, đồng bộ của pháp luật về thuế TNDN với quy định của pháp luật có liên quan; thúc đẩy cải cách thủ tục hành chính, cải thiện môi trường đầu tư kinh doanh; </w:t>
      </w:r>
      <w:r w:rsidRPr="00E80F7B">
        <w:rPr>
          <w:bCs/>
          <w:kern w:val="2"/>
          <w:lang w:val="pt-BR"/>
        </w:rPr>
        <w:t>khuyến khích, thu hút đầu tư vào các ngành, lĩnh vực và địa bàn ưu tiên</w:t>
      </w:r>
      <w:r w:rsidRPr="00E80F7B">
        <w:rPr>
          <w:kern w:val="2"/>
          <w:lang w:val="nl-NL"/>
        </w:rPr>
        <w:t xml:space="preserve">. Bên cạnh đó, Luật </w:t>
      </w:r>
      <w:r w:rsidRPr="00E80F7B">
        <w:rPr>
          <w:lang w:val="nl-NL"/>
        </w:rPr>
        <w:t>Thuế TNDN số 67/2025/QH15 cũng s</w:t>
      </w:r>
      <w:r w:rsidRPr="00E80F7B">
        <w:rPr>
          <w:kern w:val="2"/>
          <w:lang w:val="nl-NL"/>
        </w:rPr>
        <w:t xml:space="preserve">ửa đổi, bổ sung các quy định của Luật thuế TNDN trước đó để khắc phục được các vướng mắc trong quá trình thực tiễn </w:t>
      </w:r>
      <w:r w:rsidRPr="00E80F7B">
        <w:rPr>
          <w:kern w:val="2"/>
          <w:lang w:val="nl-NL"/>
        </w:rPr>
        <w:lastRenderedPageBreak/>
        <w:t xml:space="preserve">thực hiện; tháo gỡ được các bất cập, chồng chéo trong hệ thống pháp luật về thuế TNDN nhằm đảm bảo sự rõ ràng, thống nhất và ổn định của chính sách; tạo môi trường thuận lợi cho người nộp thuế tuân thủ pháp luật về thuế, đảm bảo thu đúng, thu đủ vào NSNN. Đảm bảo ổn định nguồn thu cho NSNN, góp phần cơ cấu lại thu NSNN theo hướng bền vững; có giải pháp phù hợp để khắc phục tình trạng chuyển giá, phòng chống trốn thuế, thất thu thuế, hạn chế hiệu quả các </w:t>
      </w:r>
      <w:r w:rsidRPr="00E80F7B">
        <w:rPr>
          <w:kern w:val="2"/>
        </w:rPr>
        <w:t>hành vi dịch chuyển lợi nhuận làm xói mòn cơ sở thuế</w:t>
      </w:r>
      <w:r w:rsidRPr="00E80F7B">
        <w:rPr>
          <w:kern w:val="2"/>
          <w:lang w:val="nl-NL"/>
        </w:rPr>
        <w:t>.</w:t>
      </w:r>
      <w:r w:rsidRPr="00E80F7B">
        <w:rPr>
          <w:kern w:val="2"/>
        </w:rPr>
        <w:t xml:space="preserve"> Ngoài ra, việc sửa đổi tại Luật </w:t>
      </w:r>
      <w:r w:rsidRPr="00E80F7B">
        <w:rPr>
          <w:lang w:val="nl-NL"/>
        </w:rPr>
        <w:t>Thuế TNDN số 67/2025/QH15 nhằm đ</w:t>
      </w:r>
      <w:r w:rsidRPr="00E80F7B">
        <w:rPr>
          <w:bCs/>
          <w:kern w:val="2"/>
          <w:lang w:val="nl-NL"/>
        </w:rPr>
        <w:t>ảm bảo mục tiêu hội nhập quốc tế, phù hợp với xu hướng phát triển và xu hướng cải cách chính sách thuế TNDN trên thế giới.</w:t>
      </w:r>
    </w:p>
    <w:p w:rsidR="002142D2" w:rsidRPr="00E80F7B" w:rsidRDefault="002142D2" w:rsidP="00B50613">
      <w:pPr>
        <w:spacing w:before="120" w:after="120"/>
        <w:ind w:firstLine="720"/>
        <w:jc w:val="both"/>
        <w:rPr>
          <w:b/>
          <w:i/>
          <w:lang w:val="nl-NL"/>
        </w:rPr>
      </w:pPr>
      <w:r w:rsidRPr="00E80F7B">
        <w:rPr>
          <w:b/>
          <w:i/>
          <w:lang w:val="nl-NL"/>
        </w:rPr>
        <w:t>3.2. Hạn chế, vướng mắc</w:t>
      </w:r>
    </w:p>
    <w:p w:rsidR="00B50613" w:rsidRPr="00E80F7B" w:rsidRDefault="00B509B1" w:rsidP="00B50613">
      <w:pPr>
        <w:spacing w:before="120" w:after="120"/>
        <w:ind w:firstLine="720"/>
        <w:jc w:val="both"/>
        <w:rPr>
          <w:b/>
          <w:sz w:val="36"/>
          <w:szCs w:val="36"/>
          <w:lang w:val="nl-NL"/>
        </w:rPr>
      </w:pPr>
      <w:r w:rsidRPr="00E80F7B">
        <w:t>Theo quy định của Luật Quản lý thuế thì thuế TNDN là loại thuế quyết toán theo năm nên đối với kỳ tính thuế TNDN năm 2025 thì doanh nghiệp phải nộp Tờ khai quyết toán thuế TNDN chậm nhất trước 31/3/2026 nên hiện tại, Bộ Tài chính chưa nhận được phản ánh về vướng mắc trong quá trình thực hiện Luật Thuế TNDN.</w:t>
      </w:r>
    </w:p>
    <w:p w:rsidR="00B50613" w:rsidRPr="00E80F7B" w:rsidRDefault="00B50613" w:rsidP="00B50613">
      <w:pPr>
        <w:spacing w:before="120" w:after="120"/>
        <w:ind w:firstLine="720"/>
        <w:jc w:val="both"/>
        <w:rPr>
          <w:lang w:val="nl-NL"/>
        </w:rPr>
      </w:pPr>
      <w:r w:rsidRPr="00E80F7B">
        <w:rPr>
          <w:lang w:val="nl-NL"/>
        </w:rPr>
        <w:t xml:space="preserve">Đối với lĩnh vực giáo dục </w:t>
      </w:r>
      <w:r w:rsidR="00470C2B" w:rsidRPr="00E80F7B">
        <w:rPr>
          <w:lang w:val="nl-NL"/>
        </w:rPr>
        <w:t xml:space="preserve">và </w:t>
      </w:r>
      <w:r w:rsidRPr="00E80F7B">
        <w:rPr>
          <w:lang w:val="nl-NL"/>
        </w:rPr>
        <w:t>đào tạo:</w:t>
      </w:r>
      <w:r w:rsidR="00C705D9" w:rsidRPr="00E80F7B">
        <w:rPr>
          <w:lang w:val="nl-NL"/>
        </w:rPr>
        <w:t xml:space="preserve"> </w:t>
      </w:r>
      <w:r w:rsidRPr="00E80F7B">
        <w:rPr>
          <w:lang w:val="nl-NL"/>
        </w:rPr>
        <w:t>Ngày 14/6/2025, Quốc hội đã thông qua Luật Thuế TNDN số 67/2025/QH15, theo đó tiếp tục giữ mức ưu đãi cao nhất đối với lĩnh vực giáo dục</w:t>
      </w:r>
      <w:r w:rsidR="00470C2B" w:rsidRPr="00E80F7B">
        <w:rPr>
          <w:lang w:val="nl-NL"/>
        </w:rPr>
        <w:t xml:space="preserve"> và</w:t>
      </w:r>
      <w:r w:rsidRPr="00E80F7B">
        <w:rPr>
          <w:lang w:val="nl-NL"/>
        </w:rPr>
        <w:t xml:space="preserve"> đào tạo, đồng thời bổ sung một số chính sách đột phá, thúc đẩy phát triển giáo dục đào tạo, cụ thể bổ sung quy định miễn, giảm thuế đối với đơn vị sự nghiệp công lập. Với chính sách thuế này đã tạo môi trường hấp dẫn, tăng niềm tin cho nhà đầu tư trong và ngoài nước cho giáo dục đào tạo, khuyến khích các doanh nghiệp gắn đào tạo với nhu cầu nhân lực của thị trường lao động.</w:t>
      </w:r>
    </w:p>
    <w:p w:rsidR="00B50613" w:rsidRPr="00E80F7B" w:rsidRDefault="00B50613" w:rsidP="00B50613">
      <w:pPr>
        <w:widowControl w:val="0"/>
        <w:pBdr>
          <w:top w:val="dotted" w:sz="4" w:space="0" w:color="FFFFFF"/>
          <w:left w:val="dotted" w:sz="4" w:space="0" w:color="FFFFFF"/>
          <w:bottom w:val="dotted" w:sz="4" w:space="11" w:color="FFFFFF"/>
          <w:right w:val="dotted" w:sz="4" w:space="0" w:color="FFFFFF"/>
        </w:pBdr>
        <w:spacing w:before="120" w:after="120"/>
        <w:ind w:firstLine="720"/>
        <w:jc w:val="both"/>
        <w:rPr>
          <w:lang w:val="pt-BR"/>
        </w:rPr>
      </w:pPr>
      <w:r w:rsidRPr="00E80F7B">
        <w:rPr>
          <w:lang w:val="nl-NL"/>
        </w:rPr>
        <w:t xml:space="preserve">Pháp luật thuế TNDN hiện hành có quy định ưu đãi cao đối với cơ sở giáo dục. </w:t>
      </w:r>
      <w:r w:rsidRPr="00E80F7B">
        <w:rPr>
          <w:bCs/>
          <w:lang w:val="af-ZA" w:eastAsia="vi-VN"/>
        </w:rPr>
        <w:t xml:space="preserve">Tại khoản </w:t>
      </w:r>
      <w:r w:rsidRPr="00E80F7B">
        <w:rPr>
          <w:lang w:val="nl-NL"/>
        </w:rPr>
        <w:t xml:space="preserve">5 Điều 15 </w:t>
      </w:r>
      <w:r w:rsidRPr="00E80F7B">
        <w:t>Luật Thuế TNDN quy định “</w:t>
      </w:r>
      <w:r w:rsidRPr="00E80F7B">
        <w:rPr>
          <w:i/>
          <w:lang w:val="pt-BR"/>
        </w:rPr>
        <w:t xml:space="preserve">cơ sở giáo dục </w:t>
      </w:r>
      <w:r w:rsidRPr="00E80F7B">
        <w:rPr>
          <w:b/>
          <w:i/>
          <w:lang w:val="pt-BR"/>
        </w:rPr>
        <w:t>đại học</w:t>
      </w:r>
      <w:r w:rsidRPr="00E80F7B">
        <w:rPr>
          <w:i/>
          <w:lang w:val="pt-BR"/>
        </w:rPr>
        <w:t xml:space="preserve"> </w:t>
      </w:r>
      <w:r w:rsidRPr="00E80F7B">
        <w:rPr>
          <w:b/>
          <w:i/>
          <w:lang w:val="pt-BR"/>
        </w:rPr>
        <w:t>công lập</w:t>
      </w:r>
      <w:r w:rsidRPr="00E80F7B">
        <w:rPr>
          <w:i/>
          <w:lang w:val="pt-BR"/>
        </w:rPr>
        <w:t xml:space="preserve"> hoạt động không vì mục tiêu lợi nhuận được miễn thuế theo quy định của Chính phủ”</w:t>
      </w:r>
      <w:r w:rsidRPr="00E80F7B">
        <w:rPr>
          <w:lang w:val="pt-BR"/>
        </w:rPr>
        <w:t>.</w:t>
      </w:r>
    </w:p>
    <w:p w:rsidR="00B50613" w:rsidRPr="00E80F7B" w:rsidRDefault="00B50613" w:rsidP="00B50613">
      <w:pPr>
        <w:spacing w:before="120" w:after="120"/>
        <w:jc w:val="center"/>
        <w:rPr>
          <w:b/>
          <w:lang w:val="nl-NL"/>
        </w:rPr>
      </w:pPr>
      <w:r w:rsidRPr="00E80F7B">
        <w:rPr>
          <w:b/>
          <w:lang w:val="nl-NL"/>
        </w:rPr>
        <w:t>Biểu 4. Kết quả ưu đãi miễn, giảm thuế TNDN đối với doanh nghiệp trong lĩnh vực giáo dục</w:t>
      </w:r>
      <w:r w:rsidR="00470C2B" w:rsidRPr="00E80F7B">
        <w:rPr>
          <w:b/>
          <w:lang w:val="nl-NL"/>
        </w:rPr>
        <w:t xml:space="preserve"> và</w:t>
      </w:r>
      <w:r w:rsidRPr="00E80F7B">
        <w:rPr>
          <w:b/>
          <w:lang w:val="nl-NL"/>
        </w:rPr>
        <w:t xml:space="preserve"> đào tạo</w:t>
      </w:r>
    </w:p>
    <w:p w:rsidR="00B50613" w:rsidRPr="00E80F7B" w:rsidRDefault="00B50613" w:rsidP="00B50613">
      <w:pPr>
        <w:spacing w:before="120" w:after="120"/>
        <w:jc w:val="right"/>
        <w:rPr>
          <w:i/>
          <w:lang w:val="nl-NL"/>
        </w:rPr>
      </w:pPr>
      <w:r w:rsidRPr="00E80F7B">
        <w:rPr>
          <w:i/>
          <w:lang w:val="nl-NL"/>
        </w:rPr>
        <w:tab/>
        <w:t xml:space="preserve">Đơn vị: </w:t>
      </w:r>
      <w:r w:rsidR="000573F9" w:rsidRPr="00E80F7B">
        <w:rPr>
          <w:i/>
          <w:lang w:val="nl-NL"/>
        </w:rPr>
        <w:t xml:space="preserve">tỷ </w:t>
      </w:r>
      <w:r w:rsidRPr="00E80F7B">
        <w:rPr>
          <w:i/>
          <w:lang w:val="nl-NL"/>
        </w:rPr>
        <w:t>đồng</w:t>
      </w:r>
    </w:p>
    <w:tbl>
      <w:tblPr>
        <w:tblStyle w:val="TableGrid"/>
        <w:tblW w:w="0" w:type="auto"/>
        <w:tblInd w:w="250" w:type="dxa"/>
        <w:tblLook w:val="04A0"/>
      </w:tblPr>
      <w:tblGrid>
        <w:gridCol w:w="1478"/>
        <w:gridCol w:w="2915"/>
        <w:gridCol w:w="2322"/>
        <w:gridCol w:w="2322"/>
      </w:tblGrid>
      <w:tr w:rsidR="00B50613" w:rsidRPr="00E80F7B" w:rsidTr="00C705D9">
        <w:tc>
          <w:tcPr>
            <w:tcW w:w="1478" w:type="dxa"/>
          </w:tcPr>
          <w:p w:rsidR="00B50613" w:rsidRPr="00E80F7B" w:rsidRDefault="00B50613" w:rsidP="00C705D9">
            <w:pPr>
              <w:spacing w:before="80"/>
              <w:jc w:val="center"/>
              <w:rPr>
                <w:b/>
                <w:lang w:val="nl-NL"/>
              </w:rPr>
            </w:pPr>
            <w:r w:rsidRPr="00E80F7B">
              <w:rPr>
                <w:b/>
                <w:lang w:val="nl-NL"/>
              </w:rPr>
              <w:t>Năm/Chỉ tiêu</w:t>
            </w:r>
          </w:p>
        </w:tc>
        <w:tc>
          <w:tcPr>
            <w:tcW w:w="2915" w:type="dxa"/>
          </w:tcPr>
          <w:p w:rsidR="00B50613" w:rsidRPr="00E80F7B" w:rsidRDefault="00B50613" w:rsidP="00C705D9">
            <w:pPr>
              <w:spacing w:before="80"/>
              <w:jc w:val="center"/>
              <w:rPr>
                <w:b/>
                <w:lang w:val="nl-NL"/>
              </w:rPr>
            </w:pPr>
            <w:r w:rsidRPr="00E80F7B">
              <w:rPr>
                <w:b/>
                <w:lang w:val="nl-NL"/>
              </w:rPr>
              <w:t>Ưu đãi do chênh lệch thuế suất thuế TNDN</w:t>
            </w:r>
          </w:p>
        </w:tc>
        <w:tc>
          <w:tcPr>
            <w:tcW w:w="2322" w:type="dxa"/>
          </w:tcPr>
          <w:p w:rsidR="00B50613" w:rsidRPr="00E80F7B" w:rsidRDefault="00B50613" w:rsidP="00C705D9">
            <w:pPr>
              <w:spacing w:before="80"/>
              <w:jc w:val="center"/>
              <w:rPr>
                <w:b/>
                <w:lang w:val="nl-NL"/>
              </w:rPr>
            </w:pPr>
            <w:r w:rsidRPr="00E80F7B">
              <w:rPr>
                <w:b/>
                <w:lang w:val="nl-NL"/>
              </w:rPr>
              <w:t>Thuế TNDN được miễn</w:t>
            </w:r>
            <w:r w:rsidR="00C705D9" w:rsidRPr="00E80F7B">
              <w:rPr>
                <w:b/>
                <w:lang w:val="nl-NL"/>
              </w:rPr>
              <w:t>,</w:t>
            </w:r>
            <w:r w:rsidRPr="00E80F7B">
              <w:rPr>
                <w:b/>
                <w:lang w:val="nl-NL"/>
              </w:rPr>
              <w:t xml:space="preserve"> giảm</w:t>
            </w:r>
          </w:p>
        </w:tc>
        <w:tc>
          <w:tcPr>
            <w:tcW w:w="2322" w:type="dxa"/>
          </w:tcPr>
          <w:p w:rsidR="00B50613" w:rsidRPr="00E80F7B" w:rsidRDefault="00B50613" w:rsidP="00C705D9">
            <w:pPr>
              <w:spacing w:before="80"/>
              <w:jc w:val="center"/>
              <w:rPr>
                <w:b/>
                <w:lang w:val="nl-NL"/>
              </w:rPr>
            </w:pPr>
            <w:r w:rsidRPr="00E80F7B">
              <w:rPr>
                <w:b/>
                <w:lang w:val="nl-NL"/>
              </w:rPr>
              <w:t>Tổng ưu đãi</w:t>
            </w:r>
          </w:p>
        </w:tc>
      </w:tr>
      <w:tr w:rsidR="00B50613" w:rsidRPr="00E80F7B" w:rsidTr="00C705D9">
        <w:tc>
          <w:tcPr>
            <w:tcW w:w="1478" w:type="dxa"/>
          </w:tcPr>
          <w:p w:rsidR="00B50613" w:rsidRPr="00E80F7B" w:rsidRDefault="00B50613" w:rsidP="00C705D9">
            <w:pPr>
              <w:spacing w:before="80"/>
              <w:jc w:val="center"/>
              <w:rPr>
                <w:b/>
                <w:lang w:val="nl-NL"/>
              </w:rPr>
            </w:pPr>
            <w:r w:rsidRPr="00E80F7B">
              <w:rPr>
                <w:b/>
                <w:lang w:val="nl-NL"/>
              </w:rPr>
              <w:t>Tổng</w:t>
            </w:r>
          </w:p>
        </w:tc>
        <w:tc>
          <w:tcPr>
            <w:tcW w:w="2915" w:type="dxa"/>
          </w:tcPr>
          <w:p w:rsidR="00B50613" w:rsidRPr="00E80F7B" w:rsidRDefault="000573F9" w:rsidP="00C705D9">
            <w:pPr>
              <w:spacing w:before="80"/>
              <w:jc w:val="right"/>
              <w:rPr>
                <w:b/>
                <w:lang w:val="nl-NL"/>
              </w:rPr>
            </w:pPr>
            <w:r w:rsidRPr="00E80F7B">
              <w:rPr>
                <w:b/>
                <w:lang w:val="nl-NL"/>
              </w:rPr>
              <w:t>140,5</w:t>
            </w:r>
          </w:p>
        </w:tc>
        <w:tc>
          <w:tcPr>
            <w:tcW w:w="2322" w:type="dxa"/>
          </w:tcPr>
          <w:p w:rsidR="00B50613" w:rsidRPr="00E80F7B" w:rsidRDefault="000573F9" w:rsidP="00C705D9">
            <w:pPr>
              <w:spacing w:before="80"/>
              <w:jc w:val="right"/>
              <w:rPr>
                <w:b/>
                <w:lang w:val="nl-NL"/>
              </w:rPr>
            </w:pPr>
            <w:r w:rsidRPr="00E80F7B">
              <w:rPr>
                <w:b/>
                <w:lang w:val="nl-NL"/>
              </w:rPr>
              <w:t>160,7</w:t>
            </w:r>
          </w:p>
        </w:tc>
        <w:tc>
          <w:tcPr>
            <w:tcW w:w="2322" w:type="dxa"/>
          </w:tcPr>
          <w:p w:rsidR="00B50613" w:rsidRPr="00E80F7B" w:rsidRDefault="000573F9" w:rsidP="00C705D9">
            <w:pPr>
              <w:spacing w:before="80"/>
              <w:jc w:val="right"/>
              <w:rPr>
                <w:b/>
                <w:lang w:val="nl-NL"/>
              </w:rPr>
            </w:pPr>
            <w:r w:rsidRPr="00E80F7B">
              <w:rPr>
                <w:b/>
                <w:lang w:val="nl-NL"/>
              </w:rPr>
              <w:t>301,2</w:t>
            </w:r>
          </w:p>
        </w:tc>
      </w:tr>
      <w:tr w:rsidR="00B50613" w:rsidRPr="00E80F7B" w:rsidTr="00C705D9">
        <w:tc>
          <w:tcPr>
            <w:tcW w:w="1478" w:type="dxa"/>
          </w:tcPr>
          <w:p w:rsidR="00B50613" w:rsidRPr="00E80F7B" w:rsidRDefault="00B50613" w:rsidP="00C705D9">
            <w:pPr>
              <w:spacing w:before="80"/>
              <w:jc w:val="center"/>
              <w:rPr>
                <w:b/>
                <w:lang w:val="nl-NL"/>
              </w:rPr>
            </w:pPr>
            <w:r w:rsidRPr="00E80F7B">
              <w:rPr>
                <w:b/>
                <w:lang w:val="nl-NL"/>
              </w:rPr>
              <w:t>2021</w:t>
            </w:r>
          </w:p>
        </w:tc>
        <w:tc>
          <w:tcPr>
            <w:tcW w:w="2915" w:type="dxa"/>
          </w:tcPr>
          <w:p w:rsidR="00B50613" w:rsidRPr="00E80F7B" w:rsidRDefault="000573F9" w:rsidP="00C705D9">
            <w:pPr>
              <w:spacing w:before="80"/>
              <w:jc w:val="right"/>
              <w:rPr>
                <w:lang w:val="nl-NL"/>
              </w:rPr>
            </w:pPr>
            <w:r w:rsidRPr="00E80F7B">
              <w:rPr>
                <w:lang w:val="nl-NL"/>
              </w:rPr>
              <w:t>23,2</w:t>
            </w:r>
          </w:p>
        </w:tc>
        <w:tc>
          <w:tcPr>
            <w:tcW w:w="2322" w:type="dxa"/>
          </w:tcPr>
          <w:p w:rsidR="00B50613" w:rsidRPr="00E80F7B" w:rsidRDefault="000573F9" w:rsidP="00C705D9">
            <w:pPr>
              <w:spacing w:before="80"/>
              <w:jc w:val="right"/>
              <w:rPr>
                <w:lang w:val="nl-NL"/>
              </w:rPr>
            </w:pPr>
            <w:r w:rsidRPr="00E80F7B">
              <w:rPr>
                <w:lang w:val="nl-NL"/>
              </w:rPr>
              <w:t>28,5</w:t>
            </w:r>
          </w:p>
        </w:tc>
        <w:tc>
          <w:tcPr>
            <w:tcW w:w="2322" w:type="dxa"/>
          </w:tcPr>
          <w:p w:rsidR="00B50613" w:rsidRPr="00E80F7B" w:rsidRDefault="000573F9" w:rsidP="00C705D9">
            <w:pPr>
              <w:spacing w:before="80"/>
              <w:jc w:val="right"/>
              <w:rPr>
                <w:lang w:val="nl-NL"/>
              </w:rPr>
            </w:pPr>
            <w:r w:rsidRPr="00E80F7B">
              <w:rPr>
                <w:lang w:val="nl-NL"/>
              </w:rPr>
              <w:t>51,8</w:t>
            </w:r>
          </w:p>
        </w:tc>
      </w:tr>
      <w:tr w:rsidR="00B50613" w:rsidRPr="00E80F7B" w:rsidTr="00C705D9">
        <w:tc>
          <w:tcPr>
            <w:tcW w:w="1478" w:type="dxa"/>
          </w:tcPr>
          <w:p w:rsidR="00B50613" w:rsidRPr="00E80F7B" w:rsidRDefault="00B50613" w:rsidP="00C705D9">
            <w:pPr>
              <w:spacing w:before="80"/>
              <w:jc w:val="center"/>
              <w:rPr>
                <w:b/>
                <w:lang w:val="nl-NL"/>
              </w:rPr>
            </w:pPr>
            <w:r w:rsidRPr="00E80F7B">
              <w:rPr>
                <w:b/>
                <w:lang w:val="nl-NL"/>
              </w:rPr>
              <w:t>2022</w:t>
            </w:r>
          </w:p>
        </w:tc>
        <w:tc>
          <w:tcPr>
            <w:tcW w:w="2915" w:type="dxa"/>
          </w:tcPr>
          <w:p w:rsidR="00B50613" w:rsidRPr="00E80F7B" w:rsidRDefault="000573F9" w:rsidP="00C705D9">
            <w:pPr>
              <w:spacing w:before="80"/>
              <w:jc w:val="right"/>
              <w:rPr>
                <w:lang w:val="nl-NL"/>
              </w:rPr>
            </w:pPr>
            <w:r w:rsidRPr="00E80F7B">
              <w:rPr>
                <w:lang w:val="nl-NL"/>
              </w:rPr>
              <w:t>71,3</w:t>
            </w:r>
          </w:p>
        </w:tc>
        <w:tc>
          <w:tcPr>
            <w:tcW w:w="2322" w:type="dxa"/>
          </w:tcPr>
          <w:p w:rsidR="00B50613" w:rsidRPr="00E80F7B" w:rsidRDefault="000573F9" w:rsidP="00C705D9">
            <w:pPr>
              <w:spacing w:before="80"/>
              <w:jc w:val="right"/>
              <w:rPr>
                <w:lang w:val="nl-NL"/>
              </w:rPr>
            </w:pPr>
            <w:r w:rsidRPr="00E80F7B">
              <w:rPr>
                <w:lang w:val="nl-NL"/>
              </w:rPr>
              <w:t>23,3</w:t>
            </w:r>
          </w:p>
        </w:tc>
        <w:tc>
          <w:tcPr>
            <w:tcW w:w="2322" w:type="dxa"/>
          </w:tcPr>
          <w:p w:rsidR="00B50613" w:rsidRPr="00E80F7B" w:rsidRDefault="000573F9" w:rsidP="00C705D9">
            <w:pPr>
              <w:spacing w:before="80"/>
              <w:jc w:val="right"/>
              <w:rPr>
                <w:lang w:val="nl-NL"/>
              </w:rPr>
            </w:pPr>
            <w:r w:rsidRPr="00E80F7B">
              <w:rPr>
                <w:lang w:val="nl-NL"/>
              </w:rPr>
              <w:t>94,7</w:t>
            </w:r>
          </w:p>
        </w:tc>
      </w:tr>
      <w:tr w:rsidR="00B50613" w:rsidRPr="00E80F7B" w:rsidTr="00C705D9">
        <w:tc>
          <w:tcPr>
            <w:tcW w:w="1478" w:type="dxa"/>
          </w:tcPr>
          <w:p w:rsidR="00B50613" w:rsidRPr="00E80F7B" w:rsidRDefault="00B50613" w:rsidP="00C705D9">
            <w:pPr>
              <w:spacing w:before="80"/>
              <w:jc w:val="center"/>
              <w:rPr>
                <w:b/>
                <w:lang w:val="nl-NL"/>
              </w:rPr>
            </w:pPr>
            <w:r w:rsidRPr="00E80F7B">
              <w:rPr>
                <w:b/>
                <w:lang w:val="nl-NL"/>
              </w:rPr>
              <w:t>2023</w:t>
            </w:r>
          </w:p>
        </w:tc>
        <w:tc>
          <w:tcPr>
            <w:tcW w:w="2915" w:type="dxa"/>
          </w:tcPr>
          <w:p w:rsidR="00B50613" w:rsidRPr="00E80F7B" w:rsidRDefault="000573F9" w:rsidP="00C705D9">
            <w:pPr>
              <w:spacing w:before="80"/>
              <w:jc w:val="right"/>
              <w:rPr>
                <w:lang w:val="nl-NL"/>
              </w:rPr>
            </w:pPr>
            <w:r w:rsidRPr="00E80F7B">
              <w:rPr>
                <w:lang w:val="nl-NL"/>
              </w:rPr>
              <w:t>6,7</w:t>
            </w:r>
          </w:p>
        </w:tc>
        <w:tc>
          <w:tcPr>
            <w:tcW w:w="2322" w:type="dxa"/>
          </w:tcPr>
          <w:p w:rsidR="00B50613" w:rsidRPr="00E80F7B" w:rsidRDefault="000573F9" w:rsidP="00C705D9">
            <w:pPr>
              <w:spacing w:before="80"/>
              <w:jc w:val="right"/>
              <w:rPr>
                <w:lang w:val="nl-NL"/>
              </w:rPr>
            </w:pPr>
            <w:r w:rsidRPr="00E80F7B">
              <w:rPr>
                <w:lang w:val="nl-NL"/>
              </w:rPr>
              <w:t>59,2</w:t>
            </w:r>
          </w:p>
        </w:tc>
        <w:tc>
          <w:tcPr>
            <w:tcW w:w="2322" w:type="dxa"/>
          </w:tcPr>
          <w:p w:rsidR="00B50613" w:rsidRPr="00E80F7B" w:rsidRDefault="000573F9" w:rsidP="00C705D9">
            <w:pPr>
              <w:spacing w:before="80"/>
              <w:jc w:val="right"/>
              <w:rPr>
                <w:lang w:val="nl-NL"/>
              </w:rPr>
            </w:pPr>
            <w:r w:rsidRPr="00E80F7B">
              <w:rPr>
                <w:lang w:val="nl-NL"/>
              </w:rPr>
              <w:t>65,8</w:t>
            </w:r>
          </w:p>
        </w:tc>
      </w:tr>
      <w:tr w:rsidR="00B50613" w:rsidRPr="00E80F7B" w:rsidTr="00C705D9">
        <w:tc>
          <w:tcPr>
            <w:tcW w:w="1478" w:type="dxa"/>
          </w:tcPr>
          <w:p w:rsidR="00B50613" w:rsidRPr="00E80F7B" w:rsidRDefault="00B50613" w:rsidP="00C705D9">
            <w:pPr>
              <w:spacing w:before="80"/>
              <w:jc w:val="center"/>
              <w:rPr>
                <w:b/>
                <w:lang w:val="nl-NL"/>
              </w:rPr>
            </w:pPr>
            <w:r w:rsidRPr="00E80F7B">
              <w:rPr>
                <w:b/>
                <w:lang w:val="nl-NL"/>
              </w:rPr>
              <w:t>2024</w:t>
            </w:r>
          </w:p>
        </w:tc>
        <w:tc>
          <w:tcPr>
            <w:tcW w:w="2915" w:type="dxa"/>
          </w:tcPr>
          <w:p w:rsidR="00B50613" w:rsidRPr="00E80F7B" w:rsidRDefault="00C705D9" w:rsidP="00C705D9">
            <w:pPr>
              <w:spacing w:before="80"/>
              <w:jc w:val="right"/>
              <w:rPr>
                <w:lang w:val="nl-NL"/>
              </w:rPr>
            </w:pPr>
            <w:r w:rsidRPr="00E80F7B">
              <w:rPr>
                <w:lang w:val="nl-NL"/>
              </w:rPr>
              <w:t>39,2</w:t>
            </w:r>
          </w:p>
        </w:tc>
        <w:tc>
          <w:tcPr>
            <w:tcW w:w="2322" w:type="dxa"/>
          </w:tcPr>
          <w:p w:rsidR="00B50613" w:rsidRPr="00E80F7B" w:rsidRDefault="00C705D9" w:rsidP="00C705D9">
            <w:pPr>
              <w:spacing w:before="80"/>
              <w:jc w:val="right"/>
              <w:rPr>
                <w:lang w:val="nl-NL"/>
              </w:rPr>
            </w:pPr>
            <w:r w:rsidRPr="00E80F7B">
              <w:rPr>
                <w:lang w:val="nl-NL"/>
              </w:rPr>
              <w:t>49,6</w:t>
            </w:r>
          </w:p>
        </w:tc>
        <w:tc>
          <w:tcPr>
            <w:tcW w:w="2322" w:type="dxa"/>
          </w:tcPr>
          <w:p w:rsidR="00B50613" w:rsidRPr="00E80F7B" w:rsidRDefault="00C705D9" w:rsidP="00C705D9">
            <w:pPr>
              <w:spacing w:before="80"/>
              <w:jc w:val="right"/>
              <w:rPr>
                <w:lang w:val="nl-NL"/>
              </w:rPr>
            </w:pPr>
            <w:r w:rsidRPr="00E80F7B">
              <w:rPr>
                <w:lang w:val="nl-NL"/>
              </w:rPr>
              <w:t>88,8</w:t>
            </w:r>
          </w:p>
        </w:tc>
      </w:tr>
    </w:tbl>
    <w:p w:rsidR="00B50613" w:rsidRPr="00E80F7B" w:rsidRDefault="00B50613" w:rsidP="00B50613">
      <w:pPr>
        <w:spacing w:before="120" w:after="120"/>
        <w:jc w:val="right"/>
        <w:rPr>
          <w:i/>
          <w:lang w:val="nl-NL"/>
        </w:rPr>
      </w:pPr>
      <w:r w:rsidRPr="00E80F7B">
        <w:rPr>
          <w:i/>
          <w:lang w:val="nl-NL"/>
        </w:rPr>
        <w:t>Nguồn: Bộ Giáo dục và Đào tạo</w:t>
      </w:r>
    </w:p>
    <w:p w:rsidR="00B50613" w:rsidRPr="00E80F7B" w:rsidRDefault="00B50613" w:rsidP="00F724C9">
      <w:pPr>
        <w:spacing w:before="120" w:after="120"/>
        <w:ind w:firstLine="720"/>
        <w:rPr>
          <w:b/>
          <w:lang w:val="nl-NL"/>
        </w:rPr>
      </w:pPr>
    </w:p>
    <w:p w:rsidR="00E5044B" w:rsidRPr="00E80F7B" w:rsidRDefault="00B50613" w:rsidP="00F724C9">
      <w:pPr>
        <w:spacing w:before="120" w:after="120"/>
        <w:ind w:firstLine="720"/>
        <w:rPr>
          <w:b/>
          <w:lang w:val="nl-NL"/>
        </w:rPr>
      </w:pPr>
      <w:r w:rsidRPr="00E80F7B">
        <w:rPr>
          <w:b/>
          <w:lang w:val="nl-NL"/>
        </w:rPr>
        <w:t xml:space="preserve">4. </w:t>
      </w:r>
      <w:r w:rsidR="00E5044B" w:rsidRPr="00E80F7B">
        <w:rPr>
          <w:b/>
          <w:lang w:val="nl-NL"/>
        </w:rPr>
        <w:t>Khó khăn, vướng mắc và nguyên nhân</w:t>
      </w:r>
    </w:p>
    <w:p w:rsidR="00E5044B" w:rsidRPr="00E80F7B" w:rsidRDefault="00B50613" w:rsidP="00F724C9">
      <w:pPr>
        <w:widowControl w:val="0"/>
        <w:spacing w:before="120" w:after="120"/>
        <w:ind w:firstLine="720"/>
        <w:jc w:val="both"/>
        <w:rPr>
          <w:b/>
          <w:i/>
          <w:lang w:val="nb-NO"/>
        </w:rPr>
      </w:pPr>
      <w:r w:rsidRPr="00E80F7B">
        <w:rPr>
          <w:b/>
          <w:i/>
          <w:lang w:val="nb-NO"/>
        </w:rPr>
        <w:t>4</w:t>
      </w:r>
      <w:r w:rsidR="00E5044B" w:rsidRPr="00E80F7B">
        <w:rPr>
          <w:b/>
          <w:i/>
          <w:lang w:val="nb-NO"/>
        </w:rPr>
        <w:t>.1. Khó khăn, vướng mắc</w:t>
      </w:r>
    </w:p>
    <w:p w:rsidR="00D747F5" w:rsidRPr="00E80F7B" w:rsidRDefault="00DF0E9C" w:rsidP="00071437">
      <w:pPr>
        <w:widowControl w:val="0"/>
        <w:spacing w:before="120" w:after="120"/>
        <w:ind w:firstLine="720"/>
        <w:jc w:val="both"/>
      </w:pPr>
      <w:r w:rsidRPr="00E80F7B">
        <w:rPr>
          <w:lang w:val="nb-NO"/>
        </w:rPr>
        <w:t xml:space="preserve">Chính sách thuế SDĐPNN đã được ban hành từ năm 2010, đến </w:t>
      </w:r>
      <w:r w:rsidR="00613C0D" w:rsidRPr="00E80F7B">
        <w:rPr>
          <w:lang w:val="nb-NO"/>
        </w:rPr>
        <w:t>nay chưa được sửa đổi, bổ sung.</w:t>
      </w:r>
      <w:r w:rsidRPr="00E80F7B">
        <w:rPr>
          <w:lang w:val="nb-NO"/>
        </w:rPr>
        <w:t xml:space="preserve"> </w:t>
      </w:r>
      <w:r w:rsidR="00613C0D" w:rsidRPr="00E80F7B">
        <w:rPr>
          <w:lang w:val="nb-NO"/>
        </w:rPr>
        <w:t>Trong khi đó, h</w:t>
      </w:r>
      <w:r w:rsidR="004D6D01" w:rsidRPr="00E80F7B">
        <w:rPr>
          <w:lang w:val="nb-NO"/>
        </w:rPr>
        <w:t xml:space="preserve">ệ thống pháp luật về đất đai </w:t>
      </w:r>
      <w:r w:rsidR="004D6D01" w:rsidRPr="00E80F7B">
        <w:t>đã sửa đổi toàn diện các</w:t>
      </w:r>
      <w:r w:rsidR="00875E8F" w:rsidRPr="00E80F7B">
        <w:t xml:space="preserve"> quy định về tài chính đất đai </w:t>
      </w:r>
      <w:r w:rsidR="004D6D01" w:rsidRPr="00E80F7B">
        <w:t>đòi hỏi hệ thống thuế liên quan đến đất đai cũng phải tiếp tục được sửa đổi, bổ sung để bảo đảm sự đồng bộ giữa công cụ quản lý đất đai và công cụ điều tiết tài chính, qua đó nâng cao hiệu quả phân bổ và sử dụng nguồn lực đất đai.</w:t>
      </w:r>
    </w:p>
    <w:p w:rsidR="00F37DCB" w:rsidRPr="00E80F7B" w:rsidRDefault="00B50613" w:rsidP="00F724C9">
      <w:pPr>
        <w:pStyle w:val="Heading2"/>
        <w:widowControl w:val="0"/>
        <w:spacing w:before="120" w:after="120"/>
        <w:ind w:firstLine="720"/>
        <w:jc w:val="both"/>
        <w:rPr>
          <w:rFonts w:ascii="Times New Roman" w:hAnsi="Times New Roman" w:cs="Times New Roman"/>
          <w:b w:val="0"/>
          <w:i/>
          <w:color w:val="auto"/>
          <w:sz w:val="28"/>
          <w:szCs w:val="28"/>
          <w:lang w:val="pl-PL"/>
        </w:rPr>
      </w:pPr>
      <w:r w:rsidRPr="00E80F7B">
        <w:rPr>
          <w:rFonts w:ascii="Times New Roman" w:hAnsi="Times New Roman" w:cs="Times New Roman"/>
          <w:i/>
          <w:color w:val="auto"/>
          <w:sz w:val="28"/>
          <w:szCs w:val="28"/>
          <w:lang w:val="pl-PL"/>
        </w:rPr>
        <w:t>4</w:t>
      </w:r>
      <w:r w:rsidR="00F37DCB" w:rsidRPr="00E80F7B">
        <w:rPr>
          <w:rFonts w:ascii="Times New Roman" w:hAnsi="Times New Roman" w:cs="Times New Roman"/>
          <w:i/>
          <w:color w:val="auto"/>
          <w:sz w:val="28"/>
          <w:szCs w:val="28"/>
          <w:lang w:val="pl-PL"/>
        </w:rPr>
        <w:t>.2.</w:t>
      </w:r>
      <w:r w:rsidR="00F37DCB" w:rsidRPr="00E80F7B">
        <w:rPr>
          <w:rFonts w:ascii="Times New Roman" w:eastAsia="MS Mincho" w:hAnsi="Times New Roman" w:cs="Times New Roman"/>
          <w:i/>
          <w:color w:val="auto"/>
          <w:sz w:val="28"/>
          <w:szCs w:val="28"/>
          <w:lang w:val="pl-PL" w:eastAsia="ja-JP"/>
        </w:rPr>
        <w:t xml:space="preserve"> </w:t>
      </w:r>
      <w:r w:rsidR="00F37DCB" w:rsidRPr="00E80F7B">
        <w:rPr>
          <w:rFonts w:ascii="Times New Roman" w:eastAsia="MS Mincho" w:hAnsi="Times New Roman" w:cs="Times New Roman"/>
          <w:i/>
          <w:color w:val="auto"/>
          <w:sz w:val="28"/>
          <w:szCs w:val="28"/>
          <w:lang w:val="vi-VN" w:eastAsia="ja-JP"/>
        </w:rPr>
        <w:t>Nguyên nhân của các tồn tại, hạn chế</w:t>
      </w:r>
    </w:p>
    <w:p w:rsidR="00F37DCB" w:rsidRPr="00E80F7B" w:rsidRDefault="00F37DCB" w:rsidP="00F724C9">
      <w:pPr>
        <w:widowControl w:val="0"/>
        <w:tabs>
          <w:tab w:val="left" w:pos="0"/>
          <w:tab w:val="left" w:pos="993"/>
        </w:tabs>
        <w:spacing w:before="120" w:after="120"/>
        <w:ind w:firstLine="720"/>
        <w:jc w:val="both"/>
        <w:rPr>
          <w:lang w:val="pl-PL"/>
        </w:rPr>
      </w:pPr>
      <w:r w:rsidRPr="00E80F7B">
        <w:rPr>
          <w:lang w:val="pl-PL"/>
        </w:rPr>
        <w:t>Những tồn tại, hạn chế nói trên xuất phát từ cả các nguyên nhân khách quan và chủ quan. Cụ thể như sau:</w:t>
      </w:r>
    </w:p>
    <w:p w:rsidR="00F37DCB" w:rsidRPr="00E80F7B" w:rsidRDefault="00F37DCB" w:rsidP="00F724C9">
      <w:pPr>
        <w:widowControl w:val="0"/>
        <w:tabs>
          <w:tab w:val="left" w:pos="0"/>
          <w:tab w:val="left" w:pos="993"/>
        </w:tabs>
        <w:spacing w:before="120" w:after="120"/>
        <w:ind w:firstLine="720"/>
        <w:jc w:val="both"/>
        <w:rPr>
          <w:i/>
          <w:lang w:val="pl-PL"/>
        </w:rPr>
      </w:pPr>
      <w:r w:rsidRPr="00E80F7B">
        <w:rPr>
          <w:i/>
          <w:lang w:val="pl-PL"/>
        </w:rPr>
        <w:t>a) Về nguyên nhân khách quan</w:t>
      </w:r>
    </w:p>
    <w:p w:rsidR="0024033A" w:rsidRPr="00E80F7B" w:rsidRDefault="00B04A81" w:rsidP="00F724C9">
      <w:pPr>
        <w:widowControl w:val="0"/>
        <w:tabs>
          <w:tab w:val="left" w:pos="720"/>
        </w:tabs>
        <w:spacing w:before="120" w:after="120"/>
        <w:ind w:firstLine="720"/>
        <w:jc w:val="both"/>
        <w:rPr>
          <w:lang w:val="pl-PL"/>
        </w:rPr>
      </w:pPr>
      <w:r w:rsidRPr="00E80F7B">
        <w:rPr>
          <w:lang w:val="pl-PL"/>
        </w:rPr>
        <w:t xml:space="preserve">Để thực hiện mục tiêu tái cơ cấu nguồn thu NSNN theo chủ trương của Đảng và Nhà nước, </w:t>
      </w:r>
      <w:r w:rsidR="0024033A" w:rsidRPr="00E80F7B">
        <w:rPr>
          <w:lang w:val="pl-PL"/>
        </w:rPr>
        <w:t>t</w:t>
      </w:r>
      <w:r w:rsidR="0024033A" w:rsidRPr="00E80F7B">
        <w:rPr>
          <w:lang w:val="nl-NL"/>
        </w:rPr>
        <w:t xml:space="preserve">hực hiện Kế hoạch số 81/KH-UBTVQH15 ngày 05/11/2021 của </w:t>
      </w:r>
      <w:r w:rsidR="00C705D9" w:rsidRPr="00E80F7B">
        <w:rPr>
          <w:lang w:val="nl-NL"/>
        </w:rPr>
        <w:t>UBTVQH</w:t>
      </w:r>
      <w:r w:rsidR="0024033A" w:rsidRPr="00E80F7B">
        <w:rPr>
          <w:lang w:val="nl-NL"/>
        </w:rPr>
        <w:t xml:space="preserve">, Quyết định số 2114/QĐ-TTg ngày 16/12/2021 của Thủ tướng Chính phủ ban hành Kế hoạch thực hiện Kết luận số 19-KL/TW của Bộ Chính trị và Đề án Định hướng Chương trình xây dựng pháp luật nhiệm kỳ Quốc hội khóa XV, Bộ Tài chính đã tổng hợp ý kiến các Bộ, ngành, địa phương và kinh nghiệm quốc tế để xây dựng Báo cáo nghiên cứu, rà soát các luật thuế, trong đó có thuế SDĐPNN, thuế </w:t>
      </w:r>
      <w:r w:rsidR="001B0649" w:rsidRPr="00E80F7B">
        <w:rPr>
          <w:lang w:val="nl-NL"/>
        </w:rPr>
        <w:t>SDĐNN</w:t>
      </w:r>
      <w:r w:rsidR="0024033A" w:rsidRPr="00E80F7B">
        <w:rPr>
          <w:lang w:val="nl-NL"/>
        </w:rPr>
        <w:t xml:space="preserve"> và các sắc thuế liên quan đến </w:t>
      </w:r>
      <w:r w:rsidR="00C705D9" w:rsidRPr="00E80F7B">
        <w:rPr>
          <w:lang w:val="nl-NL"/>
        </w:rPr>
        <w:t>BĐS</w:t>
      </w:r>
      <w:r w:rsidR="0024033A" w:rsidRPr="00E80F7B">
        <w:rPr>
          <w:lang w:val="nl-NL"/>
        </w:rPr>
        <w:t>.</w:t>
      </w:r>
    </w:p>
    <w:p w:rsidR="0024033A" w:rsidRPr="00E80F7B" w:rsidRDefault="0024033A" w:rsidP="00F724C9">
      <w:pPr>
        <w:spacing w:before="120" w:after="120"/>
        <w:ind w:firstLine="720"/>
        <w:jc w:val="both"/>
        <w:rPr>
          <w:lang w:val="nl-NL"/>
        </w:rPr>
      </w:pPr>
      <w:r w:rsidRPr="00E80F7B">
        <w:rPr>
          <w:lang w:val="nl-NL"/>
        </w:rPr>
        <w:t xml:space="preserve">Theo đó, ngày 16/3/2023, Chính phủ đã có Báo cáo số 71/BC-CP gửi </w:t>
      </w:r>
      <w:r w:rsidR="00C705D9" w:rsidRPr="00E80F7B">
        <w:rPr>
          <w:lang w:val="nl-NL"/>
        </w:rPr>
        <w:t>UBTVQH</w:t>
      </w:r>
      <w:r w:rsidRPr="00E80F7B">
        <w:rPr>
          <w:lang w:val="nl-NL"/>
        </w:rPr>
        <w:t xml:space="preserve"> về Kết quả triển khai thực hiện Kế hoạch số 81/KH-UBTVQH15, trong đó đã báo cáo kết quả rà soát, nghiên cứu đối với Luật </w:t>
      </w:r>
      <w:r w:rsidR="00C975A6" w:rsidRPr="00E80F7B">
        <w:rPr>
          <w:lang w:val="nl-NL"/>
        </w:rPr>
        <w:t>T</w:t>
      </w:r>
      <w:r w:rsidRPr="00E80F7B">
        <w:rPr>
          <w:lang w:val="nl-NL"/>
        </w:rPr>
        <w:t xml:space="preserve">huế SDĐPNN và Luật </w:t>
      </w:r>
      <w:r w:rsidR="00C975A6" w:rsidRPr="00E80F7B">
        <w:rPr>
          <w:lang w:val="nl-NL"/>
        </w:rPr>
        <w:t>T</w:t>
      </w:r>
      <w:r w:rsidRPr="00E80F7B">
        <w:rPr>
          <w:lang w:val="nl-NL"/>
        </w:rPr>
        <w:t xml:space="preserve">huế SDĐNN và đề xuất xây dựng dự án Luật </w:t>
      </w:r>
      <w:r w:rsidR="00C975A6" w:rsidRPr="00E80F7B">
        <w:rPr>
          <w:lang w:val="nl-NL"/>
        </w:rPr>
        <w:t>T</w:t>
      </w:r>
      <w:r w:rsidRPr="00E80F7B">
        <w:rPr>
          <w:lang w:val="nl-NL"/>
        </w:rPr>
        <w:t xml:space="preserve">huế </w:t>
      </w:r>
      <w:r w:rsidR="00C705D9" w:rsidRPr="00E80F7B">
        <w:rPr>
          <w:lang w:val="nl-NL"/>
        </w:rPr>
        <w:t>BĐS</w:t>
      </w:r>
      <w:r w:rsidRPr="00E80F7B">
        <w:rPr>
          <w:lang w:val="nl-NL"/>
        </w:rPr>
        <w:t>, dự kiến đề nghị bổ sung vào Chương trình xây dựng luật, pháp lệnh năm 2024, trình Quốc hội cho ý kiến tại kỳ họp thứ 8 và thông qua tại kỳ họp thứ 9 (tháng 5/2025).</w:t>
      </w:r>
    </w:p>
    <w:p w:rsidR="008F27A7" w:rsidRPr="00E80F7B" w:rsidRDefault="008F27A7" w:rsidP="00F724C9">
      <w:pPr>
        <w:widowControl w:val="0"/>
        <w:pBdr>
          <w:top w:val="dotted" w:sz="4" w:space="0" w:color="FFFFFF"/>
          <w:left w:val="dotted" w:sz="4" w:space="0" w:color="FFFFFF"/>
          <w:bottom w:val="dotted" w:sz="4" w:space="11" w:color="FFFFFF"/>
          <w:right w:val="dotted" w:sz="4" w:space="0" w:color="FFFFFF"/>
        </w:pBdr>
        <w:spacing w:before="120" w:after="120"/>
        <w:ind w:firstLine="720"/>
        <w:jc w:val="both"/>
        <w:rPr>
          <w:lang w:val="nl-NL"/>
        </w:rPr>
      </w:pPr>
      <w:r w:rsidRPr="00E80F7B">
        <w:rPr>
          <w:lang w:val="nl-NL"/>
        </w:rPr>
        <w:t>Nhằm hoàn thiện chính sách thuế sử dụng đất, thúc đẩy sử dụng đất tiết kiệm và nâng cao hiệu quả sử dụng đất ở Việt Nam, thực hiện chủ trương, quan điểm của Đảng và Nhà nước, tham khảo kinh nghiệm các quốc gia về chính sách thuế đối với BĐS, Bộ Tài chính thấy rằng cần thiết có nghiên cứu xây dựng Luật Thuế BĐS chung thay thế cho Luật Thuế SDĐPNN, Luật Thuế SDĐNN.</w:t>
      </w:r>
    </w:p>
    <w:p w:rsidR="00B705D2" w:rsidRPr="00E80F7B" w:rsidRDefault="0024033A" w:rsidP="00F724C9">
      <w:pPr>
        <w:widowControl w:val="0"/>
        <w:pBdr>
          <w:top w:val="dotted" w:sz="4" w:space="0" w:color="FFFFFF"/>
          <w:left w:val="dotted" w:sz="4" w:space="0" w:color="FFFFFF"/>
          <w:bottom w:val="dotted" w:sz="4" w:space="11" w:color="FFFFFF"/>
          <w:right w:val="dotted" w:sz="4" w:space="0" w:color="FFFFFF"/>
        </w:pBdr>
        <w:spacing w:before="120" w:after="120"/>
        <w:ind w:firstLine="720"/>
        <w:jc w:val="both"/>
        <w:rPr>
          <w:rFonts w:eastAsia="Calibri"/>
        </w:rPr>
      </w:pPr>
      <w:r w:rsidRPr="00E80F7B">
        <w:rPr>
          <w:lang w:val="nl-NL"/>
        </w:rPr>
        <w:t xml:space="preserve">Tuy nhiên, thuế </w:t>
      </w:r>
      <w:r w:rsidR="00C705D9" w:rsidRPr="00E80F7B">
        <w:rPr>
          <w:lang w:val="nl-NL"/>
        </w:rPr>
        <w:t>BĐS</w:t>
      </w:r>
      <w:r w:rsidRPr="00E80F7B">
        <w:rPr>
          <w:lang w:val="nl-NL"/>
        </w:rPr>
        <w:t xml:space="preserve"> là chính sách thuế mới, có phạm vi điều chỉnh rộng, phức tạp, dự kiến sẽ có tác động lớn tới người dân, doanh nghiệp và thị trường BĐS và nền kinh tế. Qua phân tích bối cảnh, tình hình KT-XH và thị trường BĐS; định hướng, mục tiêu phát triển KT-XH giai đoạn 2021-2025 và nhận định tác động của chính sách thuế </w:t>
      </w:r>
      <w:r w:rsidR="00FD77D0" w:rsidRPr="00E80F7B">
        <w:rPr>
          <w:lang w:val="nl-NL"/>
        </w:rPr>
        <w:t>BĐS</w:t>
      </w:r>
      <w:r w:rsidRPr="00E80F7B">
        <w:rPr>
          <w:lang w:val="nl-NL"/>
        </w:rPr>
        <w:t xml:space="preserve">, Bộ Tài chính đã có </w:t>
      </w:r>
      <w:r w:rsidRPr="00E80F7B">
        <w:t xml:space="preserve">Tờ trình số 160/TTr-BTC ngày 06/3/2024 </w:t>
      </w:r>
      <w:r w:rsidRPr="00E80F7B">
        <w:rPr>
          <w:lang w:val="nl-NL"/>
        </w:rPr>
        <w:t xml:space="preserve">báo cáo Thủ tướng Chính phủ </w:t>
      </w:r>
      <w:r w:rsidRPr="00E80F7B">
        <w:rPr>
          <w:rFonts w:eastAsia="Arial"/>
          <w:lang w:val="nl-NL"/>
        </w:rPr>
        <w:t xml:space="preserve">về dự án Luật </w:t>
      </w:r>
      <w:r w:rsidR="00C975A6" w:rsidRPr="00E80F7B">
        <w:rPr>
          <w:rFonts w:eastAsia="Arial"/>
          <w:lang w:val="nl-NL"/>
        </w:rPr>
        <w:t>T</w:t>
      </w:r>
      <w:r w:rsidRPr="00E80F7B">
        <w:rPr>
          <w:rFonts w:eastAsia="Arial"/>
          <w:lang w:val="nl-NL"/>
        </w:rPr>
        <w:t xml:space="preserve">huế </w:t>
      </w:r>
      <w:r w:rsidR="00FD77D0" w:rsidRPr="00E80F7B">
        <w:rPr>
          <w:rFonts w:eastAsia="Arial"/>
          <w:lang w:val="nl-NL"/>
        </w:rPr>
        <w:t>BĐS</w:t>
      </w:r>
      <w:r w:rsidRPr="00E80F7B">
        <w:rPr>
          <w:rFonts w:eastAsia="Arial"/>
          <w:lang w:val="nl-NL"/>
        </w:rPr>
        <w:t xml:space="preserve"> theo hướng Bộ Tài chính đề xuất </w:t>
      </w:r>
      <w:r w:rsidRPr="00E80F7B">
        <w:rPr>
          <w:rFonts w:eastAsia="Calibri"/>
        </w:rPr>
        <w:t xml:space="preserve">tiếp tục nghiên cứu, tổng hợp kinh nghiệm quốc tế, xác định những vướng mắc, bất cập trong quá trình triển khai thi hành các chính sách thuế liên quan đến để báo cáo các cấp có thẩm quyền </w:t>
      </w:r>
      <w:r w:rsidRPr="00E80F7B">
        <w:rPr>
          <w:rFonts w:eastAsia="Calibri"/>
          <w:i/>
        </w:rPr>
        <w:lastRenderedPageBreak/>
        <w:t>vào thời điểm thích hợp</w:t>
      </w:r>
      <w:r w:rsidRPr="00E80F7B">
        <w:rPr>
          <w:rFonts w:eastAsia="Calibri"/>
        </w:rPr>
        <w:t xml:space="preserve">, </w:t>
      </w:r>
      <w:r w:rsidRPr="00E80F7B">
        <w:rPr>
          <w:bCs/>
        </w:rPr>
        <w:t>và đã được Lãnh đạo Chính phủ đồng ý tại công văn số 1115/VPCP-PL ngày 02/4/2024</w:t>
      </w:r>
      <w:r w:rsidRPr="00E80F7B">
        <w:rPr>
          <w:rFonts w:eastAsia="Calibri"/>
        </w:rPr>
        <w:t>.</w:t>
      </w:r>
    </w:p>
    <w:p w:rsidR="00177CC2" w:rsidRPr="00E80F7B" w:rsidRDefault="00F37DCB" w:rsidP="00F724C9">
      <w:pPr>
        <w:widowControl w:val="0"/>
        <w:pBdr>
          <w:top w:val="dotted" w:sz="4" w:space="0" w:color="FFFFFF"/>
          <w:left w:val="dotted" w:sz="4" w:space="0" w:color="FFFFFF"/>
          <w:bottom w:val="dotted" w:sz="4" w:space="11" w:color="FFFFFF"/>
          <w:right w:val="dotted" w:sz="4" w:space="0" w:color="FFFFFF"/>
        </w:pBdr>
        <w:spacing w:before="120" w:after="120"/>
        <w:ind w:firstLine="720"/>
        <w:jc w:val="both"/>
        <w:rPr>
          <w:rFonts w:eastAsia="MS Mincho"/>
          <w:lang w:eastAsia="ja-JP"/>
        </w:rPr>
      </w:pPr>
      <w:r w:rsidRPr="00E80F7B">
        <w:rPr>
          <w:rFonts w:eastAsia="MS Mincho"/>
          <w:i/>
          <w:lang w:val="pl-PL" w:eastAsia="ja-JP"/>
        </w:rPr>
        <w:t>b)</w:t>
      </w:r>
      <w:r w:rsidRPr="00E80F7B">
        <w:rPr>
          <w:rFonts w:eastAsia="MS Mincho"/>
          <w:i/>
          <w:lang w:val="am-ET" w:eastAsia="ja-JP"/>
        </w:rPr>
        <w:t xml:space="preserve"> Về nguyên nhân chủ quan</w:t>
      </w:r>
      <w:r w:rsidRPr="00E80F7B">
        <w:rPr>
          <w:rFonts w:eastAsia="MS Mincho"/>
          <w:lang w:val="am-ET" w:eastAsia="ja-JP"/>
        </w:rPr>
        <w:t xml:space="preserve"> </w:t>
      </w:r>
    </w:p>
    <w:p w:rsidR="00FD77D0" w:rsidRPr="00E80F7B" w:rsidRDefault="00177CC2" w:rsidP="00FD77D0">
      <w:pPr>
        <w:widowControl w:val="0"/>
        <w:pBdr>
          <w:top w:val="dotted" w:sz="4" w:space="0" w:color="FFFFFF"/>
          <w:left w:val="dotted" w:sz="4" w:space="0" w:color="FFFFFF"/>
          <w:bottom w:val="dotted" w:sz="4" w:space="11" w:color="FFFFFF"/>
          <w:right w:val="dotted" w:sz="4" w:space="0" w:color="FFFFFF"/>
        </w:pBdr>
        <w:spacing w:before="120" w:after="120"/>
        <w:ind w:firstLine="720"/>
        <w:jc w:val="both"/>
        <w:rPr>
          <w:rFonts w:eastAsia="Calibri"/>
        </w:rPr>
      </w:pPr>
      <w:r w:rsidRPr="00E80F7B">
        <w:rPr>
          <w:rFonts w:eastAsia="Calibri"/>
        </w:rPr>
        <w:t xml:space="preserve">Sau hơn 15 năm thực hiện Luật Thuế SDĐPNN, đến nay việc thu thuế dần đi vào ổn định. Người dân </w:t>
      </w:r>
      <w:r w:rsidR="00F724C9" w:rsidRPr="00E80F7B">
        <w:rPr>
          <w:rFonts w:eastAsia="Calibri"/>
        </w:rPr>
        <w:t>đã</w:t>
      </w:r>
      <w:r w:rsidRPr="00E80F7B">
        <w:rPr>
          <w:rFonts w:eastAsia="Calibri"/>
        </w:rPr>
        <w:t xml:space="preserve"> nhận thấy trách nhiệm và nghĩa vụ thuế đối với Nhà nước, nghiêm chỉnh chấp hành thực hiện chính sách của Nhà nước. Tuy nhiên, do nguồn thu từ thuế SDĐPNN thấp trong khi số lượng người nộp thuế lớn, một số quy định của Luật Thuế SDĐPNN chưa phù hợp nên công tác quản lý thu thuế SDĐPNN chưa nhận được sự quan tâm đúng mức của chính quyền địa phương, từ đó ảnh hưởng rất lớn đến hiệu quả thu thuế SDĐPNN, ảnh hưởng đến nguồn thu thuế SDĐPNN.</w:t>
      </w:r>
    </w:p>
    <w:p w:rsidR="00FD77D0" w:rsidRPr="00E80F7B" w:rsidRDefault="00B961FD" w:rsidP="00FD77D0">
      <w:pPr>
        <w:widowControl w:val="0"/>
        <w:pBdr>
          <w:top w:val="dotted" w:sz="4" w:space="0" w:color="FFFFFF"/>
          <w:left w:val="dotted" w:sz="4" w:space="0" w:color="FFFFFF"/>
          <w:bottom w:val="dotted" w:sz="4" w:space="11" w:color="FFFFFF"/>
          <w:right w:val="dotted" w:sz="4" w:space="0" w:color="FFFFFF"/>
        </w:pBdr>
        <w:spacing w:before="120" w:after="120"/>
        <w:ind w:firstLine="720"/>
        <w:jc w:val="both"/>
        <w:rPr>
          <w:b/>
          <w:sz w:val="26"/>
          <w:szCs w:val="26"/>
          <w:lang w:val="nl-NL"/>
        </w:rPr>
      </w:pPr>
      <w:r w:rsidRPr="00E80F7B">
        <w:rPr>
          <w:b/>
          <w:sz w:val="26"/>
          <w:szCs w:val="26"/>
          <w:lang w:val="nl-NL"/>
        </w:rPr>
        <w:t>II</w:t>
      </w:r>
      <w:r w:rsidR="009F6BC0" w:rsidRPr="00E80F7B">
        <w:rPr>
          <w:b/>
          <w:sz w:val="26"/>
          <w:szCs w:val="26"/>
          <w:lang w:val="nl-NL"/>
        </w:rPr>
        <w:t>. ĐỀ XUẤT</w:t>
      </w:r>
      <w:r w:rsidR="00D501E0" w:rsidRPr="00E80F7B">
        <w:rPr>
          <w:b/>
          <w:sz w:val="26"/>
          <w:szCs w:val="26"/>
          <w:lang w:val="nl-NL"/>
        </w:rPr>
        <w:t>, KIẾN NGHỊ</w:t>
      </w:r>
    </w:p>
    <w:p w:rsidR="00FD77D0" w:rsidRPr="00E80F7B" w:rsidRDefault="0024322F" w:rsidP="00FD77D0">
      <w:pPr>
        <w:widowControl w:val="0"/>
        <w:pBdr>
          <w:top w:val="dotted" w:sz="4" w:space="0" w:color="FFFFFF"/>
          <w:left w:val="dotted" w:sz="4" w:space="0" w:color="FFFFFF"/>
          <w:bottom w:val="dotted" w:sz="4" w:space="11" w:color="FFFFFF"/>
          <w:right w:val="dotted" w:sz="4" w:space="0" w:color="FFFFFF"/>
        </w:pBdr>
        <w:spacing w:before="120" w:after="120"/>
        <w:ind w:firstLine="720"/>
        <w:jc w:val="both"/>
        <w:rPr>
          <w:i/>
          <w:lang w:val="nl-NL"/>
        </w:rPr>
      </w:pPr>
      <w:r w:rsidRPr="00E80F7B">
        <w:rPr>
          <w:lang w:val="nl-NL"/>
        </w:rPr>
        <w:t xml:space="preserve">Tại </w:t>
      </w:r>
      <w:r w:rsidR="00592D28" w:rsidRPr="00E80F7B">
        <w:rPr>
          <w:lang w:val="nl-NL"/>
        </w:rPr>
        <w:t xml:space="preserve">Nghị quyết số 71-NQ/TW ngày 22/8/2025 của Bộ Chính trị về đột phá phát triển giáo dục và đào tạo có nêu nhiệm vụ, giải pháp: </w:t>
      </w:r>
      <w:r w:rsidR="00592D28" w:rsidRPr="00E80F7B">
        <w:rPr>
          <w:i/>
          <w:lang w:val="nl-NL"/>
        </w:rPr>
        <w:t>“Đổi mới căn bản cơ chế, chính sách tài chính và đầu tư cho giáo dục, đào tạo”; “Xây dựng cơ chế, chính sách đủ mạnh khuyến khích tổ chức, doanh nghiệp đầu tư phát triển giáo dục, đào tạo”;</w:t>
      </w:r>
      <w:r w:rsidR="00592D28" w:rsidRPr="00E80F7B">
        <w:rPr>
          <w:lang w:val="nl-NL"/>
        </w:rPr>
        <w:t xml:space="preserve"> </w:t>
      </w:r>
      <w:r w:rsidR="00592D28" w:rsidRPr="00E80F7B">
        <w:rPr>
          <w:i/>
          <w:lang w:val="nl-NL"/>
        </w:rPr>
        <w:t>“Sửa đổi, bổ sung các VBQPPL có liên quan để bổ sung các quy định không thu tiền sử dụng đất, giảm tiền thuê đất, tiền thuế đất đối với các cơ sở giáo dục trong nước.</w:t>
      </w:r>
      <w:r w:rsidR="00592D28" w:rsidRPr="00E80F7B">
        <w:rPr>
          <w:sz w:val="26"/>
          <w:szCs w:val="26"/>
        </w:rPr>
        <w:t xml:space="preserve"> </w:t>
      </w:r>
      <w:r w:rsidR="00592D28" w:rsidRPr="00E80F7B">
        <w:rPr>
          <w:i/>
          <w:lang w:val="nl-NL"/>
        </w:rPr>
        <w:t xml:space="preserve">Không áp dụng thuế TNDN đối với cơ sở giáo dục công lập, cơ sở giáo dục tư thục hoạt động không vì lợi nhuận”. </w:t>
      </w:r>
    </w:p>
    <w:p w:rsidR="00592D28" w:rsidRPr="00E80F7B" w:rsidRDefault="00CB0D24" w:rsidP="00FD77D0">
      <w:pPr>
        <w:widowControl w:val="0"/>
        <w:pBdr>
          <w:top w:val="dotted" w:sz="4" w:space="0" w:color="FFFFFF"/>
          <w:left w:val="dotted" w:sz="4" w:space="0" w:color="FFFFFF"/>
          <w:bottom w:val="dotted" w:sz="4" w:space="11" w:color="FFFFFF"/>
          <w:right w:val="dotted" w:sz="4" w:space="0" w:color="FFFFFF"/>
        </w:pBdr>
        <w:spacing w:before="120" w:after="120"/>
        <w:ind w:firstLine="720"/>
        <w:jc w:val="both"/>
        <w:rPr>
          <w:lang w:val="nl-NL"/>
        </w:rPr>
      </w:pPr>
      <w:r w:rsidRPr="00E80F7B">
        <w:rPr>
          <w:lang w:val="nl-NL"/>
        </w:rPr>
        <w:t>- Về thuế SDĐPNN:</w:t>
      </w:r>
      <w:r w:rsidR="00C705D9" w:rsidRPr="00E80F7B">
        <w:rPr>
          <w:lang w:val="nl-NL"/>
        </w:rPr>
        <w:t xml:space="preserve"> </w:t>
      </w:r>
      <w:r w:rsidR="008F27A7" w:rsidRPr="00E80F7B">
        <w:rPr>
          <w:lang w:val="nl-NL"/>
        </w:rPr>
        <w:t>Để thực hiện Nghị quyết số 71-NQ/TW, Nghị quyết số 281/NQ-CP ngày 15/9/2025 của Chính phủ</w:t>
      </w:r>
      <w:r w:rsidR="007E0624" w:rsidRPr="00E80F7B">
        <w:rPr>
          <w:lang w:val="nl-NL"/>
        </w:rPr>
        <w:t xml:space="preserve">, </w:t>
      </w:r>
      <w:r w:rsidR="00592D28" w:rsidRPr="00E80F7B">
        <w:rPr>
          <w:lang w:val="nl-NL"/>
        </w:rPr>
        <w:t xml:space="preserve">cần thiết nghiên cứu sửa đổi, bổ sung một số nội dung quy định tại Luật Thuế SDĐPNN hiện hành </w:t>
      </w:r>
      <w:r w:rsidR="00592D28" w:rsidRPr="00E80F7B">
        <w:rPr>
          <w:rFonts w:eastAsia="Calibri"/>
        </w:rPr>
        <w:t>theo hướng:</w:t>
      </w:r>
    </w:p>
    <w:p w:rsidR="00203340" w:rsidRPr="00E80F7B" w:rsidRDefault="00203340" w:rsidP="00203340">
      <w:pPr>
        <w:widowControl w:val="0"/>
        <w:pBdr>
          <w:top w:val="dotted" w:sz="4" w:space="0" w:color="FFFFFF"/>
          <w:left w:val="dotted" w:sz="4" w:space="0" w:color="FFFFFF"/>
          <w:bottom w:val="dotted" w:sz="4" w:space="11" w:color="FFFFFF"/>
          <w:right w:val="dotted" w:sz="4" w:space="0" w:color="FFFFFF"/>
        </w:pBdr>
        <w:spacing w:before="120" w:after="120"/>
        <w:ind w:firstLine="720"/>
        <w:jc w:val="both"/>
        <w:rPr>
          <w:rFonts w:eastAsia="Calibri"/>
        </w:rPr>
      </w:pPr>
      <w:r w:rsidRPr="00E80F7B">
        <w:rPr>
          <w:rFonts w:eastAsia="Calibri"/>
          <w:i/>
        </w:rPr>
        <w:t>Một là,</w:t>
      </w:r>
      <w:r w:rsidRPr="00E80F7B">
        <w:rPr>
          <w:rFonts w:eastAsia="Calibri"/>
        </w:rPr>
        <w:t xml:space="preserve"> rà soát đối tượng chịu thuế và đối tượng không chịu thuế để đảm bảo phù hợp, thống nhất với pháp luật về đất đai hiện hành.</w:t>
      </w:r>
    </w:p>
    <w:p w:rsidR="00203340" w:rsidRPr="00E80F7B" w:rsidRDefault="00203340" w:rsidP="00203340">
      <w:pPr>
        <w:widowControl w:val="0"/>
        <w:pBdr>
          <w:top w:val="dotted" w:sz="4" w:space="0" w:color="FFFFFF"/>
          <w:left w:val="dotted" w:sz="4" w:space="0" w:color="FFFFFF"/>
          <w:bottom w:val="dotted" w:sz="4" w:space="11" w:color="FFFFFF"/>
          <w:right w:val="dotted" w:sz="4" w:space="0" w:color="FFFFFF"/>
        </w:pBdr>
        <w:spacing w:before="120" w:after="120"/>
        <w:ind w:firstLine="720"/>
        <w:jc w:val="both"/>
        <w:rPr>
          <w:rFonts w:eastAsia="Calibri"/>
        </w:rPr>
      </w:pPr>
      <w:r w:rsidRPr="00E80F7B">
        <w:rPr>
          <w:rFonts w:eastAsia="Calibri"/>
          <w:i/>
        </w:rPr>
        <w:t>Hai là,</w:t>
      </w:r>
      <w:r w:rsidRPr="00E80F7B">
        <w:rPr>
          <w:rFonts w:eastAsia="Calibri"/>
        </w:rPr>
        <w:t xml:space="preserve"> nghiên cứu bổ sung ưu đãi thuế SDĐPNN đối với cơ sở giáo dục – đào tạo trong nước nhằm thu hút nguồn lực xã hội, mở rộng khả năng cung ứng dịch vụ giáo dục, góp phần nâng cao năng lực cạnh tranh quốc gia, tạo nền tảng cho tăng trưởng kinh tế dài hạn, phù hợp với thông lệ quốc tế.</w:t>
      </w:r>
    </w:p>
    <w:p w:rsidR="0047746B" w:rsidRPr="00E80F7B" w:rsidRDefault="00CB0D24" w:rsidP="00CB0D24">
      <w:pPr>
        <w:widowControl w:val="0"/>
        <w:pBdr>
          <w:top w:val="dotted" w:sz="4" w:space="0" w:color="FFFFFF"/>
          <w:left w:val="dotted" w:sz="4" w:space="0" w:color="FFFFFF"/>
          <w:bottom w:val="dotted" w:sz="4" w:space="11" w:color="FFFFFF"/>
          <w:right w:val="dotted" w:sz="4" w:space="0" w:color="FFFFFF"/>
        </w:pBdr>
        <w:spacing w:before="120" w:after="120"/>
        <w:ind w:firstLine="720"/>
        <w:jc w:val="both"/>
      </w:pPr>
      <w:r w:rsidRPr="00E80F7B">
        <w:rPr>
          <w:rFonts w:eastAsia="Calibri"/>
        </w:rPr>
        <w:t>- Về thuế TNDN:</w:t>
      </w:r>
      <w:r w:rsidRPr="00E80F7B">
        <w:rPr>
          <w:rFonts w:eastAsia="Calibri"/>
          <w:i/>
        </w:rPr>
        <w:t xml:space="preserve"> </w:t>
      </w:r>
      <w:r w:rsidR="00B50613" w:rsidRPr="00E80F7B">
        <w:rPr>
          <w:lang w:val="nl-NL"/>
        </w:rPr>
        <w:t>Đ</w:t>
      </w:r>
      <w:r w:rsidRPr="00E80F7B">
        <w:rPr>
          <w:lang w:val="nl-NL"/>
        </w:rPr>
        <w:t xml:space="preserve">ể thể chế hóa chủ trương tại Nghị quyết số 71-NQ/TW, </w:t>
      </w:r>
      <w:r w:rsidRPr="00E80F7B">
        <w:t xml:space="preserve">cần thiết nghiên cứu bổ sung nội dung sửa đổi về thuế TNDN theo hướng sửa đổi quy định miễn thuế tại khoản 5 Điều 15 </w:t>
      </w:r>
      <w:r w:rsidRPr="00E80F7B">
        <w:rPr>
          <w:bCs/>
          <w:lang w:val="af-ZA" w:eastAsia="vi-VN"/>
        </w:rPr>
        <w:t xml:space="preserve">Luật Thuế TNDN </w:t>
      </w:r>
      <w:r w:rsidRPr="00E80F7B">
        <w:t>áp dụng cho các cơ sở giáo dục, không phân biệt công lập hay tư thục.</w:t>
      </w:r>
    </w:p>
    <w:p w:rsidR="00CF0465" w:rsidRPr="00E80F7B" w:rsidRDefault="00CF0465" w:rsidP="00F724C9">
      <w:pPr>
        <w:widowControl w:val="0"/>
        <w:pBdr>
          <w:top w:val="dotted" w:sz="4" w:space="0" w:color="FFFFFF"/>
          <w:left w:val="dotted" w:sz="4" w:space="0" w:color="FFFFFF"/>
          <w:bottom w:val="dotted" w:sz="4" w:space="11" w:color="FFFFFF"/>
          <w:right w:val="dotted" w:sz="4" w:space="0" w:color="FFFFFF"/>
        </w:pBdr>
        <w:spacing w:before="120" w:after="120"/>
        <w:ind w:firstLine="720"/>
        <w:jc w:val="both"/>
      </w:pPr>
      <w:r w:rsidRPr="00E80F7B">
        <w:rPr>
          <w:rFonts w:eastAsia="Arial"/>
          <w:lang w:val="nl-NL"/>
        </w:rPr>
        <w:t xml:space="preserve">Trên đây là báo cáo tổng kết tình hình thực hiện các </w:t>
      </w:r>
      <w:r w:rsidR="001B2FDE" w:rsidRPr="00E80F7B">
        <w:rPr>
          <w:rFonts w:eastAsia="Arial"/>
          <w:lang w:val="nl-NL"/>
        </w:rPr>
        <w:t>Luật</w:t>
      </w:r>
      <w:r w:rsidR="00B647D2" w:rsidRPr="00E80F7B">
        <w:rPr>
          <w:rFonts w:eastAsia="Arial"/>
          <w:lang w:val="nl-NL"/>
        </w:rPr>
        <w:t xml:space="preserve"> thuế </w:t>
      </w:r>
      <w:r w:rsidR="002731B1" w:rsidRPr="00E80F7B">
        <w:rPr>
          <w:rFonts w:eastAsia="Arial"/>
          <w:lang w:val="nl-NL"/>
        </w:rPr>
        <w:t>SDĐPNN</w:t>
      </w:r>
      <w:r w:rsidR="0045067D" w:rsidRPr="00E80F7B">
        <w:rPr>
          <w:rFonts w:eastAsia="Arial"/>
          <w:lang w:val="nl-NL"/>
        </w:rPr>
        <w:t xml:space="preserve">, </w:t>
      </w:r>
      <w:r w:rsidR="001B2FDE" w:rsidRPr="00E80F7B">
        <w:rPr>
          <w:rFonts w:eastAsia="Arial"/>
          <w:lang w:val="nl-NL"/>
        </w:rPr>
        <w:t xml:space="preserve">Luật </w:t>
      </w:r>
      <w:r w:rsidR="0045067D" w:rsidRPr="00E80F7B">
        <w:rPr>
          <w:rFonts w:eastAsia="Arial"/>
          <w:lang w:val="nl-NL"/>
        </w:rPr>
        <w:t>thuế TNDN</w:t>
      </w:r>
      <w:r w:rsidR="001B2FDE" w:rsidRPr="00E80F7B">
        <w:rPr>
          <w:rFonts w:eastAsia="Arial"/>
          <w:lang w:val="nl-NL"/>
        </w:rPr>
        <w:t>, trong đó có đánh giá thực thi chính sách thuế SDĐPNN và thuế TNDN</w:t>
      </w:r>
      <w:r w:rsidR="0045067D" w:rsidRPr="00E80F7B">
        <w:rPr>
          <w:rFonts w:eastAsia="Arial"/>
          <w:lang w:val="nl-NL"/>
        </w:rPr>
        <w:t xml:space="preserve"> đối với lĩnh vực giáo dục</w:t>
      </w:r>
      <w:r w:rsidR="007902DA" w:rsidRPr="00E80F7B">
        <w:rPr>
          <w:rFonts w:eastAsia="Arial"/>
          <w:lang w:val="nl-NL"/>
        </w:rPr>
        <w:t xml:space="preserve"> và</w:t>
      </w:r>
      <w:r w:rsidR="0045067D" w:rsidRPr="00E80F7B">
        <w:rPr>
          <w:rFonts w:eastAsia="Arial"/>
          <w:lang w:val="nl-NL"/>
        </w:rPr>
        <w:t xml:space="preserve"> đào tạo</w:t>
      </w:r>
      <w:r w:rsidRPr="00E80F7B">
        <w:rPr>
          <w:rFonts w:eastAsia="Arial"/>
          <w:lang w:val="nl-NL"/>
        </w:rPr>
        <w:t>./.</w:t>
      </w:r>
    </w:p>
    <w:tbl>
      <w:tblPr>
        <w:tblW w:w="9606" w:type="dxa"/>
        <w:tblLook w:val="0000"/>
      </w:tblPr>
      <w:tblGrid>
        <w:gridCol w:w="4428"/>
        <w:gridCol w:w="5178"/>
      </w:tblGrid>
      <w:tr w:rsidR="0024613E" w:rsidRPr="00E80F7B" w:rsidTr="00C705D9">
        <w:trPr>
          <w:trHeight w:val="1573"/>
        </w:trPr>
        <w:tc>
          <w:tcPr>
            <w:tcW w:w="4428" w:type="dxa"/>
          </w:tcPr>
          <w:p w:rsidR="0024613E" w:rsidRPr="00E80F7B" w:rsidRDefault="0024613E" w:rsidP="0024613E">
            <w:pPr>
              <w:widowControl w:val="0"/>
              <w:jc w:val="both"/>
              <w:rPr>
                <w:bCs/>
                <w:sz w:val="24"/>
                <w:szCs w:val="24"/>
                <w:lang w:val="nl-NL"/>
              </w:rPr>
            </w:pPr>
            <w:r w:rsidRPr="00E80F7B">
              <w:rPr>
                <w:b/>
                <w:i/>
                <w:sz w:val="24"/>
                <w:szCs w:val="24"/>
                <w:lang w:val="nl-NL"/>
              </w:rPr>
              <w:lastRenderedPageBreak/>
              <w:t>Nơi nhận:</w:t>
            </w:r>
          </w:p>
          <w:p w:rsidR="0024613E" w:rsidRPr="00E80F7B" w:rsidRDefault="0024613E" w:rsidP="0024613E">
            <w:pPr>
              <w:widowControl w:val="0"/>
              <w:jc w:val="both"/>
              <w:rPr>
                <w:bCs/>
                <w:sz w:val="24"/>
                <w:szCs w:val="24"/>
                <w:lang w:val="nl-NL"/>
              </w:rPr>
            </w:pPr>
            <w:r w:rsidRPr="00E80F7B">
              <w:rPr>
                <w:bCs/>
                <w:sz w:val="22"/>
                <w:szCs w:val="24"/>
                <w:lang w:val="nl-NL"/>
              </w:rPr>
              <w:t>- Chính phủ;</w:t>
            </w:r>
          </w:p>
          <w:p w:rsidR="0024613E" w:rsidRPr="00E80F7B" w:rsidRDefault="0024613E" w:rsidP="0024613E">
            <w:pPr>
              <w:widowControl w:val="0"/>
              <w:jc w:val="both"/>
              <w:rPr>
                <w:bCs/>
                <w:sz w:val="24"/>
                <w:szCs w:val="24"/>
                <w:lang w:val="nl-NL"/>
              </w:rPr>
            </w:pPr>
            <w:r w:rsidRPr="00E80F7B">
              <w:rPr>
                <w:bCs/>
                <w:sz w:val="22"/>
                <w:szCs w:val="24"/>
                <w:lang w:val="nl-NL"/>
              </w:rPr>
              <w:t>- Bộ trưởng (để b/cáo);</w:t>
            </w:r>
          </w:p>
          <w:p w:rsidR="0024613E" w:rsidRPr="00E80F7B" w:rsidRDefault="0024613E" w:rsidP="0024613E">
            <w:pPr>
              <w:widowControl w:val="0"/>
              <w:jc w:val="both"/>
              <w:rPr>
                <w:bCs/>
                <w:sz w:val="27"/>
                <w:szCs w:val="27"/>
                <w:lang w:val="nl-NL"/>
              </w:rPr>
            </w:pPr>
            <w:r w:rsidRPr="00E80F7B">
              <w:rPr>
                <w:bCs/>
                <w:sz w:val="22"/>
                <w:szCs w:val="24"/>
                <w:lang w:val="nl-NL"/>
              </w:rPr>
              <w:t>- Lưu: VT, CST (  b).</w:t>
            </w:r>
          </w:p>
        </w:tc>
        <w:tc>
          <w:tcPr>
            <w:tcW w:w="5178" w:type="dxa"/>
          </w:tcPr>
          <w:p w:rsidR="0024613E" w:rsidRPr="00E80F7B" w:rsidRDefault="0024613E" w:rsidP="0024613E">
            <w:pPr>
              <w:widowControl w:val="0"/>
              <w:ind w:right="-142"/>
              <w:jc w:val="center"/>
              <w:outlineLvl w:val="3"/>
              <w:rPr>
                <w:b/>
                <w:iCs/>
                <w:sz w:val="26"/>
                <w:szCs w:val="26"/>
                <w:lang w:val="nl-NL"/>
              </w:rPr>
            </w:pPr>
            <w:r w:rsidRPr="00E80F7B">
              <w:rPr>
                <w:b/>
                <w:iCs/>
                <w:sz w:val="26"/>
                <w:szCs w:val="26"/>
                <w:lang w:val="nl-NL"/>
              </w:rPr>
              <w:t>KT. BỘ TRƯỞNG</w:t>
            </w:r>
          </w:p>
          <w:p w:rsidR="0024613E" w:rsidRPr="00E80F7B" w:rsidRDefault="0024613E" w:rsidP="0024613E">
            <w:pPr>
              <w:widowControl w:val="0"/>
              <w:ind w:right="-142"/>
              <w:jc w:val="center"/>
              <w:outlineLvl w:val="3"/>
              <w:rPr>
                <w:b/>
                <w:iCs/>
                <w:sz w:val="26"/>
                <w:szCs w:val="26"/>
                <w:lang w:val="nl-NL"/>
              </w:rPr>
            </w:pPr>
            <w:r w:rsidRPr="00E80F7B">
              <w:rPr>
                <w:b/>
                <w:iCs/>
                <w:sz w:val="26"/>
                <w:szCs w:val="26"/>
                <w:lang w:val="nl-NL"/>
              </w:rPr>
              <w:t>THỨ TRƯỞNG</w:t>
            </w:r>
          </w:p>
          <w:p w:rsidR="0024613E" w:rsidRPr="00E80F7B" w:rsidRDefault="0024613E" w:rsidP="0024613E">
            <w:pPr>
              <w:widowControl w:val="0"/>
              <w:jc w:val="center"/>
              <w:rPr>
                <w:b/>
                <w:lang w:val="nl-NL"/>
              </w:rPr>
            </w:pPr>
          </w:p>
          <w:p w:rsidR="0024613E" w:rsidRPr="00E80F7B" w:rsidRDefault="0024613E" w:rsidP="0024613E">
            <w:pPr>
              <w:widowControl w:val="0"/>
              <w:ind w:left="642"/>
              <w:jc w:val="center"/>
              <w:rPr>
                <w:b/>
                <w:lang w:val="nl-NL"/>
              </w:rPr>
            </w:pPr>
          </w:p>
          <w:p w:rsidR="00470C2B" w:rsidRPr="00E80F7B" w:rsidRDefault="00470C2B" w:rsidP="0024613E">
            <w:pPr>
              <w:widowControl w:val="0"/>
              <w:ind w:left="642"/>
              <w:jc w:val="center"/>
              <w:rPr>
                <w:b/>
                <w:lang w:val="nl-NL"/>
              </w:rPr>
            </w:pPr>
          </w:p>
          <w:p w:rsidR="00470C2B" w:rsidRPr="00E80F7B" w:rsidRDefault="00470C2B" w:rsidP="0024613E">
            <w:pPr>
              <w:widowControl w:val="0"/>
              <w:ind w:left="642"/>
              <w:jc w:val="center"/>
              <w:rPr>
                <w:b/>
                <w:lang w:val="nl-NL"/>
              </w:rPr>
            </w:pPr>
          </w:p>
          <w:p w:rsidR="0024613E" w:rsidRPr="00E80F7B" w:rsidRDefault="0024613E" w:rsidP="00FD77D0">
            <w:pPr>
              <w:widowControl w:val="0"/>
              <w:ind w:right="-144"/>
              <w:jc w:val="center"/>
              <w:outlineLvl w:val="3"/>
              <w:rPr>
                <w:b/>
                <w:iCs/>
                <w:lang w:val="nl-NL"/>
              </w:rPr>
            </w:pPr>
            <w:r w:rsidRPr="00E80F7B">
              <w:rPr>
                <w:b/>
                <w:iCs/>
                <w:lang w:val="nl-NL"/>
              </w:rPr>
              <w:t xml:space="preserve"> Cao Anh Tuấn</w:t>
            </w:r>
          </w:p>
        </w:tc>
      </w:tr>
    </w:tbl>
    <w:p w:rsidR="005A10D7" w:rsidRPr="00E80F7B" w:rsidRDefault="005A10D7" w:rsidP="00FD77D0">
      <w:pPr>
        <w:widowControl w:val="0"/>
        <w:pBdr>
          <w:top w:val="dotted" w:sz="4" w:space="0" w:color="FFFFFF"/>
          <w:left w:val="dotted" w:sz="4" w:space="0" w:color="FFFFFF"/>
          <w:bottom w:val="dotted" w:sz="4" w:space="11" w:color="FFFFFF"/>
          <w:right w:val="dotted" w:sz="4" w:space="0" w:color="FFFFFF"/>
        </w:pBdr>
        <w:spacing w:before="120" w:after="120"/>
        <w:ind w:firstLine="720"/>
        <w:jc w:val="both"/>
        <w:rPr>
          <w:rFonts w:eastAsia="Arial"/>
          <w:b/>
          <w:sz w:val="26"/>
          <w:szCs w:val="26"/>
          <w:lang w:val="nl-NL"/>
        </w:rPr>
      </w:pPr>
    </w:p>
    <w:sectPr w:rsidR="005A10D7" w:rsidRPr="00E80F7B" w:rsidSect="00604D1B">
      <w:headerReference w:type="default" r:id="rId8"/>
      <w:headerReference w:type="first" r:id="rId9"/>
      <w:pgSz w:w="11906" w:h="16838"/>
      <w:pgMar w:top="1134" w:right="1134" w:bottom="1134" w:left="1701" w:header="510" w:footer="510"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05D9" w:rsidRDefault="00C705D9" w:rsidP="006A5947">
      <w:r>
        <w:separator/>
      </w:r>
    </w:p>
  </w:endnote>
  <w:endnote w:type="continuationSeparator" w:id="0">
    <w:p w:rsidR="00C705D9" w:rsidRDefault="00C705D9" w:rsidP="006A594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Courier"/>
    <w:charset w:val="00"/>
    <w:family w:val="swiss"/>
    <w:pitch w:val="variable"/>
    <w:sig w:usb0="00000003" w:usb1="00000000" w:usb2="00000000" w:usb3="00000000" w:csb0="00000001" w:csb1="00000000"/>
  </w:font>
  <w:font w:name="Inter">
    <w:altName w:val="Times New Roman"/>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05D9" w:rsidRDefault="00C705D9" w:rsidP="006A5947">
      <w:r>
        <w:separator/>
      </w:r>
    </w:p>
  </w:footnote>
  <w:footnote w:type="continuationSeparator" w:id="0">
    <w:p w:rsidR="00C705D9" w:rsidRDefault="00C705D9" w:rsidP="006A5947">
      <w:r>
        <w:continuationSeparator/>
      </w:r>
    </w:p>
  </w:footnote>
  <w:footnote w:id="1">
    <w:p w:rsidR="00C705D9" w:rsidRDefault="00C705D9" w:rsidP="00484BBB">
      <w:pPr>
        <w:pStyle w:val="FootnoteText"/>
        <w:spacing w:before="60" w:after="60"/>
        <w:jc w:val="both"/>
      </w:pPr>
      <w:r>
        <w:rPr>
          <w:rStyle w:val="FootnoteReference"/>
        </w:rPr>
        <w:footnoteRef/>
      </w:r>
      <w:r>
        <w:t xml:space="preserve"> Ngày 10/12/2025, Quốc hội đã thông qua 03 Luật về lĩnh vực giáo dục, gồm: Luật sửa đổi, bổ sung một số điều của Luật Giáo dục, Luật giáo dục đại học (sửa đổi) và Luật giáo dục nghề nghiệp (sửa đổi). Đồng thời, thông qua 02 Nghị quyết (Nghị quyết về một số cơ chế, chính sách đặc thù, vượt trội để thực hiện đột phá phát triển giáo dục và đào tạo; Nghị quyết về chủ trương đầu tư Chương trình mục tiêu quốc gia hiện đại hóa, nâng cao chất lượng giáo dục và đào tạo giai đoạn 2026-2030).</w:t>
      </w:r>
    </w:p>
  </w:footnote>
  <w:footnote w:id="2">
    <w:p w:rsidR="00C705D9" w:rsidRPr="001B305B" w:rsidRDefault="00C705D9" w:rsidP="00484BBB">
      <w:pPr>
        <w:spacing w:before="60" w:after="60"/>
        <w:jc w:val="both"/>
        <w:rPr>
          <w:color w:val="000000"/>
          <w:sz w:val="20"/>
          <w:szCs w:val="20"/>
          <w:lang w:val="nl-NL"/>
        </w:rPr>
      </w:pPr>
      <w:r w:rsidRPr="001B305B">
        <w:rPr>
          <w:rStyle w:val="FootnoteReference"/>
          <w:sz w:val="20"/>
          <w:szCs w:val="20"/>
        </w:rPr>
        <w:footnoteRef/>
      </w:r>
      <w:r w:rsidRPr="001B305B">
        <w:rPr>
          <w:sz w:val="20"/>
          <w:szCs w:val="20"/>
        </w:rPr>
        <w:t xml:space="preserve"> </w:t>
      </w:r>
      <w:r w:rsidRPr="001B305B">
        <w:rPr>
          <w:sz w:val="20"/>
          <w:szCs w:val="20"/>
          <w:lang w:val="nl-NL"/>
        </w:rPr>
        <w:t>Bao gồm</w:t>
      </w:r>
      <w:r w:rsidRPr="005A1273">
        <w:rPr>
          <w:sz w:val="20"/>
          <w:szCs w:val="20"/>
          <w:lang w:val="nl-NL"/>
        </w:rPr>
        <w:t xml:space="preserve"> các loại đất: Đất ở; đất xây dựng trụ sở cơ quan, xây dựng công trình sự nghiệp; đất sử dụng vào mục đích quốc phòng, an ninh; đất sản xuất kinh doanh phi nông nghiệp; </w:t>
      </w:r>
      <w:r w:rsidRPr="005A1273">
        <w:rPr>
          <w:color w:val="000000"/>
          <w:sz w:val="20"/>
          <w:szCs w:val="20"/>
          <w:lang w:val="nl-NL"/>
        </w:rPr>
        <w:t>Đất sử dụng vào mục đích công cộng; Đất do các cơ sở tôn giáo sử dụng; Đất có công trình là đình, đền, miếu, am, từ đường, nhà thờ họ; Đất làm nghĩa trang, nghĩa địa; Đất sông, ngòi, kênh, rạch, suối và mặt nước chuyên dùng; Đất phi nông nghiệp kh</w:t>
      </w:r>
      <w:r>
        <w:rPr>
          <w:color w:val="000000"/>
          <w:sz w:val="20"/>
          <w:szCs w:val="20"/>
          <w:lang w:val="nl-NL"/>
        </w:rPr>
        <w:t>ác theo quy định của Chính phủ.</w:t>
      </w:r>
    </w:p>
  </w:footnote>
  <w:footnote w:id="3">
    <w:p w:rsidR="00C705D9" w:rsidRPr="00CF1F91" w:rsidRDefault="00C705D9" w:rsidP="00484BBB">
      <w:pPr>
        <w:widowControl w:val="0"/>
        <w:spacing w:before="60" w:after="60"/>
        <w:jc w:val="both"/>
        <w:rPr>
          <w:i/>
        </w:rPr>
      </w:pPr>
      <w:r w:rsidRPr="00CF1F91">
        <w:rPr>
          <w:rStyle w:val="FootnoteReference"/>
          <w:sz w:val="20"/>
          <w:szCs w:val="20"/>
        </w:rPr>
        <w:footnoteRef/>
      </w:r>
      <w:r>
        <w:t xml:space="preserve"> </w:t>
      </w:r>
      <w:r w:rsidRPr="00CF31DD">
        <w:rPr>
          <w:sz w:val="20"/>
          <w:szCs w:val="20"/>
        </w:rPr>
        <w:t xml:space="preserve">Tại Nghị quyết số 35/NQ-CP ngày 04/6/2019 của Chính phủ về tăng cường huy động các nguồn lực của xã hội đầu tư cho phát triển giáo dục và đào tạo giai đoạn 2019 – 2025 có nêu mục tiêu: </w:t>
      </w:r>
      <w:r w:rsidRPr="00CF31DD">
        <w:rPr>
          <w:i/>
          <w:sz w:val="20"/>
          <w:szCs w:val="20"/>
        </w:rPr>
        <w:t>“Đẩy mạnh huy động các nguồn lực của xã hội, thúc đẩy sự phát triển của các cơ sở giáo dục ngoài công lập đạt tỷ lệ 8,75% số cơ sở và 8,9% người học vào năm 2020 và lần lượt là 13,5% và 16% vào năm 2025”.</w:t>
      </w:r>
    </w:p>
  </w:footnote>
  <w:footnote w:id="4">
    <w:p w:rsidR="00C705D9" w:rsidRDefault="00C705D9" w:rsidP="00484BBB">
      <w:pPr>
        <w:pStyle w:val="FootnoteText"/>
        <w:spacing w:before="60" w:after="60"/>
        <w:jc w:val="both"/>
      </w:pPr>
      <w:r>
        <w:rPr>
          <w:rStyle w:val="FootnoteReference"/>
        </w:rPr>
        <w:footnoteRef/>
      </w:r>
      <w:r>
        <w:t xml:space="preserve"> Báo cáo tổng kết tình hình thực hiện chủ trương xã hội hóa và Nghị quyết số 35/NQ-CP ngày 04/6/2019 của Chính phủ (công văn số 442/BGDĐT-KHTC ngày 28/1/2026 của Bộ Giáo dục và Đào tạo).</w:t>
      </w:r>
    </w:p>
  </w:footnote>
  <w:footnote w:id="5">
    <w:p w:rsidR="00C705D9" w:rsidRPr="00E8589C" w:rsidRDefault="00C705D9" w:rsidP="00484BBB">
      <w:pPr>
        <w:pStyle w:val="NormalWeb"/>
        <w:shd w:val="clear" w:color="auto" w:fill="FFFFFF"/>
        <w:spacing w:before="60" w:beforeAutospacing="0" w:after="60" w:afterAutospacing="0"/>
        <w:jc w:val="both"/>
      </w:pPr>
      <w:r w:rsidRPr="00E8589C">
        <w:rPr>
          <w:rStyle w:val="FootnoteReference"/>
          <w:sz w:val="20"/>
          <w:szCs w:val="20"/>
        </w:rPr>
        <w:footnoteRef/>
      </w:r>
      <w:r w:rsidRPr="00E8589C">
        <w:rPr>
          <w:sz w:val="20"/>
          <w:szCs w:val="20"/>
        </w:rPr>
        <w:t xml:space="preserve"> Điều 5 </w:t>
      </w:r>
      <w:r w:rsidRPr="003F2941">
        <w:rPr>
          <w:sz w:val="20"/>
          <w:szCs w:val="20"/>
          <w:lang w:val="nl-NL"/>
        </w:rPr>
        <w:t>Nghị định số 103/2017/NĐ-CP</w:t>
      </w:r>
      <w:r w:rsidRPr="00E8589C">
        <w:rPr>
          <w:lang w:val="nl-NL"/>
        </w:rPr>
        <w:t xml:space="preserve"> </w:t>
      </w:r>
      <w:r w:rsidRPr="00E8589C">
        <w:rPr>
          <w:sz w:val="20"/>
          <w:szCs w:val="20"/>
        </w:rPr>
        <w:t>quy định loại hình cơ sở trợ giúp xã hội</w:t>
      </w:r>
      <w:r>
        <w:rPr>
          <w:sz w:val="20"/>
          <w:szCs w:val="20"/>
        </w:rPr>
        <w:t>,</w:t>
      </w:r>
      <w:r w:rsidRPr="00E8589C">
        <w:rPr>
          <w:sz w:val="20"/>
          <w:szCs w:val="20"/>
        </w:rPr>
        <w:t xml:space="preserve"> </w:t>
      </w:r>
      <w:r>
        <w:rPr>
          <w:sz w:val="20"/>
          <w:szCs w:val="20"/>
        </w:rPr>
        <w:t xml:space="preserve">bao </w:t>
      </w:r>
      <w:r w:rsidRPr="00E8589C">
        <w:rPr>
          <w:sz w:val="20"/>
          <w:szCs w:val="20"/>
        </w:rPr>
        <w:t xml:space="preserve">gồm: </w:t>
      </w:r>
      <w:r w:rsidRPr="00E8589C">
        <w:rPr>
          <w:color w:val="000000"/>
          <w:sz w:val="20"/>
          <w:szCs w:val="20"/>
        </w:rPr>
        <w:t>Cơ sở bảo trợ xã hội chăm sóc người cao tuổi; Cơ sở bảo trợ xã hội chăm sóc trẻ em có hoàn cảnh đặc biệt; Cơ sở bảo trợ xã hội chăm sóc người khuyết tật; Cơ sở bảo trợ xã hội chăm sóc và phục hồi chức năng cho người tâm thần, người rối nhiễu tâm trí; Cơ sở bảo trợ xã hội tổng hợp thực hiện việc chăm sóc nhiều đối tượng bảo trợ xã hội hoặc đối tượng cần trợ giúp xã hội; Trung tâm công tác xã hội thực hiện việc tư vấn, chăm sóc khẩn cấp hoặc hỗ trợ những điều kiện cần thiết khác cho đối tượng cần trợ giúp xã hội; Cơ sở trợ giúp xã hội khác theo quy định của pháp luật.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4886482"/>
      <w:docPartObj>
        <w:docPartGallery w:val="Page Numbers (Top of Page)"/>
        <w:docPartUnique/>
      </w:docPartObj>
    </w:sdtPr>
    <w:sdtContent>
      <w:p w:rsidR="00C705D9" w:rsidRDefault="009570A3">
        <w:pPr>
          <w:pStyle w:val="Header"/>
          <w:jc w:val="center"/>
        </w:pPr>
        <w:r w:rsidRPr="00F77E98">
          <w:rPr>
            <w:sz w:val="24"/>
            <w:szCs w:val="24"/>
          </w:rPr>
          <w:fldChar w:fldCharType="begin"/>
        </w:r>
        <w:r w:rsidR="00C705D9" w:rsidRPr="00F77E98">
          <w:rPr>
            <w:sz w:val="24"/>
            <w:szCs w:val="24"/>
          </w:rPr>
          <w:instrText xml:space="preserve"> PAGE   \* MERGEFORMAT </w:instrText>
        </w:r>
        <w:r w:rsidRPr="00F77E98">
          <w:rPr>
            <w:sz w:val="24"/>
            <w:szCs w:val="24"/>
          </w:rPr>
          <w:fldChar w:fldCharType="separate"/>
        </w:r>
        <w:r w:rsidR="00E80F7B">
          <w:rPr>
            <w:noProof/>
            <w:sz w:val="24"/>
            <w:szCs w:val="24"/>
          </w:rPr>
          <w:t>22</w:t>
        </w:r>
        <w:r w:rsidRPr="00F77E98">
          <w:rPr>
            <w:sz w:val="24"/>
            <w:szCs w:val="24"/>
          </w:rPr>
          <w:fldChar w:fldCharType="end"/>
        </w:r>
      </w:p>
    </w:sdtContent>
  </w:sdt>
  <w:p w:rsidR="00C705D9" w:rsidRDefault="00C705D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4886483"/>
      <w:docPartObj>
        <w:docPartGallery w:val="Page Numbers (Top of Page)"/>
        <w:docPartUnique/>
      </w:docPartObj>
    </w:sdtPr>
    <w:sdtContent>
      <w:p w:rsidR="00C705D9" w:rsidRDefault="009570A3">
        <w:pPr>
          <w:pStyle w:val="Header"/>
          <w:jc w:val="center"/>
        </w:pPr>
      </w:p>
    </w:sdtContent>
  </w:sdt>
  <w:p w:rsidR="00C705D9" w:rsidRDefault="00C705D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C8377B"/>
    <w:multiLevelType w:val="multilevel"/>
    <w:tmpl w:val="5896D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4A4768"/>
    <w:multiLevelType w:val="hybridMultilevel"/>
    <w:tmpl w:val="743828F6"/>
    <w:lvl w:ilvl="0" w:tplc="7B84194A">
      <w:start w:val="1"/>
      <w:numFmt w:val="bullet"/>
      <w:lvlText w:val="-"/>
      <w:lvlJc w:val="left"/>
      <w:pPr>
        <w:ind w:left="1080" w:hanging="360"/>
      </w:pPr>
      <w:rPr>
        <w:rFonts w:ascii="Times New Roman" w:eastAsia="Arial"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B4A720B"/>
    <w:multiLevelType w:val="multilevel"/>
    <w:tmpl w:val="AA700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05053E"/>
    <w:multiLevelType w:val="multilevel"/>
    <w:tmpl w:val="7B8C0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6F1CB2"/>
    <w:multiLevelType w:val="hybridMultilevel"/>
    <w:tmpl w:val="7E32B1DC"/>
    <w:lvl w:ilvl="0" w:tplc="1C4834E4">
      <w:start w:val="1"/>
      <w:numFmt w:val="bullet"/>
      <w:lvlText w:val="-"/>
      <w:lvlJc w:val="left"/>
      <w:pPr>
        <w:ind w:left="1140" w:hanging="360"/>
      </w:pPr>
      <w:rPr>
        <w:rFonts w:ascii="Times New Roman" w:eastAsia="Times New Roman" w:hAnsi="Times New Roman" w:cs="Times New Roman" w:hint="default"/>
        <w:i w:val="0"/>
      </w:rPr>
    </w:lvl>
    <w:lvl w:ilvl="1" w:tplc="042A0003" w:tentative="1">
      <w:start w:val="1"/>
      <w:numFmt w:val="bullet"/>
      <w:lvlText w:val="o"/>
      <w:lvlJc w:val="left"/>
      <w:pPr>
        <w:ind w:left="1860" w:hanging="360"/>
      </w:pPr>
      <w:rPr>
        <w:rFonts w:ascii="Courier New" w:hAnsi="Courier New" w:cs="Courier New" w:hint="default"/>
      </w:rPr>
    </w:lvl>
    <w:lvl w:ilvl="2" w:tplc="042A0005" w:tentative="1">
      <w:start w:val="1"/>
      <w:numFmt w:val="bullet"/>
      <w:lvlText w:val=""/>
      <w:lvlJc w:val="left"/>
      <w:pPr>
        <w:ind w:left="2580" w:hanging="360"/>
      </w:pPr>
      <w:rPr>
        <w:rFonts w:ascii="Wingdings" w:hAnsi="Wingdings" w:hint="default"/>
      </w:rPr>
    </w:lvl>
    <w:lvl w:ilvl="3" w:tplc="042A0001" w:tentative="1">
      <w:start w:val="1"/>
      <w:numFmt w:val="bullet"/>
      <w:lvlText w:val=""/>
      <w:lvlJc w:val="left"/>
      <w:pPr>
        <w:ind w:left="3300" w:hanging="360"/>
      </w:pPr>
      <w:rPr>
        <w:rFonts w:ascii="Symbol" w:hAnsi="Symbol" w:hint="default"/>
      </w:rPr>
    </w:lvl>
    <w:lvl w:ilvl="4" w:tplc="042A0003" w:tentative="1">
      <w:start w:val="1"/>
      <w:numFmt w:val="bullet"/>
      <w:lvlText w:val="o"/>
      <w:lvlJc w:val="left"/>
      <w:pPr>
        <w:ind w:left="4020" w:hanging="360"/>
      </w:pPr>
      <w:rPr>
        <w:rFonts w:ascii="Courier New" w:hAnsi="Courier New" w:cs="Courier New" w:hint="default"/>
      </w:rPr>
    </w:lvl>
    <w:lvl w:ilvl="5" w:tplc="042A0005" w:tentative="1">
      <w:start w:val="1"/>
      <w:numFmt w:val="bullet"/>
      <w:lvlText w:val=""/>
      <w:lvlJc w:val="left"/>
      <w:pPr>
        <w:ind w:left="4740" w:hanging="360"/>
      </w:pPr>
      <w:rPr>
        <w:rFonts w:ascii="Wingdings" w:hAnsi="Wingdings" w:hint="default"/>
      </w:rPr>
    </w:lvl>
    <w:lvl w:ilvl="6" w:tplc="042A0001" w:tentative="1">
      <w:start w:val="1"/>
      <w:numFmt w:val="bullet"/>
      <w:lvlText w:val=""/>
      <w:lvlJc w:val="left"/>
      <w:pPr>
        <w:ind w:left="5460" w:hanging="360"/>
      </w:pPr>
      <w:rPr>
        <w:rFonts w:ascii="Symbol" w:hAnsi="Symbol" w:hint="default"/>
      </w:rPr>
    </w:lvl>
    <w:lvl w:ilvl="7" w:tplc="042A0003" w:tentative="1">
      <w:start w:val="1"/>
      <w:numFmt w:val="bullet"/>
      <w:lvlText w:val="o"/>
      <w:lvlJc w:val="left"/>
      <w:pPr>
        <w:ind w:left="6180" w:hanging="360"/>
      </w:pPr>
      <w:rPr>
        <w:rFonts w:ascii="Courier New" w:hAnsi="Courier New" w:cs="Courier New" w:hint="default"/>
      </w:rPr>
    </w:lvl>
    <w:lvl w:ilvl="8" w:tplc="042A0005" w:tentative="1">
      <w:start w:val="1"/>
      <w:numFmt w:val="bullet"/>
      <w:lvlText w:val=""/>
      <w:lvlJc w:val="left"/>
      <w:pPr>
        <w:ind w:left="6900" w:hanging="360"/>
      </w:pPr>
      <w:rPr>
        <w:rFonts w:ascii="Wingdings" w:hAnsi="Wingdings" w:hint="default"/>
      </w:rPr>
    </w:lvl>
  </w:abstractNum>
  <w:abstractNum w:abstractNumId="5">
    <w:nsid w:val="421F5586"/>
    <w:multiLevelType w:val="multilevel"/>
    <w:tmpl w:val="9EB04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47E1A2B"/>
    <w:multiLevelType w:val="multilevel"/>
    <w:tmpl w:val="460C9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5CD5C93"/>
    <w:multiLevelType w:val="multilevel"/>
    <w:tmpl w:val="669CED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7FA530D"/>
    <w:multiLevelType w:val="multilevel"/>
    <w:tmpl w:val="D6B8F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B294CC1"/>
    <w:multiLevelType w:val="multilevel"/>
    <w:tmpl w:val="90CC6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DE41484"/>
    <w:multiLevelType w:val="multilevel"/>
    <w:tmpl w:val="8146F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CFD3F0D"/>
    <w:multiLevelType w:val="multilevel"/>
    <w:tmpl w:val="4EB6F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6"/>
  </w:num>
  <w:num w:numId="3">
    <w:abstractNumId w:val="0"/>
  </w:num>
  <w:num w:numId="4">
    <w:abstractNumId w:val="10"/>
  </w:num>
  <w:num w:numId="5">
    <w:abstractNumId w:val="7"/>
  </w:num>
  <w:num w:numId="6">
    <w:abstractNumId w:val="2"/>
  </w:num>
  <w:num w:numId="7">
    <w:abstractNumId w:val="11"/>
  </w:num>
  <w:num w:numId="8">
    <w:abstractNumId w:val="3"/>
  </w:num>
  <w:num w:numId="9">
    <w:abstractNumId w:val="1"/>
  </w:num>
  <w:num w:numId="10">
    <w:abstractNumId w:val="9"/>
  </w:num>
  <w:num w:numId="11">
    <w:abstractNumId w:val="8"/>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defaultTabStop w:val="720"/>
  <w:drawingGridHorizontalSpacing w:val="140"/>
  <w:displayHorizontalDrawingGridEvery w:val="2"/>
  <w:characterSpacingControl w:val="doNotCompress"/>
  <w:footnotePr>
    <w:footnote w:id="-1"/>
    <w:footnote w:id="0"/>
  </w:footnotePr>
  <w:endnotePr>
    <w:endnote w:id="-1"/>
    <w:endnote w:id="0"/>
  </w:endnotePr>
  <w:compat/>
  <w:rsids>
    <w:rsidRoot w:val="00754DC4"/>
    <w:rsid w:val="000015FE"/>
    <w:rsid w:val="00007CCD"/>
    <w:rsid w:val="00011FB4"/>
    <w:rsid w:val="00013A4F"/>
    <w:rsid w:val="0001507F"/>
    <w:rsid w:val="000226C8"/>
    <w:rsid w:val="00022FED"/>
    <w:rsid w:val="000235C1"/>
    <w:rsid w:val="0002616F"/>
    <w:rsid w:val="00030286"/>
    <w:rsid w:val="00031817"/>
    <w:rsid w:val="00031E73"/>
    <w:rsid w:val="00032185"/>
    <w:rsid w:val="000321B0"/>
    <w:rsid w:val="00033442"/>
    <w:rsid w:val="00034D3C"/>
    <w:rsid w:val="00034DDE"/>
    <w:rsid w:val="00036FAF"/>
    <w:rsid w:val="00037E15"/>
    <w:rsid w:val="000502EE"/>
    <w:rsid w:val="00052298"/>
    <w:rsid w:val="000528FE"/>
    <w:rsid w:val="00056A82"/>
    <w:rsid w:val="00056E77"/>
    <w:rsid w:val="000573F9"/>
    <w:rsid w:val="000601EE"/>
    <w:rsid w:val="000639CE"/>
    <w:rsid w:val="00063D39"/>
    <w:rsid w:val="000640E2"/>
    <w:rsid w:val="000671C1"/>
    <w:rsid w:val="00067741"/>
    <w:rsid w:val="0007087B"/>
    <w:rsid w:val="00071437"/>
    <w:rsid w:val="000740DC"/>
    <w:rsid w:val="00074A76"/>
    <w:rsid w:val="0007515B"/>
    <w:rsid w:val="00076590"/>
    <w:rsid w:val="00080171"/>
    <w:rsid w:val="000840AC"/>
    <w:rsid w:val="00092A9E"/>
    <w:rsid w:val="000940EB"/>
    <w:rsid w:val="00097089"/>
    <w:rsid w:val="000A02B9"/>
    <w:rsid w:val="000A288E"/>
    <w:rsid w:val="000A4EA0"/>
    <w:rsid w:val="000A6676"/>
    <w:rsid w:val="000A7493"/>
    <w:rsid w:val="000A7FC1"/>
    <w:rsid w:val="000B0315"/>
    <w:rsid w:val="000B157F"/>
    <w:rsid w:val="000B49D2"/>
    <w:rsid w:val="000B4B6D"/>
    <w:rsid w:val="000C0770"/>
    <w:rsid w:val="000C12D5"/>
    <w:rsid w:val="000C18D8"/>
    <w:rsid w:val="000C2247"/>
    <w:rsid w:val="000C4039"/>
    <w:rsid w:val="000D1618"/>
    <w:rsid w:val="000D4438"/>
    <w:rsid w:val="000D71F5"/>
    <w:rsid w:val="000E1382"/>
    <w:rsid w:val="000E2647"/>
    <w:rsid w:val="000E5A41"/>
    <w:rsid w:val="000E6236"/>
    <w:rsid w:val="000E785D"/>
    <w:rsid w:val="000F00AA"/>
    <w:rsid w:val="000F0ADC"/>
    <w:rsid w:val="000F51D7"/>
    <w:rsid w:val="00103571"/>
    <w:rsid w:val="001053DA"/>
    <w:rsid w:val="00107BEB"/>
    <w:rsid w:val="00112E8E"/>
    <w:rsid w:val="00113132"/>
    <w:rsid w:val="00117510"/>
    <w:rsid w:val="00126C7D"/>
    <w:rsid w:val="0012785F"/>
    <w:rsid w:val="00133292"/>
    <w:rsid w:val="001362D3"/>
    <w:rsid w:val="001417F6"/>
    <w:rsid w:val="00142318"/>
    <w:rsid w:val="001425DA"/>
    <w:rsid w:val="0014299A"/>
    <w:rsid w:val="001448C5"/>
    <w:rsid w:val="00151B08"/>
    <w:rsid w:val="00152594"/>
    <w:rsid w:val="00152B38"/>
    <w:rsid w:val="001531E0"/>
    <w:rsid w:val="001542C8"/>
    <w:rsid w:val="001549A1"/>
    <w:rsid w:val="00155296"/>
    <w:rsid w:val="0015600E"/>
    <w:rsid w:val="001600EB"/>
    <w:rsid w:val="0016087D"/>
    <w:rsid w:val="00161824"/>
    <w:rsid w:val="00161FA1"/>
    <w:rsid w:val="001622C4"/>
    <w:rsid w:val="00166BAA"/>
    <w:rsid w:val="00172440"/>
    <w:rsid w:val="001745B2"/>
    <w:rsid w:val="00175526"/>
    <w:rsid w:val="00177CC2"/>
    <w:rsid w:val="00182060"/>
    <w:rsid w:val="00182578"/>
    <w:rsid w:val="00186344"/>
    <w:rsid w:val="00186EB0"/>
    <w:rsid w:val="0019178E"/>
    <w:rsid w:val="0019299A"/>
    <w:rsid w:val="00193C47"/>
    <w:rsid w:val="001953F3"/>
    <w:rsid w:val="00195DC5"/>
    <w:rsid w:val="001970E6"/>
    <w:rsid w:val="001A2EDC"/>
    <w:rsid w:val="001A56EE"/>
    <w:rsid w:val="001A5E1E"/>
    <w:rsid w:val="001B0649"/>
    <w:rsid w:val="001B1FB3"/>
    <w:rsid w:val="001B2840"/>
    <w:rsid w:val="001B2FDE"/>
    <w:rsid w:val="001B305B"/>
    <w:rsid w:val="001B3571"/>
    <w:rsid w:val="001B513B"/>
    <w:rsid w:val="001B5369"/>
    <w:rsid w:val="001B63F7"/>
    <w:rsid w:val="001B6BDB"/>
    <w:rsid w:val="001B724C"/>
    <w:rsid w:val="001B79A0"/>
    <w:rsid w:val="001C11A4"/>
    <w:rsid w:val="001C297B"/>
    <w:rsid w:val="001C3B82"/>
    <w:rsid w:val="001C426D"/>
    <w:rsid w:val="001C50B9"/>
    <w:rsid w:val="001C7082"/>
    <w:rsid w:val="001D0C3C"/>
    <w:rsid w:val="001D2219"/>
    <w:rsid w:val="001D2F32"/>
    <w:rsid w:val="001E127C"/>
    <w:rsid w:val="001E47B7"/>
    <w:rsid w:val="001E59FE"/>
    <w:rsid w:val="001E6657"/>
    <w:rsid w:val="001E6A9E"/>
    <w:rsid w:val="001F27A5"/>
    <w:rsid w:val="001F286E"/>
    <w:rsid w:val="001F385D"/>
    <w:rsid w:val="001F5EF4"/>
    <w:rsid w:val="001F6605"/>
    <w:rsid w:val="001F6E47"/>
    <w:rsid w:val="00200796"/>
    <w:rsid w:val="00200AB3"/>
    <w:rsid w:val="00203340"/>
    <w:rsid w:val="0020368B"/>
    <w:rsid w:val="00203962"/>
    <w:rsid w:val="00203A43"/>
    <w:rsid w:val="002142D2"/>
    <w:rsid w:val="0021525C"/>
    <w:rsid w:val="00215861"/>
    <w:rsid w:val="002203CD"/>
    <w:rsid w:val="002303A7"/>
    <w:rsid w:val="00231063"/>
    <w:rsid w:val="00232328"/>
    <w:rsid w:val="00234225"/>
    <w:rsid w:val="0024002C"/>
    <w:rsid w:val="0024033A"/>
    <w:rsid w:val="002426D0"/>
    <w:rsid w:val="0024322F"/>
    <w:rsid w:val="00243A54"/>
    <w:rsid w:val="00243EBA"/>
    <w:rsid w:val="00245018"/>
    <w:rsid w:val="0024584E"/>
    <w:rsid w:val="0024613E"/>
    <w:rsid w:val="00252453"/>
    <w:rsid w:val="00256B73"/>
    <w:rsid w:val="00262B63"/>
    <w:rsid w:val="00263513"/>
    <w:rsid w:val="00263A22"/>
    <w:rsid w:val="00266683"/>
    <w:rsid w:val="002731B1"/>
    <w:rsid w:val="00276F0A"/>
    <w:rsid w:val="00277409"/>
    <w:rsid w:val="002775A0"/>
    <w:rsid w:val="0028019E"/>
    <w:rsid w:val="00280283"/>
    <w:rsid w:val="00282D17"/>
    <w:rsid w:val="002847A0"/>
    <w:rsid w:val="002854E8"/>
    <w:rsid w:val="002936FC"/>
    <w:rsid w:val="00293C8C"/>
    <w:rsid w:val="00295F4D"/>
    <w:rsid w:val="00296AE2"/>
    <w:rsid w:val="00297620"/>
    <w:rsid w:val="002A0B6B"/>
    <w:rsid w:val="002A402B"/>
    <w:rsid w:val="002A5203"/>
    <w:rsid w:val="002B0C6F"/>
    <w:rsid w:val="002B11FE"/>
    <w:rsid w:val="002B1982"/>
    <w:rsid w:val="002B2499"/>
    <w:rsid w:val="002B2B67"/>
    <w:rsid w:val="002C068A"/>
    <w:rsid w:val="002C34F4"/>
    <w:rsid w:val="002C385E"/>
    <w:rsid w:val="002C418F"/>
    <w:rsid w:val="002C4877"/>
    <w:rsid w:val="002C4989"/>
    <w:rsid w:val="002C4C3C"/>
    <w:rsid w:val="002C57DE"/>
    <w:rsid w:val="002C7B29"/>
    <w:rsid w:val="002D0614"/>
    <w:rsid w:val="002D099F"/>
    <w:rsid w:val="002D3AA5"/>
    <w:rsid w:val="002D6F9A"/>
    <w:rsid w:val="002E0BDE"/>
    <w:rsid w:val="002E0E91"/>
    <w:rsid w:val="002E153B"/>
    <w:rsid w:val="002E2A4C"/>
    <w:rsid w:val="002E2C8E"/>
    <w:rsid w:val="002E2EA3"/>
    <w:rsid w:val="002E428E"/>
    <w:rsid w:val="002E4EEF"/>
    <w:rsid w:val="002E5C1C"/>
    <w:rsid w:val="002E6C48"/>
    <w:rsid w:val="002F2A15"/>
    <w:rsid w:val="002F4514"/>
    <w:rsid w:val="003021DB"/>
    <w:rsid w:val="00302864"/>
    <w:rsid w:val="003034F8"/>
    <w:rsid w:val="00305C65"/>
    <w:rsid w:val="00310086"/>
    <w:rsid w:val="0031189C"/>
    <w:rsid w:val="00312DF5"/>
    <w:rsid w:val="00316CD2"/>
    <w:rsid w:val="003204E4"/>
    <w:rsid w:val="003225FF"/>
    <w:rsid w:val="00323E85"/>
    <w:rsid w:val="003252C0"/>
    <w:rsid w:val="00325649"/>
    <w:rsid w:val="003259C3"/>
    <w:rsid w:val="003275C3"/>
    <w:rsid w:val="0032760B"/>
    <w:rsid w:val="00331267"/>
    <w:rsid w:val="00331940"/>
    <w:rsid w:val="00331DE7"/>
    <w:rsid w:val="00331E34"/>
    <w:rsid w:val="00332A9A"/>
    <w:rsid w:val="00335E8A"/>
    <w:rsid w:val="0034081F"/>
    <w:rsid w:val="00345261"/>
    <w:rsid w:val="00345C0C"/>
    <w:rsid w:val="00346264"/>
    <w:rsid w:val="003462F7"/>
    <w:rsid w:val="00350978"/>
    <w:rsid w:val="00354A9F"/>
    <w:rsid w:val="003559D9"/>
    <w:rsid w:val="00360D7F"/>
    <w:rsid w:val="0036322E"/>
    <w:rsid w:val="00363BB5"/>
    <w:rsid w:val="00363DDE"/>
    <w:rsid w:val="003654A1"/>
    <w:rsid w:val="00366095"/>
    <w:rsid w:val="003662A8"/>
    <w:rsid w:val="0036745D"/>
    <w:rsid w:val="00372EAE"/>
    <w:rsid w:val="00373852"/>
    <w:rsid w:val="00374961"/>
    <w:rsid w:val="0037601A"/>
    <w:rsid w:val="00380FE4"/>
    <w:rsid w:val="00381453"/>
    <w:rsid w:val="003833E6"/>
    <w:rsid w:val="00385C0B"/>
    <w:rsid w:val="00391FAE"/>
    <w:rsid w:val="0039308B"/>
    <w:rsid w:val="00394195"/>
    <w:rsid w:val="00396D7D"/>
    <w:rsid w:val="003979FC"/>
    <w:rsid w:val="003A01D1"/>
    <w:rsid w:val="003A1583"/>
    <w:rsid w:val="003A2B5F"/>
    <w:rsid w:val="003A57A5"/>
    <w:rsid w:val="003A6C46"/>
    <w:rsid w:val="003A7D35"/>
    <w:rsid w:val="003B03AD"/>
    <w:rsid w:val="003B0C52"/>
    <w:rsid w:val="003B1743"/>
    <w:rsid w:val="003B7724"/>
    <w:rsid w:val="003B7A54"/>
    <w:rsid w:val="003C6F80"/>
    <w:rsid w:val="003C76CE"/>
    <w:rsid w:val="003C7C05"/>
    <w:rsid w:val="003D02B1"/>
    <w:rsid w:val="003D0638"/>
    <w:rsid w:val="003D70A3"/>
    <w:rsid w:val="003D76D4"/>
    <w:rsid w:val="003E23F8"/>
    <w:rsid w:val="003E7024"/>
    <w:rsid w:val="003E7C6A"/>
    <w:rsid w:val="003F04D9"/>
    <w:rsid w:val="003F14EA"/>
    <w:rsid w:val="003F1DB7"/>
    <w:rsid w:val="003F2207"/>
    <w:rsid w:val="003F2941"/>
    <w:rsid w:val="003F3711"/>
    <w:rsid w:val="003F4268"/>
    <w:rsid w:val="003F46D5"/>
    <w:rsid w:val="003F4A5C"/>
    <w:rsid w:val="003F4BF6"/>
    <w:rsid w:val="003F7450"/>
    <w:rsid w:val="003F7D09"/>
    <w:rsid w:val="004001F1"/>
    <w:rsid w:val="00401DCC"/>
    <w:rsid w:val="00405C86"/>
    <w:rsid w:val="004067A4"/>
    <w:rsid w:val="00413700"/>
    <w:rsid w:val="00421B5E"/>
    <w:rsid w:val="00423C23"/>
    <w:rsid w:val="004250A0"/>
    <w:rsid w:val="00427000"/>
    <w:rsid w:val="00427C4D"/>
    <w:rsid w:val="00433B56"/>
    <w:rsid w:val="004377F6"/>
    <w:rsid w:val="00437E0C"/>
    <w:rsid w:val="004418A5"/>
    <w:rsid w:val="00443E97"/>
    <w:rsid w:val="0045067D"/>
    <w:rsid w:val="00450693"/>
    <w:rsid w:val="00451BEC"/>
    <w:rsid w:val="0045225D"/>
    <w:rsid w:val="00453184"/>
    <w:rsid w:val="0045345C"/>
    <w:rsid w:val="00453CA1"/>
    <w:rsid w:val="00454540"/>
    <w:rsid w:val="0045623D"/>
    <w:rsid w:val="004601B3"/>
    <w:rsid w:val="004639CA"/>
    <w:rsid w:val="00463D49"/>
    <w:rsid w:val="00463E6D"/>
    <w:rsid w:val="00464051"/>
    <w:rsid w:val="00466B89"/>
    <w:rsid w:val="00470A4E"/>
    <w:rsid w:val="00470C2B"/>
    <w:rsid w:val="00472810"/>
    <w:rsid w:val="00472CB8"/>
    <w:rsid w:val="004733E5"/>
    <w:rsid w:val="00474569"/>
    <w:rsid w:val="004752B6"/>
    <w:rsid w:val="004758C1"/>
    <w:rsid w:val="00476D4C"/>
    <w:rsid w:val="0047746B"/>
    <w:rsid w:val="0048128E"/>
    <w:rsid w:val="00484BBB"/>
    <w:rsid w:val="00491B77"/>
    <w:rsid w:val="00493970"/>
    <w:rsid w:val="00496840"/>
    <w:rsid w:val="00497192"/>
    <w:rsid w:val="004A136B"/>
    <w:rsid w:val="004A4153"/>
    <w:rsid w:val="004A7789"/>
    <w:rsid w:val="004B38F9"/>
    <w:rsid w:val="004D1416"/>
    <w:rsid w:val="004D25DE"/>
    <w:rsid w:val="004D6D01"/>
    <w:rsid w:val="004D76C5"/>
    <w:rsid w:val="004E2742"/>
    <w:rsid w:val="004E3046"/>
    <w:rsid w:val="004E375E"/>
    <w:rsid w:val="004E5367"/>
    <w:rsid w:val="004E62F0"/>
    <w:rsid w:val="004F3898"/>
    <w:rsid w:val="004F47A7"/>
    <w:rsid w:val="004F697A"/>
    <w:rsid w:val="004F7056"/>
    <w:rsid w:val="004F7E4C"/>
    <w:rsid w:val="00500DE6"/>
    <w:rsid w:val="00504D8D"/>
    <w:rsid w:val="005052FD"/>
    <w:rsid w:val="005059EC"/>
    <w:rsid w:val="00505AFD"/>
    <w:rsid w:val="005105AB"/>
    <w:rsid w:val="005253A5"/>
    <w:rsid w:val="00527E84"/>
    <w:rsid w:val="0053095B"/>
    <w:rsid w:val="00530C2C"/>
    <w:rsid w:val="00530E5F"/>
    <w:rsid w:val="00532FEF"/>
    <w:rsid w:val="00534A7C"/>
    <w:rsid w:val="00536163"/>
    <w:rsid w:val="00536CF6"/>
    <w:rsid w:val="005411F5"/>
    <w:rsid w:val="0054271F"/>
    <w:rsid w:val="0054573E"/>
    <w:rsid w:val="00547CED"/>
    <w:rsid w:val="005546B8"/>
    <w:rsid w:val="0055756B"/>
    <w:rsid w:val="00560729"/>
    <w:rsid w:val="005623B1"/>
    <w:rsid w:val="005625F7"/>
    <w:rsid w:val="00563B96"/>
    <w:rsid w:val="0056434D"/>
    <w:rsid w:val="00566A33"/>
    <w:rsid w:val="005729B5"/>
    <w:rsid w:val="005732BA"/>
    <w:rsid w:val="00575D53"/>
    <w:rsid w:val="0058010E"/>
    <w:rsid w:val="0058145E"/>
    <w:rsid w:val="00583D6C"/>
    <w:rsid w:val="005844B1"/>
    <w:rsid w:val="0058471F"/>
    <w:rsid w:val="0058503D"/>
    <w:rsid w:val="00591A34"/>
    <w:rsid w:val="00592D28"/>
    <w:rsid w:val="0059438F"/>
    <w:rsid w:val="005964A1"/>
    <w:rsid w:val="005A0598"/>
    <w:rsid w:val="005A10D7"/>
    <w:rsid w:val="005A1241"/>
    <w:rsid w:val="005A1273"/>
    <w:rsid w:val="005A155C"/>
    <w:rsid w:val="005A4051"/>
    <w:rsid w:val="005A516D"/>
    <w:rsid w:val="005A5853"/>
    <w:rsid w:val="005A60CD"/>
    <w:rsid w:val="005A78AC"/>
    <w:rsid w:val="005A7E28"/>
    <w:rsid w:val="005B119D"/>
    <w:rsid w:val="005B2B0C"/>
    <w:rsid w:val="005B42AE"/>
    <w:rsid w:val="005B48C8"/>
    <w:rsid w:val="005B5E03"/>
    <w:rsid w:val="005B7882"/>
    <w:rsid w:val="005C0596"/>
    <w:rsid w:val="005C433E"/>
    <w:rsid w:val="005C4F85"/>
    <w:rsid w:val="005D20E8"/>
    <w:rsid w:val="005D25D0"/>
    <w:rsid w:val="005D2911"/>
    <w:rsid w:val="005D54BF"/>
    <w:rsid w:val="005D5523"/>
    <w:rsid w:val="005D5A1A"/>
    <w:rsid w:val="005D7F1D"/>
    <w:rsid w:val="005E0C6F"/>
    <w:rsid w:val="005E4966"/>
    <w:rsid w:val="005E4CA8"/>
    <w:rsid w:val="005E6CF3"/>
    <w:rsid w:val="005E7582"/>
    <w:rsid w:val="005F0BAC"/>
    <w:rsid w:val="005F24E5"/>
    <w:rsid w:val="005F2E25"/>
    <w:rsid w:val="005F4660"/>
    <w:rsid w:val="005F47EA"/>
    <w:rsid w:val="005F7091"/>
    <w:rsid w:val="005F7336"/>
    <w:rsid w:val="006016EF"/>
    <w:rsid w:val="00601DF1"/>
    <w:rsid w:val="00603532"/>
    <w:rsid w:val="006046F2"/>
    <w:rsid w:val="00604D1B"/>
    <w:rsid w:val="00605F0E"/>
    <w:rsid w:val="006119FD"/>
    <w:rsid w:val="00611C80"/>
    <w:rsid w:val="006123F5"/>
    <w:rsid w:val="00613C0D"/>
    <w:rsid w:val="00614064"/>
    <w:rsid w:val="0061505E"/>
    <w:rsid w:val="006200F3"/>
    <w:rsid w:val="00622297"/>
    <w:rsid w:val="00631161"/>
    <w:rsid w:val="00631FF5"/>
    <w:rsid w:val="00634542"/>
    <w:rsid w:val="00635E4C"/>
    <w:rsid w:val="00637467"/>
    <w:rsid w:val="00637F9B"/>
    <w:rsid w:val="006406CA"/>
    <w:rsid w:val="00642717"/>
    <w:rsid w:val="00642E38"/>
    <w:rsid w:val="00643742"/>
    <w:rsid w:val="006467D5"/>
    <w:rsid w:val="00651A15"/>
    <w:rsid w:val="00654613"/>
    <w:rsid w:val="006552A3"/>
    <w:rsid w:val="006552E0"/>
    <w:rsid w:val="00656E4E"/>
    <w:rsid w:val="00660B2D"/>
    <w:rsid w:val="00663F9F"/>
    <w:rsid w:val="00665FCF"/>
    <w:rsid w:val="0067014C"/>
    <w:rsid w:val="006727D6"/>
    <w:rsid w:val="00673137"/>
    <w:rsid w:val="00683E10"/>
    <w:rsid w:val="00684320"/>
    <w:rsid w:val="006865C6"/>
    <w:rsid w:val="00687CC3"/>
    <w:rsid w:val="00687F3D"/>
    <w:rsid w:val="00692996"/>
    <w:rsid w:val="00693587"/>
    <w:rsid w:val="00693F93"/>
    <w:rsid w:val="0069427D"/>
    <w:rsid w:val="00694CA4"/>
    <w:rsid w:val="00695516"/>
    <w:rsid w:val="006A1066"/>
    <w:rsid w:val="006A1ED8"/>
    <w:rsid w:val="006A1F93"/>
    <w:rsid w:val="006A582C"/>
    <w:rsid w:val="006A5947"/>
    <w:rsid w:val="006A78E8"/>
    <w:rsid w:val="006B2310"/>
    <w:rsid w:val="006B2D98"/>
    <w:rsid w:val="006C1546"/>
    <w:rsid w:val="006C16E2"/>
    <w:rsid w:val="006C5F3B"/>
    <w:rsid w:val="006D2CF5"/>
    <w:rsid w:val="006E2609"/>
    <w:rsid w:val="006E3C2E"/>
    <w:rsid w:val="006E5B0A"/>
    <w:rsid w:val="006E5D56"/>
    <w:rsid w:val="006F0A3C"/>
    <w:rsid w:val="006F3AD9"/>
    <w:rsid w:val="006F3EF8"/>
    <w:rsid w:val="006F526D"/>
    <w:rsid w:val="006F6079"/>
    <w:rsid w:val="006F708A"/>
    <w:rsid w:val="006F7FC2"/>
    <w:rsid w:val="00700DA4"/>
    <w:rsid w:val="00701605"/>
    <w:rsid w:val="00701E52"/>
    <w:rsid w:val="00703463"/>
    <w:rsid w:val="0070541A"/>
    <w:rsid w:val="007065D2"/>
    <w:rsid w:val="00710373"/>
    <w:rsid w:val="0071055A"/>
    <w:rsid w:val="007134B9"/>
    <w:rsid w:val="00726669"/>
    <w:rsid w:val="00726932"/>
    <w:rsid w:val="007274BF"/>
    <w:rsid w:val="007313C6"/>
    <w:rsid w:val="007349C8"/>
    <w:rsid w:val="00735BA0"/>
    <w:rsid w:val="007418D6"/>
    <w:rsid w:val="00741E52"/>
    <w:rsid w:val="00741FA5"/>
    <w:rsid w:val="00743552"/>
    <w:rsid w:val="00744DAC"/>
    <w:rsid w:val="00747801"/>
    <w:rsid w:val="00750737"/>
    <w:rsid w:val="00751AB8"/>
    <w:rsid w:val="0075257B"/>
    <w:rsid w:val="0075474E"/>
    <w:rsid w:val="00754DC4"/>
    <w:rsid w:val="00755433"/>
    <w:rsid w:val="0075752E"/>
    <w:rsid w:val="00760BBD"/>
    <w:rsid w:val="0076139C"/>
    <w:rsid w:val="00767B17"/>
    <w:rsid w:val="0077399C"/>
    <w:rsid w:val="00774DAA"/>
    <w:rsid w:val="00775989"/>
    <w:rsid w:val="00775EAE"/>
    <w:rsid w:val="00776E56"/>
    <w:rsid w:val="007806C2"/>
    <w:rsid w:val="007872B3"/>
    <w:rsid w:val="007901BE"/>
    <w:rsid w:val="007902DA"/>
    <w:rsid w:val="007914CF"/>
    <w:rsid w:val="00791B69"/>
    <w:rsid w:val="00791CE8"/>
    <w:rsid w:val="0079260C"/>
    <w:rsid w:val="00793F3E"/>
    <w:rsid w:val="00795B15"/>
    <w:rsid w:val="007962BC"/>
    <w:rsid w:val="007A00D8"/>
    <w:rsid w:val="007A047E"/>
    <w:rsid w:val="007A2AC1"/>
    <w:rsid w:val="007A456C"/>
    <w:rsid w:val="007A6FD1"/>
    <w:rsid w:val="007B1656"/>
    <w:rsid w:val="007B37AD"/>
    <w:rsid w:val="007B45B8"/>
    <w:rsid w:val="007B4F52"/>
    <w:rsid w:val="007B5D24"/>
    <w:rsid w:val="007B76AE"/>
    <w:rsid w:val="007B7F20"/>
    <w:rsid w:val="007C4528"/>
    <w:rsid w:val="007C6D84"/>
    <w:rsid w:val="007C6E99"/>
    <w:rsid w:val="007D3A06"/>
    <w:rsid w:val="007D493F"/>
    <w:rsid w:val="007D6B54"/>
    <w:rsid w:val="007D7C9E"/>
    <w:rsid w:val="007E04CF"/>
    <w:rsid w:val="007E0624"/>
    <w:rsid w:val="007E237B"/>
    <w:rsid w:val="007E5C0C"/>
    <w:rsid w:val="007E7FD1"/>
    <w:rsid w:val="007F09B6"/>
    <w:rsid w:val="00804F94"/>
    <w:rsid w:val="00810926"/>
    <w:rsid w:val="008114EC"/>
    <w:rsid w:val="00812C8D"/>
    <w:rsid w:val="008148E4"/>
    <w:rsid w:val="00821624"/>
    <w:rsid w:val="00822187"/>
    <w:rsid w:val="00823A3E"/>
    <w:rsid w:val="0082771F"/>
    <w:rsid w:val="00832F75"/>
    <w:rsid w:val="008330EB"/>
    <w:rsid w:val="008365A3"/>
    <w:rsid w:val="00840EEF"/>
    <w:rsid w:val="008415F8"/>
    <w:rsid w:val="00845C22"/>
    <w:rsid w:val="00847EF4"/>
    <w:rsid w:val="00850694"/>
    <w:rsid w:val="00852C0E"/>
    <w:rsid w:val="00853B8C"/>
    <w:rsid w:val="00856DF4"/>
    <w:rsid w:val="00857A42"/>
    <w:rsid w:val="00860E87"/>
    <w:rsid w:val="00862F23"/>
    <w:rsid w:val="008630B2"/>
    <w:rsid w:val="00874D71"/>
    <w:rsid w:val="00875E8F"/>
    <w:rsid w:val="00876DE4"/>
    <w:rsid w:val="00883DB0"/>
    <w:rsid w:val="00885275"/>
    <w:rsid w:val="008856DC"/>
    <w:rsid w:val="00893208"/>
    <w:rsid w:val="00893EBE"/>
    <w:rsid w:val="008969D0"/>
    <w:rsid w:val="008A0A81"/>
    <w:rsid w:val="008A30CB"/>
    <w:rsid w:val="008A5713"/>
    <w:rsid w:val="008A7491"/>
    <w:rsid w:val="008A7DB0"/>
    <w:rsid w:val="008B0302"/>
    <w:rsid w:val="008B0CBD"/>
    <w:rsid w:val="008B19E7"/>
    <w:rsid w:val="008B21D1"/>
    <w:rsid w:val="008B2F36"/>
    <w:rsid w:val="008B38D7"/>
    <w:rsid w:val="008B4C92"/>
    <w:rsid w:val="008B5968"/>
    <w:rsid w:val="008B6B14"/>
    <w:rsid w:val="008B7C41"/>
    <w:rsid w:val="008C0B8C"/>
    <w:rsid w:val="008C0F61"/>
    <w:rsid w:val="008C1581"/>
    <w:rsid w:val="008C1725"/>
    <w:rsid w:val="008C33D2"/>
    <w:rsid w:val="008C4E2F"/>
    <w:rsid w:val="008C6521"/>
    <w:rsid w:val="008D06F8"/>
    <w:rsid w:val="008D27D4"/>
    <w:rsid w:val="008D556F"/>
    <w:rsid w:val="008D65F9"/>
    <w:rsid w:val="008E4290"/>
    <w:rsid w:val="008E505B"/>
    <w:rsid w:val="008E56B0"/>
    <w:rsid w:val="008E5760"/>
    <w:rsid w:val="008F0DDA"/>
    <w:rsid w:val="008F2708"/>
    <w:rsid w:val="008F27A7"/>
    <w:rsid w:val="008F2E61"/>
    <w:rsid w:val="008F3BDF"/>
    <w:rsid w:val="008F450F"/>
    <w:rsid w:val="008F4ACE"/>
    <w:rsid w:val="008F61D7"/>
    <w:rsid w:val="008F7271"/>
    <w:rsid w:val="009015E5"/>
    <w:rsid w:val="0090277C"/>
    <w:rsid w:val="00905EF8"/>
    <w:rsid w:val="00906246"/>
    <w:rsid w:val="00907639"/>
    <w:rsid w:val="00910555"/>
    <w:rsid w:val="009105AE"/>
    <w:rsid w:val="00913BDB"/>
    <w:rsid w:val="00914EE0"/>
    <w:rsid w:val="009152ED"/>
    <w:rsid w:val="00915D41"/>
    <w:rsid w:val="009207E5"/>
    <w:rsid w:val="00922F62"/>
    <w:rsid w:val="0092326E"/>
    <w:rsid w:val="0092384D"/>
    <w:rsid w:val="00926FF1"/>
    <w:rsid w:val="0092741F"/>
    <w:rsid w:val="009300AA"/>
    <w:rsid w:val="00930C96"/>
    <w:rsid w:val="00930EA1"/>
    <w:rsid w:val="009310B7"/>
    <w:rsid w:val="00931202"/>
    <w:rsid w:val="00931325"/>
    <w:rsid w:val="00931625"/>
    <w:rsid w:val="00933632"/>
    <w:rsid w:val="009402EA"/>
    <w:rsid w:val="00940A85"/>
    <w:rsid w:val="00942E16"/>
    <w:rsid w:val="00946B35"/>
    <w:rsid w:val="00947E9C"/>
    <w:rsid w:val="00951529"/>
    <w:rsid w:val="009540A7"/>
    <w:rsid w:val="009556F7"/>
    <w:rsid w:val="00956AF0"/>
    <w:rsid w:val="009570A3"/>
    <w:rsid w:val="009607B2"/>
    <w:rsid w:val="00964E3B"/>
    <w:rsid w:val="0096696C"/>
    <w:rsid w:val="00967230"/>
    <w:rsid w:val="009804AD"/>
    <w:rsid w:val="00980E99"/>
    <w:rsid w:val="00982B31"/>
    <w:rsid w:val="00982FF8"/>
    <w:rsid w:val="00985360"/>
    <w:rsid w:val="009874E4"/>
    <w:rsid w:val="009909E1"/>
    <w:rsid w:val="00991D3D"/>
    <w:rsid w:val="00993C0E"/>
    <w:rsid w:val="009A008D"/>
    <w:rsid w:val="009A4F09"/>
    <w:rsid w:val="009B311D"/>
    <w:rsid w:val="009B72CB"/>
    <w:rsid w:val="009C0758"/>
    <w:rsid w:val="009C16EF"/>
    <w:rsid w:val="009C4D51"/>
    <w:rsid w:val="009C4D9D"/>
    <w:rsid w:val="009C57AB"/>
    <w:rsid w:val="009C5FB9"/>
    <w:rsid w:val="009C62CB"/>
    <w:rsid w:val="009C6818"/>
    <w:rsid w:val="009C7611"/>
    <w:rsid w:val="009D037A"/>
    <w:rsid w:val="009D33BA"/>
    <w:rsid w:val="009D3613"/>
    <w:rsid w:val="009D51BB"/>
    <w:rsid w:val="009E19DA"/>
    <w:rsid w:val="009E2377"/>
    <w:rsid w:val="009E23F9"/>
    <w:rsid w:val="009E2925"/>
    <w:rsid w:val="009E4389"/>
    <w:rsid w:val="009E5A88"/>
    <w:rsid w:val="009E701A"/>
    <w:rsid w:val="009F0E2C"/>
    <w:rsid w:val="009F177C"/>
    <w:rsid w:val="009F1814"/>
    <w:rsid w:val="009F4639"/>
    <w:rsid w:val="009F51F2"/>
    <w:rsid w:val="009F679F"/>
    <w:rsid w:val="009F6BC0"/>
    <w:rsid w:val="00A00D62"/>
    <w:rsid w:val="00A0282C"/>
    <w:rsid w:val="00A02EE5"/>
    <w:rsid w:val="00A04199"/>
    <w:rsid w:val="00A049A0"/>
    <w:rsid w:val="00A06153"/>
    <w:rsid w:val="00A06765"/>
    <w:rsid w:val="00A11584"/>
    <w:rsid w:val="00A1170C"/>
    <w:rsid w:val="00A11A21"/>
    <w:rsid w:val="00A135E8"/>
    <w:rsid w:val="00A139A8"/>
    <w:rsid w:val="00A1630A"/>
    <w:rsid w:val="00A22979"/>
    <w:rsid w:val="00A22C0F"/>
    <w:rsid w:val="00A24E89"/>
    <w:rsid w:val="00A307E1"/>
    <w:rsid w:val="00A32495"/>
    <w:rsid w:val="00A35564"/>
    <w:rsid w:val="00A37516"/>
    <w:rsid w:val="00A3790E"/>
    <w:rsid w:val="00A426BB"/>
    <w:rsid w:val="00A43E1E"/>
    <w:rsid w:val="00A4748A"/>
    <w:rsid w:val="00A509B5"/>
    <w:rsid w:val="00A52608"/>
    <w:rsid w:val="00A55F64"/>
    <w:rsid w:val="00A572AA"/>
    <w:rsid w:val="00A62725"/>
    <w:rsid w:val="00A63F4C"/>
    <w:rsid w:val="00A64E05"/>
    <w:rsid w:val="00A711A2"/>
    <w:rsid w:val="00A71574"/>
    <w:rsid w:val="00A744D9"/>
    <w:rsid w:val="00A751AE"/>
    <w:rsid w:val="00A75789"/>
    <w:rsid w:val="00A76B1B"/>
    <w:rsid w:val="00A77C79"/>
    <w:rsid w:val="00A83D93"/>
    <w:rsid w:val="00A8464D"/>
    <w:rsid w:val="00A86FB9"/>
    <w:rsid w:val="00A9611D"/>
    <w:rsid w:val="00A97204"/>
    <w:rsid w:val="00AA05B1"/>
    <w:rsid w:val="00AA1AF8"/>
    <w:rsid w:val="00AA2B84"/>
    <w:rsid w:val="00AA4809"/>
    <w:rsid w:val="00AA5BDB"/>
    <w:rsid w:val="00AA7673"/>
    <w:rsid w:val="00AB05A3"/>
    <w:rsid w:val="00AB443C"/>
    <w:rsid w:val="00AB6D54"/>
    <w:rsid w:val="00AB6FBC"/>
    <w:rsid w:val="00AB7774"/>
    <w:rsid w:val="00AC1734"/>
    <w:rsid w:val="00AC331A"/>
    <w:rsid w:val="00AC5FEB"/>
    <w:rsid w:val="00AC6CDA"/>
    <w:rsid w:val="00AD0F97"/>
    <w:rsid w:val="00AD1319"/>
    <w:rsid w:val="00AD187A"/>
    <w:rsid w:val="00AD50A1"/>
    <w:rsid w:val="00AD50C8"/>
    <w:rsid w:val="00AE0964"/>
    <w:rsid w:val="00AE173A"/>
    <w:rsid w:val="00AE22D6"/>
    <w:rsid w:val="00AE48B0"/>
    <w:rsid w:val="00AE493C"/>
    <w:rsid w:val="00AE60FC"/>
    <w:rsid w:val="00AF1A32"/>
    <w:rsid w:val="00AF1E5F"/>
    <w:rsid w:val="00AF2BC6"/>
    <w:rsid w:val="00AF7A04"/>
    <w:rsid w:val="00AF7A44"/>
    <w:rsid w:val="00B0005C"/>
    <w:rsid w:val="00B00914"/>
    <w:rsid w:val="00B04A81"/>
    <w:rsid w:val="00B05B0C"/>
    <w:rsid w:val="00B065B3"/>
    <w:rsid w:val="00B07D93"/>
    <w:rsid w:val="00B12FD2"/>
    <w:rsid w:val="00B13598"/>
    <w:rsid w:val="00B149C2"/>
    <w:rsid w:val="00B152E1"/>
    <w:rsid w:val="00B15510"/>
    <w:rsid w:val="00B15620"/>
    <w:rsid w:val="00B17743"/>
    <w:rsid w:val="00B20BD7"/>
    <w:rsid w:val="00B224C9"/>
    <w:rsid w:val="00B24C13"/>
    <w:rsid w:val="00B25816"/>
    <w:rsid w:val="00B258F5"/>
    <w:rsid w:val="00B26D2B"/>
    <w:rsid w:val="00B2774B"/>
    <w:rsid w:val="00B34AA8"/>
    <w:rsid w:val="00B36C70"/>
    <w:rsid w:val="00B412AD"/>
    <w:rsid w:val="00B43C59"/>
    <w:rsid w:val="00B45140"/>
    <w:rsid w:val="00B47109"/>
    <w:rsid w:val="00B47945"/>
    <w:rsid w:val="00B50613"/>
    <w:rsid w:val="00B509B1"/>
    <w:rsid w:val="00B50A67"/>
    <w:rsid w:val="00B533F2"/>
    <w:rsid w:val="00B53950"/>
    <w:rsid w:val="00B57C12"/>
    <w:rsid w:val="00B57D13"/>
    <w:rsid w:val="00B57F1B"/>
    <w:rsid w:val="00B647D2"/>
    <w:rsid w:val="00B650A5"/>
    <w:rsid w:val="00B665E3"/>
    <w:rsid w:val="00B66F5C"/>
    <w:rsid w:val="00B675DE"/>
    <w:rsid w:val="00B705D2"/>
    <w:rsid w:val="00B7322C"/>
    <w:rsid w:val="00B75A00"/>
    <w:rsid w:val="00B76005"/>
    <w:rsid w:val="00B762F6"/>
    <w:rsid w:val="00B76D2A"/>
    <w:rsid w:val="00B80017"/>
    <w:rsid w:val="00B80600"/>
    <w:rsid w:val="00B81BB2"/>
    <w:rsid w:val="00B822EE"/>
    <w:rsid w:val="00B8337A"/>
    <w:rsid w:val="00B86239"/>
    <w:rsid w:val="00B87166"/>
    <w:rsid w:val="00B900FF"/>
    <w:rsid w:val="00B95F60"/>
    <w:rsid w:val="00B961FD"/>
    <w:rsid w:val="00B976A6"/>
    <w:rsid w:val="00B977FB"/>
    <w:rsid w:val="00B97D4C"/>
    <w:rsid w:val="00BA3041"/>
    <w:rsid w:val="00BA4485"/>
    <w:rsid w:val="00BB0172"/>
    <w:rsid w:val="00BB2BFE"/>
    <w:rsid w:val="00BB4EA6"/>
    <w:rsid w:val="00BB7823"/>
    <w:rsid w:val="00BC1EB3"/>
    <w:rsid w:val="00BC365A"/>
    <w:rsid w:val="00BC4B3A"/>
    <w:rsid w:val="00BC4FD2"/>
    <w:rsid w:val="00BD47BB"/>
    <w:rsid w:val="00BD4AFA"/>
    <w:rsid w:val="00BD6B86"/>
    <w:rsid w:val="00BE222C"/>
    <w:rsid w:val="00BE3184"/>
    <w:rsid w:val="00BE655F"/>
    <w:rsid w:val="00BE7A93"/>
    <w:rsid w:val="00BF239E"/>
    <w:rsid w:val="00BF2AB5"/>
    <w:rsid w:val="00BF45A6"/>
    <w:rsid w:val="00BF5021"/>
    <w:rsid w:val="00BF6633"/>
    <w:rsid w:val="00BF7B1E"/>
    <w:rsid w:val="00C018D4"/>
    <w:rsid w:val="00C0621B"/>
    <w:rsid w:val="00C07D27"/>
    <w:rsid w:val="00C12088"/>
    <w:rsid w:val="00C122E9"/>
    <w:rsid w:val="00C16EBE"/>
    <w:rsid w:val="00C1714B"/>
    <w:rsid w:val="00C177CB"/>
    <w:rsid w:val="00C2162A"/>
    <w:rsid w:val="00C22D82"/>
    <w:rsid w:val="00C22D9A"/>
    <w:rsid w:val="00C25419"/>
    <w:rsid w:val="00C26E98"/>
    <w:rsid w:val="00C271F0"/>
    <w:rsid w:val="00C30DE7"/>
    <w:rsid w:val="00C30E0B"/>
    <w:rsid w:val="00C30F06"/>
    <w:rsid w:val="00C31284"/>
    <w:rsid w:val="00C31DB7"/>
    <w:rsid w:val="00C34421"/>
    <w:rsid w:val="00C369C9"/>
    <w:rsid w:val="00C4099D"/>
    <w:rsid w:val="00C43369"/>
    <w:rsid w:val="00C45BD2"/>
    <w:rsid w:val="00C45C5F"/>
    <w:rsid w:val="00C46576"/>
    <w:rsid w:val="00C55916"/>
    <w:rsid w:val="00C66352"/>
    <w:rsid w:val="00C66D89"/>
    <w:rsid w:val="00C67DDE"/>
    <w:rsid w:val="00C705D9"/>
    <w:rsid w:val="00C72424"/>
    <w:rsid w:val="00C73B12"/>
    <w:rsid w:val="00C74DCD"/>
    <w:rsid w:val="00C7507A"/>
    <w:rsid w:val="00C77E93"/>
    <w:rsid w:val="00C81164"/>
    <w:rsid w:val="00C8210C"/>
    <w:rsid w:val="00C91FC8"/>
    <w:rsid w:val="00C945C3"/>
    <w:rsid w:val="00C96D3E"/>
    <w:rsid w:val="00C975A6"/>
    <w:rsid w:val="00C97661"/>
    <w:rsid w:val="00CA01B8"/>
    <w:rsid w:val="00CA2D0D"/>
    <w:rsid w:val="00CA760A"/>
    <w:rsid w:val="00CB0D24"/>
    <w:rsid w:val="00CB4844"/>
    <w:rsid w:val="00CB5D0B"/>
    <w:rsid w:val="00CC1CC8"/>
    <w:rsid w:val="00CC1F2B"/>
    <w:rsid w:val="00CC2356"/>
    <w:rsid w:val="00CC2BB9"/>
    <w:rsid w:val="00CC2E70"/>
    <w:rsid w:val="00CC4BB3"/>
    <w:rsid w:val="00CC516A"/>
    <w:rsid w:val="00CC5323"/>
    <w:rsid w:val="00CC56B3"/>
    <w:rsid w:val="00CC616D"/>
    <w:rsid w:val="00CC6F36"/>
    <w:rsid w:val="00CD1D76"/>
    <w:rsid w:val="00CD31A0"/>
    <w:rsid w:val="00CD3CE7"/>
    <w:rsid w:val="00CD5DA1"/>
    <w:rsid w:val="00CD6290"/>
    <w:rsid w:val="00CD6371"/>
    <w:rsid w:val="00CD6E8E"/>
    <w:rsid w:val="00CE04A7"/>
    <w:rsid w:val="00CE3B23"/>
    <w:rsid w:val="00CE5B06"/>
    <w:rsid w:val="00CE6892"/>
    <w:rsid w:val="00CE6921"/>
    <w:rsid w:val="00CE6FBD"/>
    <w:rsid w:val="00CF0379"/>
    <w:rsid w:val="00CF0465"/>
    <w:rsid w:val="00CF198A"/>
    <w:rsid w:val="00CF1F91"/>
    <w:rsid w:val="00CF31DD"/>
    <w:rsid w:val="00CF4010"/>
    <w:rsid w:val="00CF5539"/>
    <w:rsid w:val="00CF755F"/>
    <w:rsid w:val="00CF77C3"/>
    <w:rsid w:val="00D009F4"/>
    <w:rsid w:val="00D06FDA"/>
    <w:rsid w:val="00D10D68"/>
    <w:rsid w:val="00D110CE"/>
    <w:rsid w:val="00D12CE6"/>
    <w:rsid w:val="00D1320B"/>
    <w:rsid w:val="00D236DF"/>
    <w:rsid w:val="00D24819"/>
    <w:rsid w:val="00D253AD"/>
    <w:rsid w:val="00D25F9C"/>
    <w:rsid w:val="00D26864"/>
    <w:rsid w:val="00D2758B"/>
    <w:rsid w:val="00D35137"/>
    <w:rsid w:val="00D373CB"/>
    <w:rsid w:val="00D379A6"/>
    <w:rsid w:val="00D37C18"/>
    <w:rsid w:val="00D417D3"/>
    <w:rsid w:val="00D422C3"/>
    <w:rsid w:val="00D424FC"/>
    <w:rsid w:val="00D50102"/>
    <w:rsid w:val="00D501E0"/>
    <w:rsid w:val="00D5031C"/>
    <w:rsid w:val="00D51BD9"/>
    <w:rsid w:val="00D52F3D"/>
    <w:rsid w:val="00D52FBB"/>
    <w:rsid w:val="00D54E08"/>
    <w:rsid w:val="00D56C2C"/>
    <w:rsid w:val="00D57302"/>
    <w:rsid w:val="00D57908"/>
    <w:rsid w:val="00D65916"/>
    <w:rsid w:val="00D65925"/>
    <w:rsid w:val="00D66113"/>
    <w:rsid w:val="00D70699"/>
    <w:rsid w:val="00D723D7"/>
    <w:rsid w:val="00D72FAA"/>
    <w:rsid w:val="00D73A8E"/>
    <w:rsid w:val="00D747F5"/>
    <w:rsid w:val="00D75977"/>
    <w:rsid w:val="00D75C00"/>
    <w:rsid w:val="00D76677"/>
    <w:rsid w:val="00D766AB"/>
    <w:rsid w:val="00D8091D"/>
    <w:rsid w:val="00D869EC"/>
    <w:rsid w:val="00D92F53"/>
    <w:rsid w:val="00D94BE2"/>
    <w:rsid w:val="00DA23B2"/>
    <w:rsid w:val="00DA3123"/>
    <w:rsid w:val="00DA35C8"/>
    <w:rsid w:val="00DA63FE"/>
    <w:rsid w:val="00DB05B0"/>
    <w:rsid w:val="00DB311D"/>
    <w:rsid w:val="00DB357A"/>
    <w:rsid w:val="00DB3749"/>
    <w:rsid w:val="00DB693F"/>
    <w:rsid w:val="00DB7417"/>
    <w:rsid w:val="00DC39DA"/>
    <w:rsid w:val="00DC5CA9"/>
    <w:rsid w:val="00DD0D4D"/>
    <w:rsid w:val="00DD1F71"/>
    <w:rsid w:val="00DD60AD"/>
    <w:rsid w:val="00DD7320"/>
    <w:rsid w:val="00DD7724"/>
    <w:rsid w:val="00DE077D"/>
    <w:rsid w:val="00DE2809"/>
    <w:rsid w:val="00DF0E9C"/>
    <w:rsid w:val="00DF27E0"/>
    <w:rsid w:val="00DF3111"/>
    <w:rsid w:val="00DF71CE"/>
    <w:rsid w:val="00E00B9E"/>
    <w:rsid w:val="00E00E51"/>
    <w:rsid w:val="00E00F43"/>
    <w:rsid w:val="00E0310B"/>
    <w:rsid w:val="00E05D49"/>
    <w:rsid w:val="00E10078"/>
    <w:rsid w:val="00E14556"/>
    <w:rsid w:val="00E1507D"/>
    <w:rsid w:val="00E151BE"/>
    <w:rsid w:val="00E1525A"/>
    <w:rsid w:val="00E17105"/>
    <w:rsid w:val="00E20E05"/>
    <w:rsid w:val="00E2144D"/>
    <w:rsid w:val="00E223E3"/>
    <w:rsid w:val="00E265AC"/>
    <w:rsid w:val="00E27121"/>
    <w:rsid w:val="00E31182"/>
    <w:rsid w:val="00E31734"/>
    <w:rsid w:val="00E31E61"/>
    <w:rsid w:val="00E320CC"/>
    <w:rsid w:val="00E34D6F"/>
    <w:rsid w:val="00E35729"/>
    <w:rsid w:val="00E35ED9"/>
    <w:rsid w:val="00E44544"/>
    <w:rsid w:val="00E476F1"/>
    <w:rsid w:val="00E502C0"/>
    <w:rsid w:val="00E5044B"/>
    <w:rsid w:val="00E51237"/>
    <w:rsid w:val="00E606F7"/>
    <w:rsid w:val="00E62110"/>
    <w:rsid w:val="00E63E89"/>
    <w:rsid w:val="00E6485E"/>
    <w:rsid w:val="00E667DB"/>
    <w:rsid w:val="00E67645"/>
    <w:rsid w:val="00E70858"/>
    <w:rsid w:val="00E7095A"/>
    <w:rsid w:val="00E70D03"/>
    <w:rsid w:val="00E70D94"/>
    <w:rsid w:val="00E71DBC"/>
    <w:rsid w:val="00E72527"/>
    <w:rsid w:val="00E7312A"/>
    <w:rsid w:val="00E737FE"/>
    <w:rsid w:val="00E742C6"/>
    <w:rsid w:val="00E757D6"/>
    <w:rsid w:val="00E771B7"/>
    <w:rsid w:val="00E808F1"/>
    <w:rsid w:val="00E80F7B"/>
    <w:rsid w:val="00E82C15"/>
    <w:rsid w:val="00E84FEC"/>
    <w:rsid w:val="00E8589C"/>
    <w:rsid w:val="00E908AB"/>
    <w:rsid w:val="00E90D3F"/>
    <w:rsid w:val="00E94FA7"/>
    <w:rsid w:val="00E95466"/>
    <w:rsid w:val="00E961EE"/>
    <w:rsid w:val="00E9641C"/>
    <w:rsid w:val="00E97A94"/>
    <w:rsid w:val="00EA028F"/>
    <w:rsid w:val="00EA0CA4"/>
    <w:rsid w:val="00EA1BE0"/>
    <w:rsid w:val="00EA2BBC"/>
    <w:rsid w:val="00EB3770"/>
    <w:rsid w:val="00EB3E81"/>
    <w:rsid w:val="00EB4D70"/>
    <w:rsid w:val="00EB68A2"/>
    <w:rsid w:val="00EB7C5C"/>
    <w:rsid w:val="00EC0907"/>
    <w:rsid w:val="00EC2A8A"/>
    <w:rsid w:val="00EC57D7"/>
    <w:rsid w:val="00EC6D60"/>
    <w:rsid w:val="00ED1674"/>
    <w:rsid w:val="00ED4413"/>
    <w:rsid w:val="00ED48B2"/>
    <w:rsid w:val="00ED6765"/>
    <w:rsid w:val="00ED7F07"/>
    <w:rsid w:val="00EE18C9"/>
    <w:rsid w:val="00EE3530"/>
    <w:rsid w:val="00EE4EF7"/>
    <w:rsid w:val="00EE6D13"/>
    <w:rsid w:val="00EE721B"/>
    <w:rsid w:val="00EE7411"/>
    <w:rsid w:val="00EF2B91"/>
    <w:rsid w:val="00EF693D"/>
    <w:rsid w:val="00F012D0"/>
    <w:rsid w:val="00F02519"/>
    <w:rsid w:val="00F0286D"/>
    <w:rsid w:val="00F03366"/>
    <w:rsid w:val="00F039D0"/>
    <w:rsid w:val="00F04C02"/>
    <w:rsid w:val="00F067D1"/>
    <w:rsid w:val="00F1063A"/>
    <w:rsid w:val="00F1095C"/>
    <w:rsid w:val="00F11C08"/>
    <w:rsid w:val="00F12A5F"/>
    <w:rsid w:val="00F12D8C"/>
    <w:rsid w:val="00F15609"/>
    <w:rsid w:val="00F2081C"/>
    <w:rsid w:val="00F20904"/>
    <w:rsid w:val="00F221CA"/>
    <w:rsid w:val="00F241EA"/>
    <w:rsid w:val="00F24EE2"/>
    <w:rsid w:val="00F25881"/>
    <w:rsid w:val="00F27763"/>
    <w:rsid w:val="00F31532"/>
    <w:rsid w:val="00F33C9D"/>
    <w:rsid w:val="00F3471D"/>
    <w:rsid w:val="00F35DF2"/>
    <w:rsid w:val="00F37133"/>
    <w:rsid w:val="00F37BD8"/>
    <w:rsid w:val="00F37DCB"/>
    <w:rsid w:val="00F41309"/>
    <w:rsid w:val="00F41D70"/>
    <w:rsid w:val="00F47283"/>
    <w:rsid w:val="00F47DEA"/>
    <w:rsid w:val="00F50647"/>
    <w:rsid w:val="00F56606"/>
    <w:rsid w:val="00F56FBD"/>
    <w:rsid w:val="00F607F4"/>
    <w:rsid w:val="00F61FF9"/>
    <w:rsid w:val="00F63F02"/>
    <w:rsid w:val="00F64DBC"/>
    <w:rsid w:val="00F66410"/>
    <w:rsid w:val="00F70363"/>
    <w:rsid w:val="00F70B53"/>
    <w:rsid w:val="00F724C9"/>
    <w:rsid w:val="00F72B1F"/>
    <w:rsid w:val="00F748F1"/>
    <w:rsid w:val="00F75DD2"/>
    <w:rsid w:val="00F76047"/>
    <w:rsid w:val="00F76D91"/>
    <w:rsid w:val="00F77444"/>
    <w:rsid w:val="00F77E98"/>
    <w:rsid w:val="00F81BEC"/>
    <w:rsid w:val="00F821BD"/>
    <w:rsid w:val="00F82CD0"/>
    <w:rsid w:val="00F838C7"/>
    <w:rsid w:val="00F8524C"/>
    <w:rsid w:val="00F86221"/>
    <w:rsid w:val="00F87665"/>
    <w:rsid w:val="00F90CCC"/>
    <w:rsid w:val="00F917DF"/>
    <w:rsid w:val="00F92790"/>
    <w:rsid w:val="00F9361B"/>
    <w:rsid w:val="00F93A54"/>
    <w:rsid w:val="00F94348"/>
    <w:rsid w:val="00FA052C"/>
    <w:rsid w:val="00FA17C9"/>
    <w:rsid w:val="00FA4F62"/>
    <w:rsid w:val="00FA534C"/>
    <w:rsid w:val="00FA766E"/>
    <w:rsid w:val="00FB40FE"/>
    <w:rsid w:val="00FB573F"/>
    <w:rsid w:val="00FB7FD2"/>
    <w:rsid w:val="00FC1902"/>
    <w:rsid w:val="00FC1BC6"/>
    <w:rsid w:val="00FC43BE"/>
    <w:rsid w:val="00FC7B34"/>
    <w:rsid w:val="00FD77D0"/>
    <w:rsid w:val="00FE2A64"/>
    <w:rsid w:val="00FE2F21"/>
    <w:rsid w:val="00FE49A7"/>
    <w:rsid w:val="00FE4ACC"/>
    <w:rsid w:val="00FE6DDF"/>
    <w:rsid w:val="00FE7448"/>
    <w:rsid w:val="00FF4EEE"/>
    <w:rsid w:val="00FF579F"/>
    <w:rsid w:val="00FF6427"/>
    <w:rsid w:val="00FF74A1"/>
    <w:rsid w:val="00FF78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DC4"/>
    <w:pPr>
      <w:spacing w:after="0" w:line="240" w:lineRule="auto"/>
    </w:pPr>
    <w:rPr>
      <w:rFonts w:ascii="Times New Roman" w:eastAsia="Times New Roman" w:hAnsi="Times New Roman" w:cs="Times New Roman"/>
      <w:sz w:val="28"/>
      <w:szCs w:val="28"/>
      <w:lang w:val="en-US"/>
    </w:rPr>
  </w:style>
  <w:style w:type="paragraph" w:styleId="Heading1">
    <w:name w:val="heading 1"/>
    <w:basedOn w:val="Normal"/>
    <w:next w:val="Normal"/>
    <w:link w:val="Heading1Char"/>
    <w:qFormat/>
    <w:rsid w:val="00B50A67"/>
    <w:pPr>
      <w:keepNext/>
      <w:outlineLvl w:val="0"/>
    </w:pPr>
    <w:rPr>
      <w:b/>
      <w:sz w:val="26"/>
      <w:szCs w:val="20"/>
    </w:rPr>
  </w:style>
  <w:style w:type="paragraph" w:styleId="Heading2">
    <w:name w:val="heading 2"/>
    <w:basedOn w:val="Normal"/>
    <w:next w:val="Normal"/>
    <w:link w:val="Heading2Char"/>
    <w:uiPriority w:val="9"/>
    <w:semiHidden/>
    <w:unhideWhenUsed/>
    <w:qFormat/>
    <w:rsid w:val="00F37DC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 Char Char Char Char Char Char Char Char,Normal (Web) Char Char, Char Char25,Char Char25,Char Char Char,Char Char Char1"/>
    <w:basedOn w:val="Normal"/>
    <w:link w:val="NormalWebChar"/>
    <w:uiPriority w:val="99"/>
    <w:qFormat/>
    <w:rsid w:val="00754DC4"/>
    <w:pPr>
      <w:spacing w:before="100" w:beforeAutospacing="1" w:after="100" w:afterAutospacing="1"/>
    </w:pPr>
    <w:rPr>
      <w:sz w:val="24"/>
      <w:szCs w:val="24"/>
    </w:rPr>
  </w:style>
  <w:style w:type="character" w:customStyle="1" w:styleId="Heading1Char">
    <w:name w:val="Heading 1 Char"/>
    <w:basedOn w:val="DefaultParagraphFont"/>
    <w:link w:val="Heading1"/>
    <w:rsid w:val="00B50A67"/>
    <w:rPr>
      <w:rFonts w:ascii="Times New Roman" w:eastAsia="Times New Roman" w:hAnsi="Times New Roman" w:cs="Times New Roman"/>
      <w:b/>
      <w:sz w:val="26"/>
      <w:szCs w:val="20"/>
      <w:lang w:val="en-US"/>
    </w:rPr>
  </w:style>
  <w:style w:type="paragraph" w:styleId="BodyText">
    <w:name w:val="Body Text"/>
    <w:basedOn w:val="Normal"/>
    <w:link w:val="BodyTextChar"/>
    <w:rsid w:val="00B50A67"/>
    <w:pPr>
      <w:jc w:val="both"/>
    </w:pPr>
    <w:rPr>
      <w:rFonts w:ascii=".VnTime" w:hAnsi=".VnTime"/>
      <w:szCs w:val="24"/>
    </w:rPr>
  </w:style>
  <w:style w:type="character" w:customStyle="1" w:styleId="BodyTextChar">
    <w:name w:val="Body Text Char"/>
    <w:basedOn w:val="DefaultParagraphFont"/>
    <w:link w:val="BodyText"/>
    <w:rsid w:val="00B50A67"/>
    <w:rPr>
      <w:rFonts w:ascii=".VnTime" w:eastAsia="Times New Roman" w:hAnsi=".VnTime" w:cs="Times New Roman"/>
      <w:sz w:val="28"/>
      <w:szCs w:val="24"/>
      <w:lang w:val="en-US"/>
    </w:rPr>
  </w:style>
  <w:style w:type="paragraph" w:styleId="ListParagraph">
    <w:name w:val="List Paragraph"/>
    <w:basedOn w:val="Normal"/>
    <w:uiPriority w:val="34"/>
    <w:qFormat/>
    <w:rsid w:val="00F86221"/>
    <w:pPr>
      <w:ind w:left="720"/>
      <w:contextualSpacing/>
    </w:pPr>
  </w:style>
  <w:style w:type="character" w:customStyle="1" w:styleId="apple-converted-space">
    <w:name w:val="apple-converted-space"/>
    <w:basedOn w:val="DefaultParagraphFont"/>
    <w:rsid w:val="00D57302"/>
  </w:style>
  <w:style w:type="character" w:styleId="Hyperlink">
    <w:name w:val="Hyperlink"/>
    <w:basedOn w:val="DefaultParagraphFont"/>
    <w:uiPriority w:val="99"/>
    <w:unhideWhenUsed/>
    <w:rsid w:val="00D57302"/>
    <w:rPr>
      <w:color w:val="0000FF"/>
      <w:u w:val="single"/>
    </w:rPr>
  </w:style>
  <w:style w:type="table" w:styleId="TableGrid">
    <w:name w:val="Table Grid"/>
    <w:basedOn w:val="TableNormal"/>
    <w:uiPriority w:val="59"/>
    <w:rsid w:val="002E2C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ft"/>
    <w:basedOn w:val="Normal"/>
    <w:link w:val="FootnoteTextChar"/>
    <w:uiPriority w:val="99"/>
    <w:unhideWhenUsed/>
    <w:qFormat/>
    <w:rsid w:val="006A5947"/>
    <w:rPr>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 Char,ft Char"/>
    <w:basedOn w:val="DefaultParagraphFont"/>
    <w:link w:val="FootnoteText"/>
    <w:uiPriority w:val="99"/>
    <w:qFormat/>
    <w:rsid w:val="006A5947"/>
    <w:rPr>
      <w:rFonts w:ascii="Times New Roman" w:eastAsia="Times New Roman" w:hAnsi="Times New Roman" w:cs="Times New Roman"/>
      <w:sz w:val="20"/>
      <w:szCs w:val="20"/>
      <w:lang w:val="en-US"/>
    </w:rPr>
  </w:style>
  <w:style w:type="character" w:styleId="FootnoteReference">
    <w:name w:val="footnote reference"/>
    <w:aliases w:val="Footnote,BearingPoint,Ref,de nota al pie,ftref,BVI fnr,Footnote text,16 Point,Superscript 6 Point,fr,Footnote Text1,Footnote + Arial,10 pt,Black,Footnote Text11,(NECG) Footnote Reference, BVI fnr,footnote ref,Footnote dich,R,Re"/>
    <w:basedOn w:val="DefaultParagraphFont"/>
    <w:link w:val="4GCharCharChar"/>
    <w:uiPriority w:val="99"/>
    <w:unhideWhenUsed/>
    <w:qFormat/>
    <w:rsid w:val="006A5947"/>
    <w:rPr>
      <w:vertAlign w:val="superscript"/>
    </w:rPr>
  </w:style>
  <w:style w:type="character" w:styleId="Strong">
    <w:name w:val="Strong"/>
    <w:basedOn w:val="DefaultParagraphFont"/>
    <w:uiPriority w:val="22"/>
    <w:qFormat/>
    <w:rsid w:val="00D76677"/>
    <w:rPr>
      <w:b/>
      <w:bCs/>
    </w:rPr>
  </w:style>
  <w:style w:type="paragraph" w:styleId="Header">
    <w:name w:val="header"/>
    <w:basedOn w:val="Normal"/>
    <w:link w:val="HeaderChar"/>
    <w:uiPriority w:val="99"/>
    <w:unhideWhenUsed/>
    <w:rsid w:val="00373852"/>
    <w:pPr>
      <w:tabs>
        <w:tab w:val="center" w:pos="4680"/>
        <w:tab w:val="right" w:pos="9360"/>
      </w:tabs>
    </w:pPr>
  </w:style>
  <w:style w:type="character" w:customStyle="1" w:styleId="HeaderChar">
    <w:name w:val="Header Char"/>
    <w:basedOn w:val="DefaultParagraphFont"/>
    <w:link w:val="Header"/>
    <w:uiPriority w:val="99"/>
    <w:rsid w:val="00373852"/>
    <w:rPr>
      <w:rFonts w:ascii="Times New Roman" w:eastAsia="Times New Roman" w:hAnsi="Times New Roman" w:cs="Times New Roman"/>
      <w:sz w:val="28"/>
      <w:szCs w:val="28"/>
      <w:lang w:val="en-US"/>
    </w:rPr>
  </w:style>
  <w:style w:type="paragraph" w:styleId="Footer">
    <w:name w:val="footer"/>
    <w:basedOn w:val="Normal"/>
    <w:link w:val="FooterChar"/>
    <w:uiPriority w:val="99"/>
    <w:semiHidden/>
    <w:unhideWhenUsed/>
    <w:rsid w:val="00373852"/>
    <w:pPr>
      <w:tabs>
        <w:tab w:val="center" w:pos="4680"/>
        <w:tab w:val="right" w:pos="9360"/>
      </w:tabs>
    </w:pPr>
  </w:style>
  <w:style w:type="character" w:customStyle="1" w:styleId="FooterChar">
    <w:name w:val="Footer Char"/>
    <w:basedOn w:val="DefaultParagraphFont"/>
    <w:link w:val="Footer"/>
    <w:uiPriority w:val="99"/>
    <w:semiHidden/>
    <w:rsid w:val="00373852"/>
    <w:rPr>
      <w:rFonts w:ascii="Times New Roman" w:eastAsia="Times New Roman" w:hAnsi="Times New Roman" w:cs="Times New Roman"/>
      <w:sz w:val="28"/>
      <w:szCs w:val="28"/>
      <w:lang w:val="en-US"/>
    </w:rPr>
  </w:style>
  <w:style w:type="character" w:styleId="Emphasis">
    <w:name w:val="Emphasis"/>
    <w:basedOn w:val="DefaultParagraphFont"/>
    <w:uiPriority w:val="20"/>
    <w:qFormat/>
    <w:rsid w:val="00373852"/>
    <w:rPr>
      <w:i/>
      <w:iCs/>
    </w:rPr>
  </w:style>
  <w:style w:type="character" w:customStyle="1" w:styleId="NormalWebChar">
    <w:name w:val="Normal (Web) Char"/>
    <w:aliases w:val="Char Char Char Char Char Char Char Char Char Char Char Char,Normal (Web) Char Char Char, Char Char25 Char,Char Char25 Char,Char Char Char Char,Char Char Char1 Char"/>
    <w:link w:val="NormalWeb"/>
    <w:uiPriority w:val="99"/>
    <w:locked/>
    <w:rsid w:val="003A01D1"/>
    <w:rPr>
      <w:rFonts w:ascii="Times New Roman" w:eastAsia="Times New Roman" w:hAnsi="Times New Roman" w:cs="Times New Roman"/>
      <w:sz w:val="24"/>
      <w:szCs w:val="24"/>
      <w:lang w:val="en-US"/>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BVI fnr Char1,ftre"/>
    <w:basedOn w:val="Normal"/>
    <w:link w:val="FootnoteReference"/>
    <w:uiPriority w:val="99"/>
    <w:qFormat/>
    <w:rsid w:val="00B15620"/>
    <w:pPr>
      <w:spacing w:before="100" w:line="240" w:lineRule="exact"/>
    </w:pPr>
    <w:rPr>
      <w:rFonts w:asciiTheme="minorHAnsi" w:eastAsiaTheme="minorHAnsi" w:hAnsiTheme="minorHAnsi" w:cstheme="minorBidi"/>
      <w:sz w:val="22"/>
      <w:szCs w:val="22"/>
      <w:vertAlign w:val="superscript"/>
      <w:lang w:val="vi-VN"/>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autoRedefine/>
    <w:qFormat/>
    <w:rsid w:val="00B00914"/>
    <w:pPr>
      <w:spacing w:after="160" w:line="240" w:lineRule="exact"/>
    </w:pPr>
    <w:rPr>
      <w:rFonts w:asciiTheme="minorHAnsi" w:eastAsiaTheme="minorHAnsi" w:hAnsiTheme="minorHAnsi" w:cstheme="minorBidi"/>
      <w:sz w:val="22"/>
      <w:szCs w:val="22"/>
      <w:vertAlign w:val="superscript"/>
    </w:rPr>
  </w:style>
  <w:style w:type="character" w:customStyle="1" w:styleId="Heading2Char">
    <w:name w:val="Heading 2 Char"/>
    <w:basedOn w:val="DefaultParagraphFont"/>
    <w:link w:val="Heading2"/>
    <w:uiPriority w:val="9"/>
    <w:semiHidden/>
    <w:rsid w:val="00F37DCB"/>
    <w:rPr>
      <w:rFonts w:asciiTheme="majorHAnsi" w:eastAsiaTheme="majorEastAsia" w:hAnsiTheme="majorHAnsi" w:cstheme="majorBidi"/>
      <w:b/>
      <w:bCs/>
      <w:color w:val="4F81BD" w:themeColor="accent1"/>
      <w:sz w:val="26"/>
      <w:szCs w:val="26"/>
      <w:lang w:val="en-US"/>
    </w:rPr>
  </w:style>
  <w:style w:type="paragraph" w:customStyle="1" w:styleId="si-formart">
    <w:name w:val="si-formart"/>
    <w:basedOn w:val="Normal"/>
    <w:rsid w:val="002E153B"/>
    <w:pPr>
      <w:spacing w:before="100" w:beforeAutospacing="1" w:after="100" w:afterAutospacing="1"/>
    </w:pPr>
    <w:rPr>
      <w:sz w:val="24"/>
      <w:szCs w:val="24"/>
    </w:rPr>
  </w:style>
  <w:style w:type="character" w:customStyle="1" w:styleId="vkekvd">
    <w:name w:val="vkekvd"/>
    <w:basedOn w:val="DefaultParagraphFont"/>
    <w:rsid w:val="00C177CB"/>
  </w:style>
  <w:style w:type="paragraph" w:customStyle="1" w:styleId="tctc0--normal">
    <w:name w:val="tctc_0--normal"/>
    <w:basedOn w:val="Normal"/>
    <w:rsid w:val="00BE222C"/>
    <w:pPr>
      <w:spacing w:before="100" w:beforeAutospacing="1" w:after="100" w:afterAutospacing="1"/>
    </w:pPr>
    <w:rPr>
      <w:sz w:val="24"/>
      <w:szCs w:val="24"/>
    </w:rPr>
  </w:style>
  <w:style w:type="character" w:customStyle="1" w:styleId="qu--ch-n">
    <w:name w:val="qu--ch-n"/>
    <w:basedOn w:val="DefaultParagraphFont"/>
    <w:rsid w:val="00BE222C"/>
  </w:style>
  <w:style w:type="character" w:customStyle="1" w:styleId="charoverride-6">
    <w:name w:val="charoverride-6"/>
    <w:basedOn w:val="DefaultParagraphFont"/>
    <w:rsid w:val="00BE222C"/>
  </w:style>
  <w:style w:type="character" w:customStyle="1" w:styleId="whitespace-normal">
    <w:name w:val="whitespace-normal"/>
    <w:basedOn w:val="DefaultParagraphFont"/>
    <w:rsid w:val="0019299A"/>
  </w:style>
</w:styles>
</file>

<file path=word/webSettings.xml><?xml version="1.0" encoding="utf-8"?>
<w:webSettings xmlns:r="http://schemas.openxmlformats.org/officeDocument/2006/relationships" xmlns:w="http://schemas.openxmlformats.org/wordprocessingml/2006/main">
  <w:divs>
    <w:div w:id="11030891">
      <w:bodyDiv w:val="1"/>
      <w:marLeft w:val="0"/>
      <w:marRight w:val="0"/>
      <w:marTop w:val="0"/>
      <w:marBottom w:val="0"/>
      <w:divBdr>
        <w:top w:val="none" w:sz="0" w:space="0" w:color="auto"/>
        <w:left w:val="none" w:sz="0" w:space="0" w:color="auto"/>
        <w:bottom w:val="none" w:sz="0" w:space="0" w:color="auto"/>
        <w:right w:val="none" w:sz="0" w:space="0" w:color="auto"/>
      </w:divBdr>
    </w:div>
    <w:div w:id="17708901">
      <w:bodyDiv w:val="1"/>
      <w:marLeft w:val="0"/>
      <w:marRight w:val="0"/>
      <w:marTop w:val="0"/>
      <w:marBottom w:val="0"/>
      <w:divBdr>
        <w:top w:val="none" w:sz="0" w:space="0" w:color="auto"/>
        <w:left w:val="none" w:sz="0" w:space="0" w:color="auto"/>
        <w:bottom w:val="none" w:sz="0" w:space="0" w:color="auto"/>
        <w:right w:val="none" w:sz="0" w:space="0" w:color="auto"/>
      </w:divBdr>
    </w:div>
    <w:div w:id="67505092">
      <w:bodyDiv w:val="1"/>
      <w:marLeft w:val="0"/>
      <w:marRight w:val="0"/>
      <w:marTop w:val="0"/>
      <w:marBottom w:val="0"/>
      <w:divBdr>
        <w:top w:val="none" w:sz="0" w:space="0" w:color="auto"/>
        <w:left w:val="none" w:sz="0" w:space="0" w:color="auto"/>
        <w:bottom w:val="none" w:sz="0" w:space="0" w:color="auto"/>
        <w:right w:val="none" w:sz="0" w:space="0" w:color="auto"/>
      </w:divBdr>
    </w:div>
    <w:div w:id="75831598">
      <w:bodyDiv w:val="1"/>
      <w:marLeft w:val="0"/>
      <w:marRight w:val="0"/>
      <w:marTop w:val="0"/>
      <w:marBottom w:val="0"/>
      <w:divBdr>
        <w:top w:val="none" w:sz="0" w:space="0" w:color="auto"/>
        <w:left w:val="none" w:sz="0" w:space="0" w:color="auto"/>
        <w:bottom w:val="none" w:sz="0" w:space="0" w:color="auto"/>
        <w:right w:val="none" w:sz="0" w:space="0" w:color="auto"/>
      </w:divBdr>
    </w:div>
    <w:div w:id="89665563">
      <w:bodyDiv w:val="1"/>
      <w:marLeft w:val="0"/>
      <w:marRight w:val="0"/>
      <w:marTop w:val="0"/>
      <w:marBottom w:val="0"/>
      <w:divBdr>
        <w:top w:val="none" w:sz="0" w:space="0" w:color="auto"/>
        <w:left w:val="none" w:sz="0" w:space="0" w:color="auto"/>
        <w:bottom w:val="none" w:sz="0" w:space="0" w:color="auto"/>
        <w:right w:val="none" w:sz="0" w:space="0" w:color="auto"/>
      </w:divBdr>
    </w:div>
    <w:div w:id="94794377">
      <w:bodyDiv w:val="1"/>
      <w:marLeft w:val="0"/>
      <w:marRight w:val="0"/>
      <w:marTop w:val="0"/>
      <w:marBottom w:val="0"/>
      <w:divBdr>
        <w:top w:val="none" w:sz="0" w:space="0" w:color="auto"/>
        <w:left w:val="none" w:sz="0" w:space="0" w:color="auto"/>
        <w:bottom w:val="none" w:sz="0" w:space="0" w:color="auto"/>
        <w:right w:val="none" w:sz="0" w:space="0" w:color="auto"/>
      </w:divBdr>
    </w:div>
    <w:div w:id="152991429">
      <w:bodyDiv w:val="1"/>
      <w:marLeft w:val="0"/>
      <w:marRight w:val="0"/>
      <w:marTop w:val="0"/>
      <w:marBottom w:val="0"/>
      <w:divBdr>
        <w:top w:val="none" w:sz="0" w:space="0" w:color="auto"/>
        <w:left w:val="none" w:sz="0" w:space="0" w:color="auto"/>
        <w:bottom w:val="none" w:sz="0" w:space="0" w:color="auto"/>
        <w:right w:val="none" w:sz="0" w:space="0" w:color="auto"/>
      </w:divBdr>
    </w:div>
    <w:div w:id="163281814">
      <w:bodyDiv w:val="1"/>
      <w:marLeft w:val="0"/>
      <w:marRight w:val="0"/>
      <w:marTop w:val="0"/>
      <w:marBottom w:val="0"/>
      <w:divBdr>
        <w:top w:val="none" w:sz="0" w:space="0" w:color="auto"/>
        <w:left w:val="none" w:sz="0" w:space="0" w:color="auto"/>
        <w:bottom w:val="none" w:sz="0" w:space="0" w:color="auto"/>
        <w:right w:val="none" w:sz="0" w:space="0" w:color="auto"/>
      </w:divBdr>
    </w:div>
    <w:div w:id="187916843">
      <w:bodyDiv w:val="1"/>
      <w:marLeft w:val="0"/>
      <w:marRight w:val="0"/>
      <w:marTop w:val="0"/>
      <w:marBottom w:val="0"/>
      <w:divBdr>
        <w:top w:val="none" w:sz="0" w:space="0" w:color="auto"/>
        <w:left w:val="none" w:sz="0" w:space="0" w:color="auto"/>
        <w:bottom w:val="none" w:sz="0" w:space="0" w:color="auto"/>
        <w:right w:val="none" w:sz="0" w:space="0" w:color="auto"/>
      </w:divBdr>
    </w:div>
    <w:div w:id="190458699">
      <w:bodyDiv w:val="1"/>
      <w:marLeft w:val="0"/>
      <w:marRight w:val="0"/>
      <w:marTop w:val="0"/>
      <w:marBottom w:val="0"/>
      <w:divBdr>
        <w:top w:val="none" w:sz="0" w:space="0" w:color="auto"/>
        <w:left w:val="none" w:sz="0" w:space="0" w:color="auto"/>
        <w:bottom w:val="none" w:sz="0" w:space="0" w:color="auto"/>
        <w:right w:val="none" w:sz="0" w:space="0" w:color="auto"/>
      </w:divBdr>
    </w:div>
    <w:div w:id="194120789">
      <w:bodyDiv w:val="1"/>
      <w:marLeft w:val="0"/>
      <w:marRight w:val="0"/>
      <w:marTop w:val="0"/>
      <w:marBottom w:val="0"/>
      <w:divBdr>
        <w:top w:val="none" w:sz="0" w:space="0" w:color="auto"/>
        <w:left w:val="none" w:sz="0" w:space="0" w:color="auto"/>
        <w:bottom w:val="none" w:sz="0" w:space="0" w:color="auto"/>
        <w:right w:val="none" w:sz="0" w:space="0" w:color="auto"/>
      </w:divBdr>
    </w:div>
    <w:div w:id="231232804">
      <w:bodyDiv w:val="1"/>
      <w:marLeft w:val="0"/>
      <w:marRight w:val="0"/>
      <w:marTop w:val="0"/>
      <w:marBottom w:val="0"/>
      <w:divBdr>
        <w:top w:val="none" w:sz="0" w:space="0" w:color="auto"/>
        <w:left w:val="none" w:sz="0" w:space="0" w:color="auto"/>
        <w:bottom w:val="none" w:sz="0" w:space="0" w:color="auto"/>
        <w:right w:val="none" w:sz="0" w:space="0" w:color="auto"/>
      </w:divBdr>
    </w:div>
    <w:div w:id="296303178">
      <w:bodyDiv w:val="1"/>
      <w:marLeft w:val="0"/>
      <w:marRight w:val="0"/>
      <w:marTop w:val="0"/>
      <w:marBottom w:val="0"/>
      <w:divBdr>
        <w:top w:val="none" w:sz="0" w:space="0" w:color="auto"/>
        <w:left w:val="none" w:sz="0" w:space="0" w:color="auto"/>
        <w:bottom w:val="none" w:sz="0" w:space="0" w:color="auto"/>
        <w:right w:val="none" w:sz="0" w:space="0" w:color="auto"/>
      </w:divBdr>
    </w:div>
    <w:div w:id="390733876">
      <w:bodyDiv w:val="1"/>
      <w:marLeft w:val="0"/>
      <w:marRight w:val="0"/>
      <w:marTop w:val="0"/>
      <w:marBottom w:val="0"/>
      <w:divBdr>
        <w:top w:val="none" w:sz="0" w:space="0" w:color="auto"/>
        <w:left w:val="none" w:sz="0" w:space="0" w:color="auto"/>
        <w:bottom w:val="none" w:sz="0" w:space="0" w:color="auto"/>
        <w:right w:val="none" w:sz="0" w:space="0" w:color="auto"/>
      </w:divBdr>
    </w:div>
    <w:div w:id="399210714">
      <w:bodyDiv w:val="1"/>
      <w:marLeft w:val="0"/>
      <w:marRight w:val="0"/>
      <w:marTop w:val="0"/>
      <w:marBottom w:val="0"/>
      <w:divBdr>
        <w:top w:val="none" w:sz="0" w:space="0" w:color="auto"/>
        <w:left w:val="none" w:sz="0" w:space="0" w:color="auto"/>
        <w:bottom w:val="none" w:sz="0" w:space="0" w:color="auto"/>
        <w:right w:val="none" w:sz="0" w:space="0" w:color="auto"/>
      </w:divBdr>
    </w:div>
    <w:div w:id="476336951">
      <w:bodyDiv w:val="1"/>
      <w:marLeft w:val="0"/>
      <w:marRight w:val="0"/>
      <w:marTop w:val="0"/>
      <w:marBottom w:val="0"/>
      <w:divBdr>
        <w:top w:val="none" w:sz="0" w:space="0" w:color="auto"/>
        <w:left w:val="none" w:sz="0" w:space="0" w:color="auto"/>
        <w:bottom w:val="none" w:sz="0" w:space="0" w:color="auto"/>
        <w:right w:val="none" w:sz="0" w:space="0" w:color="auto"/>
      </w:divBdr>
    </w:div>
    <w:div w:id="594287861">
      <w:bodyDiv w:val="1"/>
      <w:marLeft w:val="0"/>
      <w:marRight w:val="0"/>
      <w:marTop w:val="0"/>
      <w:marBottom w:val="0"/>
      <w:divBdr>
        <w:top w:val="none" w:sz="0" w:space="0" w:color="auto"/>
        <w:left w:val="none" w:sz="0" w:space="0" w:color="auto"/>
        <w:bottom w:val="none" w:sz="0" w:space="0" w:color="auto"/>
        <w:right w:val="none" w:sz="0" w:space="0" w:color="auto"/>
      </w:divBdr>
    </w:div>
    <w:div w:id="597518419">
      <w:bodyDiv w:val="1"/>
      <w:marLeft w:val="0"/>
      <w:marRight w:val="0"/>
      <w:marTop w:val="0"/>
      <w:marBottom w:val="0"/>
      <w:divBdr>
        <w:top w:val="none" w:sz="0" w:space="0" w:color="auto"/>
        <w:left w:val="none" w:sz="0" w:space="0" w:color="auto"/>
        <w:bottom w:val="none" w:sz="0" w:space="0" w:color="auto"/>
        <w:right w:val="none" w:sz="0" w:space="0" w:color="auto"/>
      </w:divBdr>
    </w:div>
    <w:div w:id="679162288">
      <w:bodyDiv w:val="1"/>
      <w:marLeft w:val="0"/>
      <w:marRight w:val="0"/>
      <w:marTop w:val="0"/>
      <w:marBottom w:val="0"/>
      <w:divBdr>
        <w:top w:val="none" w:sz="0" w:space="0" w:color="auto"/>
        <w:left w:val="none" w:sz="0" w:space="0" w:color="auto"/>
        <w:bottom w:val="none" w:sz="0" w:space="0" w:color="auto"/>
        <w:right w:val="none" w:sz="0" w:space="0" w:color="auto"/>
      </w:divBdr>
    </w:div>
    <w:div w:id="702941149">
      <w:bodyDiv w:val="1"/>
      <w:marLeft w:val="0"/>
      <w:marRight w:val="0"/>
      <w:marTop w:val="0"/>
      <w:marBottom w:val="0"/>
      <w:divBdr>
        <w:top w:val="none" w:sz="0" w:space="0" w:color="auto"/>
        <w:left w:val="none" w:sz="0" w:space="0" w:color="auto"/>
        <w:bottom w:val="none" w:sz="0" w:space="0" w:color="auto"/>
        <w:right w:val="none" w:sz="0" w:space="0" w:color="auto"/>
      </w:divBdr>
    </w:div>
    <w:div w:id="717512315">
      <w:bodyDiv w:val="1"/>
      <w:marLeft w:val="0"/>
      <w:marRight w:val="0"/>
      <w:marTop w:val="0"/>
      <w:marBottom w:val="0"/>
      <w:divBdr>
        <w:top w:val="none" w:sz="0" w:space="0" w:color="auto"/>
        <w:left w:val="none" w:sz="0" w:space="0" w:color="auto"/>
        <w:bottom w:val="none" w:sz="0" w:space="0" w:color="auto"/>
        <w:right w:val="none" w:sz="0" w:space="0" w:color="auto"/>
      </w:divBdr>
    </w:div>
    <w:div w:id="752123718">
      <w:bodyDiv w:val="1"/>
      <w:marLeft w:val="0"/>
      <w:marRight w:val="0"/>
      <w:marTop w:val="0"/>
      <w:marBottom w:val="0"/>
      <w:divBdr>
        <w:top w:val="none" w:sz="0" w:space="0" w:color="auto"/>
        <w:left w:val="none" w:sz="0" w:space="0" w:color="auto"/>
        <w:bottom w:val="none" w:sz="0" w:space="0" w:color="auto"/>
        <w:right w:val="none" w:sz="0" w:space="0" w:color="auto"/>
      </w:divBdr>
    </w:div>
    <w:div w:id="816336109">
      <w:bodyDiv w:val="1"/>
      <w:marLeft w:val="0"/>
      <w:marRight w:val="0"/>
      <w:marTop w:val="0"/>
      <w:marBottom w:val="0"/>
      <w:divBdr>
        <w:top w:val="none" w:sz="0" w:space="0" w:color="auto"/>
        <w:left w:val="none" w:sz="0" w:space="0" w:color="auto"/>
        <w:bottom w:val="none" w:sz="0" w:space="0" w:color="auto"/>
        <w:right w:val="none" w:sz="0" w:space="0" w:color="auto"/>
      </w:divBdr>
    </w:div>
    <w:div w:id="859243226">
      <w:bodyDiv w:val="1"/>
      <w:marLeft w:val="0"/>
      <w:marRight w:val="0"/>
      <w:marTop w:val="0"/>
      <w:marBottom w:val="0"/>
      <w:divBdr>
        <w:top w:val="none" w:sz="0" w:space="0" w:color="auto"/>
        <w:left w:val="none" w:sz="0" w:space="0" w:color="auto"/>
        <w:bottom w:val="none" w:sz="0" w:space="0" w:color="auto"/>
        <w:right w:val="none" w:sz="0" w:space="0" w:color="auto"/>
      </w:divBdr>
    </w:div>
    <w:div w:id="912549561">
      <w:bodyDiv w:val="1"/>
      <w:marLeft w:val="0"/>
      <w:marRight w:val="0"/>
      <w:marTop w:val="0"/>
      <w:marBottom w:val="0"/>
      <w:divBdr>
        <w:top w:val="none" w:sz="0" w:space="0" w:color="auto"/>
        <w:left w:val="none" w:sz="0" w:space="0" w:color="auto"/>
        <w:bottom w:val="none" w:sz="0" w:space="0" w:color="auto"/>
        <w:right w:val="none" w:sz="0" w:space="0" w:color="auto"/>
      </w:divBdr>
    </w:div>
    <w:div w:id="991328540">
      <w:bodyDiv w:val="1"/>
      <w:marLeft w:val="0"/>
      <w:marRight w:val="0"/>
      <w:marTop w:val="0"/>
      <w:marBottom w:val="0"/>
      <w:divBdr>
        <w:top w:val="none" w:sz="0" w:space="0" w:color="auto"/>
        <w:left w:val="none" w:sz="0" w:space="0" w:color="auto"/>
        <w:bottom w:val="none" w:sz="0" w:space="0" w:color="auto"/>
        <w:right w:val="none" w:sz="0" w:space="0" w:color="auto"/>
      </w:divBdr>
    </w:div>
    <w:div w:id="1044015297">
      <w:bodyDiv w:val="1"/>
      <w:marLeft w:val="0"/>
      <w:marRight w:val="0"/>
      <w:marTop w:val="0"/>
      <w:marBottom w:val="0"/>
      <w:divBdr>
        <w:top w:val="none" w:sz="0" w:space="0" w:color="auto"/>
        <w:left w:val="none" w:sz="0" w:space="0" w:color="auto"/>
        <w:bottom w:val="none" w:sz="0" w:space="0" w:color="auto"/>
        <w:right w:val="none" w:sz="0" w:space="0" w:color="auto"/>
      </w:divBdr>
    </w:div>
    <w:div w:id="1047030232">
      <w:bodyDiv w:val="1"/>
      <w:marLeft w:val="0"/>
      <w:marRight w:val="0"/>
      <w:marTop w:val="0"/>
      <w:marBottom w:val="0"/>
      <w:divBdr>
        <w:top w:val="none" w:sz="0" w:space="0" w:color="auto"/>
        <w:left w:val="none" w:sz="0" w:space="0" w:color="auto"/>
        <w:bottom w:val="none" w:sz="0" w:space="0" w:color="auto"/>
        <w:right w:val="none" w:sz="0" w:space="0" w:color="auto"/>
      </w:divBdr>
    </w:div>
    <w:div w:id="1069502668">
      <w:bodyDiv w:val="1"/>
      <w:marLeft w:val="0"/>
      <w:marRight w:val="0"/>
      <w:marTop w:val="0"/>
      <w:marBottom w:val="0"/>
      <w:divBdr>
        <w:top w:val="none" w:sz="0" w:space="0" w:color="auto"/>
        <w:left w:val="none" w:sz="0" w:space="0" w:color="auto"/>
        <w:bottom w:val="none" w:sz="0" w:space="0" w:color="auto"/>
        <w:right w:val="none" w:sz="0" w:space="0" w:color="auto"/>
      </w:divBdr>
    </w:div>
    <w:div w:id="1102147616">
      <w:bodyDiv w:val="1"/>
      <w:marLeft w:val="0"/>
      <w:marRight w:val="0"/>
      <w:marTop w:val="0"/>
      <w:marBottom w:val="0"/>
      <w:divBdr>
        <w:top w:val="none" w:sz="0" w:space="0" w:color="auto"/>
        <w:left w:val="none" w:sz="0" w:space="0" w:color="auto"/>
        <w:bottom w:val="none" w:sz="0" w:space="0" w:color="auto"/>
        <w:right w:val="none" w:sz="0" w:space="0" w:color="auto"/>
      </w:divBdr>
    </w:div>
    <w:div w:id="1138916485">
      <w:bodyDiv w:val="1"/>
      <w:marLeft w:val="0"/>
      <w:marRight w:val="0"/>
      <w:marTop w:val="0"/>
      <w:marBottom w:val="0"/>
      <w:divBdr>
        <w:top w:val="none" w:sz="0" w:space="0" w:color="auto"/>
        <w:left w:val="none" w:sz="0" w:space="0" w:color="auto"/>
        <w:bottom w:val="none" w:sz="0" w:space="0" w:color="auto"/>
        <w:right w:val="none" w:sz="0" w:space="0" w:color="auto"/>
      </w:divBdr>
    </w:div>
    <w:div w:id="1147433201">
      <w:bodyDiv w:val="1"/>
      <w:marLeft w:val="0"/>
      <w:marRight w:val="0"/>
      <w:marTop w:val="0"/>
      <w:marBottom w:val="0"/>
      <w:divBdr>
        <w:top w:val="none" w:sz="0" w:space="0" w:color="auto"/>
        <w:left w:val="none" w:sz="0" w:space="0" w:color="auto"/>
        <w:bottom w:val="none" w:sz="0" w:space="0" w:color="auto"/>
        <w:right w:val="none" w:sz="0" w:space="0" w:color="auto"/>
      </w:divBdr>
    </w:div>
    <w:div w:id="1173689393">
      <w:bodyDiv w:val="1"/>
      <w:marLeft w:val="0"/>
      <w:marRight w:val="0"/>
      <w:marTop w:val="0"/>
      <w:marBottom w:val="0"/>
      <w:divBdr>
        <w:top w:val="none" w:sz="0" w:space="0" w:color="auto"/>
        <w:left w:val="none" w:sz="0" w:space="0" w:color="auto"/>
        <w:bottom w:val="none" w:sz="0" w:space="0" w:color="auto"/>
        <w:right w:val="none" w:sz="0" w:space="0" w:color="auto"/>
      </w:divBdr>
    </w:div>
    <w:div w:id="1183475121">
      <w:bodyDiv w:val="1"/>
      <w:marLeft w:val="0"/>
      <w:marRight w:val="0"/>
      <w:marTop w:val="0"/>
      <w:marBottom w:val="0"/>
      <w:divBdr>
        <w:top w:val="none" w:sz="0" w:space="0" w:color="auto"/>
        <w:left w:val="none" w:sz="0" w:space="0" w:color="auto"/>
        <w:bottom w:val="none" w:sz="0" w:space="0" w:color="auto"/>
        <w:right w:val="none" w:sz="0" w:space="0" w:color="auto"/>
      </w:divBdr>
    </w:div>
    <w:div w:id="1366561669">
      <w:bodyDiv w:val="1"/>
      <w:marLeft w:val="0"/>
      <w:marRight w:val="0"/>
      <w:marTop w:val="0"/>
      <w:marBottom w:val="0"/>
      <w:divBdr>
        <w:top w:val="none" w:sz="0" w:space="0" w:color="auto"/>
        <w:left w:val="none" w:sz="0" w:space="0" w:color="auto"/>
        <w:bottom w:val="none" w:sz="0" w:space="0" w:color="auto"/>
        <w:right w:val="none" w:sz="0" w:space="0" w:color="auto"/>
      </w:divBdr>
    </w:div>
    <w:div w:id="1382973242">
      <w:bodyDiv w:val="1"/>
      <w:marLeft w:val="0"/>
      <w:marRight w:val="0"/>
      <w:marTop w:val="0"/>
      <w:marBottom w:val="0"/>
      <w:divBdr>
        <w:top w:val="none" w:sz="0" w:space="0" w:color="auto"/>
        <w:left w:val="none" w:sz="0" w:space="0" w:color="auto"/>
        <w:bottom w:val="none" w:sz="0" w:space="0" w:color="auto"/>
        <w:right w:val="none" w:sz="0" w:space="0" w:color="auto"/>
      </w:divBdr>
    </w:div>
    <w:div w:id="1514610388">
      <w:bodyDiv w:val="1"/>
      <w:marLeft w:val="0"/>
      <w:marRight w:val="0"/>
      <w:marTop w:val="0"/>
      <w:marBottom w:val="0"/>
      <w:divBdr>
        <w:top w:val="none" w:sz="0" w:space="0" w:color="auto"/>
        <w:left w:val="none" w:sz="0" w:space="0" w:color="auto"/>
        <w:bottom w:val="none" w:sz="0" w:space="0" w:color="auto"/>
        <w:right w:val="none" w:sz="0" w:space="0" w:color="auto"/>
      </w:divBdr>
    </w:div>
    <w:div w:id="1539703124">
      <w:bodyDiv w:val="1"/>
      <w:marLeft w:val="0"/>
      <w:marRight w:val="0"/>
      <w:marTop w:val="0"/>
      <w:marBottom w:val="0"/>
      <w:divBdr>
        <w:top w:val="none" w:sz="0" w:space="0" w:color="auto"/>
        <w:left w:val="none" w:sz="0" w:space="0" w:color="auto"/>
        <w:bottom w:val="none" w:sz="0" w:space="0" w:color="auto"/>
        <w:right w:val="none" w:sz="0" w:space="0" w:color="auto"/>
      </w:divBdr>
    </w:div>
    <w:div w:id="1539708863">
      <w:bodyDiv w:val="1"/>
      <w:marLeft w:val="0"/>
      <w:marRight w:val="0"/>
      <w:marTop w:val="0"/>
      <w:marBottom w:val="0"/>
      <w:divBdr>
        <w:top w:val="none" w:sz="0" w:space="0" w:color="auto"/>
        <w:left w:val="none" w:sz="0" w:space="0" w:color="auto"/>
        <w:bottom w:val="none" w:sz="0" w:space="0" w:color="auto"/>
        <w:right w:val="none" w:sz="0" w:space="0" w:color="auto"/>
      </w:divBdr>
    </w:div>
    <w:div w:id="1576041583">
      <w:bodyDiv w:val="1"/>
      <w:marLeft w:val="0"/>
      <w:marRight w:val="0"/>
      <w:marTop w:val="0"/>
      <w:marBottom w:val="0"/>
      <w:divBdr>
        <w:top w:val="none" w:sz="0" w:space="0" w:color="auto"/>
        <w:left w:val="none" w:sz="0" w:space="0" w:color="auto"/>
        <w:bottom w:val="none" w:sz="0" w:space="0" w:color="auto"/>
        <w:right w:val="none" w:sz="0" w:space="0" w:color="auto"/>
      </w:divBdr>
    </w:div>
    <w:div w:id="1591347720">
      <w:bodyDiv w:val="1"/>
      <w:marLeft w:val="0"/>
      <w:marRight w:val="0"/>
      <w:marTop w:val="0"/>
      <w:marBottom w:val="0"/>
      <w:divBdr>
        <w:top w:val="none" w:sz="0" w:space="0" w:color="auto"/>
        <w:left w:val="none" w:sz="0" w:space="0" w:color="auto"/>
        <w:bottom w:val="none" w:sz="0" w:space="0" w:color="auto"/>
        <w:right w:val="none" w:sz="0" w:space="0" w:color="auto"/>
      </w:divBdr>
    </w:div>
    <w:div w:id="1600140936">
      <w:bodyDiv w:val="1"/>
      <w:marLeft w:val="0"/>
      <w:marRight w:val="0"/>
      <w:marTop w:val="0"/>
      <w:marBottom w:val="0"/>
      <w:divBdr>
        <w:top w:val="none" w:sz="0" w:space="0" w:color="auto"/>
        <w:left w:val="none" w:sz="0" w:space="0" w:color="auto"/>
        <w:bottom w:val="none" w:sz="0" w:space="0" w:color="auto"/>
        <w:right w:val="none" w:sz="0" w:space="0" w:color="auto"/>
      </w:divBdr>
    </w:div>
    <w:div w:id="1701277857">
      <w:bodyDiv w:val="1"/>
      <w:marLeft w:val="0"/>
      <w:marRight w:val="0"/>
      <w:marTop w:val="0"/>
      <w:marBottom w:val="0"/>
      <w:divBdr>
        <w:top w:val="none" w:sz="0" w:space="0" w:color="auto"/>
        <w:left w:val="none" w:sz="0" w:space="0" w:color="auto"/>
        <w:bottom w:val="none" w:sz="0" w:space="0" w:color="auto"/>
        <w:right w:val="none" w:sz="0" w:space="0" w:color="auto"/>
      </w:divBdr>
    </w:div>
    <w:div w:id="1766460023">
      <w:bodyDiv w:val="1"/>
      <w:marLeft w:val="0"/>
      <w:marRight w:val="0"/>
      <w:marTop w:val="0"/>
      <w:marBottom w:val="0"/>
      <w:divBdr>
        <w:top w:val="none" w:sz="0" w:space="0" w:color="auto"/>
        <w:left w:val="none" w:sz="0" w:space="0" w:color="auto"/>
        <w:bottom w:val="none" w:sz="0" w:space="0" w:color="auto"/>
        <w:right w:val="none" w:sz="0" w:space="0" w:color="auto"/>
      </w:divBdr>
    </w:div>
    <w:div w:id="1776946857">
      <w:bodyDiv w:val="1"/>
      <w:marLeft w:val="0"/>
      <w:marRight w:val="0"/>
      <w:marTop w:val="0"/>
      <w:marBottom w:val="0"/>
      <w:divBdr>
        <w:top w:val="none" w:sz="0" w:space="0" w:color="auto"/>
        <w:left w:val="none" w:sz="0" w:space="0" w:color="auto"/>
        <w:bottom w:val="none" w:sz="0" w:space="0" w:color="auto"/>
        <w:right w:val="none" w:sz="0" w:space="0" w:color="auto"/>
      </w:divBdr>
    </w:div>
    <w:div w:id="1818065673">
      <w:bodyDiv w:val="1"/>
      <w:marLeft w:val="0"/>
      <w:marRight w:val="0"/>
      <w:marTop w:val="0"/>
      <w:marBottom w:val="0"/>
      <w:divBdr>
        <w:top w:val="none" w:sz="0" w:space="0" w:color="auto"/>
        <w:left w:val="none" w:sz="0" w:space="0" w:color="auto"/>
        <w:bottom w:val="none" w:sz="0" w:space="0" w:color="auto"/>
        <w:right w:val="none" w:sz="0" w:space="0" w:color="auto"/>
      </w:divBdr>
    </w:div>
    <w:div w:id="1832793975">
      <w:bodyDiv w:val="1"/>
      <w:marLeft w:val="0"/>
      <w:marRight w:val="0"/>
      <w:marTop w:val="0"/>
      <w:marBottom w:val="0"/>
      <w:divBdr>
        <w:top w:val="none" w:sz="0" w:space="0" w:color="auto"/>
        <w:left w:val="none" w:sz="0" w:space="0" w:color="auto"/>
        <w:bottom w:val="none" w:sz="0" w:space="0" w:color="auto"/>
        <w:right w:val="none" w:sz="0" w:space="0" w:color="auto"/>
      </w:divBdr>
    </w:div>
    <w:div w:id="1884487889">
      <w:bodyDiv w:val="1"/>
      <w:marLeft w:val="0"/>
      <w:marRight w:val="0"/>
      <w:marTop w:val="0"/>
      <w:marBottom w:val="0"/>
      <w:divBdr>
        <w:top w:val="none" w:sz="0" w:space="0" w:color="auto"/>
        <w:left w:val="none" w:sz="0" w:space="0" w:color="auto"/>
        <w:bottom w:val="none" w:sz="0" w:space="0" w:color="auto"/>
        <w:right w:val="none" w:sz="0" w:space="0" w:color="auto"/>
      </w:divBdr>
    </w:div>
    <w:div w:id="1935354429">
      <w:bodyDiv w:val="1"/>
      <w:marLeft w:val="0"/>
      <w:marRight w:val="0"/>
      <w:marTop w:val="0"/>
      <w:marBottom w:val="0"/>
      <w:divBdr>
        <w:top w:val="none" w:sz="0" w:space="0" w:color="auto"/>
        <w:left w:val="none" w:sz="0" w:space="0" w:color="auto"/>
        <w:bottom w:val="none" w:sz="0" w:space="0" w:color="auto"/>
        <w:right w:val="none" w:sz="0" w:space="0" w:color="auto"/>
      </w:divBdr>
    </w:div>
    <w:div w:id="2073312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A7B0EA-C1DC-46BC-8E82-CC01EFA4D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14186</TotalTime>
  <Pages>22</Pages>
  <Words>8389</Words>
  <Characters>47821</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dothithanhhuong</dc:creator>
  <cp:lastModifiedBy>Nguyen Nhan Chinh</cp:lastModifiedBy>
  <cp:revision>977</cp:revision>
  <cp:lastPrinted>2026-05-26T09:38:00Z</cp:lastPrinted>
  <dcterms:created xsi:type="dcterms:W3CDTF">2017-12-08T07:33:00Z</dcterms:created>
  <dcterms:modified xsi:type="dcterms:W3CDTF">2026-06-24T10:44:00Z</dcterms:modified>
</cp:coreProperties>
</file>