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26F4" w14:textId="77777777" w:rsidR="0049317A" w:rsidRPr="00CB2B72" w:rsidRDefault="0049317A" w:rsidP="0049317A">
      <w:pPr>
        <w:jc w:val="center"/>
        <w:rPr>
          <w:b/>
          <w:szCs w:val="28"/>
        </w:rPr>
      </w:pPr>
      <w:r w:rsidRPr="00CB2B72">
        <w:rPr>
          <w:b/>
          <w:szCs w:val="28"/>
        </w:rPr>
        <w:t>Phụ lục</w:t>
      </w:r>
    </w:p>
    <w:p w14:paraId="7B44303C" w14:textId="186196F3" w:rsidR="0049317A" w:rsidRDefault="0049317A" w:rsidP="0049317A">
      <w:pPr>
        <w:jc w:val="center"/>
        <w:rPr>
          <w:b/>
          <w:szCs w:val="28"/>
        </w:rPr>
      </w:pPr>
      <w:r w:rsidRPr="00CB2B72">
        <w:rPr>
          <w:b/>
          <w:szCs w:val="28"/>
        </w:rPr>
        <w:t>DANH MỤC THỦ TỤC HÀNH CHÍNH</w:t>
      </w:r>
    </w:p>
    <w:p w14:paraId="1F9C7543" w14:textId="7A64D6A4" w:rsidR="00564327" w:rsidRPr="00CB2B72" w:rsidRDefault="00564327" w:rsidP="0049317A">
      <w:pPr>
        <w:jc w:val="center"/>
        <w:rPr>
          <w:b/>
          <w:szCs w:val="28"/>
        </w:rPr>
      </w:pPr>
      <w:r w:rsidRPr="00CB2B72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4F1E2" wp14:editId="48A0A5FE">
                <wp:simplePos x="0" y="0"/>
                <wp:positionH relativeFrom="column">
                  <wp:posOffset>2080895</wp:posOffset>
                </wp:positionH>
                <wp:positionV relativeFrom="paragraph">
                  <wp:posOffset>27940</wp:posOffset>
                </wp:positionV>
                <wp:extent cx="2047875" cy="0"/>
                <wp:effectExtent l="8255" t="12700" r="1079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9E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3.85pt;margin-top:2.2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Rt0kpdwAAAAHAQAADwAAAGRycy9kb3ducmV2&#10;LnhtbEyOTU/DMBBE70j8B2uRekHUbugHpNlUVSUOHGkrcXXjJQmN11HsNKG/HsMFjqMZvXnZZrSN&#10;uFDna8cIs6kCQVw4U3OJcDy8PDyB8EGz0Y1jQvgiD5v89ibTqXEDv9FlH0oRIexTjVCF0KZS+qIi&#10;q/3UtcSx+3Cd1SHGrpSm00OE20YmSi2l1TXHh0q3tKuoOO97i0C+X8zU9tmWx9frcP+eXD+H9oA4&#10;uRu3axCBxvA3hh/9qA55dDq5no0XDcJjslrFKcJ8DiL2y4VKQJx+s8wz+d8//wYAAP//AwBQSwEC&#10;LQAUAAYACAAAACEAtoM4kv4AAADhAQAAEwAAAAAAAAAAAAAAAAAAAAAAW0NvbnRlbnRfVHlwZXNd&#10;LnhtbFBLAQItABQABgAIAAAAIQA4/SH/1gAAAJQBAAALAAAAAAAAAAAAAAAAAC8BAABfcmVscy8u&#10;cmVsc1BLAQItABQABgAIAAAAIQAFclS4uAEAAFYDAAAOAAAAAAAAAAAAAAAAAC4CAABkcnMvZTJv&#10;RG9jLnhtbFBLAQItABQABgAIAAAAIQBG3SSl3AAAAAcBAAAPAAAAAAAAAAAAAAAAABIEAABkcnMv&#10;ZG93bnJldi54bWxQSwUGAAAAAAQABADzAAAAGwUAAAAA&#10;"/>
            </w:pict>
          </mc:Fallback>
        </mc:AlternateContent>
      </w:r>
    </w:p>
    <w:p w14:paraId="01FB6696" w14:textId="1E6A9863" w:rsidR="0049317A" w:rsidRPr="00CB2B72" w:rsidRDefault="0049317A" w:rsidP="0049317A">
      <w:pPr>
        <w:jc w:val="center"/>
        <w:rPr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90"/>
        <w:gridCol w:w="2126"/>
        <w:gridCol w:w="3402"/>
      </w:tblGrid>
      <w:tr w:rsidR="00CB2B72" w:rsidRPr="000B04EE" w14:paraId="283EA535" w14:textId="77777777" w:rsidTr="00DF54A3"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249B347A" w14:textId="77777777" w:rsidR="004978D9" w:rsidRPr="000B04EE" w:rsidRDefault="004978D9" w:rsidP="00DF54A3">
            <w:pPr>
              <w:spacing w:before="60" w:after="60"/>
              <w:jc w:val="center"/>
              <w:rPr>
                <w:b/>
                <w:szCs w:val="28"/>
              </w:rPr>
            </w:pPr>
            <w:r w:rsidRPr="000B04EE">
              <w:rPr>
                <w:b/>
                <w:szCs w:val="28"/>
              </w:rPr>
              <w:t>STT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7138F7B3" w14:textId="77777777" w:rsidR="004978D9" w:rsidRPr="000B04EE" w:rsidRDefault="004978D9" w:rsidP="00DF54A3">
            <w:pPr>
              <w:spacing w:before="60" w:after="60"/>
              <w:jc w:val="center"/>
              <w:rPr>
                <w:b/>
                <w:szCs w:val="28"/>
              </w:rPr>
            </w:pPr>
            <w:r w:rsidRPr="000B04EE">
              <w:rPr>
                <w:b/>
                <w:szCs w:val="28"/>
              </w:rPr>
              <w:t>Tên thủ tục hành chính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837488" w14:textId="77777777" w:rsidR="004978D9" w:rsidRPr="000B04EE" w:rsidRDefault="004978D9" w:rsidP="00DF54A3">
            <w:pPr>
              <w:spacing w:before="60" w:after="60"/>
              <w:jc w:val="center"/>
              <w:rPr>
                <w:b/>
                <w:szCs w:val="28"/>
              </w:rPr>
            </w:pPr>
            <w:r w:rsidRPr="000B04EE">
              <w:rPr>
                <w:b/>
                <w:szCs w:val="28"/>
              </w:rPr>
              <w:t>Điều khoản quy định thủ tục hành chính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1A4B77" w14:textId="77777777" w:rsidR="00313D87" w:rsidRPr="000B04EE" w:rsidRDefault="004978D9" w:rsidP="00DF54A3">
            <w:pPr>
              <w:spacing w:before="60" w:after="60"/>
              <w:jc w:val="center"/>
              <w:rPr>
                <w:b/>
                <w:szCs w:val="28"/>
              </w:rPr>
            </w:pPr>
            <w:r w:rsidRPr="000B04EE">
              <w:rPr>
                <w:b/>
                <w:szCs w:val="28"/>
              </w:rPr>
              <w:t>Việc đánh giá tác động</w:t>
            </w:r>
          </w:p>
          <w:p w14:paraId="5ACDE7B3" w14:textId="77777777" w:rsidR="004978D9" w:rsidRPr="000B04EE" w:rsidRDefault="004978D9" w:rsidP="00DF54A3">
            <w:pPr>
              <w:spacing w:before="60" w:after="60"/>
              <w:jc w:val="center"/>
              <w:rPr>
                <w:b/>
                <w:szCs w:val="28"/>
              </w:rPr>
            </w:pPr>
            <w:r w:rsidRPr="000B04EE">
              <w:rPr>
                <w:b/>
                <w:szCs w:val="28"/>
              </w:rPr>
              <w:t>và tính toán CPTT TTHC</w:t>
            </w:r>
          </w:p>
        </w:tc>
      </w:tr>
      <w:tr w:rsidR="000B04EE" w:rsidRPr="000B04EE" w14:paraId="04D9DA9F" w14:textId="77777777" w:rsidTr="00DF54A3">
        <w:tc>
          <w:tcPr>
            <w:tcW w:w="746" w:type="dxa"/>
          </w:tcPr>
          <w:p w14:paraId="06549A4E" w14:textId="77777777" w:rsidR="000B04EE" w:rsidRPr="000B04EE" w:rsidRDefault="000B04EE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76B050B7" w14:textId="77777777" w:rsidR="000B04EE" w:rsidRPr="000B04EE" w:rsidRDefault="000B04EE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 xml:space="preserve">Thủ tục </w:t>
            </w:r>
            <w:r w:rsidR="004F2E4D">
              <w:t>g</w:t>
            </w:r>
            <w:r w:rsidR="004F2E4D" w:rsidRPr="004F2E4D">
              <w:rPr>
                <w:szCs w:val="28"/>
              </w:rPr>
              <w:t>ia hạn nộp thuế, tiền chậm nộp, tiền phạt</w:t>
            </w:r>
          </w:p>
        </w:tc>
        <w:tc>
          <w:tcPr>
            <w:tcW w:w="2126" w:type="dxa"/>
          </w:tcPr>
          <w:p w14:paraId="65156707" w14:textId="77777777" w:rsidR="000B04EE" w:rsidRPr="000B04EE" w:rsidRDefault="000B04EE" w:rsidP="00DF54A3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6</w:t>
            </w:r>
          </w:p>
        </w:tc>
        <w:tc>
          <w:tcPr>
            <w:tcW w:w="3402" w:type="dxa"/>
          </w:tcPr>
          <w:p w14:paraId="011E5CC6" w14:textId="77777777" w:rsidR="000B04EE" w:rsidRPr="000B04EE" w:rsidRDefault="004F2E4D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0B04EE" w:rsidRPr="000B04EE" w14:paraId="1B84D084" w14:textId="77777777" w:rsidTr="00DF54A3">
        <w:tc>
          <w:tcPr>
            <w:tcW w:w="746" w:type="dxa"/>
          </w:tcPr>
          <w:p w14:paraId="34A4AC34" w14:textId="77777777" w:rsidR="000B04EE" w:rsidRPr="000B04EE" w:rsidRDefault="000B04EE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2C6F0CD5" w14:textId="77777777" w:rsidR="000B04EE" w:rsidRPr="000B04EE" w:rsidRDefault="000B04EE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Thủ tục xử lý tiền thuế, tiền chậm nộp, tiền phạt nộp thừa</w:t>
            </w:r>
          </w:p>
        </w:tc>
        <w:tc>
          <w:tcPr>
            <w:tcW w:w="2126" w:type="dxa"/>
          </w:tcPr>
          <w:p w14:paraId="3B4C1BF0" w14:textId="77777777" w:rsidR="000B04EE" w:rsidRPr="000B04EE" w:rsidRDefault="000B04EE" w:rsidP="00DF54A3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7</w:t>
            </w:r>
          </w:p>
        </w:tc>
        <w:tc>
          <w:tcPr>
            <w:tcW w:w="3402" w:type="dxa"/>
          </w:tcPr>
          <w:p w14:paraId="71D88C21" w14:textId="77777777" w:rsidR="000B04EE" w:rsidRPr="000B04EE" w:rsidRDefault="008D275A" w:rsidP="00DF54A3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Kế thừa nội dung hiện hành, không quy định mới, không sửa đổi, bổ sung nên không thực hiện đánh giá tác động</w:t>
            </w:r>
          </w:p>
        </w:tc>
      </w:tr>
      <w:tr w:rsidR="00195DE6" w:rsidRPr="000B04EE" w14:paraId="0A2878C1" w14:textId="77777777" w:rsidTr="00DF54A3">
        <w:tc>
          <w:tcPr>
            <w:tcW w:w="746" w:type="dxa"/>
          </w:tcPr>
          <w:p w14:paraId="0081BCFD" w14:textId="77777777" w:rsidR="00195DE6" w:rsidRPr="00B069B7" w:rsidRDefault="00195DE6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C3BF2FB" w14:textId="3FA9851C" w:rsidR="00195DE6" w:rsidRPr="00B069B7" w:rsidRDefault="00195DE6" w:rsidP="00DF54A3">
            <w:pPr>
              <w:spacing w:before="60" w:after="60"/>
              <w:rPr>
                <w:szCs w:val="28"/>
              </w:rPr>
            </w:pPr>
            <w:r w:rsidRPr="00B069B7">
              <w:rPr>
                <w:szCs w:val="28"/>
              </w:rPr>
              <w:t>Thủ tục miễn tiền chậm nộp</w:t>
            </w:r>
          </w:p>
        </w:tc>
        <w:tc>
          <w:tcPr>
            <w:tcW w:w="2126" w:type="dxa"/>
          </w:tcPr>
          <w:p w14:paraId="72E53C15" w14:textId="2EC96929" w:rsidR="00195DE6" w:rsidRPr="00B069B7" w:rsidRDefault="00195DE6" w:rsidP="00DF54A3">
            <w:pPr>
              <w:spacing w:before="60" w:after="60"/>
              <w:jc w:val="center"/>
              <w:rPr>
                <w:szCs w:val="28"/>
              </w:rPr>
            </w:pPr>
            <w:r w:rsidRPr="00B069B7">
              <w:rPr>
                <w:szCs w:val="28"/>
              </w:rPr>
              <w:t>Điều 10</w:t>
            </w:r>
          </w:p>
        </w:tc>
        <w:tc>
          <w:tcPr>
            <w:tcW w:w="3402" w:type="dxa"/>
          </w:tcPr>
          <w:p w14:paraId="5F3EE01C" w14:textId="1DCF7140" w:rsidR="00195DE6" w:rsidRPr="00B069B7" w:rsidRDefault="00B069B7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0B04EE" w:rsidRPr="000B04EE" w14:paraId="46AC9D35" w14:textId="77777777" w:rsidTr="00DF54A3">
        <w:tc>
          <w:tcPr>
            <w:tcW w:w="746" w:type="dxa"/>
          </w:tcPr>
          <w:p w14:paraId="51401B9D" w14:textId="77777777" w:rsidR="000B04EE" w:rsidRPr="000B04EE" w:rsidRDefault="000B04EE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237030B3" w14:textId="77777777" w:rsidR="000B04EE" w:rsidRPr="000B04EE" w:rsidRDefault="000B04EE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Thủ tục hoàn thuế đối với hàng hoá xuất khẩu, nhập khẩu</w:t>
            </w:r>
          </w:p>
        </w:tc>
        <w:tc>
          <w:tcPr>
            <w:tcW w:w="2126" w:type="dxa"/>
          </w:tcPr>
          <w:p w14:paraId="220914A0" w14:textId="269A2BBB" w:rsidR="000B04EE" w:rsidRPr="000B04EE" w:rsidRDefault="000B04EE" w:rsidP="00DF54A3">
            <w:pPr>
              <w:spacing w:before="60" w:after="60"/>
              <w:jc w:val="center"/>
              <w:rPr>
                <w:szCs w:val="28"/>
              </w:rPr>
            </w:pPr>
            <w:r w:rsidRPr="000B04EE">
              <w:rPr>
                <w:szCs w:val="28"/>
              </w:rPr>
              <w:t xml:space="preserve">Điều </w:t>
            </w:r>
            <w:r w:rsidR="00B06779">
              <w:rPr>
                <w:szCs w:val="28"/>
              </w:rPr>
              <w:t>11</w:t>
            </w:r>
          </w:p>
        </w:tc>
        <w:tc>
          <w:tcPr>
            <w:tcW w:w="3402" w:type="dxa"/>
          </w:tcPr>
          <w:p w14:paraId="5169108C" w14:textId="77777777" w:rsidR="000B04EE" w:rsidRPr="000B04EE" w:rsidRDefault="004F2E4D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D710E1" w:rsidRPr="000B04EE" w14:paraId="4A860F21" w14:textId="77777777" w:rsidTr="00DF54A3">
        <w:tc>
          <w:tcPr>
            <w:tcW w:w="746" w:type="dxa"/>
          </w:tcPr>
          <w:p w14:paraId="43FBB582" w14:textId="77777777" w:rsidR="00D710E1" w:rsidRPr="000B04EE" w:rsidRDefault="00D710E1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2A6F20DB" w14:textId="22844483" w:rsidR="00D710E1" w:rsidRPr="000B04EE" w:rsidRDefault="00D710E1" w:rsidP="00DF54A3">
            <w:pPr>
              <w:spacing w:before="60" w:after="60"/>
              <w:rPr>
                <w:szCs w:val="28"/>
              </w:rPr>
            </w:pPr>
            <w:r w:rsidRPr="0030738D">
              <w:rPr>
                <w:szCs w:val="28"/>
              </w:rPr>
              <w:t>Thủ tục thông báo danh mục hàng hóa miễn thuế dự kiến xuất khẩu, nhập khẩu</w:t>
            </w:r>
          </w:p>
        </w:tc>
        <w:tc>
          <w:tcPr>
            <w:tcW w:w="2126" w:type="dxa"/>
          </w:tcPr>
          <w:p w14:paraId="044C493B" w14:textId="2AD99CF3" w:rsidR="00D710E1" w:rsidRPr="000B04EE" w:rsidRDefault="00D710E1" w:rsidP="00DF54A3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13</w:t>
            </w:r>
          </w:p>
        </w:tc>
        <w:tc>
          <w:tcPr>
            <w:tcW w:w="3402" w:type="dxa"/>
          </w:tcPr>
          <w:p w14:paraId="7DA1FD79" w14:textId="1D088BB6" w:rsidR="00D710E1" w:rsidRDefault="00D710E1" w:rsidP="00DF54A3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Kế thừa nội dung hiện hành, không quy định mới, không sửa đổi, bổ sung nên không thực hiện đánh giá tác động</w:t>
            </w:r>
          </w:p>
        </w:tc>
      </w:tr>
      <w:tr w:rsidR="00195DE6" w:rsidRPr="000B04EE" w14:paraId="35F07040" w14:textId="77777777" w:rsidTr="00DF54A3">
        <w:tc>
          <w:tcPr>
            <w:tcW w:w="746" w:type="dxa"/>
          </w:tcPr>
          <w:p w14:paraId="3B3457BB" w14:textId="77777777" w:rsidR="00195DE6" w:rsidRPr="000B04EE" w:rsidRDefault="00195DE6" w:rsidP="00DF54A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62167A52" w14:textId="41AB1E78" w:rsidR="00195DE6" w:rsidRPr="000B04EE" w:rsidRDefault="00195DE6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Thủ tục miễn thuế đối với hàng hoá xuất khẩu, nhập khẩu</w:t>
            </w:r>
          </w:p>
        </w:tc>
        <w:tc>
          <w:tcPr>
            <w:tcW w:w="2126" w:type="dxa"/>
          </w:tcPr>
          <w:p w14:paraId="135F9061" w14:textId="45365521" w:rsidR="00195DE6" w:rsidRPr="000B04EE" w:rsidRDefault="00D710E1" w:rsidP="00DF54A3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Từ </w:t>
            </w:r>
            <w:r w:rsidR="00195DE6" w:rsidRPr="000B04EE">
              <w:rPr>
                <w:szCs w:val="28"/>
              </w:rPr>
              <w:t>Điều 1</w:t>
            </w:r>
            <w:r>
              <w:rPr>
                <w:szCs w:val="28"/>
              </w:rPr>
              <w:t xml:space="preserve">4 đến Điều </w:t>
            </w:r>
            <w:r w:rsidR="00250176">
              <w:rPr>
                <w:szCs w:val="28"/>
              </w:rPr>
              <w:t>28</w:t>
            </w:r>
          </w:p>
        </w:tc>
        <w:tc>
          <w:tcPr>
            <w:tcW w:w="3402" w:type="dxa"/>
          </w:tcPr>
          <w:p w14:paraId="5432A4FD" w14:textId="795CE12A" w:rsidR="00195DE6" w:rsidRDefault="00250176" w:rsidP="00DF54A3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C23F3B" w:rsidRPr="000B04EE" w14:paraId="54F5EA7C" w14:textId="77777777" w:rsidTr="00DF54A3">
        <w:tc>
          <w:tcPr>
            <w:tcW w:w="746" w:type="dxa"/>
          </w:tcPr>
          <w:p w14:paraId="15F9B631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27CF2682" w14:textId="458B0222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C23F3B">
              <w:rPr>
                <w:szCs w:val="28"/>
              </w:rPr>
              <w:t>hủ tục miễn thuế đối với tài sản di chuyển vượt định mức miễn thuế của cơ quan, tổ chức được ngân sách nhà nước đảm bảo kinh phí hoạt động</w:t>
            </w:r>
          </w:p>
        </w:tc>
        <w:tc>
          <w:tcPr>
            <w:tcW w:w="2126" w:type="dxa"/>
          </w:tcPr>
          <w:p w14:paraId="5104FF40" w14:textId="3B89B546" w:rsidR="00C23F3B" w:rsidRPr="000B04EE" w:rsidRDefault="00C23F3B" w:rsidP="00C23F3B">
            <w:pPr>
              <w:spacing w:before="60" w:after="60"/>
              <w:jc w:val="center"/>
              <w:rPr>
                <w:szCs w:val="28"/>
              </w:rPr>
            </w:pPr>
            <w:r w:rsidRPr="000B04EE">
              <w:rPr>
                <w:szCs w:val="28"/>
              </w:rPr>
              <w:t xml:space="preserve">Điều </w:t>
            </w:r>
            <w:r>
              <w:rPr>
                <w:szCs w:val="28"/>
              </w:rPr>
              <w:t>15</w:t>
            </w:r>
            <w:r w:rsidR="00567B44">
              <w:rPr>
                <w:szCs w:val="28"/>
              </w:rPr>
              <w:t>, Điều 28</w:t>
            </w:r>
          </w:p>
        </w:tc>
        <w:tc>
          <w:tcPr>
            <w:tcW w:w="3402" w:type="dxa"/>
          </w:tcPr>
          <w:p w14:paraId="47C112AA" w14:textId="0FFC26E2" w:rsidR="00C23F3B" w:rsidRDefault="00C23F3B" w:rsidP="00C23F3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Kế thừa nội dung hiện hành, không quy định mới, không sửa đổi, bổ sung nên không thực hiện đánh giá tác động</w:t>
            </w:r>
          </w:p>
        </w:tc>
      </w:tr>
      <w:tr w:rsidR="00C23F3B" w:rsidRPr="000B04EE" w14:paraId="5FAEA970" w14:textId="77777777" w:rsidTr="00DF54A3">
        <w:tc>
          <w:tcPr>
            <w:tcW w:w="746" w:type="dxa"/>
          </w:tcPr>
          <w:p w14:paraId="79675E26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D93CAAC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Thủ tục giảm thuế xuất khẩu, thuế nhập khẩu</w:t>
            </w:r>
          </w:p>
        </w:tc>
        <w:tc>
          <w:tcPr>
            <w:tcW w:w="2126" w:type="dxa"/>
          </w:tcPr>
          <w:p w14:paraId="79D2ED7D" w14:textId="03B4EE44" w:rsidR="00C23F3B" w:rsidRPr="000B04EE" w:rsidRDefault="00C23F3B" w:rsidP="00C23F3B">
            <w:pPr>
              <w:spacing w:before="60" w:after="60"/>
              <w:jc w:val="center"/>
              <w:rPr>
                <w:szCs w:val="28"/>
              </w:rPr>
            </w:pPr>
            <w:r w:rsidRPr="000B04EE">
              <w:rPr>
                <w:szCs w:val="28"/>
              </w:rPr>
              <w:t xml:space="preserve">Điều </w:t>
            </w:r>
            <w:r>
              <w:rPr>
                <w:szCs w:val="28"/>
              </w:rPr>
              <w:t>30</w:t>
            </w:r>
          </w:p>
        </w:tc>
        <w:tc>
          <w:tcPr>
            <w:tcW w:w="3402" w:type="dxa"/>
          </w:tcPr>
          <w:p w14:paraId="2BEDDFC7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Kế thừa nội dung hiện hành, không quy định mới, không sửa đổi, bổ sung nên không thực hiện đánh giá tác động</w:t>
            </w:r>
          </w:p>
        </w:tc>
      </w:tr>
      <w:tr w:rsidR="00C23F3B" w:rsidRPr="000B04EE" w14:paraId="67713297" w14:textId="77777777" w:rsidTr="00DF54A3">
        <w:tc>
          <w:tcPr>
            <w:tcW w:w="746" w:type="dxa"/>
          </w:tcPr>
          <w:p w14:paraId="4AA706DA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4BEB8E2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Thủ tục không thu thuế đối với hàng hoá xuất khẩu, nhập khẩu</w:t>
            </w:r>
          </w:p>
        </w:tc>
        <w:tc>
          <w:tcPr>
            <w:tcW w:w="2126" w:type="dxa"/>
          </w:tcPr>
          <w:p w14:paraId="23C767DB" w14:textId="19F4D2DE" w:rsidR="00C23F3B" w:rsidRPr="000B04EE" w:rsidRDefault="00C23F3B" w:rsidP="00C23F3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31</w:t>
            </w:r>
          </w:p>
        </w:tc>
        <w:tc>
          <w:tcPr>
            <w:tcW w:w="3402" w:type="dxa"/>
          </w:tcPr>
          <w:p w14:paraId="33E8076A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C23F3B" w:rsidRPr="000B04EE" w14:paraId="1277F951" w14:textId="77777777" w:rsidTr="00DF54A3">
        <w:tc>
          <w:tcPr>
            <w:tcW w:w="746" w:type="dxa"/>
          </w:tcPr>
          <w:p w14:paraId="7CAEB6D3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55A8B30A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</w:t>
            </w:r>
            <w:r w:rsidRPr="000B04EE">
              <w:rPr>
                <w:szCs w:val="28"/>
              </w:rPr>
              <w:t>hoanh tiền thuế nợ</w:t>
            </w:r>
          </w:p>
        </w:tc>
        <w:tc>
          <w:tcPr>
            <w:tcW w:w="2126" w:type="dxa"/>
          </w:tcPr>
          <w:p w14:paraId="43E9602C" w14:textId="36742BD1" w:rsidR="00C23F3B" w:rsidRPr="000B04EE" w:rsidRDefault="00C23F3B" w:rsidP="00C23F3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34</w:t>
            </w:r>
          </w:p>
        </w:tc>
        <w:tc>
          <w:tcPr>
            <w:tcW w:w="3402" w:type="dxa"/>
          </w:tcPr>
          <w:p w14:paraId="6B1B5425" w14:textId="77777777" w:rsidR="00C23F3B" w:rsidRPr="000B04EE" w:rsidRDefault="00C23F3B" w:rsidP="00C23F3B">
            <w:pPr>
              <w:spacing w:before="60" w:after="60"/>
              <w:rPr>
                <w:szCs w:val="28"/>
                <w:highlight w:val="yellow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C23F3B" w:rsidRPr="000B04EE" w14:paraId="68BC9D78" w14:textId="77777777" w:rsidTr="00DF54A3">
        <w:tc>
          <w:tcPr>
            <w:tcW w:w="746" w:type="dxa"/>
          </w:tcPr>
          <w:p w14:paraId="1FA4653B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0CC42E2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 w:rsidRPr="00CE1F97">
              <w:rPr>
                <w:szCs w:val="28"/>
                <w:lang w:val="nl-NL"/>
              </w:rPr>
              <w:t>Xóa tiền thuế nợ</w:t>
            </w:r>
          </w:p>
        </w:tc>
        <w:tc>
          <w:tcPr>
            <w:tcW w:w="2126" w:type="dxa"/>
          </w:tcPr>
          <w:p w14:paraId="372E7F4A" w14:textId="404119EF" w:rsidR="00C23F3B" w:rsidRPr="000B04EE" w:rsidRDefault="00C23F3B" w:rsidP="00C23F3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35</w:t>
            </w:r>
          </w:p>
        </w:tc>
        <w:tc>
          <w:tcPr>
            <w:tcW w:w="3402" w:type="dxa"/>
          </w:tcPr>
          <w:p w14:paraId="0DD613A7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 w:rsidRPr="000B04EE">
              <w:rPr>
                <w:szCs w:val="28"/>
              </w:rPr>
              <w:t>Đã thực hiện</w:t>
            </w:r>
          </w:p>
        </w:tc>
      </w:tr>
      <w:tr w:rsidR="00C23F3B" w:rsidRPr="000B04EE" w14:paraId="6AE781D7" w14:textId="77777777" w:rsidTr="00DF54A3">
        <w:tc>
          <w:tcPr>
            <w:tcW w:w="746" w:type="dxa"/>
          </w:tcPr>
          <w:p w14:paraId="26F20074" w14:textId="77777777" w:rsidR="00C23F3B" w:rsidRPr="000B04EE" w:rsidRDefault="00C23F3B" w:rsidP="00C23F3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2D081F49" w14:textId="77777777" w:rsidR="00C23F3B" w:rsidRPr="00CE1F97" w:rsidRDefault="00C23F3B" w:rsidP="00C23F3B">
            <w:pPr>
              <w:spacing w:before="60" w:after="60"/>
              <w:rPr>
                <w:szCs w:val="28"/>
                <w:lang w:val="nl-NL"/>
              </w:rPr>
            </w:pPr>
            <w:r w:rsidRPr="000B04EE">
              <w:rPr>
                <w:szCs w:val="28"/>
              </w:rPr>
              <w:t>Thủ tục Nộp dần tiền thuế nợ</w:t>
            </w:r>
          </w:p>
        </w:tc>
        <w:tc>
          <w:tcPr>
            <w:tcW w:w="2126" w:type="dxa"/>
          </w:tcPr>
          <w:p w14:paraId="2BA4EF64" w14:textId="3C2FF976" w:rsidR="00C23F3B" w:rsidRDefault="00C23F3B" w:rsidP="00C23F3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Điều 36</w:t>
            </w:r>
          </w:p>
        </w:tc>
        <w:tc>
          <w:tcPr>
            <w:tcW w:w="3402" w:type="dxa"/>
          </w:tcPr>
          <w:p w14:paraId="718087D2" w14:textId="77777777" w:rsidR="00C23F3B" w:rsidRPr="000B04EE" w:rsidRDefault="00C23F3B" w:rsidP="00C23F3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Kế thừa nội dung hiện hành, không quy định mới, không sửa đổi, bổ sung nên không thực hiện đánh giá tác động</w:t>
            </w:r>
          </w:p>
        </w:tc>
      </w:tr>
    </w:tbl>
    <w:p w14:paraId="4E6D0D5D" w14:textId="77777777" w:rsidR="009262B4" w:rsidRPr="00CB2B72" w:rsidRDefault="009262B4"/>
    <w:sectPr w:rsidR="009262B4" w:rsidRPr="00CB2B72" w:rsidSect="00B07805">
      <w:headerReference w:type="default" r:id="rId7"/>
      <w:pgSz w:w="11906" w:h="16838" w:code="9"/>
      <w:pgMar w:top="1134" w:right="1077" w:bottom="1134" w:left="164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0328" w14:textId="77777777" w:rsidR="0080731B" w:rsidRDefault="0080731B" w:rsidP="00A204BC">
      <w:r>
        <w:separator/>
      </w:r>
    </w:p>
  </w:endnote>
  <w:endnote w:type="continuationSeparator" w:id="0">
    <w:p w14:paraId="0131121D" w14:textId="77777777" w:rsidR="0080731B" w:rsidRDefault="0080731B" w:rsidP="00A2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3948" w14:textId="77777777" w:rsidR="0080731B" w:rsidRDefault="0080731B" w:rsidP="00A204BC">
      <w:r>
        <w:separator/>
      </w:r>
    </w:p>
  </w:footnote>
  <w:footnote w:type="continuationSeparator" w:id="0">
    <w:p w14:paraId="542F1D47" w14:textId="77777777" w:rsidR="0080731B" w:rsidRDefault="0080731B" w:rsidP="00A2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192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E87CF4" w14:textId="77777777" w:rsidR="00A204BC" w:rsidRDefault="00A204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7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E6254" w14:textId="77777777" w:rsidR="00A204BC" w:rsidRDefault="00A20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393"/>
    <w:multiLevelType w:val="hybridMultilevel"/>
    <w:tmpl w:val="38E88496"/>
    <w:lvl w:ilvl="0" w:tplc="E166C3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97371F8"/>
    <w:multiLevelType w:val="hybridMultilevel"/>
    <w:tmpl w:val="109A53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78043722">
    <w:abstractNumId w:val="1"/>
  </w:num>
  <w:num w:numId="2" w16cid:durableId="128839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7CC"/>
    <w:rsid w:val="0001773A"/>
    <w:rsid w:val="000635F5"/>
    <w:rsid w:val="000B04EE"/>
    <w:rsid w:val="000F3BF5"/>
    <w:rsid w:val="0013273E"/>
    <w:rsid w:val="00136302"/>
    <w:rsid w:val="0019499E"/>
    <w:rsid w:val="00195DE6"/>
    <w:rsid w:val="001C4799"/>
    <w:rsid w:val="001C5CD5"/>
    <w:rsid w:val="001D0B4F"/>
    <w:rsid w:val="001E7961"/>
    <w:rsid w:val="00211AD0"/>
    <w:rsid w:val="00242D7A"/>
    <w:rsid w:val="00250176"/>
    <w:rsid w:val="002542B6"/>
    <w:rsid w:val="00272BD1"/>
    <w:rsid w:val="0028252C"/>
    <w:rsid w:val="002A1E75"/>
    <w:rsid w:val="002B25AA"/>
    <w:rsid w:val="002D0127"/>
    <w:rsid w:val="002D7D1E"/>
    <w:rsid w:val="0030066E"/>
    <w:rsid w:val="0030738D"/>
    <w:rsid w:val="00313D87"/>
    <w:rsid w:val="003545AA"/>
    <w:rsid w:val="00375E82"/>
    <w:rsid w:val="003936AF"/>
    <w:rsid w:val="003C20E1"/>
    <w:rsid w:val="004012DE"/>
    <w:rsid w:val="00417DC2"/>
    <w:rsid w:val="00457494"/>
    <w:rsid w:val="0046328D"/>
    <w:rsid w:val="00466227"/>
    <w:rsid w:val="00467FAE"/>
    <w:rsid w:val="0049317A"/>
    <w:rsid w:val="004978D9"/>
    <w:rsid w:val="004C627F"/>
    <w:rsid w:val="004F2B01"/>
    <w:rsid w:val="004F2E4D"/>
    <w:rsid w:val="004F3086"/>
    <w:rsid w:val="004F3133"/>
    <w:rsid w:val="00533178"/>
    <w:rsid w:val="00536855"/>
    <w:rsid w:val="00564327"/>
    <w:rsid w:val="00567B44"/>
    <w:rsid w:val="00591DCA"/>
    <w:rsid w:val="005A13D1"/>
    <w:rsid w:val="005A4A92"/>
    <w:rsid w:val="005B4B1A"/>
    <w:rsid w:val="006451F1"/>
    <w:rsid w:val="006625D2"/>
    <w:rsid w:val="00685540"/>
    <w:rsid w:val="006C3D53"/>
    <w:rsid w:val="006C5F95"/>
    <w:rsid w:val="007160CE"/>
    <w:rsid w:val="00766E04"/>
    <w:rsid w:val="007B0B69"/>
    <w:rsid w:val="007E05CB"/>
    <w:rsid w:val="0080731B"/>
    <w:rsid w:val="008137CC"/>
    <w:rsid w:val="00834F0E"/>
    <w:rsid w:val="00875784"/>
    <w:rsid w:val="00892FB0"/>
    <w:rsid w:val="008A6A7D"/>
    <w:rsid w:val="008C6A37"/>
    <w:rsid w:val="008D275A"/>
    <w:rsid w:val="008F792F"/>
    <w:rsid w:val="009262B4"/>
    <w:rsid w:val="009916B9"/>
    <w:rsid w:val="00991D85"/>
    <w:rsid w:val="009A35CD"/>
    <w:rsid w:val="009A662F"/>
    <w:rsid w:val="009E197B"/>
    <w:rsid w:val="00A204BC"/>
    <w:rsid w:val="00A37D39"/>
    <w:rsid w:val="00A64523"/>
    <w:rsid w:val="00A706C4"/>
    <w:rsid w:val="00A97DD9"/>
    <w:rsid w:val="00AC43A7"/>
    <w:rsid w:val="00AE60C3"/>
    <w:rsid w:val="00B0523A"/>
    <w:rsid w:val="00B06779"/>
    <w:rsid w:val="00B069B7"/>
    <w:rsid w:val="00B07805"/>
    <w:rsid w:val="00BB0F8D"/>
    <w:rsid w:val="00BC16D2"/>
    <w:rsid w:val="00BC25A0"/>
    <w:rsid w:val="00BE0E5D"/>
    <w:rsid w:val="00BE7EC2"/>
    <w:rsid w:val="00C1389D"/>
    <w:rsid w:val="00C2072A"/>
    <w:rsid w:val="00C23F3B"/>
    <w:rsid w:val="00C3682A"/>
    <w:rsid w:val="00C909CC"/>
    <w:rsid w:val="00CB2B72"/>
    <w:rsid w:val="00CC000B"/>
    <w:rsid w:val="00D11ADC"/>
    <w:rsid w:val="00D15C63"/>
    <w:rsid w:val="00D35762"/>
    <w:rsid w:val="00D47337"/>
    <w:rsid w:val="00D53606"/>
    <w:rsid w:val="00D710E1"/>
    <w:rsid w:val="00D76AA8"/>
    <w:rsid w:val="00D90FC7"/>
    <w:rsid w:val="00DD08EA"/>
    <w:rsid w:val="00DD58C3"/>
    <w:rsid w:val="00DF54A3"/>
    <w:rsid w:val="00E00709"/>
    <w:rsid w:val="00E13DFE"/>
    <w:rsid w:val="00E35AD8"/>
    <w:rsid w:val="00E51AD8"/>
    <w:rsid w:val="00E65F9B"/>
    <w:rsid w:val="00E66D05"/>
    <w:rsid w:val="00E92B4D"/>
    <w:rsid w:val="00EA3E24"/>
    <w:rsid w:val="00F21D27"/>
    <w:rsid w:val="00F9778F"/>
    <w:rsid w:val="00FB6F6A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37DA"/>
  <w15:docId w15:val="{1CD56D78-14D4-4776-AF25-32AA27F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31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9317A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20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4BC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0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4BC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 Tuan Pham</dc:creator>
  <cp:lastModifiedBy>Administrator</cp:lastModifiedBy>
  <cp:revision>45</cp:revision>
  <cp:lastPrinted>2026-04-29T08:08:00Z</cp:lastPrinted>
  <dcterms:created xsi:type="dcterms:W3CDTF">2025-04-07T09:51:00Z</dcterms:created>
  <dcterms:modified xsi:type="dcterms:W3CDTF">2026-05-30T12:25:00Z</dcterms:modified>
</cp:coreProperties>
</file>