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6" w:type="dxa"/>
        <w:tblLayout w:type="fixed"/>
        <w:tblCellMar>
          <w:left w:w="0" w:type="dxa"/>
          <w:right w:w="0" w:type="dxa"/>
        </w:tblCellMar>
        <w:tblLook w:val="01E0" w:firstRow="1" w:lastRow="1" w:firstColumn="1" w:lastColumn="1" w:noHBand="0" w:noVBand="0"/>
      </w:tblPr>
      <w:tblGrid>
        <w:gridCol w:w="5126"/>
      </w:tblGrid>
      <w:tr w:rsidR="00871028" w:rsidRPr="00867317" w14:paraId="685F22C5" w14:textId="77777777" w:rsidTr="00871028">
        <w:trPr>
          <w:trHeight w:val="149"/>
        </w:trPr>
        <w:tc>
          <w:tcPr>
            <w:tcW w:w="5126" w:type="dxa"/>
          </w:tcPr>
          <w:p w14:paraId="1101E537" w14:textId="77777777" w:rsidR="008F26FC" w:rsidRPr="00867317" w:rsidRDefault="008F26FC" w:rsidP="008F26FC">
            <w:pPr>
              <w:pStyle w:val="TableParagraph"/>
              <w:jc w:val="center"/>
              <w:rPr>
                <w:spacing w:val="-20"/>
                <w:sz w:val="27"/>
                <w:szCs w:val="27"/>
                <w:lang w:val="en-US"/>
              </w:rPr>
            </w:pPr>
            <w:r w:rsidRPr="00867317">
              <w:rPr>
                <w:spacing w:val="-20"/>
                <w:sz w:val="27"/>
                <w:szCs w:val="27"/>
                <w:lang w:val="en-US"/>
              </w:rPr>
              <w:t>BỘ TÀI CHÍNH</w:t>
            </w:r>
          </w:p>
          <w:p w14:paraId="77B0D658" w14:textId="51C86CC7" w:rsidR="008F26FC" w:rsidRPr="00867317" w:rsidRDefault="008F26FC" w:rsidP="008F26FC">
            <w:pPr>
              <w:pStyle w:val="TableParagraph"/>
              <w:jc w:val="center"/>
              <w:rPr>
                <w:sz w:val="27"/>
                <w:szCs w:val="27"/>
              </w:rPr>
            </w:pPr>
            <w:r w:rsidRPr="00867317">
              <w:rPr>
                <w:b/>
                <w:spacing w:val="-20"/>
                <w:sz w:val="27"/>
                <w:szCs w:val="27"/>
              </w:rPr>
              <w:t>ỦY BAN CHỨNG KHOÁN NHÀ NƯỚC</w:t>
            </w:r>
          </w:p>
        </w:tc>
      </w:tr>
      <w:tr w:rsidR="00871028" w:rsidRPr="00867317" w14:paraId="5E1AD290" w14:textId="77777777" w:rsidTr="00871028">
        <w:trPr>
          <w:trHeight w:val="465"/>
        </w:trPr>
        <w:tc>
          <w:tcPr>
            <w:tcW w:w="5126" w:type="dxa"/>
          </w:tcPr>
          <w:p w14:paraId="24C5BF8D" w14:textId="7D9F7832" w:rsidR="008F26FC" w:rsidRPr="00867317" w:rsidRDefault="008F26FC" w:rsidP="008F26FC">
            <w:pPr>
              <w:pStyle w:val="TableParagraph"/>
              <w:ind w:left="170"/>
              <w:jc w:val="center"/>
              <w:rPr>
                <w:sz w:val="27"/>
                <w:szCs w:val="27"/>
              </w:rPr>
            </w:pPr>
          </w:p>
        </w:tc>
      </w:tr>
    </w:tbl>
    <w:p w14:paraId="460CCB42" w14:textId="3A2D01A0" w:rsidR="00872F5B" w:rsidRPr="00867317" w:rsidRDefault="00872F5B" w:rsidP="00206843">
      <w:pPr>
        <w:pStyle w:val="BodyText"/>
        <w:spacing w:before="0" w:after="120"/>
        <w:ind w:left="0" w:firstLine="0"/>
        <w:jc w:val="left"/>
        <w:rPr>
          <w:sz w:val="27"/>
          <w:szCs w:val="27"/>
        </w:rPr>
      </w:pPr>
    </w:p>
    <w:p w14:paraId="2DD2B3D3" w14:textId="2799EFBD" w:rsidR="0099488E" w:rsidRPr="00867317" w:rsidRDefault="008F26FC" w:rsidP="000326AA">
      <w:pPr>
        <w:tabs>
          <w:tab w:val="center" w:pos="4394"/>
          <w:tab w:val="right" w:leader="dot" w:pos="7920"/>
          <w:tab w:val="right" w:pos="8788"/>
        </w:tabs>
        <w:spacing w:after="100"/>
        <w:jc w:val="center"/>
        <w:rPr>
          <w:b/>
          <w:sz w:val="27"/>
          <w:szCs w:val="27"/>
          <w:lang w:val="en-US"/>
        </w:rPr>
      </w:pPr>
      <w:r w:rsidRPr="00867317">
        <w:rPr>
          <w:b/>
          <w:sz w:val="27"/>
          <w:szCs w:val="27"/>
          <w:lang w:val="en-US"/>
        </w:rPr>
        <w:t>PHỤ LỤC TRUYỀN THÔNG CHÍNH SÁCH</w:t>
      </w:r>
    </w:p>
    <w:p w14:paraId="5A5CDF56" w14:textId="55894912" w:rsidR="00871028" w:rsidRPr="00867317" w:rsidRDefault="0099488E" w:rsidP="00871028">
      <w:pPr>
        <w:spacing w:after="100"/>
        <w:ind w:right="111" w:firstLine="123"/>
        <w:jc w:val="center"/>
        <w:rPr>
          <w:b/>
          <w:sz w:val="28"/>
          <w:szCs w:val="28"/>
        </w:rPr>
      </w:pPr>
      <w:r w:rsidRPr="00867317">
        <w:rPr>
          <w:b/>
          <w:sz w:val="28"/>
          <w:szCs w:val="28"/>
          <w:lang w:val="en-US"/>
        </w:rPr>
        <w:t>Dự thảo</w:t>
      </w:r>
      <w:r w:rsidR="00237A61" w:rsidRPr="00867317">
        <w:rPr>
          <w:b/>
          <w:spacing w:val="-2"/>
          <w:sz w:val="28"/>
          <w:szCs w:val="28"/>
        </w:rPr>
        <w:t xml:space="preserve"> </w:t>
      </w:r>
      <w:r w:rsidR="00237A61" w:rsidRPr="00867317">
        <w:rPr>
          <w:b/>
          <w:sz w:val="28"/>
          <w:szCs w:val="28"/>
        </w:rPr>
        <w:t>Nghị</w:t>
      </w:r>
      <w:r w:rsidR="00237A61" w:rsidRPr="00867317">
        <w:rPr>
          <w:b/>
          <w:spacing w:val="-1"/>
          <w:sz w:val="28"/>
          <w:szCs w:val="28"/>
        </w:rPr>
        <w:t xml:space="preserve"> </w:t>
      </w:r>
      <w:r w:rsidR="00237A61" w:rsidRPr="00867317">
        <w:rPr>
          <w:b/>
          <w:sz w:val="28"/>
          <w:szCs w:val="28"/>
        </w:rPr>
        <w:t>định</w:t>
      </w:r>
      <w:r w:rsidR="00237A61" w:rsidRPr="00867317">
        <w:rPr>
          <w:b/>
          <w:spacing w:val="-2"/>
          <w:sz w:val="28"/>
          <w:szCs w:val="28"/>
        </w:rPr>
        <w:t xml:space="preserve"> </w:t>
      </w:r>
      <w:r w:rsidR="00871028" w:rsidRPr="00867317">
        <w:rPr>
          <w:b/>
          <w:sz w:val="28"/>
          <w:szCs w:val="28"/>
        </w:rPr>
        <w:t>quy định việc chào bán trái phiếu ra công chúng của doanh nghiệp dự án đầu tư theo phương thức đối tác công tư</w:t>
      </w:r>
    </w:p>
    <w:p w14:paraId="09743012" w14:textId="77777777" w:rsidR="00872F5B" w:rsidRPr="00867317" w:rsidRDefault="00237A61" w:rsidP="000326AA">
      <w:pPr>
        <w:pStyle w:val="BodyText"/>
        <w:spacing w:before="0" w:after="100"/>
        <w:ind w:left="0" w:firstLine="0"/>
        <w:jc w:val="left"/>
        <w:rPr>
          <w:b/>
          <w:sz w:val="27"/>
          <w:szCs w:val="27"/>
        </w:rPr>
      </w:pPr>
      <w:r w:rsidRPr="00867317">
        <w:rPr>
          <w:noProof/>
          <w:sz w:val="27"/>
          <w:szCs w:val="27"/>
          <w:lang w:val="en-US"/>
        </w:rPr>
        <mc:AlternateContent>
          <mc:Choice Requires="wps">
            <w:drawing>
              <wp:anchor distT="0" distB="0" distL="0" distR="0" simplePos="0" relativeHeight="487588864" behindDoc="1" locked="0" layoutInCell="1" allowOverlap="1" wp14:anchorId="7DB4EFBD" wp14:editId="215E17C7">
                <wp:simplePos x="0" y="0"/>
                <wp:positionH relativeFrom="page">
                  <wp:posOffset>3138551</wp:posOffset>
                </wp:positionH>
                <wp:positionV relativeFrom="paragraph">
                  <wp:posOffset>84207</wp:posOffset>
                </wp:positionV>
                <wp:extent cx="16446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0" cy="1270"/>
                        </a:xfrm>
                        <a:custGeom>
                          <a:avLst/>
                          <a:gdLst/>
                          <a:ahLst/>
                          <a:cxnLst/>
                          <a:rect l="l" t="t" r="r" b="b"/>
                          <a:pathLst>
                            <a:path w="1644650">
                              <a:moveTo>
                                <a:pt x="0" y="0"/>
                              </a:moveTo>
                              <a:lnTo>
                                <a:pt x="1644320"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A3B289E" id="Graphic 6" o:spid="_x0000_s1026" style="position:absolute;margin-left:247.15pt;margin-top:6.65pt;width:12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4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" path="m,l1644320,e" filled="f" strokeweight=".15467mm">
                <v:path arrowok="t"/>
                <w10:wrap type="topAndBottom" anchorx="page"/>
              </v:shape>
            </w:pict>
          </mc:Fallback>
        </mc:AlternateContent>
      </w:r>
    </w:p>
    <w:p w14:paraId="3C077F9F" w14:textId="77777777" w:rsidR="001D1C1B" w:rsidRPr="00867317" w:rsidRDefault="001D1C1B" w:rsidP="001D1C1B">
      <w:pPr>
        <w:pStyle w:val="ListParagraph"/>
        <w:keepNext/>
        <w:tabs>
          <w:tab w:val="left" w:pos="720"/>
        </w:tabs>
        <w:spacing w:after="60" w:line="264" w:lineRule="auto"/>
        <w:ind w:left="0" w:right="145" w:firstLine="709"/>
        <w:rPr>
          <w:iCs/>
          <w:sz w:val="28"/>
          <w:szCs w:val="28"/>
          <w:lang w:val="en-US"/>
        </w:rPr>
      </w:pPr>
      <w:r w:rsidRPr="00867317">
        <w:rPr>
          <w:iCs/>
          <w:sz w:val="28"/>
          <w:szCs w:val="28"/>
          <w:lang w:val="en-US"/>
        </w:rPr>
        <w:t>Thực hiện quy định của Luật Ban hành văn bản quy phạm pháp luật; căn cứ Luật Doanh nghiệp năm 2020 và các luật sửa đổi, bổ sung một số điều của Luật Doanh nghiệp (Luật số 03/2022/QH15, Luật số 76/2025/QH15); căn cứ Luật Chứng khoán năm 2019 được sửa đổi, bổ sung tại Luật số 56/2024/QH15; triển khai nhiệm vụ được giao tại Nghị quyết số 01/NQ-CP ngày 08/01/2026 của Chính phủ về nhiệm vụ, giải pháp chủ yếu thực hiện Kế hoạch phát triển kinh tế - xã hội và dự toán ngân sách nhà nước năm 2026, Bộ Tài chính trình Chính phủ xem xét, ban hành Nghị định quy định việc chào bán trái phiếu ra công chúng của doanh nghiệp dự án đầu tư theo phương thức đối tác công tư (sau đây gọi tắt là dự thảo Nghị định) như sau:</w:t>
      </w:r>
    </w:p>
    <w:p w14:paraId="06B7C30B" w14:textId="77777777" w:rsidR="001D1C1B" w:rsidRPr="00867317" w:rsidRDefault="001D1C1B" w:rsidP="00867317">
      <w:pPr>
        <w:pStyle w:val="BodyText"/>
        <w:numPr>
          <w:ilvl w:val="0"/>
          <w:numId w:val="13"/>
        </w:numPr>
        <w:tabs>
          <w:tab w:val="left" w:pos="993"/>
        </w:tabs>
        <w:spacing w:before="0" w:after="60"/>
        <w:ind w:left="0" w:right="145" w:firstLine="709"/>
        <w:rPr>
          <w:b/>
          <w:bCs/>
        </w:rPr>
      </w:pPr>
      <w:r w:rsidRPr="00867317">
        <w:rPr>
          <w:b/>
          <w:bCs/>
        </w:rPr>
        <w:t>SỰ CẦN THIẾT BAN HÀNH NGHỊ ĐỊNH</w:t>
      </w:r>
    </w:p>
    <w:p w14:paraId="52C22D06" w14:textId="77777777" w:rsidR="001D1C1B" w:rsidRPr="00867317" w:rsidRDefault="001D1C1B" w:rsidP="00867317">
      <w:pPr>
        <w:pStyle w:val="BodyText"/>
        <w:numPr>
          <w:ilvl w:val="1"/>
          <w:numId w:val="13"/>
        </w:numPr>
        <w:tabs>
          <w:tab w:val="left" w:pos="993"/>
        </w:tabs>
        <w:spacing w:before="0" w:after="60"/>
        <w:ind w:left="0" w:right="145" w:firstLine="709"/>
        <w:rPr>
          <w:b/>
          <w:i/>
        </w:rPr>
      </w:pPr>
      <w:r w:rsidRPr="00867317">
        <w:rPr>
          <w:b/>
          <w:i/>
        </w:rPr>
        <w:t>Cơ sở chính trị, cơ sở pháp lý</w:t>
      </w:r>
    </w:p>
    <w:p w14:paraId="7E462993" w14:textId="77777777" w:rsidR="001D1C1B" w:rsidRPr="00867317" w:rsidRDefault="001D1C1B" w:rsidP="00867317">
      <w:pPr>
        <w:pStyle w:val="ListParagraph"/>
        <w:keepNext/>
        <w:tabs>
          <w:tab w:val="left" w:pos="720"/>
          <w:tab w:val="left" w:pos="993"/>
        </w:tabs>
        <w:spacing w:after="60" w:line="264" w:lineRule="auto"/>
        <w:ind w:left="0" w:right="145" w:firstLine="709"/>
        <w:rPr>
          <w:b/>
          <w:iCs/>
          <w:sz w:val="28"/>
          <w:szCs w:val="28"/>
          <w:lang w:val="en-US"/>
        </w:rPr>
      </w:pPr>
      <w:r w:rsidRPr="00867317">
        <w:rPr>
          <w:b/>
          <w:iCs/>
          <w:sz w:val="28"/>
          <w:szCs w:val="28"/>
          <w:lang w:val="en-US"/>
        </w:rPr>
        <w:t xml:space="preserve">1.1. </w:t>
      </w:r>
      <w:r w:rsidRPr="00867317">
        <w:rPr>
          <w:b/>
          <w:sz w:val="28"/>
          <w:szCs w:val="28"/>
        </w:rPr>
        <w:t>Cơ sở chính trị</w:t>
      </w:r>
    </w:p>
    <w:p w14:paraId="64B5E9E8" w14:textId="77777777" w:rsidR="001D1C1B" w:rsidRPr="00867317" w:rsidRDefault="001D1C1B" w:rsidP="00867317">
      <w:pPr>
        <w:pStyle w:val="ListParagraph"/>
        <w:keepNext/>
        <w:tabs>
          <w:tab w:val="left" w:pos="720"/>
          <w:tab w:val="left" w:pos="993"/>
        </w:tabs>
        <w:spacing w:after="60" w:line="264" w:lineRule="auto"/>
        <w:ind w:left="0" w:right="145" w:firstLine="709"/>
        <w:rPr>
          <w:iCs/>
          <w:sz w:val="28"/>
          <w:szCs w:val="28"/>
          <w:lang w:val="en-US"/>
        </w:rPr>
      </w:pPr>
      <w:r w:rsidRPr="00867317">
        <w:rPr>
          <w:iCs/>
          <w:sz w:val="28"/>
          <w:szCs w:val="28"/>
          <w:lang w:val="en-US"/>
        </w:rPr>
        <w:t>Việc tăng cường đầu tư vào cơ sở hạ tầng được Đảng và Nhà nước xác định là một trong những khâu đột phá chiến lược tạo tiền đề phát triển kinh tế - xã hội, gắn với bảo đảm quốc phòng an ninh, an sinh xã hội, thích ứng với biến đổi khí hậu và phát triển bền vững. Theo đánh giá của các tổ chức tài chính, các chuyên gia khoa học, để duy trì tốc độ tăng trưởng GDP cao trong những thập kỷ tới, nhu cầu vốn đầu tư phát triển cơ sở hạ tầng của Việt Nam là rất lớn (ước tính cần đầu tư khoảng 30–40 tỷ USD mỗi năm cho phát triển cơ sở hạ tầng giai đoạn 2025–2040). Theo đó, trong giai đoạn tới đây, bên cạnh nguồn lực đầu tư công, khối doanh nghiệp tư nhân cũng sẽ cần huy động nguồn vốn lớn để đầu tư phát triển cơ sở hạ tầng thông qua mô hình PPP. Việc đẩy mạnh huy động, khai thác tối đa các nguồn lực khối tư nhân cho đầu tư phát triển cơ sở hạ tầng là phù hợp với chủ trương và chỉ đạo quyết liệt của Đảng và Chính phủ trong thời gian qua. Cụ thể:</w:t>
      </w:r>
    </w:p>
    <w:p w14:paraId="191679ED" w14:textId="77777777" w:rsidR="00C657A9" w:rsidRPr="00BB321B" w:rsidRDefault="00C657A9" w:rsidP="00C657A9">
      <w:pPr>
        <w:pStyle w:val="ListParagraph"/>
        <w:widowControl/>
        <w:numPr>
          <w:ilvl w:val="0"/>
          <w:numId w:val="35"/>
        </w:numPr>
        <w:tabs>
          <w:tab w:val="left" w:pos="720"/>
          <w:tab w:val="left" w:pos="993"/>
        </w:tabs>
        <w:autoSpaceDE/>
        <w:autoSpaceDN/>
        <w:spacing w:before="0" w:after="40"/>
        <w:ind w:left="0" w:right="147" w:firstLine="709"/>
        <w:rPr>
          <w:lang w:val="en-US"/>
        </w:rPr>
      </w:pPr>
      <w:r w:rsidRPr="00BB321B">
        <w:rPr>
          <w:iCs/>
          <w:sz w:val="28"/>
          <w:szCs w:val="28"/>
          <w:lang w:val="en-US"/>
        </w:rPr>
        <w:t>Tại Văn kiện Đại hội XIII của Đảng</w:t>
      </w:r>
      <w:r w:rsidRPr="00BB321B">
        <w:rPr>
          <w:iCs/>
          <w:sz w:val="28"/>
          <w:szCs w:val="28"/>
          <w:vertAlign w:val="superscript"/>
          <w:lang w:val="en-US"/>
        </w:rPr>
        <w:footnoteReference w:id="1"/>
      </w:r>
      <w:r w:rsidRPr="00BB321B">
        <w:rPr>
          <w:sz w:val="28"/>
          <w:szCs w:val="28"/>
          <w:lang w:val="en-US"/>
        </w:rPr>
        <w:t>, phương hướng, nhiệm vụ, giải pháp phát triển kinh tế xã hội - Chiến lược phát triển kinh tế - xã hội 10 năm 2021-2030 xác định nhiệm vụ “</w:t>
      </w:r>
      <w:r w:rsidRPr="00BB321B">
        <w:rPr>
          <w:i/>
          <w:sz w:val="28"/>
          <w:szCs w:val="28"/>
          <w:lang w:val="en-US"/>
        </w:rPr>
        <w:t xml:space="preserve">Tiếp tục rà soát, cơ cấu lại và nâng cao hiệu quả </w:t>
      </w:r>
      <w:r w:rsidRPr="00BB321B">
        <w:rPr>
          <w:i/>
          <w:sz w:val="28"/>
          <w:szCs w:val="28"/>
          <w:lang w:val="en-US"/>
        </w:rPr>
        <w:lastRenderedPageBreak/>
        <w:t>hoạt động của các thị trường tài chính, chứng khoán và trái phiếu; bảo đảm tính thanh khoản và an toàn hệ thống.”</w:t>
      </w:r>
    </w:p>
    <w:p w14:paraId="31DB4CB6" w14:textId="77777777" w:rsidR="001D1C1B" w:rsidRPr="00867317" w:rsidRDefault="001D1C1B" w:rsidP="00867317">
      <w:pPr>
        <w:pStyle w:val="ListParagraph"/>
        <w:widowControl/>
        <w:numPr>
          <w:ilvl w:val="0"/>
          <w:numId w:val="35"/>
        </w:numPr>
        <w:tabs>
          <w:tab w:val="left" w:pos="720"/>
          <w:tab w:val="left" w:pos="993"/>
        </w:tabs>
        <w:autoSpaceDE/>
        <w:autoSpaceDN/>
        <w:spacing w:before="0" w:after="40"/>
        <w:ind w:left="0" w:right="147" w:firstLine="709"/>
        <w:rPr>
          <w:bCs/>
          <w:iCs/>
          <w:sz w:val="28"/>
          <w:szCs w:val="28"/>
        </w:rPr>
      </w:pPr>
      <w:r w:rsidRPr="00867317">
        <w:rPr>
          <w:bCs/>
          <w:iCs/>
          <w:sz w:val="28"/>
          <w:szCs w:val="28"/>
        </w:rPr>
        <w:t xml:space="preserve">Tại Kết luận số 49-KL/TW ngày 28/02/2023, Bộ Chính trị đề ra nhiệm vụ </w:t>
      </w:r>
      <w:r w:rsidRPr="00867317">
        <w:rPr>
          <w:bCs/>
          <w:i/>
          <w:iCs/>
          <w:sz w:val="28"/>
          <w:szCs w:val="28"/>
        </w:rPr>
        <w:t>“Ưu tiên bố trí nguồn lực trong kế hoạch đầu tư công trung hạn, nguồn tăng thu, tiết kiệm chi hằng năm, khai thác hiệu quả nguồn lực từ quỹ đất, nguồn lực ngoài ngân sách cho phát triển giao thông vận tải đường sắt; đa dạng hoá nguồn vốn, các hình thức, phương thức đầu tư các dự án đường sắt, đẩy mạnh đầu tư theo phương thức đối tác công - tư (hợp đồng BT, BOT, BTO, TOD...)”.</w:t>
      </w:r>
    </w:p>
    <w:p w14:paraId="3FD074B2" w14:textId="77777777" w:rsidR="00C657A9" w:rsidRPr="00BB321B" w:rsidRDefault="00C657A9" w:rsidP="00C657A9">
      <w:pPr>
        <w:pStyle w:val="ListParagraph"/>
        <w:widowControl/>
        <w:numPr>
          <w:ilvl w:val="0"/>
          <w:numId w:val="35"/>
        </w:numPr>
        <w:tabs>
          <w:tab w:val="left" w:pos="720"/>
          <w:tab w:val="left" w:pos="993"/>
        </w:tabs>
        <w:autoSpaceDE/>
        <w:autoSpaceDN/>
        <w:spacing w:before="0" w:after="40"/>
        <w:ind w:left="0" w:right="147" w:firstLine="709"/>
        <w:rPr>
          <w:bCs/>
          <w:iCs/>
          <w:sz w:val="28"/>
          <w:szCs w:val="28"/>
        </w:rPr>
      </w:pPr>
      <w:r w:rsidRPr="00217084">
        <w:rPr>
          <w:bCs/>
          <w:iCs/>
          <w:sz w:val="28"/>
          <w:szCs w:val="28"/>
        </w:rPr>
        <w:t>Nghị quyết số 68-NQ/TW ngày 04/5/2025 của Bộ Chính trị</w:t>
      </w:r>
      <w:r>
        <w:rPr>
          <w:bCs/>
          <w:iCs/>
          <w:sz w:val="28"/>
          <w:szCs w:val="28"/>
          <w:lang w:val="en-US"/>
        </w:rPr>
        <w:t xml:space="preserve"> có nêu</w:t>
      </w:r>
      <w:r w:rsidRPr="00217084">
        <w:rPr>
          <w:bCs/>
          <w:i/>
          <w:iCs/>
          <w:sz w:val="28"/>
          <w:szCs w:val="28"/>
        </w:rPr>
        <w:t>“Kinh tế tư nhân còn gặp nhiều khó khăn, trở ngại trong tiếp cận nguồn lực, đặc biệt là vốn…”</w:t>
      </w:r>
      <w:r w:rsidRPr="00217084">
        <w:rPr>
          <w:bCs/>
          <w:iCs/>
          <w:sz w:val="28"/>
          <w:szCs w:val="28"/>
        </w:rPr>
        <w:t xml:space="preserve">. Quan điểm chỉ đạo của Bộ Chính trị nêu rõ </w:t>
      </w:r>
      <w:r w:rsidRPr="00217084">
        <w:rPr>
          <w:bCs/>
          <w:i/>
          <w:iCs/>
          <w:sz w:val="28"/>
          <w:szCs w:val="28"/>
        </w:rPr>
        <w:t>“Tạo môi trường kinh doanh thông thoáng, minh bạch, ổn định, an toàn, dễ thực thi”</w:t>
      </w:r>
      <w:r w:rsidRPr="00217084">
        <w:rPr>
          <w:bCs/>
          <w:iCs/>
          <w:sz w:val="28"/>
          <w:szCs w:val="28"/>
        </w:rPr>
        <w:t xml:space="preserve"> và </w:t>
      </w:r>
      <w:r w:rsidRPr="00217084">
        <w:rPr>
          <w:bCs/>
          <w:i/>
          <w:iCs/>
          <w:sz w:val="28"/>
          <w:szCs w:val="28"/>
        </w:rPr>
        <w:t xml:space="preserve">“Kịp thời xây dựng, hoàn thiện pháp luật và cơ chế, </w:t>
      </w:r>
      <w:r w:rsidRPr="00217084">
        <w:rPr>
          <w:b/>
          <w:bCs/>
          <w:i/>
          <w:iCs/>
          <w:sz w:val="28"/>
          <w:szCs w:val="28"/>
        </w:rPr>
        <w:t>chính sách đột phá</w:t>
      </w:r>
      <w:r w:rsidRPr="00217084">
        <w:rPr>
          <w:bCs/>
          <w:i/>
          <w:iCs/>
          <w:sz w:val="28"/>
          <w:szCs w:val="28"/>
        </w:rPr>
        <w:t xml:space="preserve"> để khuyến khích kinh tế tư nhân phát triển”.</w:t>
      </w:r>
      <w:r w:rsidRPr="00217084">
        <w:rPr>
          <w:bCs/>
          <w:iCs/>
          <w:sz w:val="28"/>
          <w:szCs w:val="28"/>
        </w:rPr>
        <w:t xml:space="preserve"> Tại Nghị quyết số 68-NQ/TW ngày 04/5/2025 và Nghị quyết số 66-NQ/TW ngày 30/4/2025, Bộ Chính trị đưa nhiệm vụ và giải pháp </w:t>
      </w:r>
      <w:r w:rsidRPr="00217084">
        <w:rPr>
          <w:bCs/>
          <w:i/>
          <w:iCs/>
          <w:sz w:val="28"/>
          <w:szCs w:val="28"/>
        </w:rPr>
        <w:t>“Tạo cơ sở pháp lý để khu vực kinh tế tư nhân tiếp cận hiệu quả các nguồn lực về vốn”</w:t>
      </w:r>
      <w:r w:rsidRPr="00217084">
        <w:rPr>
          <w:bCs/>
          <w:iCs/>
          <w:sz w:val="28"/>
          <w:szCs w:val="28"/>
        </w:rPr>
        <w:t>,</w:t>
      </w:r>
      <w:r w:rsidRPr="00217084">
        <w:rPr>
          <w:bCs/>
          <w:i/>
          <w:iCs/>
          <w:sz w:val="28"/>
          <w:szCs w:val="28"/>
        </w:rPr>
        <w:t>“hoàn thiện quy định về trái phiếu doanh nghiệp để nâng cao chất lượng và mở rộng kênh huy động vốn ổn định, chi phí thấp cho kinh tế tư nhân”</w:t>
      </w:r>
      <w:r w:rsidRPr="00217084">
        <w:rPr>
          <w:bCs/>
          <w:iCs/>
          <w:sz w:val="28"/>
          <w:szCs w:val="28"/>
        </w:rPr>
        <w:t xml:space="preserve"> và </w:t>
      </w:r>
      <w:r w:rsidRPr="00217084">
        <w:rPr>
          <w:bCs/>
          <w:i/>
          <w:iCs/>
          <w:sz w:val="28"/>
          <w:szCs w:val="28"/>
        </w:rPr>
        <w:t>“nâng cao hiệu quả các hình thức hợp tác giữa Nhà nước và khu vực kinh tế tư nhân thông qua các mô hình hợp tác công tư (PPP)”</w:t>
      </w:r>
      <w:r w:rsidRPr="00217084">
        <w:rPr>
          <w:bCs/>
          <w:iCs/>
          <w:sz w:val="28"/>
          <w:szCs w:val="28"/>
        </w:rPr>
        <w:t>.</w:t>
      </w:r>
    </w:p>
    <w:p w14:paraId="3B69A504" w14:textId="77777777" w:rsidR="00751C4E" w:rsidRPr="00867317" w:rsidRDefault="00751C4E" w:rsidP="00751C4E">
      <w:pPr>
        <w:pStyle w:val="ListParagraph"/>
        <w:widowControl/>
        <w:numPr>
          <w:ilvl w:val="0"/>
          <w:numId w:val="35"/>
        </w:numPr>
        <w:tabs>
          <w:tab w:val="left" w:pos="720"/>
          <w:tab w:val="left" w:pos="993"/>
        </w:tabs>
        <w:autoSpaceDE/>
        <w:autoSpaceDN/>
        <w:spacing w:before="0" w:after="40"/>
        <w:ind w:left="0" w:right="147" w:firstLine="709"/>
        <w:rPr>
          <w:bCs/>
          <w:iCs/>
          <w:sz w:val="28"/>
          <w:szCs w:val="28"/>
        </w:rPr>
      </w:pPr>
      <w:r w:rsidRPr="00867317">
        <w:rPr>
          <w:bCs/>
          <w:iCs/>
          <w:sz w:val="28"/>
          <w:szCs w:val="28"/>
        </w:rPr>
        <w:t>Tại Quyết định số 1454/QĐ-TT</w:t>
      </w:r>
      <w:r w:rsidRPr="00867317">
        <w:rPr>
          <w:bCs/>
          <w:iCs/>
          <w:sz w:val="28"/>
          <w:szCs w:val="28"/>
          <w:lang w:val="en-US"/>
        </w:rPr>
        <w:t>g</w:t>
      </w:r>
      <w:r w:rsidRPr="00867317">
        <w:rPr>
          <w:bCs/>
          <w:iCs/>
          <w:sz w:val="28"/>
          <w:szCs w:val="28"/>
        </w:rPr>
        <w:t xml:space="preserve"> ngày 01/09/2021 của Thủ tướng Chính phủ về phê duyệt quy hoạch mạng lưới đường bộ thời kỳ 2021-2030, tầm nhìn đến năm 2050, Chính phủ đề ra giải pháp về huy động và phân bổ vốn đầu tư </w:t>
      </w:r>
      <w:r w:rsidRPr="00867317">
        <w:rPr>
          <w:bCs/>
          <w:i/>
          <w:iCs/>
          <w:sz w:val="28"/>
          <w:szCs w:val="28"/>
        </w:rPr>
        <w:t>“Tập trung kêu gọi mọi nguồn lực để đầu tư cho kết cấu hạ tầng giao thông hàng năm đạt 3,5 - 4,5% GDP. Ưu tiên nguồn vốn ngân sách nhà nước hỗ trợ các dự án đầu tư theo hình thức đối tác công tư với vai trò là vốn mồi….Đẩy mạnh hoạt động xúc tiến đầu tư theo phương thức đối tác công tư;</w:t>
      </w:r>
      <w:bookmarkStart w:id="0" w:name="cumtu_7"/>
      <w:r w:rsidRPr="00867317">
        <w:rPr>
          <w:bCs/>
          <w:i/>
          <w:iCs/>
          <w:sz w:val="28"/>
          <w:szCs w:val="28"/>
        </w:rPr>
        <w:t>… Khai thác có hiệu quả nguồn lực từ tài sản kết cấu hạ tầng được đầu tư bằng nguồn vốn ngân sách nhà nước thông qua hình thức nhượng quyền khai thác; các địa phương nghiên cứu, triển khai cơ chế thu từ khai thác quỹ đất hai bên tuyến đường bộ để đầu tư phát triển kết cấu hạ tầng đường bộ</w:t>
      </w:r>
      <w:bookmarkEnd w:id="0"/>
      <w:r w:rsidRPr="00867317">
        <w:rPr>
          <w:bCs/>
          <w:i/>
          <w:iCs/>
          <w:sz w:val="28"/>
          <w:szCs w:val="28"/>
        </w:rPr>
        <w:t>”</w:t>
      </w:r>
      <w:r w:rsidRPr="00867317">
        <w:rPr>
          <w:bCs/>
          <w:iCs/>
          <w:sz w:val="28"/>
          <w:szCs w:val="28"/>
        </w:rPr>
        <w:t>.</w:t>
      </w:r>
    </w:p>
    <w:p w14:paraId="7068BD5F" w14:textId="109C73FA" w:rsidR="00C657A9" w:rsidRPr="00CB7B49" w:rsidRDefault="00C657A9" w:rsidP="00C657A9">
      <w:pPr>
        <w:pStyle w:val="ListParagraph"/>
        <w:widowControl/>
        <w:numPr>
          <w:ilvl w:val="0"/>
          <w:numId w:val="35"/>
        </w:numPr>
        <w:tabs>
          <w:tab w:val="left" w:pos="720"/>
          <w:tab w:val="left" w:pos="993"/>
        </w:tabs>
        <w:autoSpaceDE/>
        <w:autoSpaceDN/>
        <w:spacing w:before="0" w:after="40"/>
        <w:ind w:left="0" w:right="147" w:firstLine="709"/>
        <w:rPr>
          <w:bCs/>
          <w:iCs/>
          <w:sz w:val="28"/>
          <w:szCs w:val="28"/>
        </w:rPr>
      </w:pPr>
      <w:r>
        <w:rPr>
          <w:bCs/>
          <w:iCs/>
          <w:sz w:val="28"/>
          <w:szCs w:val="28"/>
          <w:lang w:val="en-US"/>
        </w:rPr>
        <w:t xml:space="preserve">Tại </w:t>
      </w:r>
      <w:r w:rsidRPr="00BB321B">
        <w:rPr>
          <w:bCs/>
          <w:iCs/>
          <w:sz w:val="28"/>
          <w:szCs w:val="28"/>
        </w:rPr>
        <w:t>Quyết định số 1726/QĐ-TTg ngày 29/12/2023</w:t>
      </w:r>
      <w:r>
        <w:rPr>
          <w:bCs/>
          <w:iCs/>
          <w:sz w:val="28"/>
          <w:szCs w:val="28"/>
          <w:lang w:val="en-US"/>
        </w:rPr>
        <w:t xml:space="preserve"> </w:t>
      </w:r>
      <w:r w:rsidRPr="00BB321B">
        <w:rPr>
          <w:bCs/>
          <w:iCs/>
          <w:sz w:val="28"/>
          <w:szCs w:val="28"/>
          <w:lang w:val="en-US"/>
        </w:rPr>
        <w:t>của Thủ tướng Chính phủ về phê duyệt Chiến lược phát triển thị trường chứng khoán đến năm 2030</w:t>
      </w:r>
      <w:r>
        <w:rPr>
          <w:bCs/>
          <w:iCs/>
          <w:sz w:val="28"/>
          <w:szCs w:val="28"/>
          <w:lang w:val="en-US"/>
        </w:rPr>
        <w:t xml:space="preserve">, Chính phủ đã đặt ra mục tiêu </w:t>
      </w:r>
      <w:r w:rsidRPr="00217084">
        <w:rPr>
          <w:bCs/>
          <w:i/>
          <w:iCs/>
          <w:sz w:val="28"/>
          <w:szCs w:val="28"/>
          <w:lang w:val="en-US"/>
        </w:rPr>
        <w:t>“Quy mô vốn hóa thị trường cổ phiếu đạt 100% GDP vào năm 2025 và đạt 120% GDP vào năm 2030. Dư nợ thị trường trái phiếu đạt tối thiểu 47% GDP (trong đó dư nợ trái phiếu doanh nghiệp đạt tối thiểu 20% GDP) vào năm 2025 và đạt tối thiểu 58% GDP (trong đó dư nợ trái phiếu doanh nghiệp đạt tối thiểu 25% GDP) vào năm 2030”</w:t>
      </w:r>
      <w:r>
        <w:rPr>
          <w:bCs/>
          <w:iCs/>
          <w:sz w:val="28"/>
          <w:szCs w:val="28"/>
          <w:lang w:val="en-US"/>
        </w:rPr>
        <w:t xml:space="preserve"> và đưa ra giải pháp để t</w:t>
      </w:r>
      <w:r w:rsidRPr="00A8009C">
        <w:rPr>
          <w:bCs/>
          <w:iCs/>
          <w:sz w:val="28"/>
          <w:szCs w:val="28"/>
          <w:lang w:val="en-US"/>
        </w:rPr>
        <w:t xml:space="preserve">ăng cung hàng hóa cho thị trường và cải thiện chất lượng nguồn cung </w:t>
      </w:r>
      <w:r>
        <w:rPr>
          <w:bCs/>
          <w:iCs/>
          <w:sz w:val="28"/>
          <w:szCs w:val="28"/>
          <w:lang w:val="en-US"/>
        </w:rPr>
        <w:t>như</w:t>
      </w:r>
      <w:r w:rsidRPr="00217084">
        <w:rPr>
          <w:bCs/>
          <w:i/>
          <w:iCs/>
          <w:sz w:val="28"/>
          <w:szCs w:val="28"/>
          <w:lang w:val="en-US"/>
        </w:rPr>
        <w:t>“phát triển các sản phẩm trái phiếu doanh nghiệp cho mục tiêu thực hiện dự án, dự án đầu tư theo hình thức đối tác công tư (PPP) nhằm thúc đẩy huy động vốn cho phát triển cơ sở hạ tầng…”</w:t>
      </w:r>
      <w:r>
        <w:rPr>
          <w:bCs/>
          <w:iCs/>
          <w:sz w:val="28"/>
          <w:szCs w:val="28"/>
          <w:lang w:val="en-US"/>
        </w:rPr>
        <w:t xml:space="preserve">, </w:t>
      </w:r>
      <w:r w:rsidRPr="00217084">
        <w:rPr>
          <w:bCs/>
          <w:i/>
          <w:iCs/>
          <w:sz w:val="28"/>
          <w:szCs w:val="28"/>
          <w:lang w:val="en-US"/>
        </w:rPr>
        <w:t xml:space="preserve">“Tăng cường vai trò và trách nhiệm của các tổ chức xếp hạng tín nhiệm trên thị trường trái phiếu doanh nghiệp, tiến tới yêu cầu doanh nghiệp phát hành trái phiếu phải được xếp hạng tín nhiệm, hình </w:t>
      </w:r>
      <w:r w:rsidRPr="00217084">
        <w:rPr>
          <w:bCs/>
          <w:i/>
          <w:iCs/>
          <w:sz w:val="28"/>
          <w:szCs w:val="28"/>
          <w:lang w:val="en-US"/>
        </w:rPr>
        <w:lastRenderedPageBreak/>
        <w:t>thành thói quen và thông lệ sử dụng kết quả xếp hạng tín nhiệm khi phát hành, đầu tư trái phiếu doanh nghiệp”</w:t>
      </w:r>
      <w:r>
        <w:rPr>
          <w:bCs/>
          <w:iCs/>
          <w:sz w:val="28"/>
          <w:szCs w:val="28"/>
          <w:lang w:val="en-US"/>
        </w:rPr>
        <w:t>.</w:t>
      </w:r>
    </w:p>
    <w:p w14:paraId="2DE01538" w14:textId="77777777" w:rsidR="001D1C1B" w:rsidRPr="00867317" w:rsidRDefault="001D1C1B" w:rsidP="00867317">
      <w:pPr>
        <w:pStyle w:val="ListParagraph"/>
        <w:widowControl/>
        <w:numPr>
          <w:ilvl w:val="0"/>
          <w:numId w:val="35"/>
        </w:numPr>
        <w:tabs>
          <w:tab w:val="left" w:pos="720"/>
          <w:tab w:val="left" w:pos="993"/>
        </w:tabs>
        <w:autoSpaceDE/>
        <w:autoSpaceDN/>
        <w:spacing w:before="0" w:after="40"/>
        <w:ind w:left="0" w:right="147" w:firstLine="709"/>
        <w:rPr>
          <w:bCs/>
          <w:iCs/>
          <w:sz w:val="28"/>
          <w:szCs w:val="28"/>
        </w:rPr>
      </w:pPr>
      <w:r w:rsidRPr="00867317">
        <w:rPr>
          <w:bCs/>
          <w:iCs/>
          <w:sz w:val="28"/>
          <w:szCs w:val="28"/>
        </w:rPr>
        <w:t xml:space="preserve">Tại buổi làm việc với Ban Thường vụ Đảng ủy Chính phủ ngày 10/9/2025, Tổng Bí thư Ban chấp hành Trung ương Đảng chỉ đạo Đảng ủy Chính phủ </w:t>
      </w:r>
      <w:r w:rsidRPr="00867317">
        <w:rPr>
          <w:bCs/>
          <w:i/>
          <w:iCs/>
          <w:sz w:val="28"/>
          <w:szCs w:val="28"/>
        </w:rPr>
        <w:t>quan tâm hoàn thiện thể chế, pháp luật, đặc biệt về lĩnh vực đầu tư, đất đai, quy hoạch, mở rộng không gian phát triển quốc gia, các vùng, ngành, lĩnh vực, địa phương, giải phóng sức sản xuất, huy động mọi nguồn lực và tạo động lực mới cho phát triển; có chính sách huy động nguồn lực khu vực tư nhân tham gia các dự án hạ tầng trọng yếu như cao tốc, đường sắt tốc độ cao, đường sắt đô thị, hạ tầng năng lượng, công nghiệp quốc phòng, an ninh.</w:t>
      </w:r>
    </w:p>
    <w:p w14:paraId="089ADD2A" w14:textId="77777777" w:rsidR="001D1C1B" w:rsidRPr="00867317" w:rsidRDefault="001D1C1B" w:rsidP="001D1C1B">
      <w:pPr>
        <w:pStyle w:val="ListParagraph"/>
        <w:keepNext/>
        <w:tabs>
          <w:tab w:val="left" w:pos="720"/>
        </w:tabs>
        <w:spacing w:after="60" w:line="264" w:lineRule="auto"/>
        <w:ind w:left="0" w:right="145" w:firstLine="709"/>
        <w:rPr>
          <w:b/>
          <w:iCs/>
          <w:sz w:val="28"/>
          <w:szCs w:val="28"/>
          <w:lang w:val="en-US"/>
        </w:rPr>
      </w:pPr>
      <w:r w:rsidRPr="00867317">
        <w:rPr>
          <w:b/>
          <w:iCs/>
          <w:sz w:val="28"/>
          <w:szCs w:val="28"/>
          <w:lang w:val="en-US"/>
        </w:rPr>
        <w:t xml:space="preserve">1.2. </w:t>
      </w:r>
      <w:r w:rsidRPr="00867317">
        <w:rPr>
          <w:b/>
          <w:sz w:val="28"/>
          <w:szCs w:val="28"/>
        </w:rPr>
        <w:t xml:space="preserve">Cơ sở </w:t>
      </w:r>
      <w:r w:rsidRPr="00867317">
        <w:rPr>
          <w:b/>
          <w:sz w:val="28"/>
          <w:szCs w:val="28"/>
          <w:lang w:val="en-US"/>
        </w:rPr>
        <w:t>pháp lý</w:t>
      </w:r>
    </w:p>
    <w:p w14:paraId="3823433D" w14:textId="77777777" w:rsidR="001D1C1B" w:rsidRPr="00867317" w:rsidRDefault="001D1C1B" w:rsidP="00867317">
      <w:pPr>
        <w:pStyle w:val="ListParagraph"/>
        <w:widowControl/>
        <w:numPr>
          <w:ilvl w:val="0"/>
          <w:numId w:val="35"/>
        </w:numPr>
        <w:tabs>
          <w:tab w:val="left" w:pos="993"/>
        </w:tabs>
        <w:autoSpaceDE/>
        <w:autoSpaceDN/>
        <w:spacing w:before="0" w:after="40"/>
        <w:ind w:left="0" w:right="147" w:firstLine="709"/>
        <w:rPr>
          <w:bCs/>
          <w:iCs/>
          <w:sz w:val="28"/>
          <w:szCs w:val="28"/>
        </w:rPr>
      </w:pPr>
      <w:r w:rsidRPr="00867317">
        <w:rPr>
          <w:bCs/>
          <w:iCs/>
          <w:sz w:val="28"/>
          <w:szCs w:val="28"/>
          <w:lang w:val="en-US"/>
        </w:rPr>
        <w:t>Tại khoản 2 Điều 14 Luật Chứng khoán, Quốc hội đã giao Chính phủ quy định chi tiết hình thức chào bán chứng khoán ra công chúng.</w:t>
      </w:r>
    </w:p>
    <w:p w14:paraId="3BD750BB" w14:textId="77777777" w:rsidR="001D1C1B" w:rsidRPr="00867317" w:rsidRDefault="001D1C1B" w:rsidP="00867317">
      <w:pPr>
        <w:pStyle w:val="ListParagraph"/>
        <w:widowControl/>
        <w:numPr>
          <w:ilvl w:val="0"/>
          <w:numId w:val="35"/>
        </w:numPr>
        <w:tabs>
          <w:tab w:val="left" w:pos="993"/>
        </w:tabs>
        <w:autoSpaceDE/>
        <w:autoSpaceDN/>
        <w:spacing w:before="0" w:after="40"/>
        <w:ind w:left="0" w:right="147" w:firstLine="709"/>
        <w:rPr>
          <w:bCs/>
          <w:iCs/>
          <w:sz w:val="28"/>
          <w:szCs w:val="28"/>
        </w:rPr>
      </w:pPr>
      <w:r w:rsidRPr="00867317">
        <w:rPr>
          <w:bCs/>
          <w:iCs/>
          <w:sz w:val="28"/>
          <w:szCs w:val="28"/>
          <w:lang w:val="en-US"/>
        </w:rPr>
        <w:t xml:space="preserve">Tại khoản 6 Điều 15 Luật Chứng khoán, Quốc hội đã giao Chính phủ quy định về điều kiện và hồ sơ các trường hợp chào bán, phát hành khác. </w:t>
      </w:r>
    </w:p>
    <w:p w14:paraId="4E40DA0B" w14:textId="77777777" w:rsidR="001D1C1B" w:rsidRPr="00867317" w:rsidRDefault="001D1C1B" w:rsidP="00867317">
      <w:pPr>
        <w:pStyle w:val="ListParagraph"/>
        <w:widowControl/>
        <w:numPr>
          <w:ilvl w:val="0"/>
          <w:numId w:val="35"/>
        </w:numPr>
        <w:tabs>
          <w:tab w:val="left" w:pos="993"/>
        </w:tabs>
        <w:autoSpaceDE/>
        <w:autoSpaceDN/>
        <w:spacing w:before="0" w:after="40"/>
        <w:ind w:left="0" w:right="147" w:firstLine="709"/>
        <w:rPr>
          <w:sz w:val="28"/>
          <w:szCs w:val="28"/>
          <w:lang w:val="en-US"/>
        </w:rPr>
      </w:pPr>
      <w:r w:rsidRPr="00867317">
        <w:rPr>
          <w:sz w:val="28"/>
          <w:szCs w:val="28"/>
          <w:lang w:val="en-US"/>
        </w:rPr>
        <w:t xml:space="preserve">Tại Nghị quyết số 01/NQ-CP ngày 08/01/2026 của Chính Phủ về nhiệm vụ, giải pháp chủ yếu thực hiện Kế hoạch phát triển kinh tế - xã hội và dự toán ngân sách nhà nước năm 2026, Nghị định về chào bán trái phiếu ra công chúng của doanh nghiệp dự án PPP thuộc nhóm nhiệm vụ về thúc đẩy tăng trưởng, giữ vững ổn định kinh tế vĩ mô, kiểm soát lạm phát, bảo đảm các cân đối lớn và cơ cấu lại nền kinh tế năm 2026. </w:t>
      </w:r>
    </w:p>
    <w:p w14:paraId="28F9B61C" w14:textId="77777777" w:rsidR="001D1C1B" w:rsidRPr="00867317" w:rsidRDefault="001D1C1B" w:rsidP="00867317">
      <w:pPr>
        <w:pStyle w:val="ListParagraph"/>
        <w:keepNext/>
        <w:tabs>
          <w:tab w:val="left" w:pos="993"/>
        </w:tabs>
        <w:spacing w:before="0" w:after="40"/>
        <w:ind w:left="0" w:right="147" w:firstLine="709"/>
        <w:rPr>
          <w:iCs/>
          <w:sz w:val="28"/>
          <w:szCs w:val="28"/>
          <w:lang w:val="en-US"/>
        </w:rPr>
      </w:pPr>
      <w:r w:rsidRPr="00867317">
        <w:rPr>
          <w:iCs/>
          <w:sz w:val="28"/>
          <w:szCs w:val="28"/>
          <w:lang w:val="en-US"/>
        </w:rPr>
        <w:t xml:space="preserve">Căn cứ các cơ sở chính trị, cơ sở pháp lý nêu trên, việc xây dựng Nghị định quy định việc chào bán trái phiếu ra công chúng của doanh nghiệp dự án đầu tư theo phương thức đối tác công tư là cần thiết và </w:t>
      </w:r>
      <w:bookmarkStart w:id="1" w:name="_Hlk218082916"/>
      <w:r w:rsidRPr="00867317">
        <w:rPr>
          <w:iCs/>
          <w:sz w:val="28"/>
          <w:szCs w:val="28"/>
          <w:lang w:val="en-US"/>
        </w:rPr>
        <w:t>có căn cứ pháp lý, phù hợp, thể chế hóa đúng và đầy đủ đường lối, chủ trương của Đảng, chính sách của Nhà nước; đảm bảo tuân thủ đúng và đầy đủ chủ trương, quy định về quốc phòng, an ninh, các yêu cầu, quy định trong công tác xây dựng và thi hành pháp luật.</w:t>
      </w:r>
      <w:bookmarkEnd w:id="1"/>
    </w:p>
    <w:p w14:paraId="0ECC090C" w14:textId="77777777" w:rsidR="001D1C1B" w:rsidRPr="00867317" w:rsidRDefault="001D1C1B" w:rsidP="00867317">
      <w:pPr>
        <w:pStyle w:val="BodyText"/>
        <w:numPr>
          <w:ilvl w:val="1"/>
          <w:numId w:val="13"/>
        </w:numPr>
        <w:tabs>
          <w:tab w:val="left" w:pos="851"/>
          <w:tab w:val="left" w:pos="993"/>
        </w:tabs>
        <w:spacing w:before="0" w:after="60"/>
        <w:ind w:left="0" w:right="145" w:firstLine="709"/>
        <w:rPr>
          <w:i/>
        </w:rPr>
      </w:pPr>
      <w:r w:rsidRPr="00867317">
        <w:rPr>
          <w:b/>
          <w:i/>
        </w:rPr>
        <w:t>Cơ sở thực tiễn</w:t>
      </w:r>
    </w:p>
    <w:p w14:paraId="4483BFAA" w14:textId="77777777" w:rsidR="001D1C1B" w:rsidRPr="00867317" w:rsidRDefault="001D1C1B" w:rsidP="001D1C1B">
      <w:pPr>
        <w:pStyle w:val="ListParagraph"/>
        <w:keepNext/>
        <w:tabs>
          <w:tab w:val="left" w:pos="720"/>
        </w:tabs>
        <w:spacing w:after="60" w:line="264" w:lineRule="auto"/>
        <w:ind w:left="0" w:right="145" w:firstLine="709"/>
        <w:rPr>
          <w:iCs/>
          <w:sz w:val="28"/>
          <w:szCs w:val="28"/>
          <w:lang w:val="en-US"/>
        </w:rPr>
      </w:pPr>
      <w:r w:rsidRPr="00867317">
        <w:rPr>
          <w:iCs/>
          <w:sz w:val="28"/>
          <w:szCs w:val="28"/>
          <w:lang w:val="en-US"/>
        </w:rPr>
        <w:t>Việc tăng cường đầu tư vào cơ sở hạ tầng được xác định là một trong những khâu đột phá chiến lược tạo tiền đề phát triển kinh tế - xã hội, gắn với bảo đảm quốc phòng an ninh, an sinh xã hội, thích ứng với biến đổi khí hậu và phát triển bền vững.</w:t>
      </w:r>
    </w:p>
    <w:p w14:paraId="0D5CC057" w14:textId="77777777" w:rsidR="001D1C1B" w:rsidRPr="00867317" w:rsidRDefault="001D1C1B" w:rsidP="001D1C1B">
      <w:pPr>
        <w:pStyle w:val="ListParagraph"/>
        <w:keepNext/>
        <w:tabs>
          <w:tab w:val="left" w:pos="720"/>
        </w:tabs>
        <w:spacing w:after="60" w:line="264" w:lineRule="auto"/>
        <w:ind w:left="0" w:right="145" w:firstLine="709"/>
        <w:rPr>
          <w:iCs/>
          <w:sz w:val="28"/>
          <w:szCs w:val="28"/>
          <w:lang w:val="en-US"/>
        </w:rPr>
      </w:pPr>
      <w:r w:rsidRPr="00867317">
        <w:rPr>
          <w:bCs/>
          <w:sz w:val="28"/>
          <w:szCs w:val="28"/>
        </w:rPr>
        <w:tab/>
      </w:r>
      <w:r w:rsidRPr="00867317">
        <w:rPr>
          <w:iCs/>
          <w:sz w:val="28"/>
          <w:szCs w:val="28"/>
          <w:lang w:val="en-US"/>
        </w:rPr>
        <w:t xml:space="preserve">Tại Việt Nam, các dự án trọng điểm quốc gia về cơ sở hạ tầng được đầu tư bởi nhiều chủ thể khác nhau, bao gồm nhà nước, doanh nghiệp nhà nước, doanh nghiệp tư nhân, cũng như các mô hình đầu tư theo phương thức đối tác công tư (PPP). Các doanh nghiệp cần huy động vốn từ nhiều nguồn khác nhau để đáp ứng nhu cầu tài chính cho việc xây dựng và vận hành dự án, bao gồm vốn chủ sở hữu, vốn huy động từ nhiều nguồn như vay ngân hàng, phát hành trái phiếu, vốn vay khác. Việc đa dạng hóa các nguồn vốn giúp doanh nghiệp có sự linh hoạt và ổn định tài chính trong suốt quá trình thực hiện dự án. Mô hình PPP tại Việt Nam đã trở thành một xu hướng phổ biến trong các lĩnh vực hạ tầng giao thông, năng lượng, môi trường và y tế do đây là các dự án đòi hỏi vốn đầu tư ban </w:t>
      </w:r>
      <w:r w:rsidRPr="00867317">
        <w:rPr>
          <w:iCs/>
          <w:sz w:val="28"/>
          <w:szCs w:val="28"/>
          <w:lang w:val="en-US"/>
        </w:rPr>
        <w:lastRenderedPageBreak/>
        <w:t>đầu rất lớn và thời gian thu hồi vốn kéo dài. Với mô hình này, cả nhà nước và khu vực tư nhân cùng tham gia đầu tư, xây dựng, vận hành và bảo trì các công trình công cộng thông qua dự án đầu tư theo đối tác công tư (dự án PPP). Nhà nước khuyến khích các doanh nghiệp tham gia đầu tư vào các dự án này nhằm huy động nguồn lực tài chính từ khu vực tư nhân, giảm gánh nặng cho ngân sách nhà nước. Huy động vốn cho các dự án PPP giúp tạo ra các công trình công cộng chất lượng cao và phục vụ cộng đồng, góp phần duy trì sự bền vững tài chính của các dự án công, giảm bớt áp lực cho tài chính công, đồng thời giúp doanh nghiệp đạt được lợi nhuận trong dài hạn.</w:t>
      </w:r>
    </w:p>
    <w:p w14:paraId="3E6F7C1B" w14:textId="77777777" w:rsidR="00751C4E" w:rsidRPr="00EB6F9B" w:rsidRDefault="00751C4E" w:rsidP="00751C4E">
      <w:pPr>
        <w:pStyle w:val="ListParagraph"/>
        <w:keepNext/>
        <w:tabs>
          <w:tab w:val="left" w:pos="720"/>
        </w:tabs>
        <w:spacing w:after="60" w:line="264" w:lineRule="auto"/>
        <w:ind w:left="0" w:right="147" w:firstLine="567"/>
        <w:rPr>
          <w:iCs/>
          <w:sz w:val="28"/>
          <w:szCs w:val="28"/>
          <w:lang w:val="en-US"/>
        </w:rPr>
      </w:pPr>
      <w:r w:rsidRPr="00EB6F9B">
        <w:rPr>
          <w:iCs/>
          <w:sz w:val="28"/>
          <w:szCs w:val="28"/>
          <w:lang w:val="en-US"/>
        </w:rPr>
        <w:t>Hiện nay, nhu cầu huy động nguồn vốn trung và dài hạn cho các dự án đầu tư theo phương thức đối tác công tư (PPP) đang ở mức rất lớn, đặc biệt trong bối cảnh Đảng và Chính phủ đang quyết liệt triển khai nhiều công trình hạ tầng chiến lược, trọng điểm quốc gia như dự án đường sắt tốc độ cao Bắc – Nam, mục tiêu hoàn thành mạng lưới 3.000 km đường bộ cao tốc, hệ thống đường sắt đô thị tại các đô thị lớn, hạ tầng chuyển đổi số quốc gia, cũng như các dự án năng lượng, cấp thoát nước và hạ tầng thích ứng biến đổi khí hậu. Quy mô đầu tư rất lớn, thời gian thu hồi vốn kéo dài và yêu cầu vốn đầu tư ban đầu cao đặt ra áp lực đáng kể đối với việc bảo đảm nguồn lực tài chính cho các dự án này.</w:t>
      </w:r>
      <w:r>
        <w:rPr>
          <w:iCs/>
          <w:sz w:val="28"/>
          <w:szCs w:val="28"/>
          <w:lang w:val="en-US"/>
        </w:rPr>
        <w:t xml:space="preserve"> </w:t>
      </w:r>
      <w:r w:rsidRPr="00EB6F9B">
        <w:rPr>
          <w:iCs/>
          <w:sz w:val="28"/>
          <w:szCs w:val="28"/>
          <w:lang w:val="en-US"/>
        </w:rPr>
        <w:t>Trong khi đó, cơ cấu huy động vốn của các dự án PPP hiện nay ngoài phần vốn ngân sách nhà nước tham gia hỗ trợ và vốn chủ sở hữu của nhà đầu tư, phần lớn nhu cầu vốn của doanh nghiệp dự án PPP được tài trợ thông qua các khoản vay từ tổ chức tín dụng. Việc phụ thuộc lớn vào hệ thống ngân hàng không chỉ làm gia tăng áp lực lên khu vực tín dụng mà còn bộc lộ nhiều hạn chế mang tính cơ cấu. Các tổ chức tín dụng hiện đang chịu ràng buộc về giới hạn cấp tín dụng, yêu cầu kiểm soát chặt chẽ rủi ro đối với các khoản vay trung và dài hạn, cũng như áp lực cân đối kỳ hạn giữa nguồn vốn huy động ngắn hạn và nhu cầu cho vay dài hạn đối với các dự án hạ tầng. Bên cạnh đó, biến động lãi suất và chi phí vốn trong từng thời kỳ cũng ảnh hưởng đáng kể đến tính khả thi tài chính và khả năng hoàn vốn của dự án PPP.</w:t>
      </w:r>
    </w:p>
    <w:p w14:paraId="55F8FB76" w14:textId="77777777" w:rsidR="00751C4E" w:rsidRPr="00EB6F9B" w:rsidRDefault="00751C4E" w:rsidP="00751C4E">
      <w:pPr>
        <w:pStyle w:val="ListParagraph"/>
        <w:keepNext/>
        <w:tabs>
          <w:tab w:val="left" w:pos="720"/>
        </w:tabs>
        <w:spacing w:after="60" w:line="264" w:lineRule="auto"/>
        <w:ind w:left="0" w:right="147" w:firstLine="567"/>
        <w:rPr>
          <w:iCs/>
          <w:sz w:val="28"/>
          <w:szCs w:val="28"/>
          <w:lang w:val="en-US"/>
        </w:rPr>
      </w:pPr>
      <w:r w:rsidRPr="00EB6F9B">
        <w:rPr>
          <w:iCs/>
          <w:sz w:val="28"/>
          <w:szCs w:val="28"/>
          <w:lang w:val="en-US"/>
        </w:rPr>
        <w:t>Do đó, việc phát triển và đa dạng hóa các kênh huy động vốn dài hạn, đặc biệt thông qua thị trường vốn và thị trường trái phiếu doanh nghiệp, là yêu cầu cấp thiết nhằm tạo lập cơ chế huy động nguồn lực bền vững cho khu vực kinh tế tư nhân nói chung và các doanh nghiệp dự án PPP nói riêng. Việc huy động vốn qua phát hành trái phiếu không chỉ giúp giảm áp lực lên hệ thống tín dụng ngân hàng mà còn góp phần hình thành cơ chế phân bổ vốn theo nguyên tắc thị trường, mở rộng cơ hội tham gia của các nhà đầu tư tổ chức như quỹ đầu tưvà các nhà đầu tư dài hạn khác vào phát triển cơ sở hạ tầng quốc gia.</w:t>
      </w:r>
    </w:p>
    <w:p w14:paraId="4BD3CE09" w14:textId="77777777" w:rsidR="00751C4E" w:rsidRPr="00EB6F9B" w:rsidRDefault="00751C4E" w:rsidP="00751C4E">
      <w:pPr>
        <w:pStyle w:val="ListParagraph"/>
        <w:keepNext/>
        <w:tabs>
          <w:tab w:val="left" w:pos="720"/>
        </w:tabs>
        <w:spacing w:after="60" w:line="264" w:lineRule="auto"/>
        <w:ind w:left="0" w:right="147" w:firstLine="567"/>
        <w:rPr>
          <w:iCs/>
          <w:sz w:val="28"/>
          <w:szCs w:val="28"/>
          <w:lang w:val="en-US"/>
        </w:rPr>
      </w:pPr>
      <w:r w:rsidRPr="00EB6F9B">
        <w:rPr>
          <w:iCs/>
          <w:sz w:val="28"/>
          <w:szCs w:val="28"/>
          <w:lang w:val="en-US"/>
        </w:rPr>
        <w:t xml:space="preserve">Tuy nhiên, thực tiễn triển khai cho thấy khuôn khổ pháp lý hiện hành về chào bán trái phiếu ra công chúng và niêm yết trái phiếu doanh nghiệp chưa thực sự phù hợp với đặc thù hoạt động của doanh nghiệp dự án PPP. Khác với doanh </w:t>
      </w:r>
      <w:r w:rsidRPr="00EB6F9B">
        <w:rPr>
          <w:iCs/>
          <w:sz w:val="28"/>
          <w:szCs w:val="28"/>
          <w:lang w:val="en-US"/>
        </w:rPr>
        <w:lastRenderedPageBreak/>
        <w:t>nghiệp thông thường, doanh nghiệp dự án PPP thường được thành lập mới để thực hiện một dự án PPP cụ thể, có vòng đời hoạt động doanh nghiệp gắn với vòng đời của dự án, thời gian đầu tập trung chủ yếu vào giai đoạn đầu tư xây dựng nên chưa phát sinh doanh thu hoặc lợi nhuận ổn định. Trong nhiều trường hợp, doanh nghiệp dự án PPP chưa có đủ thời gian hoạt động, chưa có lịch sử tài chính hoặc kết quả kinh doanh đáp ứng các điều kiện chào bán trái phiếu ra công chúng theo quy định hiện hành.</w:t>
      </w:r>
      <w:r>
        <w:rPr>
          <w:iCs/>
          <w:sz w:val="28"/>
          <w:szCs w:val="28"/>
          <w:lang w:val="en-US"/>
        </w:rPr>
        <w:t xml:space="preserve"> </w:t>
      </w:r>
      <w:r w:rsidRPr="00EB6F9B">
        <w:rPr>
          <w:iCs/>
          <w:sz w:val="28"/>
          <w:szCs w:val="28"/>
          <w:lang w:val="en-US"/>
        </w:rPr>
        <w:t xml:space="preserve">Bên cạnh đó, tài sản bảo đảm, dòng tiền và khả năng trả nợ của doanh nghiệp dự án PPP thường phụ thuộc chủ yếu vào quyền kinh doanh công trình, hệ thống cơ sở hạ tầng hoặc cam kết chia sẻ rủi ro của Nhà nước theo hợp đồng PPP, thay vì dựa trên năng lực tài chính độc lập của doanh nghiệp. Đây là đặc điểm phổ biến trong tài trợ dự án (project finance) tại nhiều quốc gia, song hiện chưa được phản ánh đầy đủ trong các </w:t>
      </w:r>
      <w:r>
        <w:rPr>
          <w:iCs/>
          <w:sz w:val="28"/>
          <w:szCs w:val="28"/>
          <w:lang w:val="en-US"/>
        </w:rPr>
        <w:t>quy định</w:t>
      </w:r>
      <w:r w:rsidRPr="00EB6F9B">
        <w:rPr>
          <w:iCs/>
          <w:sz w:val="28"/>
          <w:szCs w:val="28"/>
          <w:lang w:val="en-US"/>
        </w:rPr>
        <w:t xml:space="preserve"> pháp </w:t>
      </w:r>
      <w:r>
        <w:rPr>
          <w:iCs/>
          <w:sz w:val="28"/>
          <w:szCs w:val="28"/>
          <w:lang w:val="en-US"/>
        </w:rPr>
        <w:t>luật</w:t>
      </w:r>
      <w:r w:rsidRPr="00EB6F9B">
        <w:rPr>
          <w:iCs/>
          <w:sz w:val="28"/>
          <w:szCs w:val="28"/>
          <w:lang w:val="en-US"/>
        </w:rPr>
        <w:t xml:space="preserve"> về phát hành trái phiếu ra công chúng tại Việt Nam. Điều này dẫn đến thực tế là mặc dù nhu cầu huy động vốn thông qua thị trường trái phiếu là rất lớn, nhưng doanh nghiệp dự án PPP lại khó tiếp cận được kênh huy động vốn này.</w:t>
      </w:r>
    </w:p>
    <w:p w14:paraId="7F57A5C9" w14:textId="77777777" w:rsidR="001D1C1B" w:rsidRPr="00867317" w:rsidRDefault="001D1C1B" w:rsidP="001D1C1B">
      <w:pPr>
        <w:pStyle w:val="ListParagraph"/>
        <w:keepNext/>
        <w:tabs>
          <w:tab w:val="left" w:pos="720"/>
        </w:tabs>
        <w:spacing w:after="60" w:line="264" w:lineRule="auto"/>
        <w:ind w:left="0" w:right="145" w:firstLine="709"/>
        <w:rPr>
          <w:sz w:val="28"/>
          <w:szCs w:val="28"/>
          <w:lang w:val="en-US"/>
        </w:rPr>
      </w:pPr>
      <w:r w:rsidRPr="00867317">
        <w:rPr>
          <w:bCs/>
          <w:sz w:val="28"/>
          <w:szCs w:val="28"/>
        </w:rPr>
        <w:t>Qua nghiên cứu, nhiều nước trên thế giới đã và đang thực hiện các giải pháp nhằm thúc đẩy việc huy động vốn cho các các dự án cơ sở hạ tầng quan trọng. Các giải pháp bao gồm việc tạo điều kiện thuận lợi cho các doanh nghiệp có thể phát hành trái phiếu hạ tầng, phát triển các loại hình quỹ cho đầu tư hạ tầng, thực hiện chính sách ưu đãi thuế cho các nhà đầu tư là tổ chức, cá nhân tham gia đầu tư vào trái phiếu hạ tầng hoặc quỹ đầu tư hạ tầng. Ngoài ra, một số quốc gia thực hiện việc bảo lãnh Chính phủ đối với trái phiếu hạ tầng. Giải pháp đã triển khai của các nước cũng đã mang lại những thành công đáng kể. Điển hình như Trung quốc đã huy động vốn thành công cho nhiều dự án lớn, bao gồm dự án phát hành trái phiếu cho đường sắt cao tốc Bắc kinh – Thượng Hải (2014), dự án đường cao tốc tỉnh Tứ Xuyên (2017). Thái Lan đã phát hành thành công trái phiếu cho dự án Hành lang kinh tế phía Đông (EEC) - một dự án quy mô lớn nhằm mục đích biến khu vực phía Đông của Thái Lan thành một trung tâm kinh tế quan trọng. Ấn Độ thông qua việc thành lập các quỹ tín thác đầu tư hạ tầng (InvIT), đã huy động được từ thị trường khoảng 13,4 tỷ USD</w:t>
      </w:r>
      <w:r w:rsidRPr="00867317">
        <w:rPr>
          <w:sz w:val="28"/>
          <w:szCs w:val="28"/>
        </w:rPr>
        <w:t>. Quỹ InvIT sẽ tiếp tục là công cụ quan trọng để phát triển cơ sở hạ tầng tại Ấn Độ, với tổng tài sản quản lý (AUM) của các quỹ dự báo đạt 231 tỷ USD vào năm 2034 (tăng hơn 4 lần) và AUM của các quỹ đường bộ dự báo đạt 37 tỷ USD trong vòng 2 năm tới (tăng 68%)</w:t>
      </w:r>
      <w:r w:rsidRPr="00867317">
        <w:rPr>
          <w:sz w:val="28"/>
          <w:szCs w:val="28"/>
          <w:lang w:val="en-US"/>
        </w:rPr>
        <w:t>.</w:t>
      </w:r>
    </w:p>
    <w:p w14:paraId="60800EF2" w14:textId="77777777" w:rsidR="001D1C1B" w:rsidRPr="00867317" w:rsidRDefault="001D1C1B" w:rsidP="001D1C1B">
      <w:pPr>
        <w:pStyle w:val="ListParagraph"/>
        <w:keepNext/>
        <w:tabs>
          <w:tab w:val="left" w:pos="720"/>
        </w:tabs>
        <w:spacing w:after="60" w:line="264" w:lineRule="auto"/>
        <w:ind w:left="0" w:right="145" w:firstLine="709"/>
        <w:rPr>
          <w:bCs/>
          <w:sz w:val="28"/>
          <w:szCs w:val="28"/>
          <w:lang w:val="en-US"/>
        </w:rPr>
      </w:pPr>
      <w:r w:rsidRPr="00867317">
        <w:rPr>
          <w:bCs/>
          <w:sz w:val="28"/>
          <w:szCs w:val="28"/>
          <w:lang w:val="en-US"/>
        </w:rPr>
        <w:t xml:space="preserve">Trên thế giới, một số dự án PPP với công cụ đánh giá và giảm thiểu rủi ro hữu hiệu đã đạt tỷ lệ phát hành trái phiếu thành công cao, giảm rủi ro cho nhà đầu tư trên thị trường chứng khoán như: Dự án PPP đường cao tốc A11 Bruges–Knokke (Bỉ) với tổng vốn trái phiếu huy động đạt 578 triệu EUR có xếp hạng tín nhiệm Baa1 và EIB cung cấp khoản đảm bảo tín dụng với giá trị khoảng 115 triệu EUR, hoặc dự án Nhà máy điện PPP (Nigeria) khí tự nhiên với tổng vốn </w:t>
      </w:r>
      <w:r w:rsidRPr="00867317">
        <w:rPr>
          <w:bCs/>
          <w:sz w:val="28"/>
          <w:szCs w:val="28"/>
          <w:lang w:val="en-US"/>
        </w:rPr>
        <w:lastRenderedPageBreak/>
        <w:t xml:space="preserve">trái phiếu huy động đạt khoảng 900 triệu USD có xếp hạng tín nhiệm và bảo lãnh thanh toán của World Bank, hoặc dự án PPP đường cao tốc Indiana Toll Road (Mỹ) với tổng vốn trái phiếu huy động đạt 3,8 tỷ USD, được bảo đảm bằng tài sản là nguồn thu từ dự án. </w:t>
      </w:r>
    </w:p>
    <w:p w14:paraId="75D9968F" w14:textId="77777777" w:rsidR="00751C4E" w:rsidRDefault="00751C4E" w:rsidP="00751C4E">
      <w:pPr>
        <w:pStyle w:val="ListParagraph"/>
        <w:keepNext/>
        <w:tabs>
          <w:tab w:val="left" w:pos="720"/>
        </w:tabs>
        <w:spacing w:after="60" w:line="264" w:lineRule="auto"/>
        <w:ind w:left="0" w:right="145" w:firstLine="709"/>
        <w:rPr>
          <w:iCs/>
          <w:sz w:val="28"/>
          <w:szCs w:val="28"/>
          <w:lang w:val="en-US"/>
        </w:rPr>
      </w:pPr>
      <w:r w:rsidRPr="00EB6F9B">
        <w:rPr>
          <w:iCs/>
          <w:sz w:val="28"/>
          <w:szCs w:val="28"/>
          <w:lang w:val="en-US"/>
        </w:rPr>
        <w:t xml:space="preserve">Vì vậy, việc nghiên cứu, xây dựng </w:t>
      </w:r>
      <w:r>
        <w:rPr>
          <w:iCs/>
          <w:sz w:val="28"/>
          <w:szCs w:val="28"/>
          <w:lang w:val="en-US"/>
        </w:rPr>
        <w:t>quy định về</w:t>
      </w:r>
      <w:r w:rsidRPr="00EB6F9B">
        <w:rPr>
          <w:iCs/>
          <w:sz w:val="28"/>
          <w:szCs w:val="28"/>
          <w:lang w:val="en-US"/>
        </w:rPr>
        <w:t xml:space="preserve"> chào bán trái phiếu ra công chúng phù hợp với đặc thù của doanh nghiệp dự án PPP có ý nghĩa quan trọng trong việc phát triển thị trường vốn theo chiều sâu, thúc đẩy huy động hiệu quả nguồn lực xã hội cho đầu tư hạ tầng, đồng thời góp phần thực hiện các mục tiêu phát triển kinh tế - xã hội và chiến lược phát triển kết cấu hạ tầng quốc gia trong giai đoạn tới</w:t>
      </w:r>
      <w:r>
        <w:rPr>
          <w:iCs/>
          <w:sz w:val="28"/>
          <w:szCs w:val="28"/>
          <w:lang w:val="en-US"/>
        </w:rPr>
        <w:t xml:space="preserve"> </w:t>
      </w:r>
      <w:r w:rsidRPr="002225B7">
        <w:rPr>
          <w:iCs/>
          <w:sz w:val="28"/>
          <w:szCs w:val="28"/>
          <w:lang w:val="en-US"/>
        </w:rPr>
        <w:t>là rất cần thiết và cấp bách</w:t>
      </w:r>
      <w:r>
        <w:rPr>
          <w:iCs/>
          <w:sz w:val="28"/>
          <w:szCs w:val="28"/>
          <w:lang w:val="en-US"/>
        </w:rPr>
        <w:t>.</w:t>
      </w:r>
    </w:p>
    <w:p w14:paraId="492BE845" w14:textId="430AC4EB" w:rsidR="008D367D" w:rsidRPr="00867317" w:rsidRDefault="008657E8" w:rsidP="001D1C1B">
      <w:pPr>
        <w:pStyle w:val="BodyText"/>
        <w:spacing w:before="0" w:after="100"/>
        <w:ind w:left="0" w:right="145" w:firstLine="709"/>
        <w:rPr>
          <w:b/>
          <w:sz w:val="27"/>
          <w:szCs w:val="27"/>
        </w:rPr>
      </w:pPr>
      <w:r w:rsidRPr="00867317">
        <w:rPr>
          <w:b/>
          <w:sz w:val="27"/>
          <w:szCs w:val="27"/>
          <w:lang w:val="en-US"/>
        </w:rPr>
        <w:t>II</w:t>
      </w:r>
      <w:r w:rsidR="002C3F44" w:rsidRPr="00867317">
        <w:rPr>
          <w:b/>
          <w:sz w:val="27"/>
          <w:szCs w:val="27"/>
        </w:rPr>
        <w:t>. NỘ</w:t>
      </w:r>
      <w:r w:rsidR="008D367D" w:rsidRPr="00867317">
        <w:rPr>
          <w:b/>
          <w:sz w:val="27"/>
          <w:szCs w:val="27"/>
        </w:rPr>
        <w:t>I DUNG CƠ BẢN DỰ THẢO NGHỊ ĐỊNH</w:t>
      </w:r>
    </w:p>
    <w:p w14:paraId="2B80C790" w14:textId="3E5A9F57"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z w:val="28"/>
          <w:szCs w:val="28"/>
          <w:lang w:val="sv-SE"/>
        </w:rPr>
      </w:pPr>
      <w:bookmarkStart w:id="2" w:name="_Hlk218011376"/>
      <w:r w:rsidRPr="00867317">
        <w:rPr>
          <w:b/>
          <w:i/>
          <w:sz w:val="28"/>
          <w:szCs w:val="28"/>
          <w:lang w:val="sv-SE"/>
        </w:rPr>
        <w:t>1. Nội dung về</w:t>
      </w:r>
      <w:r w:rsidR="001D1C1B" w:rsidRPr="00867317">
        <w:rPr>
          <w:b/>
          <w:i/>
          <w:sz w:val="28"/>
          <w:szCs w:val="28"/>
          <w:lang w:val="sv-SE"/>
        </w:rPr>
        <w:t xml:space="preserve"> </w:t>
      </w:r>
      <w:r w:rsidRPr="00867317">
        <w:rPr>
          <w:b/>
          <w:i/>
          <w:sz w:val="28"/>
          <w:szCs w:val="28"/>
          <w:lang w:val="sv-SE"/>
        </w:rPr>
        <w:t>g</w:t>
      </w:r>
      <w:r w:rsidR="001D1C1B" w:rsidRPr="00867317">
        <w:rPr>
          <w:b/>
          <w:i/>
          <w:sz w:val="28"/>
          <w:szCs w:val="28"/>
          <w:lang w:val="sv-SE"/>
        </w:rPr>
        <w:t>iải thích thuật ngữ</w:t>
      </w:r>
      <w:r w:rsidR="00B67136">
        <w:rPr>
          <w:b/>
          <w:i/>
          <w:sz w:val="28"/>
          <w:szCs w:val="28"/>
          <w:lang w:val="sv-SE"/>
        </w:rPr>
        <w:t xml:space="preserve"> và quy định chung</w:t>
      </w:r>
    </w:p>
    <w:p w14:paraId="0674BA6E"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sv-SE"/>
        </w:rPr>
        <w:t xml:space="preserve">Dự thảo Nghị định giải thích các thuật ngữ trực tiếp có liên quan bao gồm loại trái phiếu chào bán ra công chúng của doanh nghiệp dự án PPP là trái phiếu không chuyển đổi, không kèm chứng chứng quyền và được bảo đảm thanh toán. Đồng thời, dự thảo Nghị định quy định rõ về </w:t>
      </w:r>
      <w:r w:rsidRPr="00867317">
        <w:rPr>
          <w:sz w:val="28"/>
          <w:szCs w:val="28"/>
          <w:lang w:val="en-US"/>
        </w:rPr>
        <w:t>t</w:t>
      </w:r>
      <w:r w:rsidRPr="00867317">
        <w:rPr>
          <w:sz w:val="28"/>
          <w:szCs w:val="28"/>
        </w:rPr>
        <w:t>ài sản bảo đảm</w:t>
      </w:r>
      <w:r w:rsidRPr="00867317">
        <w:rPr>
          <w:sz w:val="28"/>
          <w:szCs w:val="28"/>
          <w:lang w:val="en-US"/>
        </w:rPr>
        <w:t xml:space="preserve"> đối với loại trái phiếu này.</w:t>
      </w:r>
    </w:p>
    <w:p w14:paraId="4720BCA4" w14:textId="359FB309" w:rsidR="001D1C1B"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vi-VN"/>
        </w:rPr>
        <w:t>Các thuật ngữ không được nêu tại</w:t>
      </w:r>
      <w:r w:rsidRPr="00867317">
        <w:rPr>
          <w:sz w:val="28"/>
          <w:szCs w:val="28"/>
          <w:lang w:val="en-US"/>
        </w:rPr>
        <w:t xml:space="preserve"> dự thảo Nghị định sẽ được hiểu theo quy định pháp luật hiện hành tại Luật Chứng khoán, Luật Đầu tư theo phương thức đối tác công tư và các văn bản pháp luật có liên quan.</w:t>
      </w:r>
    </w:p>
    <w:p w14:paraId="4AA41F5C" w14:textId="6BD493A2" w:rsidR="00B67136" w:rsidRPr="00867317" w:rsidRDefault="00B67136"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Pr>
          <w:sz w:val="28"/>
          <w:szCs w:val="28"/>
          <w:lang w:val="en-US"/>
        </w:rPr>
        <w:t>D</w:t>
      </w:r>
      <w:r w:rsidRPr="00B67136">
        <w:rPr>
          <w:sz w:val="28"/>
          <w:szCs w:val="28"/>
          <w:lang w:val="en-US"/>
        </w:rPr>
        <w:t>ự thảo Nghị định quy định cụ thể trường hợp doanh nghiệp dự án PPP đáp ứng các điều kiện về chào bán trái phiếu ra công chúng quy định tại khoản 3 Điều 15 Luật Chứng khoán 2019, doanh nghiệp dự án PPP được lựa chọn thực hiện chào bán trái phiếu ra công chúng theo quy định tại Nghị định số 155/2020/NĐ-CP</w:t>
      </w:r>
      <w:r>
        <w:rPr>
          <w:sz w:val="28"/>
          <w:szCs w:val="28"/>
          <w:lang w:val="en-US"/>
        </w:rPr>
        <w:t>.</w:t>
      </w:r>
    </w:p>
    <w:p w14:paraId="154C8FAF" w14:textId="1D5F34AD"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z w:val="28"/>
          <w:szCs w:val="28"/>
          <w:lang w:val="sv-SE"/>
        </w:rPr>
      </w:pPr>
      <w:r w:rsidRPr="00867317">
        <w:rPr>
          <w:b/>
          <w:i/>
          <w:sz w:val="28"/>
          <w:szCs w:val="28"/>
          <w:lang w:val="sv-SE"/>
        </w:rPr>
        <w:t>2. Nội dung về</w:t>
      </w:r>
      <w:r w:rsidR="001D1C1B" w:rsidRPr="00867317">
        <w:rPr>
          <w:b/>
          <w:i/>
          <w:sz w:val="28"/>
          <w:szCs w:val="28"/>
          <w:lang w:val="sv-SE"/>
        </w:rPr>
        <w:t xml:space="preserve"> điều kiện chào bán trái phiếu ra công chúng của doanh nghiệp dự án PPP </w:t>
      </w:r>
    </w:p>
    <w:p w14:paraId="3530E24C" w14:textId="152F49DD"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sz w:val="28"/>
          <w:szCs w:val="28"/>
          <w:lang w:val="sv-SE"/>
        </w:rPr>
        <w:t xml:space="preserve">Dự thảo Nghị định </w:t>
      </w:r>
      <w:r w:rsidRPr="00867317">
        <w:rPr>
          <w:bCs/>
          <w:sz w:val="28"/>
          <w:szCs w:val="28"/>
        </w:rPr>
        <w:t>kế thừa quy địn</w:t>
      </w:r>
      <w:r w:rsidRPr="00867317">
        <w:rPr>
          <w:bCs/>
          <w:sz w:val="28"/>
          <w:szCs w:val="28"/>
          <w:lang w:val="en-US"/>
        </w:rPr>
        <w:t xml:space="preserve">h về một số </w:t>
      </w:r>
      <w:r w:rsidRPr="00867317">
        <w:rPr>
          <w:sz w:val="28"/>
          <w:szCs w:val="28"/>
          <w:lang w:val="sv-SE"/>
        </w:rPr>
        <w:t xml:space="preserve">điều kiện chào bán trái phiếu ra công chúng </w:t>
      </w:r>
      <w:r w:rsidRPr="00867317">
        <w:rPr>
          <w:bCs/>
          <w:sz w:val="28"/>
          <w:szCs w:val="28"/>
        </w:rPr>
        <w:t>đã được thực tiễn chứng minh có hiệu quả</w:t>
      </w:r>
      <w:r w:rsidRPr="00867317">
        <w:rPr>
          <w:bCs/>
          <w:sz w:val="28"/>
          <w:szCs w:val="28"/>
          <w:lang w:val="en-US"/>
        </w:rPr>
        <w:t xml:space="preserve"> và phù hợp với loại hình doanh nghiệp PPP tại </w:t>
      </w:r>
      <w:r w:rsidRPr="00867317">
        <w:rPr>
          <w:bCs/>
          <w:sz w:val="28"/>
          <w:szCs w:val="28"/>
        </w:rPr>
        <w:t>Luật Chứng khoán</w:t>
      </w:r>
      <w:r w:rsidRPr="00867317">
        <w:rPr>
          <w:bCs/>
          <w:sz w:val="28"/>
          <w:szCs w:val="28"/>
          <w:lang w:val="en-US"/>
        </w:rPr>
        <w:t xml:space="preserve"> như điều kiện về vốn điều lệ, phương án phát hành, phương án sử dụng và trả nợ vốn thu được từ đợt chào bán được cấp có thẩm quyền thông qua, </w:t>
      </w:r>
      <w:r w:rsidR="00BB5F8F" w:rsidRPr="00867317">
        <w:rPr>
          <w:bCs/>
          <w:sz w:val="28"/>
          <w:szCs w:val="28"/>
          <w:lang w:val="en-US"/>
        </w:rPr>
        <w:t xml:space="preserve">không có nợ phải trả quá hạn 01 năm, </w:t>
      </w:r>
      <w:r w:rsidRPr="00867317">
        <w:rPr>
          <w:bCs/>
          <w:sz w:val="28"/>
          <w:szCs w:val="28"/>
          <w:lang w:val="en-US"/>
        </w:rPr>
        <w:t>có cam kết thực hiện nghĩa vụ của tổ chức phát hành đối với nhà đầu tư, có công ty chứng khoán tư vấn, tài khoản phong tỏa, cam kết niêm yết trái phiếu, tổ chức phát hành không thuộc trường hợp đang bị truy cứu trách nhiệm hình sự hoặc đã bị kết án. Dự thảo Nghị định quy định trái phiếu chào bán của doanh nghiệp dự án PPP phải được bảo đảm thanh toán. Do đó, để thống nhất các quy định liên quan đến chào bán ra công chúng trái phiếu, dự thảo Nghị định cũng kế thừa quy định về đợt chào bán phải có đại diện người sở hữu trái phiếu theo quy định tại Nghị định số 155/2020/NĐ-CP.</w:t>
      </w:r>
    </w:p>
    <w:p w14:paraId="2F666084"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 xml:space="preserve">Theo quy định của Luật Đầu tư theo phương thức đối tác công tư, tính chất hoạt động của các doanh nghiệp dự án PPP có sự khác biệt so với các doanh </w:t>
      </w:r>
      <w:r w:rsidRPr="00867317">
        <w:rPr>
          <w:sz w:val="28"/>
          <w:szCs w:val="28"/>
          <w:lang w:val="en-US"/>
        </w:rPr>
        <w:lastRenderedPageBreak/>
        <w:t>nghiệp thông thường như việc thành lập, hoạt động và nghĩa vụ của doanh nghiệp dự án PPP. Theo đó, doanh nghiệp dự án PPP được thành lập với có mục đích duy nhất để ký kết và thực hiện hợp đồng dự án PPP, thời gian triển khai dự án PPP thường kéo dài với vốn huy động ban đầu lớn, thời gian thu hồi vốn kéo dài. Đồng thời, sau khi dự án PPP hoàn thành xong giai đoạn xây dựng, nguồn thu chủ yếu của các dự án PPP phát sinh từ quyền kinh doanh công trình, hệ thống cơ sở hạ tầng. Do đó, dự thảo Nghị định bổ sung, điều chỉnh một số điều kiện chào bán trái phiếu ra công chúng để phù hợp với đặc thù của doanh nghiệp dự án PPP như sau:</w:t>
      </w:r>
    </w:p>
    <w:p w14:paraId="059178CE" w14:textId="6836FCC9"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z w:val="28"/>
          <w:szCs w:val="28"/>
          <w:lang w:val="en-US"/>
        </w:rPr>
        <w:t xml:space="preserve">- Về điều kiện kết quả hoạt động kinh doanh: với tính chất đặc thù của loại hình doanh nghiệp PPP, điều kiện </w:t>
      </w:r>
      <w:r w:rsidRPr="00867317">
        <w:rPr>
          <w:sz w:val="28"/>
          <w:szCs w:val="28"/>
          <w:lang w:val="sv-SE"/>
        </w:rPr>
        <w:t xml:space="preserve">chào bán trái phiếu ra công chúng của doanh nghiệp dự án PPP không quy định về thời gian hoạt động tối thiểu, điều kiện về kết quả hoạt động kinh doanh. Tuy nhiên, để đảm bảo tính </w:t>
      </w:r>
      <w:r w:rsidRPr="00867317">
        <w:rPr>
          <w:sz w:val="28"/>
          <w:szCs w:val="28"/>
        </w:rPr>
        <w:t>minh bạch, chặt chẽ, đảm bảo phù hợp với tính chất hoạt động của doanh nghiệp dự án PPP</w:t>
      </w:r>
      <w:r w:rsidRPr="00867317">
        <w:rPr>
          <w:sz w:val="28"/>
          <w:szCs w:val="28"/>
          <w:lang w:val="en-US"/>
        </w:rPr>
        <w:t xml:space="preserve">, dự thảo Nghị định </w:t>
      </w:r>
      <w:r w:rsidR="00B67136">
        <w:rPr>
          <w:sz w:val="28"/>
          <w:szCs w:val="28"/>
          <w:lang w:val="en-US"/>
        </w:rPr>
        <w:t>quy định rõ</w:t>
      </w:r>
      <w:r w:rsidRPr="00867317">
        <w:rPr>
          <w:sz w:val="28"/>
          <w:szCs w:val="28"/>
          <w:lang w:val="en-US"/>
        </w:rPr>
        <w:t xml:space="preserve"> điều kiện </w:t>
      </w:r>
      <w:r w:rsidRPr="00867317">
        <w:rPr>
          <w:sz w:val="28"/>
          <w:szCs w:val="28"/>
          <w:lang w:val="sv-SE"/>
        </w:rPr>
        <w:t xml:space="preserve">chào bán trái phiếu ra công chúng của doanh nghiệp dự án PPP </w:t>
      </w:r>
      <w:r w:rsidRPr="00867317">
        <w:rPr>
          <w:sz w:val="28"/>
          <w:szCs w:val="28"/>
          <w:lang w:val="en-US"/>
        </w:rPr>
        <w:t>có hợp đồng dự án PPP</w:t>
      </w:r>
      <w:r w:rsidR="00B67136">
        <w:rPr>
          <w:sz w:val="28"/>
          <w:szCs w:val="28"/>
          <w:lang w:val="en-US"/>
        </w:rPr>
        <w:t xml:space="preserve"> được ký kết theo quy định của pháp luật</w:t>
      </w:r>
      <w:r w:rsidRPr="00867317">
        <w:rPr>
          <w:sz w:val="28"/>
          <w:szCs w:val="28"/>
          <w:lang w:val="en-US"/>
        </w:rPr>
        <w:t>, bảo đảm tổng mức vốn vay, việc bảo đảm thanh toán trái phiếu và việc xếp hạng tín nhiệm đối với trái phiếu/xếp hạng tín nhiệm đối với tổ chức thực hiện bảo lãnh thanh toán.</w:t>
      </w:r>
    </w:p>
    <w:p w14:paraId="38D429F0" w14:textId="647F88F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 xml:space="preserve">- Về Hợp đồng dự án PPP: Theo quy định tại Điều 44 Luật Đầu tư theo phương thức đối tác công tư, doanh nghiệp dự án PPP được thành lập với có mục đích duy nhất để ký kết và thực hiện hợp đồng dự án PPP. Do đó, để đảm bảo tính khả thi và thống nhất với các quy định của pháp luật có liên quan, dự thảo Nghị định quy định về điều kiện thực hiện chào bán trái phiếu ra công chúng của doanh nghiệp dự án PPP phải có hợp đồng dự án PPP </w:t>
      </w:r>
      <w:r w:rsidR="00B67136">
        <w:rPr>
          <w:sz w:val="28"/>
          <w:szCs w:val="28"/>
          <w:lang w:val="en-US"/>
        </w:rPr>
        <w:t>được ký kết theo quy định của pháp luật</w:t>
      </w:r>
      <w:r w:rsidRPr="00867317">
        <w:rPr>
          <w:sz w:val="28"/>
          <w:szCs w:val="28"/>
          <w:lang w:val="en-US"/>
        </w:rPr>
        <w:t xml:space="preserve">. </w:t>
      </w:r>
    </w:p>
    <w:p w14:paraId="3E59B162" w14:textId="0D25051F"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sz w:val="28"/>
          <w:szCs w:val="28"/>
          <w:lang w:val="en-US"/>
        </w:rPr>
        <w:t xml:space="preserve">- Về xếp hạng tín nhiệm: dự thảo Nghị định quy định điều kiện trái phiếu đăng ký chào bán phải được xếp hạng tín nhiệm bởi tổ chức xếp hạng tín nhiệm độc lập, ngoại trừ trường hợp trái phiếu được tổ chức tín dụng, chi nhánh ngân hàng nước ngoài, tổ chức bảo lãnh thanh toán trái phiếu, tổ chức tài chính ở nước ngoài, tổ chức tài chính quốc tế bảo lãnh thanh toán toàn bộ lãi và gốc trái phiếu. Trường hợp trái phiếu được bảo lãnh thanh toán toàn bộ lãi và gốc, tổ chức thực hiện bảo lãnh thanh toán phải được xếp hạng tín nhiệm. </w:t>
      </w:r>
      <w:r w:rsidRPr="00867317">
        <w:rPr>
          <w:bCs/>
          <w:sz w:val="28"/>
          <w:szCs w:val="28"/>
        </w:rPr>
        <w:t>Tổ chức xếp hạng tín nhiệm không phải là người có liên quan của tổ chức thực hiện bảo lãnh thanh toán và tổ chức phát hành</w:t>
      </w:r>
      <w:r w:rsidRPr="00867317">
        <w:rPr>
          <w:bCs/>
          <w:sz w:val="28"/>
          <w:szCs w:val="28"/>
          <w:lang w:val="en-US"/>
        </w:rPr>
        <w:t>.</w:t>
      </w:r>
      <w:r w:rsidR="00B67136" w:rsidRPr="00B67136">
        <w:rPr>
          <w:bCs/>
          <w:sz w:val="28"/>
          <w:szCs w:val="28"/>
          <w:lang w:val="en-US"/>
        </w:rPr>
        <w:t xml:space="preserve"> </w:t>
      </w:r>
      <w:r w:rsidR="00B67136">
        <w:rPr>
          <w:bCs/>
          <w:sz w:val="28"/>
          <w:szCs w:val="28"/>
          <w:lang w:val="en-US"/>
        </w:rPr>
        <w:t xml:space="preserve">Trong đó, đối với “tổ chức bảo lãnh thanh toán trái phiếu”, Bộ Tài chính (UBCKNN) được giao chủ trì xây dựng Nghị định </w:t>
      </w:r>
      <w:r w:rsidR="00B67136" w:rsidRPr="004C2C6A">
        <w:rPr>
          <w:bCs/>
          <w:sz w:val="28"/>
          <w:szCs w:val="28"/>
          <w:lang w:val="en-US"/>
        </w:rPr>
        <w:t>hướng dẫn về tổ chức bảo lãnh thanh toán trái phiếu</w:t>
      </w:r>
      <w:r w:rsidR="00B67136">
        <w:rPr>
          <w:bCs/>
          <w:sz w:val="28"/>
          <w:szCs w:val="28"/>
          <w:lang w:val="en-US"/>
        </w:rPr>
        <w:t xml:space="preserve"> (hiện đang trong quá trình soạn thảo)</w:t>
      </w:r>
      <w:r w:rsidR="00B67136">
        <w:rPr>
          <w:bCs/>
          <w:sz w:val="28"/>
          <w:szCs w:val="28"/>
          <w:lang w:val="en-US"/>
        </w:rPr>
        <w:t>.</w:t>
      </w:r>
    </w:p>
    <w:p w14:paraId="11F6C43C"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 xml:space="preserve">- Về việc bảo đảm thanh toán: Theo quy định tại Khoản 4 Điều 89 Luật Đầu tư theo phương thức đối tác công tư, doanh nghiệp dự án PPP được thế chấp tài sản, quyền sử dụng đất và quyền kinh doanh công trình, hệ thống cơ sở hạ tầng. Điều 63 Luật Đầu tư theo phương thức đối tác công tư quy định về điều kiện doanh nghiệp dự án PPP được vận hành, kinh doanh công trình. Do đó, dự thảo Nghị định quy định về việc trái phiếu ra công chúng của doanh nghiệp dự </w:t>
      </w:r>
      <w:r w:rsidRPr="00867317">
        <w:rPr>
          <w:sz w:val="28"/>
          <w:szCs w:val="28"/>
          <w:lang w:val="en-US"/>
        </w:rPr>
        <w:lastRenderedPageBreak/>
        <w:t>án PPP phải được bảo đảm thanh toán toàn bộ lãi và gốc trái phiếu đối với 2 trường hợp:</w:t>
      </w:r>
    </w:p>
    <w:p w14:paraId="42D2FE26" w14:textId="7531204A"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 xml:space="preserve">+ </w:t>
      </w:r>
      <w:r w:rsidRPr="00867317">
        <w:rPr>
          <w:bCs/>
          <w:iCs/>
          <w:sz w:val="28"/>
          <w:szCs w:val="28"/>
        </w:rPr>
        <w:t xml:space="preserve">Trường hợp </w:t>
      </w:r>
      <w:r w:rsidR="00BB5F8F" w:rsidRPr="00867317">
        <w:rPr>
          <w:bCs/>
          <w:iCs/>
          <w:sz w:val="28"/>
          <w:szCs w:val="28"/>
          <w:lang w:val="en-US"/>
        </w:rPr>
        <w:t>tổ chức phát hành</w:t>
      </w:r>
      <w:r w:rsidRPr="00867317">
        <w:rPr>
          <w:bCs/>
          <w:iCs/>
          <w:sz w:val="28"/>
          <w:szCs w:val="28"/>
        </w:rPr>
        <w:t xml:space="preserve"> chưa </w:t>
      </w:r>
      <w:bookmarkStart w:id="3" w:name="_Hlk223973941"/>
      <w:r w:rsidRPr="00867317">
        <w:rPr>
          <w:bCs/>
          <w:iCs/>
          <w:sz w:val="28"/>
          <w:szCs w:val="28"/>
        </w:rPr>
        <w:t>đủ điều kiện vận hành, kinh doanh công trình, hệ thống cơ sở hạ tầng</w:t>
      </w:r>
      <w:bookmarkEnd w:id="3"/>
      <w:r w:rsidRPr="00867317">
        <w:rPr>
          <w:bCs/>
          <w:iCs/>
          <w:sz w:val="28"/>
          <w:szCs w:val="28"/>
        </w:rPr>
        <w:t xml:space="preserve"> theo quy định</w:t>
      </w:r>
      <w:r w:rsidRPr="00867317">
        <w:rPr>
          <w:sz w:val="28"/>
          <w:szCs w:val="28"/>
          <w:lang w:val="en-US"/>
        </w:rPr>
        <w:t>, trái phiếu phát hành phải được bảo lãnh thanh toán vô điều kiện và không hủy ngang toàn bộ lãi và gốc trái phiếu bởi tổ chức tín dụng, chi nhánh ngân hàng nước ngoài, tổ chức bảo lãnh thanh toán trái phiếu, tổ chức tài chính ở nước ngoài, tổ chức tài chính quốc tế theo quy định của pháp luật. Việc bảo lãnh thanh toán của tổ chức tín dụng, chi nhánh ngân hàng nước ngoài được thực hiện theo quy định của pháp luật về các tổ chức tín dụng.</w:t>
      </w:r>
    </w:p>
    <w:p w14:paraId="336CD52B" w14:textId="4A141EA5"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 xml:space="preserve">+ </w:t>
      </w:r>
      <w:bookmarkStart w:id="4" w:name="_Hlk223974088"/>
      <w:r w:rsidRPr="00867317">
        <w:rPr>
          <w:sz w:val="28"/>
          <w:szCs w:val="28"/>
          <w:lang w:val="en-US"/>
        </w:rPr>
        <w:t xml:space="preserve">Trường hợp </w:t>
      </w:r>
      <w:r w:rsidR="00BB5F8F" w:rsidRPr="00867317">
        <w:rPr>
          <w:sz w:val="28"/>
          <w:szCs w:val="28"/>
          <w:lang w:val="en-US"/>
        </w:rPr>
        <w:t>tổ chức phát hành</w:t>
      </w:r>
      <w:r w:rsidRPr="00867317">
        <w:rPr>
          <w:sz w:val="28"/>
          <w:szCs w:val="28"/>
          <w:lang w:val="en-US"/>
        </w:rPr>
        <w:t xml:space="preserve"> đủ điều kiện vận hành, kinh doanh công trình, hệ thống cơ sở hạ tầng theo quy định, trái phiếu phát hành được bảo đảm bằng tài sản và/hoặc bảo lãnh thanh toán tương tự trường hợp </w:t>
      </w:r>
      <w:r w:rsidRPr="00867317">
        <w:rPr>
          <w:bCs/>
          <w:iCs/>
          <w:sz w:val="28"/>
          <w:szCs w:val="28"/>
        </w:rPr>
        <w:t>doanh nghiệp dự án PPP chưa đủ điều kiện</w:t>
      </w:r>
      <w:r w:rsidRPr="00867317">
        <w:rPr>
          <w:sz w:val="28"/>
          <w:szCs w:val="28"/>
          <w:lang w:val="en-US"/>
        </w:rPr>
        <w:t>. Tài sản bảo đảm được định giá bởi tổ chức có chức năng thẩm định giá và được đăng ký, xử lý theo quy định của pháp luật về đăng ký giao dịch bảo đảm</w:t>
      </w:r>
    </w:p>
    <w:bookmarkEnd w:id="4"/>
    <w:p w14:paraId="713A9288" w14:textId="5FE8C272"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eastAsia="vi-VN"/>
        </w:rPr>
      </w:pPr>
      <w:r w:rsidRPr="00867317">
        <w:rPr>
          <w:sz w:val="28"/>
          <w:szCs w:val="28"/>
          <w:lang w:val="en-US" w:eastAsia="vi-VN"/>
        </w:rPr>
        <w:t xml:space="preserve">- Về điều kiện bảo đảm tổng mức vốn vay: Khoản </w:t>
      </w:r>
      <w:r w:rsidRPr="00867317">
        <w:rPr>
          <w:sz w:val="28"/>
          <w:szCs w:val="28"/>
          <w:lang w:eastAsia="vi-VN"/>
        </w:rPr>
        <w:t>2</w:t>
      </w:r>
      <w:r w:rsidRPr="00867317">
        <w:rPr>
          <w:sz w:val="28"/>
          <w:szCs w:val="28"/>
          <w:lang w:val="en-US" w:eastAsia="vi-VN"/>
        </w:rPr>
        <w:t xml:space="preserve"> Điều 10 Nghị định số 312/2025/NĐ-CP ngày 06/12/2025 quy định về việc </w:t>
      </w:r>
      <w:r w:rsidRPr="00867317">
        <w:rPr>
          <w:bCs/>
          <w:sz w:val="28"/>
          <w:szCs w:val="28"/>
          <w:lang w:val="en-US" w:eastAsia="vi-VN"/>
        </w:rPr>
        <w:t>h</w:t>
      </w:r>
      <w:r w:rsidRPr="00867317">
        <w:rPr>
          <w:bCs/>
          <w:sz w:val="28"/>
          <w:szCs w:val="28"/>
          <w:lang w:eastAsia="vi-VN"/>
        </w:rPr>
        <w:t>uy động vốn vay, vốn trái phiếu doanh nghiệp và các nguồn vốn hợp pháp khác để thực hiện dự án</w:t>
      </w:r>
      <w:r w:rsidRPr="00867317">
        <w:rPr>
          <w:sz w:val="28"/>
          <w:szCs w:val="28"/>
          <w:lang w:eastAsia="vi-VN"/>
        </w:rPr>
        <w:t xml:space="preserve"> </w:t>
      </w:r>
      <w:r w:rsidRPr="00867317">
        <w:rPr>
          <w:sz w:val="28"/>
          <w:szCs w:val="28"/>
          <w:lang w:val="en-US" w:eastAsia="vi-VN"/>
        </w:rPr>
        <w:t xml:space="preserve">như sau </w:t>
      </w:r>
      <w:r w:rsidR="00B67136" w:rsidRPr="00E139B0">
        <w:rPr>
          <w:i/>
          <w:sz w:val="28"/>
          <w:szCs w:val="28"/>
          <w:lang w:val="en-US" w:eastAsia="vi-VN"/>
        </w:rPr>
        <w:t>“</w:t>
      </w:r>
      <w:r w:rsidR="00B67136" w:rsidRPr="004C2C6A">
        <w:rPr>
          <w:i/>
          <w:sz w:val="28"/>
          <w:szCs w:val="28"/>
          <w:lang w:val="en-US" w:eastAsia="vi-VN"/>
        </w:rPr>
        <w:t>Tổng số vốn vay, bao gồm giá trị trái phiếu dự kiến phát hành (trừ trường hợp phát hành trái phiếu để cơ cấu lại khoản nợ) và các hình thức vay vốn khác (nếu có) không vượt quá tổng số vốn vay theo quy định tại hợp đồng dự án PPP và các Phụ lục hợp đồng (nếu có)</w:t>
      </w:r>
      <w:r w:rsidRPr="00867317">
        <w:rPr>
          <w:bCs/>
          <w:i/>
          <w:iCs/>
          <w:spacing w:val="-6"/>
          <w:sz w:val="28"/>
          <w:szCs w:val="28"/>
          <w:lang w:val="en-US" w:eastAsia="vi-VN"/>
        </w:rPr>
        <w:t>”</w:t>
      </w:r>
      <w:r w:rsidRPr="00867317">
        <w:rPr>
          <w:bCs/>
          <w:iCs/>
          <w:spacing w:val="-6"/>
          <w:sz w:val="28"/>
          <w:szCs w:val="28"/>
          <w:lang w:val="en-US" w:eastAsia="vi-VN"/>
        </w:rPr>
        <w:t>. Để đảm bảo thống nhất quy định giữa pháp luật chứng khoán và pháp luật</w:t>
      </w:r>
      <w:r w:rsidRPr="00867317">
        <w:rPr>
          <w:sz w:val="28"/>
          <w:szCs w:val="28"/>
          <w:lang w:val="en-US"/>
        </w:rPr>
        <w:t xml:space="preserve"> </w:t>
      </w:r>
      <w:r w:rsidR="00B67136">
        <w:rPr>
          <w:sz w:val="28"/>
          <w:szCs w:val="28"/>
          <w:lang w:val="en-US"/>
        </w:rPr>
        <w:t>ppp</w:t>
      </w:r>
      <w:r w:rsidRPr="00867317">
        <w:rPr>
          <w:bCs/>
          <w:iCs/>
          <w:spacing w:val="-6"/>
          <w:sz w:val="28"/>
          <w:szCs w:val="28"/>
          <w:lang w:val="en-US" w:eastAsia="vi-VN"/>
        </w:rPr>
        <w:t xml:space="preserve">, dự thảo Nghị định quy định về điều kiện đảm bảo tổng mức vốn vay tương tự quy định tại </w:t>
      </w:r>
      <w:r w:rsidRPr="00867317">
        <w:rPr>
          <w:sz w:val="28"/>
          <w:szCs w:val="28"/>
          <w:lang w:val="en-US" w:eastAsia="vi-VN"/>
        </w:rPr>
        <w:t xml:space="preserve">Khoản </w:t>
      </w:r>
      <w:r w:rsidRPr="00867317">
        <w:rPr>
          <w:sz w:val="28"/>
          <w:szCs w:val="28"/>
          <w:lang w:eastAsia="vi-VN"/>
        </w:rPr>
        <w:t>2</w:t>
      </w:r>
      <w:r w:rsidRPr="00867317">
        <w:rPr>
          <w:sz w:val="28"/>
          <w:szCs w:val="28"/>
          <w:lang w:val="en-US" w:eastAsia="vi-VN"/>
        </w:rPr>
        <w:t xml:space="preserve"> Điều 10 Nghị định số 312/2025/NĐ-CP nêu trên </w:t>
      </w:r>
      <w:r w:rsidRPr="00867317">
        <w:rPr>
          <w:bCs/>
          <w:sz w:val="28"/>
          <w:szCs w:val="28"/>
        </w:rPr>
        <w:t>trừ trường hợp phát hành trái phiếu để cơ cấu lại khoản nợ</w:t>
      </w:r>
      <w:r w:rsidRPr="00867317">
        <w:rPr>
          <w:sz w:val="28"/>
          <w:szCs w:val="28"/>
          <w:lang w:val="en-US" w:eastAsia="vi-VN"/>
        </w:rPr>
        <w:t xml:space="preserve">. </w:t>
      </w:r>
    </w:p>
    <w:p w14:paraId="6F146949" w14:textId="31DCB588"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z w:val="28"/>
          <w:szCs w:val="28"/>
          <w:lang w:val="en-US"/>
        </w:rPr>
      </w:pPr>
      <w:r w:rsidRPr="00867317">
        <w:rPr>
          <w:b/>
          <w:i/>
          <w:sz w:val="28"/>
          <w:szCs w:val="28"/>
          <w:lang w:val="sv-SE"/>
        </w:rPr>
        <w:t>3. Nội dung</w:t>
      </w:r>
      <w:r w:rsidR="001D1C1B" w:rsidRPr="00867317">
        <w:rPr>
          <w:b/>
          <w:i/>
          <w:sz w:val="28"/>
          <w:szCs w:val="28"/>
          <w:lang w:val="sv-SE"/>
        </w:rPr>
        <w:t xml:space="preserve"> về hồ sơ đăng ký chào bán trái phiếu ra công chúng của doanh nghiệp dự án PPP</w:t>
      </w:r>
    </w:p>
    <w:p w14:paraId="7D17F559"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z w:val="28"/>
          <w:szCs w:val="28"/>
          <w:lang w:val="sv-SE"/>
        </w:rPr>
        <w:t xml:space="preserve">Dự thảo Nghị định </w:t>
      </w:r>
      <w:r w:rsidRPr="00867317">
        <w:rPr>
          <w:bCs/>
          <w:sz w:val="28"/>
          <w:szCs w:val="28"/>
        </w:rPr>
        <w:t>kế thừa quy địn</w:t>
      </w:r>
      <w:r w:rsidRPr="00867317">
        <w:rPr>
          <w:bCs/>
          <w:sz w:val="28"/>
          <w:szCs w:val="28"/>
          <w:lang w:val="en-US"/>
        </w:rPr>
        <w:t>h về một số tài liệu trong hồ sơ đăng ký</w:t>
      </w:r>
      <w:r w:rsidRPr="00867317">
        <w:rPr>
          <w:sz w:val="28"/>
          <w:szCs w:val="28"/>
          <w:lang w:val="sv-SE"/>
        </w:rPr>
        <w:t xml:space="preserve"> chào bán trái phiếu ra công chúng </w:t>
      </w:r>
      <w:r w:rsidRPr="00867317">
        <w:rPr>
          <w:bCs/>
          <w:sz w:val="28"/>
          <w:szCs w:val="28"/>
        </w:rPr>
        <w:t>đã được thực tiễn chứng minh có hiệu quả</w:t>
      </w:r>
      <w:r w:rsidRPr="00867317">
        <w:rPr>
          <w:bCs/>
          <w:sz w:val="28"/>
          <w:szCs w:val="28"/>
          <w:lang w:val="en-US"/>
        </w:rPr>
        <w:t xml:space="preserve"> và phù hợp với loại hình doanh nghiệp PPP tại </w:t>
      </w:r>
      <w:r w:rsidRPr="00867317">
        <w:rPr>
          <w:bCs/>
          <w:sz w:val="28"/>
          <w:szCs w:val="28"/>
        </w:rPr>
        <w:t>Luật Chứng khoán</w:t>
      </w:r>
      <w:r w:rsidRPr="00867317">
        <w:rPr>
          <w:bCs/>
          <w:sz w:val="28"/>
          <w:szCs w:val="28"/>
          <w:lang w:val="en-US"/>
        </w:rPr>
        <w:t xml:space="preserve">, đồng thời làm rõ các điều kiện chào bán quy định tại Điều 5 dự thảo Nghị định như giấy đăng ký chào bán, quyết định của cấp có thẩm quyền thông qua phương án sử dụng và trả nợ vốn thu được từ đợt chào bán, hồ sơ đăng ký, tài liệu làm rõ về tài sản bảo đảm, văn </w:t>
      </w:r>
      <w:r w:rsidRPr="00867317">
        <w:rPr>
          <w:kern w:val="28"/>
          <w:sz w:val="28"/>
          <w:szCs w:val="28"/>
          <w:lang w:val="sv-SE"/>
        </w:rPr>
        <w:t xml:space="preserve">bản cam kết bảo lãnh thanh toán, cam kết bảo lãnh phát hành, cam kết </w:t>
      </w:r>
      <w:r w:rsidRPr="00867317">
        <w:rPr>
          <w:bCs/>
          <w:sz w:val="28"/>
          <w:szCs w:val="28"/>
          <w:lang w:val="en-US"/>
        </w:rPr>
        <w:t xml:space="preserve">của cấp có thẩm quyền về niêm yết trái phiếu, hợp đồng tư vấn, hợp đồng đại diện người sở hữu trái phiếu …. Bên cạnh đó, dự thảo Nghị định quy định mẫu giấy đăng ký chào bán, </w:t>
      </w:r>
      <w:r w:rsidRPr="00867317">
        <w:rPr>
          <w:kern w:val="28"/>
          <w:sz w:val="28"/>
          <w:szCs w:val="28"/>
          <w:lang w:val="sv-SE"/>
        </w:rPr>
        <w:t xml:space="preserve">cam kết bảo lãnh phát hành phù hợp </w:t>
      </w:r>
      <w:r w:rsidRPr="00867317">
        <w:rPr>
          <w:sz w:val="28"/>
          <w:szCs w:val="28"/>
          <w:lang w:val="sv-SE"/>
        </w:rPr>
        <w:t xml:space="preserve">tính chất đặc thù của doanh nghiệp dự án PPP. </w:t>
      </w:r>
    </w:p>
    <w:p w14:paraId="1B2C63D3" w14:textId="56D75ABE"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pacing w:val="-6"/>
          <w:sz w:val="28"/>
          <w:szCs w:val="28"/>
          <w:lang w:val="en-US" w:eastAsia="vi-VN"/>
        </w:rPr>
        <w:t xml:space="preserve">Đối với một số điều kiện chào bán </w:t>
      </w:r>
      <w:r w:rsidRPr="00867317">
        <w:rPr>
          <w:sz w:val="28"/>
          <w:szCs w:val="28"/>
          <w:lang w:val="sv-SE"/>
        </w:rPr>
        <w:t xml:space="preserve">trái phiếu ra công chúng của doanh nghiệp PPP được bổ sung, dự thảo Nghị định quy định hồ sơ tương ứng như: Hợp đồng dự án PPP; </w:t>
      </w:r>
      <w:r w:rsidRPr="00867317">
        <w:rPr>
          <w:bCs/>
          <w:iCs/>
          <w:sz w:val="28"/>
          <w:szCs w:val="28"/>
          <w:lang w:val="en-US"/>
        </w:rPr>
        <w:t>t</w:t>
      </w:r>
      <w:r w:rsidRPr="00867317">
        <w:rPr>
          <w:bCs/>
          <w:iCs/>
          <w:sz w:val="28"/>
          <w:szCs w:val="28"/>
        </w:rPr>
        <w:t xml:space="preserve">rường hợp doanh nghiệp dự án PPP đủ điều kiện </w:t>
      </w:r>
      <w:bookmarkStart w:id="5" w:name="_Hlk223974282"/>
      <w:r w:rsidRPr="00867317">
        <w:rPr>
          <w:bCs/>
          <w:iCs/>
          <w:sz w:val="28"/>
          <w:szCs w:val="28"/>
        </w:rPr>
        <w:t>vận hành, kinh doanh công trình, hệ thống cơ sở hạ tầng</w:t>
      </w:r>
      <w:bookmarkEnd w:id="5"/>
      <w:r w:rsidRPr="00867317">
        <w:rPr>
          <w:bCs/>
          <w:iCs/>
          <w:sz w:val="28"/>
          <w:szCs w:val="28"/>
        </w:rPr>
        <w:t xml:space="preserve"> thì phải nộp </w:t>
      </w:r>
      <w:bookmarkStart w:id="6" w:name="_Hlk223974759"/>
      <w:r w:rsidRPr="00867317">
        <w:rPr>
          <w:kern w:val="28"/>
          <w:sz w:val="28"/>
          <w:szCs w:val="28"/>
          <w:lang w:val="sv-SE"/>
        </w:rPr>
        <w:t xml:space="preserve">tài liệu chứng </w:t>
      </w:r>
      <w:r w:rsidRPr="00867317">
        <w:rPr>
          <w:kern w:val="28"/>
          <w:sz w:val="28"/>
          <w:szCs w:val="28"/>
          <w:lang w:val="sv-SE"/>
        </w:rPr>
        <w:lastRenderedPageBreak/>
        <w:t xml:space="preserve">minh có đủ điều kiện </w:t>
      </w:r>
      <w:r w:rsidRPr="00867317">
        <w:rPr>
          <w:bCs/>
          <w:iCs/>
          <w:sz w:val="28"/>
          <w:szCs w:val="28"/>
        </w:rPr>
        <w:t>theo quy định</w:t>
      </w:r>
      <w:bookmarkEnd w:id="6"/>
      <w:r w:rsidRPr="00867317">
        <w:rPr>
          <w:sz w:val="28"/>
          <w:szCs w:val="28"/>
          <w:lang w:val="sv-SE"/>
        </w:rPr>
        <w:t>; Báo cáo kết quả xếp hạng tín nhiệm đối với trái phiếu đăng ký chào bán hoặc đối với tổ chức thực hiện bảo lãnh thanh toán.</w:t>
      </w:r>
    </w:p>
    <w:p w14:paraId="10FE5F4F"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pacing w:val="-6"/>
          <w:sz w:val="28"/>
          <w:szCs w:val="28"/>
          <w:lang w:val="en-US" w:eastAsia="vi-VN"/>
        </w:rPr>
      </w:pPr>
      <w:r w:rsidRPr="00867317">
        <w:rPr>
          <w:sz w:val="28"/>
          <w:szCs w:val="28"/>
          <w:lang w:val="sv-SE"/>
        </w:rPr>
        <w:t>Với tính chất đặc thù của loại hình doanh nghiệp dự án PPP, điều kiện chào bán trái phiếu ra công chúng của doanh nghiệp dự án PPP không quy định về thời gian hoạt động tối thiểu, điều kiện về kết quả hoạt động kinh doanh. Do đó, hồ sơ chỉ quy định về Báo cáo tài chính năm gần nhất đã kiểm toán hoặc báo cáo về vốn điều lệ đã góp tính đến thời điểm đăng ký chào bán được kiểm toán (trường hợp hoạt động doanh nghiệp dự án PPP chưa đủ 01 năm). Đồng thời, dự thảo Nghị định quy định mẫu Bản công bố thông tin về việc chào bán trái phiếu ra công chúng của doanh nghiệp dự án PPP phù hợp với các điều kiện chào bán tại dự thảo Nghị định và tính chất đặc thù của doanh nghiệp dự án PPP.</w:t>
      </w:r>
    </w:p>
    <w:p w14:paraId="1CF0A979" w14:textId="409226DB"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pacing w:val="-6"/>
          <w:sz w:val="28"/>
          <w:szCs w:val="28"/>
          <w:lang w:val="en-US"/>
        </w:rPr>
      </w:pPr>
      <w:r w:rsidRPr="00867317">
        <w:rPr>
          <w:b/>
          <w:i/>
          <w:spacing w:val="-6"/>
          <w:sz w:val="28"/>
          <w:szCs w:val="28"/>
          <w:lang w:val="sv-SE"/>
        </w:rPr>
        <w:t>4. Nội dung</w:t>
      </w:r>
      <w:r w:rsidR="001D1C1B" w:rsidRPr="00867317">
        <w:rPr>
          <w:b/>
          <w:i/>
          <w:spacing w:val="-6"/>
          <w:sz w:val="28"/>
          <w:szCs w:val="28"/>
          <w:lang w:val="sv-SE"/>
        </w:rPr>
        <w:t xml:space="preserve"> về </w:t>
      </w:r>
      <w:r w:rsidR="001D1C1B" w:rsidRPr="00867317">
        <w:rPr>
          <w:b/>
          <w:i/>
          <w:sz w:val="28"/>
          <w:szCs w:val="28"/>
          <w:lang w:val="en-US"/>
        </w:rPr>
        <w:t>m</w:t>
      </w:r>
      <w:r w:rsidR="001D1C1B" w:rsidRPr="00867317">
        <w:rPr>
          <w:b/>
          <w:i/>
          <w:sz w:val="28"/>
          <w:szCs w:val="28"/>
        </w:rPr>
        <w:t>ục đích chào bán và sử dụng vốn, số tiền thu được từ đợt chào bán</w:t>
      </w:r>
    </w:p>
    <w:p w14:paraId="57A2557B" w14:textId="28900AD4"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pacing w:val="-6"/>
          <w:sz w:val="28"/>
          <w:szCs w:val="28"/>
          <w:lang w:val="en-US"/>
        </w:rPr>
      </w:pPr>
      <w:r w:rsidRPr="00867317">
        <w:rPr>
          <w:spacing w:val="-6"/>
          <w:sz w:val="28"/>
          <w:szCs w:val="28"/>
          <w:lang w:val="en-US"/>
        </w:rPr>
        <w:t xml:space="preserve">Theo quy định tại Điều 44 Luật Đầu tư theo phương thức đối tác công tư, doanh nghiệp dự án PPP được thành lập với có mục đích duy nhất để ký kết và thực hiện hợp đồng dự án PPP. Do đó, </w:t>
      </w:r>
      <w:bookmarkStart w:id="7" w:name="_Hlk223940404"/>
      <w:r w:rsidRPr="00867317">
        <w:rPr>
          <w:spacing w:val="-6"/>
          <w:sz w:val="28"/>
          <w:szCs w:val="28"/>
          <w:lang w:val="en-US"/>
        </w:rPr>
        <w:t xml:space="preserve">dự thảo Nghị định quy định rõ </w:t>
      </w:r>
      <w:bookmarkEnd w:id="7"/>
      <w:r w:rsidRPr="00867317">
        <w:rPr>
          <w:spacing w:val="-6"/>
          <w:sz w:val="28"/>
          <w:szCs w:val="28"/>
          <w:lang w:val="en-US"/>
        </w:rPr>
        <w:t xml:space="preserve">mục đích chào bán để thực hiện các dự án đầu tư theo phương thức đối tác công tư, cơ cấu lại nợ của doanh nghiệp dự án PPP; </w:t>
      </w:r>
      <w:r w:rsidRPr="00867317">
        <w:rPr>
          <w:sz w:val="28"/>
          <w:szCs w:val="28"/>
          <w:lang w:val="en-US"/>
        </w:rPr>
        <w:t>n</w:t>
      </w:r>
      <w:r w:rsidRPr="00867317">
        <w:rPr>
          <w:sz w:val="28"/>
          <w:szCs w:val="28"/>
        </w:rPr>
        <w:t>guồn thu từ dự án phải được sử dụng theo đúng phương án tài chính đảm bảo phù hợp với hợp đồng dự án PPP và quy định của pháp luật PPP</w:t>
      </w:r>
      <w:r w:rsidRPr="00867317">
        <w:rPr>
          <w:spacing w:val="-6"/>
          <w:sz w:val="28"/>
          <w:szCs w:val="28"/>
          <w:lang w:val="en-US"/>
        </w:rPr>
        <w:t>. Đồng thời dự thảo Nghị định quy định về việc trong thời gian chưa giải ngân hết số tiền thu được từ đợt chào bán, tổ chức phát hành có thể gửi tiết kiệm ngân hàng, mua trái phiếu Chính phủ, trái phiếu được Chính phủ bảo lãnh, chứng chỉ tiền gửi của ngân hàng</w:t>
      </w:r>
      <w:r w:rsidR="00B67136" w:rsidRPr="004C2C6A">
        <w:rPr>
          <w:spacing w:val="-6"/>
          <w:sz w:val="28"/>
          <w:szCs w:val="28"/>
          <w:lang w:val="en-US"/>
        </w:rPr>
        <w:t>, phù hợp với phương án tài chính theo quy định của pháp luật PPP</w:t>
      </w:r>
      <w:r w:rsidRPr="00867317">
        <w:rPr>
          <w:spacing w:val="-6"/>
          <w:sz w:val="28"/>
          <w:szCs w:val="28"/>
          <w:lang w:val="en-US"/>
        </w:rPr>
        <w:t xml:space="preserve">. </w:t>
      </w:r>
      <w:r w:rsidR="00B67136" w:rsidRPr="004C2C6A">
        <w:rPr>
          <w:spacing w:val="-6"/>
          <w:sz w:val="28"/>
          <w:szCs w:val="28"/>
          <w:lang w:val="en-US"/>
        </w:rPr>
        <w:t>Số tiền chưa giải ngân bao gồm tiền sử dụng theo các mục đích nêu trên không được sử dụng để thế chấp, làm tài sản</w:t>
      </w:r>
      <w:r w:rsidR="00B67136">
        <w:rPr>
          <w:spacing w:val="-6"/>
          <w:sz w:val="28"/>
          <w:szCs w:val="28"/>
          <w:lang w:val="en-US"/>
        </w:rPr>
        <w:t xml:space="preserve"> </w:t>
      </w:r>
      <w:r w:rsidR="00B67136" w:rsidRPr="004C2C6A">
        <w:rPr>
          <w:spacing w:val="-6"/>
          <w:sz w:val="28"/>
          <w:szCs w:val="28"/>
          <w:lang w:val="en-US"/>
        </w:rPr>
        <w:t>cho vay, bảo đảm cho thực hiện nghĩa vụ của bên thứ ba theo quy định của pháp luật dân sự</w:t>
      </w:r>
      <w:r w:rsidRPr="00867317">
        <w:rPr>
          <w:spacing w:val="-6"/>
          <w:sz w:val="28"/>
          <w:szCs w:val="28"/>
          <w:lang w:val="en-US"/>
        </w:rPr>
        <w:t xml:space="preserve">. </w:t>
      </w:r>
    </w:p>
    <w:p w14:paraId="09B63750" w14:textId="17901F3B"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pacing w:val="-6"/>
          <w:sz w:val="28"/>
          <w:szCs w:val="28"/>
          <w:lang w:val="en-US"/>
        </w:rPr>
      </w:pPr>
      <w:r w:rsidRPr="00867317">
        <w:rPr>
          <w:b/>
          <w:i/>
          <w:spacing w:val="-6"/>
          <w:sz w:val="28"/>
          <w:szCs w:val="28"/>
          <w:lang w:val="sv-SE"/>
        </w:rPr>
        <w:t>4. Nội dung</w:t>
      </w:r>
      <w:r w:rsidR="001D1C1B" w:rsidRPr="00867317">
        <w:rPr>
          <w:b/>
          <w:i/>
          <w:spacing w:val="-6"/>
          <w:sz w:val="28"/>
          <w:szCs w:val="28"/>
          <w:lang w:val="sv-SE"/>
        </w:rPr>
        <w:t xml:space="preserve"> về </w:t>
      </w:r>
      <w:r w:rsidR="001D1C1B" w:rsidRPr="00867317">
        <w:rPr>
          <w:b/>
          <w:i/>
          <w:sz w:val="28"/>
          <w:szCs w:val="28"/>
          <w:lang w:val="vi-VN"/>
        </w:rPr>
        <w:t xml:space="preserve">thanh toán </w:t>
      </w:r>
      <w:r w:rsidR="001D1C1B" w:rsidRPr="00867317">
        <w:rPr>
          <w:b/>
          <w:i/>
          <w:sz w:val="28"/>
          <w:szCs w:val="28"/>
        </w:rPr>
        <w:t>nợ lãi, gốc</w:t>
      </w:r>
      <w:r w:rsidR="001D1C1B" w:rsidRPr="00867317">
        <w:rPr>
          <w:b/>
          <w:i/>
          <w:sz w:val="28"/>
          <w:szCs w:val="28"/>
          <w:lang w:val="vi-VN"/>
        </w:rPr>
        <w:t xml:space="preserve"> trái phiếu</w:t>
      </w:r>
      <w:r w:rsidR="001D1C1B" w:rsidRPr="00867317">
        <w:rPr>
          <w:b/>
          <w:i/>
          <w:spacing w:val="-6"/>
          <w:sz w:val="28"/>
          <w:szCs w:val="28"/>
          <w:lang w:val="sv-SE"/>
        </w:rPr>
        <w:t xml:space="preserve"> </w:t>
      </w:r>
    </w:p>
    <w:p w14:paraId="2E74B38F"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spacing w:val="-6"/>
          <w:sz w:val="28"/>
          <w:szCs w:val="28"/>
          <w:lang w:val="en-US"/>
        </w:rPr>
        <w:t xml:space="preserve">Dự thảo Nghị định quy định rõ </w:t>
      </w:r>
      <w:bookmarkStart w:id="8" w:name="_Hlk222995824"/>
      <w:r w:rsidRPr="00867317">
        <w:rPr>
          <w:bCs/>
          <w:sz w:val="28"/>
          <w:szCs w:val="28"/>
          <w:lang w:val="vi-VN"/>
        </w:rPr>
        <w:t xml:space="preserve">Tổ chức phát hành </w:t>
      </w:r>
      <w:bookmarkEnd w:id="8"/>
      <w:r w:rsidRPr="00867317">
        <w:rPr>
          <w:bCs/>
          <w:sz w:val="28"/>
          <w:szCs w:val="28"/>
          <w:lang w:val="vi-VN"/>
        </w:rPr>
        <w:t xml:space="preserve">thực hiện </w:t>
      </w:r>
      <w:bookmarkStart w:id="9" w:name="_Hlk222995853"/>
      <w:r w:rsidRPr="00867317">
        <w:rPr>
          <w:bCs/>
          <w:sz w:val="28"/>
          <w:szCs w:val="28"/>
          <w:lang w:val="vi-VN"/>
        </w:rPr>
        <w:t xml:space="preserve">thanh toán </w:t>
      </w:r>
      <w:r w:rsidRPr="00867317">
        <w:rPr>
          <w:bCs/>
          <w:sz w:val="28"/>
          <w:szCs w:val="28"/>
        </w:rPr>
        <w:t>nợ lãi, gốc</w:t>
      </w:r>
      <w:r w:rsidRPr="00867317">
        <w:rPr>
          <w:bCs/>
          <w:sz w:val="28"/>
          <w:szCs w:val="28"/>
          <w:lang w:val="vi-VN"/>
        </w:rPr>
        <w:t xml:space="preserve"> trái phiếu</w:t>
      </w:r>
      <w:r w:rsidRPr="00867317">
        <w:rPr>
          <w:bCs/>
          <w:sz w:val="28"/>
          <w:szCs w:val="28"/>
        </w:rPr>
        <w:t xml:space="preserve"> đầy đủ</w:t>
      </w:r>
      <w:bookmarkEnd w:id="9"/>
      <w:r w:rsidRPr="00867317">
        <w:rPr>
          <w:bCs/>
          <w:sz w:val="28"/>
          <w:szCs w:val="28"/>
        </w:rPr>
        <w:t>,</w:t>
      </w:r>
      <w:r w:rsidRPr="00867317">
        <w:rPr>
          <w:bCs/>
          <w:sz w:val="28"/>
          <w:szCs w:val="28"/>
          <w:lang w:val="vi-VN"/>
        </w:rPr>
        <w:t xml:space="preserve"> </w:t>
      </w:r>
      <w:r w:rsidRPr="00867317">
        <w:rPr>
          <w:bCs/>
          <w:sz w:val="28"/>
          <w:szCs w:val="28"/>
        </w:rPr>
        <w:t xml:space="preserve">đúng hạn </w:t>
      </w:r>
      <w:r w:rsidRPr="00867317">
        <w:rPr>
          <w:bCs/>
          <w:sz w:val="28"/>
          <w:szCs w:val="28"/>
          <w:lang w:val="vi-VN"/>
        </w:rPr>
        <w:t xml:space="preserve">theo phương án phát hành </w:t>
      </w:r>
      <w:r w:rsidRPr="00867317">
        <w:rPr>
          <w:bCs/>
          <w:sz w:val="28"/>
          <w:szCs w:val="28"/>
        </w:rPr>
        <w:t>được cấp có thẩm quyền thông qua và đã được công bố thông tin cho nhà đầu tư</w:t>
      </w:r>
      <w:r w:rsidRPr="00867317">
        <w:rPr>
          <w:bCs/>
          <w:sz w:val="28"/>
          <w:szCs w:val="28"/>
          <w:lang w:val="vi-VN"/>
        </w:rPr>
        <w:t xml:space="preserve"> theo quy định</w:t>
      </w:r>
      <w:r w:rsidRPr="00867317">
        <w:rPr>
          <w:bCs/>
          <w:sz w:val="28"/>
          <w:szCs w:val="28"/>
          <w:lang w:val="en-US"/>
        </w:rPr>
        <w:t xml:space="preserve">. </w:t>
      </w:r>
    </w:p>
    <w:p w14:paraId="4E1930F7" w14:textId="3879680B"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bCs/>
          <w:sz w:val="28"/>
          <w:szCs w:val="28"/>
          <w:lang w:val="en-US"/>
        </w:rPr>
        <w:t xml:space="preserve">Đồng thời, để đảm bảo việc thanh toán đầy đủ nợ lãi, gốc trái phiếu đến hạn, dự thảo Nghị định quy định một số biện pháp như sau: </w:t>
      </w:r>
      <w:r w:rsidR="00B67136" w:rsidRPr="004C2C6A">
        <w:rPr>
          <w:bCs/>
          <w:sz w:val="28"/>
          <w:szCs w:val="28"/>
          <w:lang w:val="en-US"/>
        </w:rPr>
        <w:t>Tổ chức phát hành không được phân chia lợi nhuận, chi trả cổ tức cho chủ sở hữu, thành viên góp vốn; chi trả cổ tức cho cổ đông của tổ chức phát hành khi chưa thanh toán đầy đủ nợ lãi, gốc trái phiếu đến hạn</w:t>
      </w:r>
      <w:r w:rsidRPr="00867317">
        <w:rPr>
          <w:bCs/>
          <w:sz w:val="28"/>
          <w:szCs w:val="28"/>
          <w:lang w:val="en-US"/>
        </w:rPr>
        <w:t>; tổ chức phát hành phải đảm bảo tiền thanh toán nợ lãi, gốc trái phiếu được quản lý riêng biệt với các khoản thanh toán khác; đ</w:t>
      </w:r>
      <w:r w:rsidRPr="00867317">
        <w:rPr>
          <w:bCs/>
          <w:sz w:val="28"/>
          <w:szCs w:val="28"/>
        </w:rPr>
        <w:t>ối với trái phiếu được bảo lãnh thanh toán, trường hợp tổ chức phát hành không trả được nợ lãi, gốc trái phiếu</w:t>
      </w:r>
      <w:r w:rsidRPr="00867317">
        <w:rPr>
          <w:bCs/>
          <w:sz w:val="28"/>
          <w:szCs w:val="28"/>
          <w:lang w:val="en-US"/>
        </w:rPr>
        <w:t xml:space="preserve"> đến hạn</w:t>
      </w:r>
      <w:r w:rsidRPr="00867317">
        <w:rPr>
          <w:bCs/>
          <w:sz w:val="28"/>
          <w:szCs w:val="28"/>
        </w:rPr>
        <w:t>, tổ chức bảo lãnh thanh toán có trách nhiệm thực hiện nghĩa vụ bảo lãnh thanh toán theo cam kết bảo lãnh giữa tổ chức bảo lãnh thanh toán và tổ chức phát hành nêu tại phương án phát hành trái phiếu và đã được công bố thông tin cho nhà đầu tư</w:t>
      </w:r>
      <w:r w:rsidRPr="00867317">
        <w:rPr>
          <w:bCs/>
          <w:sz w:val="28"/>
          <w:szCs w:val="28"/>
          <w:lang w:val="en-US"/>
        </w:rPr>
        <w:t xml:space="preserve">. </w:t>
      </w:r>
    </w:p>
    <w:p w14:paraId="37786087" w14:textId="0E1FAFDA"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pacing w:val="-6"/>
          <w:sz w:val="28"/>
          <w:szCs w:val="28"/>
          <w:lang w:val="en-US"/>
        </w:rPr>
      </w:pPr>
      <w:r w:rsidRPr="00867317">
        <w:rPr>
          <w:b/>
          <w:i/>
          <w:spacing w:val="-6"/>
          <w:sz w:val="28"/>
          <w:szCs w:val="28"/>
          <w:lang w:val="sv-SE"/>
        </w:rPr>
        <w:t xml:space="preserve">5. Nội dung </w:t>
      </w:r>
      <w:r w:rsidR="001D1C1B" w:rsidRPr="00867317">
        <w:rPr>
          <w:b/>
          <w:i/>
          <w:spacing w:val="-6"/>
          <w:sz w:val="28"/>
          <w:szCs w:val="28"/>
          <w:lang w:val="sv-SE"/>
        </w:rPr>
        <w:t xml:space="preserve">về </w:t>
      </w:r>
      <w:r w:rsidR="001D1C1B" w:rsidRPr="00867317">
        <w:rPr>
          <w:b/>
          <w:i/>
          <w:sz w:val="28"/>
          <w:szCs w:val="28"/>
          <w:lang w:val="vi-VN"/>
        </w:rPr>
        <w:t>Tổ chức nhận và quản lý tài sản bảo đảm</w:t>
      </w:r>
    </w:p>
    <w:p w14:paraId="201BEAFE"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pacing w:val="-6"/>
          <w:sz w:val="28"/>
          <w:szCs w:val="28"/>
          <w:lang w:val="en-US"/>
        </w:rPr>
        <w:t xml:space="preserve">Dự thảo Nghị định quy định rõ trách nhiệm của </w:t>
      </w:r>
      <w:r w:rsidRPr="00867317">
        <w:rPr>
          <w:sz w:val="28"/>
          <w:szCs w:val="28"/>
          <w:lang w:val="vi-VN"/>
        </w:rPr>
        <w:t xml:space="preserve">Tổ chức nhận và quản lý tài </w:t>
      </w:r>
      <w:r w:rsidRPr="00867317">
        <w:rPr>
          <w:sz w:val="28"/>
          <w:szCs w:val="28"/>
          <w:lang w:val="vi-VN"/>
        </w:rPr>
        <w:lastRenderedPageBreak/>
        <w:t>sản bảo đảm</w:t>
      </w:r>
      <w:r w:rsidRPr="00867317">
        <w:rPr>
          <w:sz w:val="28"/>
          <w:szCs w:val="28"/>
          <w:lang w:val="en-US"/>
        </w:rPr>
        <w:t xml:space="preserve"> như sau:</w:t>
      </w:r>
    </w:p>
    <w:p w14:paraId="6A12E4D8"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 xml:space="preserve">- </w:t>
      </w:r>
      <w:r w:rsidRPr="00867317">
        <w:rPr>
          <w:sz w:val="28"/>
          <w:szCs w:val="28"/>
          <w:lang w:val="vi-VN"/>
        </w:rPr>
        <w:t>Tổ chức nhận và quản lý tài sản bảo đảm phải chịu trách nhiệm giám sát, quản lý tài sản bảo đảm để trả nợ lãi, gốc trái phiếu. Trường hợp tổ chức phát hành không trả được nợ lãi, gốc trái phiếu thì Tổ chức nhận và quản lý tài sản bảo đảm có trách nhiệm xử lý tài sản bảo đảm để thực hiện nghĩa vụ được bảo đảm của trái phiếu theo quy định của pháp luật về giao dịch bảo đảm.</w:t>
      </w:r>
    </w:p>
    <w:p w14:paraId="71E212C0"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en-US"/>
        </w:rPr>
      </w:pPr>
      <w:r w:rsidRPr="00867317">
        <w:rPr>
          <w:sz w:val="28"/>
          <w:szCs w:val="28"/>
          <w:lang w:val="en-US"/>
        </w:rPr>
        <w:t>-</w:t>
      </w:r>
      <w:r w:rsidRPr="00867317">
        <w:rPr>
          <w:sz w:val="28"/>
          <w:szCs w:val="28"/>
          <w:lang w:val="vi-VN"/>
        </w:rPr>
        <w:t xml:space="preserve"> Đối với tài sản bảo đảm là </w:t>
      </w:r>
      <w:r w:rsidRPr="00867317">
        <w:rPr>
          <w:bCs/>
          <w:kern w:val="28"/>
          <w:sz w:val="28"/>
          <w:szCs w:val="28"/>
        </w:rPr>
        <w:t>quyền kinh doanh công trình, hệ thống cơ sở hạ tầng</w:t>
      </w:r>
      <w:r w:rsidRPr="00867317">
        <w:rPr>
          <w:sz w:val="28"/>
          <w:szCs w:val="28"/>
          <w:lang w:val="vi-VN"/>
        </w:rPr>
        <w:t>, tổ chức nhận và quản lý tài sản bảo đảm là Ngân hàng thương mại hoặc chi nhánh ngân hàng nước ngoài hoạt động tại Việt Nam được quản lý tài sản bảo đảm của đợt phát hành trái phiếu ra công</w:t>
      </w:r>
      <w:bookmarkStart w:id="10" w:name="_GoBack"/>
      <w:bookmarkEnd w:id="10"/>
      <w:r w:rsidRPr="00867317">
        <w:rPr>
          <w:sz w:val="28"/>
          <w:szCs w:val="28"/>
          <w:lang w:val="vi-VN"/>
        </w:rPr>
        <w:t xml:space="preserve"> chúng của doanh nghiệp dự án PPP theo hợp đồng giữa các bên và theo quy đinh của pháp luật.</w:t>
      </w:r>
    </w:p>
    <w:p w14:paraId="08F63941" w14:textId="6E22661A"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pacing w:val="-6"/>
          <w:sz w:val="28"/>
          <w:szCs w:val="28"/>
          <w:lang w:val="en-US"/>
        </w:rPr>
      </w:pPr>
      <w:r w:rsidRPr="00867317">
        <w:rPr>
          <w:b/>
          <w:i/>
          <w:spacing w:val="-6"/>
          <w:sz w:val="28"/>
          <w:szCs w:val="28"/>
          <w:lang w:val="sv-SE"/>
        </w:rPr>
        <w:t>6. Nội dung về</w:t>
      </w:r>
      <w:r w:rsidR="001D1C1B" w:rsidRPr="00867317">
        <w:rPr>
          <w:b/>
          <w:i/>
          <w:spacing w:val="-6"/>
          <w:sz w:val="28"/>
          <w:szCs w:val="28"/>
          <w:lang w:val="sv-SE"/>
        </w:rPr>
        <w:t xml:space="preserve"> </w:t>
      </w:r>
      <w:r w:rsidRPr="00867317">
        <w:rPr>
          <w:b/>
          <w:i/>
          <w:spacing w:val="-6"/>
          <w:sz w:val="28"/>
          <w:szCs w:val="28"/>
          <w:lang w:val="sv-SE"/>
        </w:rPr>
        <w:t>việc</w:t>
      </w:r>
      <w:r w:rsidR="001D1C1B" w:rsidRPr="00867317">
        <w:rPr>
          <w:b/>
          <w:i/>
          <w:spacing w:val="-6"/>
          <w:sz w:val="28"/>
          <w:szCs w:val="28"/>
          <w:lang w:val="sv-SE"/>
        </w:rPr>
        <w:t xml:space="preserve"> b</w:t>
      </w:r>
      <w:r w:rsidR="001D1C1B" w:rsidRPr="00867317">
        <w:rPr>
          <w:b/>
          <w:i/>
          <w:sz w:val="28"/>
          <w:szCs w:val="28"/>
        </w:rPr>
        <w:t>áo cáo và công bố thông tin về việc sử dụng vốn, số tiền thu được từ đợt chào bán</w:t>
      </w:r>
      <w:r w:rsidR="001D1C1B" w:rsidRPr="00867317">
        <w:rPr>
          <w:b/>
          <w:i/>
          <w:spacing w:val="-6"/>
          <w:sz w:val="28"/>
          <w:szCs w:val="28"/>
          <w:lang w:val="en-US"/>
        </w:rPr>
        <w:t xml:space="preserve"> </w:t>
      </w:r>
    </w:p>
    <w:p w14:paraId="68FF1C7F"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sz w:val="28"/>
          <w:szCs w:val="28"/>
          <w:lang w:val="sv-SE"/>
        </w:rPr>
        <w:t xml:space="preserve">Dự thảo Nghị định </w:t>
      </w:r>
      <w:r w:rsidRPr="00867317">
        <w:rPr>
          <w:bCs/>
          <w:sz w:val="28"/>
          <w:szCs w:val="28"/>
        </w:rPr>
        <w:t>kế thừa quy địn</w:t>
      </w:r>
      <w:r w:rsidRPr="00867317">
        <w:rPr>
          <w:bCs/>
          <w:sz w:val="28"/>
          <w:szCs w:val="28"/>
          <w:lang w:val="en-US"/>
        </w:rPr>
        <w:t xml:space="preserve">h </w:t>
      </w:r>
      <w:r w:rsidRPr="00867317">
        <w:rPr>
          <w:spacing w:val="-6"/>
          <w:sz w:val="28"/>
          <w:szCs w:val="28"/>
          <w:lang w:val="sv-SE"/>
        </w:rPr>
        <w:t>về b</w:t>
      </w:r>
      <w:r w:rsidRPr="00867317">
        <w:rPr>
          <w:sz w:val="28"/>
          <w:szCs w:val="28"/>
        </w:rPr>
        <w:t>áo cáo và công bố thông tin việc sử dụng vốn, số tiền thu được từ đợt chào bán</w:t>
      </w:r>
      <w:r w:rsidRPr="00867317">
        <w:rPr>
          <w:sz w:val="28"/>
          <w:szCs w:val="28"/>
          <w:lang w:val="sv-SE"/>
        </w:rPr>
        <w:t xml:space="preserve"> </w:t>
      </w:r>
      <w:r w:rsidRPr="00867317">
        <w:rPr>
          <w:bCs/>
          <w:sz w:val="28"/>
          <w:szCs w:val="28"/>
        </w:rPr>
        <w:t>đã được thực tiễn chứng minh có hiệu quả</w:t>
      </w:r>
      <w:r w:rsidRPr="00867317">
        <w:rPr>
          <w:bCs/>
          <w:sz w:val="28"/>
          <w:szCs w:val="28"/>
          <w:lang w:val="en-US"/>
        </w:rPr>
        <w:t xml:space="preserve"> và phù hợp với loại hình doanh nghiệp PPP tại Nghị định số 155/2020/NĐ-CP. </w:t>
      </w:r>
    </w:p>
    <w:p w14:paraId="1DF52295" w14:textId="10B41841"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bCs/>
          <w:sz w:val="28"/>
          <w:szCs w:val="28"/>
          <w:lang w:val="en-US"/>
        </w:rPr>
        <w:t xml:space="preserve">Đồng thời, để đảm bảo việc sử dụng vốn, số tiền thu được từ đợt chào bán, ngoài trường hợp </w:t>
      </w:r>
      <w:r w:rsidRPr="00867317">
        <w:rPr>
          <w:bCs/>
          <w:i/>
          <w:sz w:val="28"/>
          <w:szCs w:val="28"/>
          <w:lang w:val="en-US"/>
        </w:rPr>
        <w:t>“phương án sử dụng vốn, số tiền thu được từ đợt chào bán chỉ được thay đổi khi được cấp có thẩm quyền của tổ chức phát hành thông qua”</w:t>
      </w:r>
      <w:r w:rsidRPr="00867317">
        <w:rPr>
          <w:bCs/>
          <w:sz w:val="28"/>
          <w:szCs w:val="28"/>
          <w:lang w:val="en-US"/>
        </w:rPr>
        <w:t xml:space="preserve"> tương tự quy định tại Nghị định số 155/2020/NĐ-CP, dự thảo Nghị định quy định về việc thay đổi phương án sử dụng vốn phải được số người sở hữu trái phiếu đại diện từ 65% tổng số trái phiếu cùng loại đang lưu hành trở lên chấp thuận.</w:t>
      </w:r>
    </w:p>
    <w:p w14:paraId="603C7DED" w14:textId="08685487" w:rsidR="001D1C1B"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
          <w:i/>
          <w:spacing w:val="-6"/>
          <w:sz w:val="28"/>
          <w:szCs w:val="28"/>
          <w:lang w:val="en-US"/>
        </w:rPr>
      </w:pPr>
      <w:r w:rsidRPr="00867317">
        <w:rPr>
          <w:b/>
          <w:i/>
          <w:spacing w:val="-6"/>
          <w:sz w:val="28"/>
          <w:szCs w:val="28"/>
          <w:lang w:val="sv-SE"/>
        </w:rPr>
        <w:t>7. Nội dung về nghĩa vụ</w:t>
      </w:r>
      <w:r w:rsidR="001D1C1B" w:rsidRPr="00867317">
        <w:rPr>
          <w:b/>
          <w:i/>
          <w:spacing w:val="-6"/>
          <w:sz w:val="28"/>
          <w:szCs w:val="28"/>
          <w:lang w:val="sv-SE"/>
        </w:rPr>
        <w:t xml:space="preserve"> c</w:t>
      </w:r>
      <w:r w:rsidR="001D1C1B" w:rsidRPr="00867317">
        <w:rPr>
          <w:b/>
          <w:bCs/>
          <w:i/>
          <w:sz w:val="28"/>
          <w:szCs w:val="28"/>
        </w:rPr>
        <w:t>ông bố thông tin</w:t>
      </w:r>
    </w:p>
    <w:p w14:paraId="0BB7D819"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sz w:val="28"/>
          <w:szCs w:val="28"/>
          <w:lang w:val="sv-SE"/>
        </w:rPr>
        <w:t xml:space="preserve">Dự thảo Nghị định quy định rõ việc </w:t>
      </w:r>
      <w:r w:rsidRPr="00867317">
        <w:rPr>
          <w:bCs/>
          <w:sz w:val="28"/>
          <w:szCs w:val="28"/>
          <w:lang w:val="en-US"/>
        </w:rPr>
        <w:t>t</w:t>
      </w:r>
      <w:r w:rsidRPr="00867317">
        <w:rPr>
          <w:bCs/>
          <w:sz w:val="28"/>
          <w:szCs w:val="28"/>
        </w:rPr>
        <w:t>ổ chức phát hành, tổ chức niêm yết trái phiếu doanh nghiệp phải thực hiện công bố thông tin theo quy định của pháp luật chứng khoán cho đến khi hoàn tất thanh toán trái phiếu</w:t>
      </w:r>
      <w:r w:rsidRPr="00867317">
        <w:rPr>
          <w:bCs/>
          <w:sz w:val="28"/>
          <w:szCs w:val="28"/>
          <w:lang w:val="en-US"/>
        </w:rPr>
        <w:t xml:space="preserve">. </w:t>
      </w:r>
    </w:p>
    <w:p w14:paraId="26E9F93F" w14:textId="6A4BFBDE"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bCs/>
          <w:sz w:val="28"/>
          <w:szCs w:val="28"/>
          <w:lang w:val="en-US"/>
        </w:rPr>
        <w:t xml:space="preserve">Đồng thời, để </w:t>
      </w:r>
      <w:r w:rsidRPr="00867317">
        <w:rPr>
          <w:sz w:val="28"/>
          <w:szCs w:val="28"/>
        </w:rPr>
        <w:t xml:space="preserve">đảm bảo tính </w:t>
      </w:r>
      <w:r w:rsidRPr="00867317">
        <w:rPr>
          <w:sz w:val="28"/>
          <w:szCs w:val="28"/>
          <w:lang w:val="en-US"/>
        </w:rPr>
        <w:t xml:space="preserve">công khai, </w:t>
      </w:r>
      <w:r w:rsidRPr="00867317">
        <w:rPr>
          <w:sz w:val="28"/>
          <w:szCs w:val="28"/>
        </w:rPr>
        <w:t>minh bạch, chặt chẽ, đảm bảo phù hợp với tính chất hoạt động của doanh nghiệp dự án PPP</w:t>
      </w:r>
      <w:r w:rsidRPr="00867317">
        <w:rPr>
          <w:sz w:val="28"/>
          <w:szCs w:val="28"/>
          <w:lang w:val="en-US"/>
        </w:rPr>
        <w:t xml:space="preserve">, dự thảo Nghị định </w:t>
      </w:r>
      <w:r w:rsidR="00B67136">
        <w:rPr>
          <w:bCs/>
          <w:sz w:val="28"/>
          <w:szCs w:val="28"/>
          <w:lang w:val="en-US"/>
        </w:rPr>
        <w:t>quy định</w:t>
      </w:r>
      <w:r w:rsidRPr="00867317">
        <w:rPr>
          <w:bCs/>
          <w:sz w:val="28"/>
          <w:szCs w:val="28"/>
          <w:lang w:val="en-US"/>
        </w:rPr>
        <w:t xml:space="preserve"> </w:t>
      </w:r>
      <w:r w:rsidR="00B67136">
        <w:rPr>
          <w:bCs/>
          <w:sz w:val="28"/>
          <w:szCs w:val="28"/>
          <w:lang w:val="en-US"/>
        </w:rPr>
        <w:t>các</w:t>
      </w:r>
      <w:r w:rsidRPr="00867317">
        <w:rPr>
          <w:bCs/>
          <w:sz w:val="28"/>
          <w:szCs w:val="28"/>
          <w:lang w:val="en-US"/>
        </w:rPr>
        <w:t xml:space="preserve"> trường hợp phải công bố thông tin định kỳ/bất thường </w:t>
      </w:r>
      <w:r w:rsidR="00B67136">
        <w:rPr>
          <w:bCs/>
          <w:sz w:val="28"/>
          <w:szCs w:val="28"/>
          <w:lang w:val="en-US"/>
        </w:rPr>
        <w:t>bao gồm (1)</w:t>
      </w:r>
      <w:r w:rsidRPr="00867317">
        <w:rPr>
          <w:bCs/>
          <w:sz w:val="28"/>
          <w:szCs w:val="28"/>
          <w:lang w:val="en-US"/>
        </w:rPr>
        <w:t xml:space="preserve"> tiến độ triển khai dự án, </w:t>
      </w:r>
      <w:r w:rsidR="00B67136">
        <w:rPr>
          <w:bCs/>
          <w:sz w:val="28"/>
          <w:szCs w:val="28"/>
          <w:lang w:val="en-US"/>
        </w:rPr>
        <w:t xml:space="preserve">(2) </w:t>
      </w:r>
      <w:r w:rsidRPr="00867317">
        <w:rPr>
          <w:bCs/>
          <w:sz w:val="28"/>
          <w:szCs w:val="28"/>
          <w:lang w:val="en-US"/>
        </w:rPr>
        <w:t xml:space="preserve">kết quả xếp hạng tín nhiệm của tổ chức thực hiện bảo lãnh thanh toán và </w:t>
      </w:r>
      <w:r w:rsidR="00B67136">
        <w:rPr>
          <w:bCs/>
          <w:sz w:val="28"/>
          <w:szCs w:val="28"/>
          <w:lang w:val="en-US"/>
        </w:rPr>
        <w:t xml:space="preserve">(3) </w:t>
      </w:r>
      <w:r w:rsidRPr="00867317">
        <w:rPr>
          <w:bCs/>
          <w:sz w:val="28"/>
          <w:szCs w:val="28"/>
          <w:lang w:val="en-US"/>
        </w:rPr>
        <w:t xml:space="preserve">các sự kiện </w:t>
      </w:r>
      <w:r w:rsidRPr="00867317">
        <w:rPr>
          <w:sz w:val="28"/>
          <w:szCs w:val="28"/>
          <w:lang w:val="sv-SE"/>
        </w:rPr>
        <w:t>ảnh hưởng đến nguồn thu và khả năng thanh toán lãi, gốc trái phiếu</w:t>
      </w:r>
      <w:r w:rsidRPr="00867317">
        <w:rPr>
          <w:bCs/>
          <w:sz w:val="28"/>
          <w:szCs w:val="28"/>
          <w:lang w:val="en-US"/>
        </w:rPr>
        <w:t xml:space="preserve"> như sau:</w:t>
      </w:r>
    </w:p>
    <w:p w14:paraId="790BA845"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z w:val="28"/>
          <w:szCs w:val="28"/>
          <w:lang w:val="sv-SE"/>
        </w:rPr>
        <w:t>- Tổ chức phát hành phải công bố thông tin định kỳ về tiến độ triển khai dự án PPP trong thời hạn 30 ngày, kể từ ngày kết thúc 06 tháng đầu năm và kết thúc năm tài chính.</w:t>
      </w:r>
    </w:p>
    <w:p w14:paraId="4F435CB8"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z w:val="28"/>
          <w:szCs w:val="28"/>
          <w:lang w:val="sv-SE"/>
        </w:rPr>
        <w:t>- Trong thời hạn 90 ngày kể từ ngày kết thúc năm tài chính, tổ chức phát hành phải công bố thông tin định kỳ về Báo cáo kết quả xếp hạng tín nhiệm đối với trái phiếu phát hành. Trường hợp trái phiếu được bảo lãnh thanh toán toàn bộ lãi và gốc, tổ chức thực hiện bảo lãnh thanh toán phải công bố thông tin định kỳ về Báo cáo kết quả xếp hạng tín nhiệm của tổ chức thực hiện bảo lãnh thanh toán.</w:t>
      </w:r>
    </w:p>
    <w:p w14:paraId="6648F035"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z w:val="28"/>
          <w:szCs w:val="28"/>
          <w:lang w:val="sv-SE"/>
        </w:rPr>
        <w:lastRenderedPageBreak/>
        <w:t>Trường hợp trái phiếu được bảo lãnh thanh toán toàn bộ lãi và gốc, sau khi kết thúc đợt chào bán, tổ chức thực hiện bảo lãnh thanh toán phải công bố thông tin định kỳ về Báo cáo kết quả xếp hạng tín nhiệm trong thời hạn 90 ngày kể từ ngày kết thúc năm tài chính.</w:t>
      </w:r>
    </w:p>
    <w:p w14:paraId="17341AA4" w14:textId="77777777" w:rsidR="001D1C1B" w:rsidRPr="00867317" w:rsidRDefault="001D1C1B" w:rsidP="001D1C1B">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sz w:val="28"/>
          <w:szCs w:val="28"/>
          <w:lang w:val="sv-SE"/>
        </w:rPr>
      </w:pPr>
      <w:r w:rsidRPr="00867317">
        <w:rPr>
          <w:sz w:val="28"/>
          <w:szCs w:val="28"/>
          <w:lang w:val="sv-SE"/>
        </w:rPr>
        <w:t>- Tổ chức phát hành phải công bố thông tin bất thường trong thời hạn 24 giờ kể từ khi xảy ra những sự kiện ảnh hưởng đến tài sản bảo đảm và khả năng thanh toán lãi, gốc trái phiếu; nêu rõ nguyên nhân, giải pháp khắc phục (nếu có).</w:t>
      </w:r>
    </w:p>
    <w:p w14:paraId="1A5808C5" w14:textId="1284743F" w:rsidR="001D1C1B" w:rsidRPr="00867317" w:rsidRDefault="001D1C1B" w:rsidP="00BB5F8F">
      <w:pPr>
        <w:pBdr>
          <w:top w:val="dotted" w:sz="4" w:space="0" w:color="FFFFFF"/>
          <w:left w:val="dotted" w:sz="4" w:space="0" w:color="FFFFFF"/>
          <w:bottom w:val="dotted" w:sz="4" w:space="31" w:color="FFFFFF"/>
          <w:right w:val="dotted" w:sz="4" w:space="0" w:color="FFFFFF"/>
        </w:pBdr>
        <w:shd w:val="clear" w:color="auto" w:fill="FFFFFF"/>
        <w:spacing w:after="60"/>
        <w:ind w:right="145" w:firstLine="709"/>
        <w:jc w:val="both"/>
        <w:rPr>
          <w:bCs/>
          <w:sz w:val="28"/>
          <w:szCs w:val="28"/>
          <w:lang w:val="en-US"/>
        </w:rPr>
      </w:pPr>
      <w:r w:rsidRPr="00867317">
        <w:rPr>
          <w:sz w:val="28"/>
          <w:szCs w:val="28"/>
          <w:lang w:val="en-US"/>
        </w:rPr>
        <w:t xml:space="preserve">Ngoài ra, một số nội dung khác được kế thừa </w:t>
      </w:r>
      <w:r w:rsidR="00BB5F8F" w:rsidRPr="00867317">
        <w:rPr>
          <w:sz w:val="28"/>
          <w:szCs w:val="28"/>
          <w:lang w:val="en-US"/>
        </w:rPr>
        <w:t xml:space="preserve">tại </w:t>
      </w:r>
      <w:r w:rsidRPr="00867317">
        <w:rPr>
          <w:sz w:val="28"/>
          <w:szCs w:val="28"/>
          <w:lang w:val="en-US"/>
        </w:rPr>
        <w:t>Luật Chứng khoán và Nghị định số 155/2020/NĐ-CP</w:t>
      </w:r>
      <w:r w:rsidR="00BB5F8F" w:rsidRPr="00867317">
        <w:rPr>
          <w:sz w:val="28"/>
          <w:szCs w:val="28"/>
          <w:lang w:val="en-US"/>
        </w:rPr>
        <w:t xml:space="preserve"> như quy định về</w:t>
      </w:r>
      <w:r w:rsidRPr="00867317">
        <w:rPr>
          <w:sz w:val="28"/>
          <w:szCs w:val="28"/>
          <w:lang w:val="en-US"/>
        </w:rPr>
        <w:t xml:space="preserve"> trách nhiệm của các tổ chức, cá nhân liên quan;</w:t>
      </w:r>
      <w:r w:rsidRPr="00867317">
        <w:rPr>
          <w:sz w:val="28"/>
          <w:szCs w:val="28"/>
          <w:lang w:val="sv-SE"/>
        </w:rPr>
        <w:t xml:space="preserve"> việc </w:t>
      </w:r>
      <w:r w:rsidRPr="00867317">
        <w:rPr>
          <w:sz w:val="28"/>
          <w:szCs w:val="28"/>
          <w:lang w:val="vi-VN"/>
        </w:rPr>
        <w:t>nộp, bổ sung hồ sơ và trả kết quả giải quyết hồ sơ</w:t>
      </w:r>
      <w:r w:rsidRPr="00867317">
        <w:rPr>
          <w:sz w:val="28"/>
          <w:szCs w:val="28"/>
          <w:lang w:val="en-US"/>
        </w:rPr>
        <w:t xml:space="preserve">; </w:t>
      </w:r>
      <w:r w:rsidRPr="00867317">
        <w:rPr>
          <w:sz w:val="28"/>
          <w:szCs w:val="28"/>
          <w:lang w:val="sv-SE"/>
        </w:rPr>
        <w:t xml:space="preserve">quy định cụ thể về các trường hợp thay đổi </w:t>
      </w:r>
      <w:r w:rsidRPr="00867317">
        <w:rPr>
          <w:sz w:val="28"/>
          <w:szCs w:val="28"/>
          <w:lang w:val="vi-VN"/>
        </w:rPr>
        <w:t>điều kiện, điều khoản của trái phiếu</w:t>
      </w:r>
      <w:r w:rsidR="00BB5F8F" w:rsidRPr="00867317">
        <w:rPr>
          <w:sz w:val="28"/>
          <w:szCs w:val="28"/>
          <w:lang w:val="en-US"/>
        </w:rPr>
        <w:t>;</w:t>
      </w:r>
      <w:r w:rsidRPr="00867317">
        <w:rPr>
          <w:spacing w:val="-6"/>
          <w:sz w:val="28"/>
          <w:szCs w:val="28"/>
          <w:lang w:val="sv-SE"/>
        </w:rPr>
        <w:t xml:space="preserve"> việc </w:t>
      </w:r>
      <w:r w:rsidRPr="00867317">
        <w:rPr>
          <w:sz w:val="28"/>
          <w:szCs w:val="28"/>
          <w:lang w:val="vi-VN"/>
        </w:rPr>
        <w:t>mở và sử dụng tài khoản phong tỏa</w:t>
      </w:r>
      <w:r w:rsidR="00BB5F8F" w:rsidRPr="00867317">
        <w:rPr>
          <w:bCs/>
          <w:sz w:val="28"/>
          <w:szCs w:val="28"/>
          <w:lang w:val="en-US"/>
        </w:rPr>
        <w:t xml:space="preserve">; </w:t>
      </w:r>
      <w:r w:rsidR="00BB5F8F" w:rsidRPr="00867317">
        <w:rPr>
          <w:spacing w:val="-6"/>
          <w:sz w:val="28"/>
          <w:szCs w:val="28"/>
          <w:lang w:val="sv-SE"/>
        </w:rPr>
        <w:t xml:space="preserve">trình tự, thủ tục chào bán trái phiếu ra công chúng; đăng ký, lưu ký trái phiếu và về niêm yết và hủy bỏ niêm yết trái phiếu của doanh nghiệp dự án PPP. </w:t>
      </w:r>
    </w:p>
    <w:bookmarkEnd w:id="2"/>
    <w:p w14:paraId="1DF26900" w14:textId="77777777" w:rsidR="00BB5F8F"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120"/>
        <w:ind w:firstLine="709"/>
        <w:jc w:val="both"/>
        <w:rPr>
          <w:b/>
          <w:sz w:val="27"/>
          <w:szCs w:val="27"/>
          <w:lang w:val="en-US"/>
        </w:rPr>
      </w:pPr>
    </w:p>
    <w:p w14:paraId="234FD02F" w14:textId="77777777" w:rsidR="00BB5F8F"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120"/>
        <w:ind w:firstLine="709"/>
        <w:jc w:val="both"/>
        <w:rPr>
          <w:b/>
          <w:sz w:val="27"/>
          <w:szCs w:val="27"/>
          <w:lang w:val="en-US"/>
        </w:rPr>
      </w:pPr>
    </w:p>
    <w:p w14:paraId="388528D3" w14:textId="77777777" w:rsidR="00BB5F8F" w:rsidRPr="00867317" w:rsidRDefault="00BB5F8F" w:rsidP="001D1C1B">
      <w:pPr>
        <w:pBdr>
          <w:top w:val="dotted" w:sz="4" w:space="0" w:color="FFFFFF"/>
          <w:left w:val="dotted" w:sz="4" w:space="0" w:color="FFFFFF"/>
          <w:bottom w:val="dotted" w:sz="4" w:space="31" w:color="FFFFFF"/>
          <w:right w:val="dotted" w:sz="4" w:space="0" w:color="FFFFFF"/>
        </w:pBdr>
        <w:shd w:val="clear" w:color="auto" w:fill="FFFFFF"/>
        <w:spacing w:after="120"/>
        <w:ind w:firstLine="709"/>
        <w:jc w:val="both"/>
        <w:rPr>
          <w:b/>
          <w:sz w:val="27"/>
          <w:szCs w:val="27"/>
          <w:lang w:val="en-US"/>
        </w:rPr>
      </w:pPr>
    </w:p>
    <w:p w14:paraId="27625E78" w14:textId="77777777" w:rsidR="00CC3F61" w:rsidRPr="00CC3F61" w:rsidRDefault="00CC3F61" w:rsidP="00CC3F61">
      <w:pPr>
        <w:pBdr>
          <w:top w:val="dotted" w:sz="4" w:space="0" w:color="FFFFFF"/>
          <w:left w:val="dotted" w:sz="4" w:space="0" w:color="FFFFFF"/>
          <w:bottom w:val="dotted" w:sz="4" w:space="31" w:color="FFFFFF"/>
          <w:right w:val="dotted" w:sz="4" w:space="0" w:color="FFFFFF"/>
        </w:pBdr>
        <w:shd w:val="clear" w:color="auto" w:fill="FFFFFF"/>
        <w:spacing w:after="120"/>
        <w:ind w:firstLine="720"/>
        <w:jc w:val="both"/>
        <w:rPr>
          <w:sz w:val="27"/>
          <w:szCs w:val="27"/>
          <w:lang w:val="en-US"/>
        </w:rPr>
      </w:pPr>
    </w:p>
    <w:p w14:paraId="5F755F4A" w14:textId="77777777" w:rsidR="00CC3F61" w:rsidRPr="00CC3F61" w:rsidRDefault="00CC3F61" w:rsidP="00CC3F61">
      <w:pPr>
        <w:pBdr>
          <w:top w:val="dotted" w:sz="4" w:space="0" w:color="FFFFFF"/>
          <w:left w:val="dotted" w:sz="4" w:space="0" w:color="FFFFFF"/>
          <w:bottom w:val="dotted" w:sz="4" w:space="31" w:color="FFFFFF"/>
          <w:right w:val="dotted" w:sz="4" w:space="0" w:color="FFFFFF"/>
        </w:pBdr>
        <w:shd w:val="clear" w:color="auto" w:fill="FFFFFF"/>
        <w:spacing w:after="120"/>
        <w:ind w:firstLine="720"/>
        <w:jc w:val="both"/>
        <w:rPr>
          <w:sz w:val="27"/>
          <w:szCs w:val="27"/>
          <w:lang w:val="en-US"/>
        </w:rPr>
      </w:pPr>
    </w:p>
    <w:sectPr w:rsidR="00CC3F61" w:rsidRPr="00CC3F61" w:rsidSect="00BB5F8F">
      <w:headerReference w:type="default" r:id="rId8"/>
      <w:pgSz w:w="11910" w:h="16850"/>
      <w:pgMar w:top="1134" w:right="1134" w:bottom="1134" w:left="1701"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236B" w14:textId="77777777" w:rsidR="004C1204" w:rsidRDefault="004C1204">
      <w:r>
        <w:separator/>
      </w:r>
    </w:p>
  </w:endnote>
  <w:endnote w:type="continuationSeparator" w:id="0">
    <w:p w14:paraId="0247D330" w14:textId="77777777" w:rsidR="004C1204" w:rsidRDefault="004C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25CFD" w14:textId="77777777" w:rsidR="004C1204" w:rsidRDefault="004C1204">
      <w:r>
        <w:separator/>
      </w:r>
    </w:p>
  </w:footnote>
  <w:footnote w:type="continuationSeparator" w:id="0">
    <w:p w14:paraId="36905BBC" w14:textId="77777777" w:rsidR="004C1204" w:rsidRDefault="004C1204">
      <w:r>
        <w:continuationSeparator/>
      </w:r>
    </w:p>
  </w:footnote>
  <w:footnote w:id="1">
    <w:p w14:paraId="0E503D5C" w14:textId="77777777" w:rsidR="00C657A9" w:rsidRDefault="00C657A9" w:rsidP="00C657A9">
      <w:pPr>
        <w:pStyle w:val="FootnoteText"/>
      </w:pPr>
      <w:r>
        <w:rPr>
          <w:rStyle w:val="FootnoteReference"/>
        </w:rPr>
        <w:footnoteRef/>
      </w:r>
      <w:r>
        <w:t xml:space="preserve"> </w:t>
      </w:r>
      <w:r w:rsidRPr="00392ACD">
        <w:rPr>
          <w:lang w:val="vi"/>
        </w:rPr>
        <w:t>Khoản 4 Phần V. Phương hướng, nhiệm vụ, giải pháp phát triển kinh tế xã hội - Chiến lược phát triển kinh tế - xã hội 10 năm 2021-2030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17126"/>
      <w:docPartObj>
        <w:docPartGallery w:val="Page Numbers (Top of Page)"/>
        <w:docPartUnique/>
      </w:docPartObj>
    </w:sdtPr>
    <w:sdtEndPr>
      <w:rPr>
        <w:noProof/>
      </w:rPr>
    </w:sdtEndPr>
    <w:sdtContent>
      <w:p w14:paraId="568CCB54" w14:textId="196D592D" w:rsidR="00BB5F8F" w:rsidRDefault="00BB5F8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B6E5D0" w14:textId="2708DA66" w:rsidR="009B6399" w:rsidRDefault="009B6399">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2E7"/>
    <w:multiLevelType w:val="hybridMultilevel"/>
    <w:tmpl w:val="B91C213C"/>
    <w:lvl w:ilvl="0" w:tplc="67BC2132">
      <w:numFmt w:val="bullet"/>
      <w:lvlText w:val="-"/>
      <w:lvlJc w:val="left"/>
      <w:pPr>
        <w:ind w:left="54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05029CF4">
      <w:numFmt w:val="bullet"/>
      <w:lvlText w:val="•"/>
      <w:lvlJc w:val="left"/>
      <w:pPr>
        <w:ind w:left="1469" w:hanging="190"/>
      </w:pPr>
      <w:rPr>
        <w:rFonts w:hint="default"/>
        <w:lang w:val="vi" w:eastAsia="en-US" w:bidi="ar-SA"/>
      </w:rPr>
    </w:lvl>
    <w:lvl w:ilvl="2" w:tplc="B7B63062">
      <w:numFmt w:val="bullet"/>
      <w:lvlText w:val="•"/>
      <w:lvlJc w:val="left"/>
      <w:pPr>
        <w:ind w:left="2392" w:hanging="190"/>
      </w:pPr>
      <w:rPr>
        <w:rFonts w:hint="default"/>
        <w:lang w:val="vi" w:eastAsia="en-US" w:bidi="ar-SA"/>
      </w:rPr>
    </w:lvl>
    <w:lvl w:ilvl="3" w:tplc="9EF824B4">
      <w:numFmt w:val="bullet"/>
      <w:lvlText w:val="•"/>
      <w:lvlJc w:val="left"/>
      <w:pPr>
        <w:ind w:left="3314" w:hanging="190"/>
      </w:pPr>
      <w:rPr>
        <w:rFonts w:hint="default"/>
        <w:lang w:val="vi" w:eastAsia="en-US" w:bidi="ar-SA"/>
      </w:rPr>
    </w:lvl>
    <w:lvl w:ilvl="4" w:tplc="71BA88E2">
      <w:numFmt w:val="bullet"/>
      <w:lvlText w:val="•"/>
      <w:lvlJc w:val="left"/>
      <w:pPr>
        <w:ind w:left="4237" w:hanging="190"/>
      </w:pPr>
      <w:rPr>
        <w:rFonts w:hint="default"/>
        <w:lang w:val="vi" w:eastAsia="en-US" w:bidi="ar-SA"/>
      </w:rPr>
    </w:lvl>
    <w:lvl w:ilvl="5" w:tplc="D25EFE06">
      <w:numFmt w:val="bullet"/>
      <w:lvlText w:val="•"/>
      <w:lvlJc w:val="left"/>
      <w:pPr>
        <w:ind w:left="5160" w:hanging="190"/>
      </w:pPr>
      <w:rPr>
        <w:rFonts w:hint="default"/>
        <w:lang w:val="vi" w:eastAsia="en-US" w:bidi="ar-SA"/>
      </w:rPr>
    </w:lvl>
    <w:lvl w:ilvl="6" w:tplc="C42A332E">
      <w:numFmt w:val="bullet"/>
      <w:lvlText w:val="•"/>
      <w:lvlJc w:val="left"/>
      <w:pPr>
        <w:ind w:left="6082" w:hanging="190"/>
      </w:pPr>
      <w:rPr>
        <w:rFonts w:hint="default"/>
        <w:lang w:val="vi" w:eastAsia="en-US" w:bidi="ar-SA"/>
      </w:rPr>
    </w:lvl>
    <w:lvl w:ilvl="7" w:tplc="CB08B0A2">
      <w:numFmt w:val="bullet"/>
      <w:lvlText w:val="•"/>
      <w:lvlJc w:val="left"/>
      <w:pPr>
        <w:ind w:left="7005" w:hanging="190"/>
      </w:pPr>
      <w:rPr>
        <w:rFonts w:hint="default"/>
        <w:lang w:val="vi" w:eastAsia="en-US" w:bidi="ar-SA"/>
      </w:rPr>
    </w:lvl>
    <w:lvl w:ilvl="8" w:tplc="BE80E336">
      <w:numFmt w:val="bullet"/>
      <w:lvlText w:val="•"/>
      <w:lvlJc w:val="left"/>
      <w:pPr>
        <w:ind w:left="7928" w:hanging="190"/>
      </w:pPr>
      <w:rPr>
        <w:rFonts w:hint="default"/>
        <w:lang w:val="vi" w:eastAsia="en-US" w:bidi="ar-SA"/>
      </w:rPr>
    </w:lvl>
  </w:abstractNum>
  <w:abstractNum w:abstractNumId="1" w15:restartNumberingAfterBreak="0">
    <w:nsid w:val="09C5703B"/>
    <w:multiLevelType w:val="multilevel"/>
    <w:tmpl w:val="777C3B82"/>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5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2" w15:restartNumberingAfterBreak="0">
    <w:nsid w:val="0CCB00B6"/>
    <w:multiLevelType w:val="hybridMultilevel"/>
    <w:tmpl w:val="F5F6636E"/>
    <w:lvl w:ilvl="0" w:tplc="0F70A910">
      <w:start w:val="1"/>
      <w:numFmt w:val="lowerLetter"/>
      <w:lvlText w:val="%1)"/>
      <w:lvlJc w:val="left"/>
      <w:pPr>
        <w:ind w:left="1013" w:hanging="305"/>
      </w:pPr>
      <w:rPr>
        <w:rFonts w:ascii="Times New Roman" w:eastAsia="Times New Roman" w:hAnsi="Times New Roman" w:cs="Times New Roman" w:hint="default"/>
        <w:b w:val="0"/>
        <w:bCs w:val="0"/>
        <w:i/>
        <w:iCs/>
        <w:spacing w:val="0"/>
        <w:w w:val="100"/>
        <w:sz w:val="28"/>
        <w:szCs w:val="28"/>
        <w:lang w:val="vi" w:eastAsia="en-US" w:bidi="ar-SA"/>
      </w:rPr>
    </w:lvl>
    <w:lvl w:ilvl="1" w:tplc="5B30C656">
      <w:numFmt w:val="bullet"/>
      <w:lvlText w:val="•"/>
      <w:lvlJc w:val="left"/>
      <w:pPr>
        <w:ind w:left="1850" w:hanging="305"/>
      </w:pPr>
      <w:rPr>
        <w:rFonts w:hint="default"/>
        <w:lang w:val="vi" w:eastAsia="en-US" w:bidi="ar-SA"/>
      </w:rPr>
    </w:lvl>
    <w:lvl w:ilvl="2" w:tplc="4F9813C6">
      <w:numFmt w:val="bullet"/>
      <w:lvlText w:val="•"/>
      <w:lvlJc w:val="left"/>
      <w:pPr>
        <w:ind w:left="2681" w:hanging="305"/>
      </w:pPr>
      <w:rPr>
        <w:rFonts w:hint="default"/>
        <w:lang w:val="vi" w:eastAsia="en-US" w:bidi="ar-SA"/>
      </w:rPr>
    </w:lvl>
    <w:lvl w:ilvl="3" w:tplc="D24E7252">
      <w:numFmt w:val="bullet"/>
      <w:lvlText w:val="•"/>
      <w:lvlJc w:val="left"/>
      <w:pPr>
        <w:ind w:left="3511" w:hanging="305"/>
      </w:pPr>
      <w:rPr>
        <w:rFonts w:hint="default"/>
        <w:lang w:val="vi" w:eastAsia="en-US" w:bidi="ar-SA"/>
      </w:rPr>
    </w:lvl>
    <w:lvl w:ilvl="4" w:tplc="2CF65552">
      <w:numFmt w:val="bullet"/>
      <w:lvlText w:val="•"/>
      <w:lvlJc w:val="left"/>
      <w:pPr>
        <w:ind w:left="4342" w:hanging="305"/>
      </w:pPr>
      <w:rPr>
        <w:rFonts w:hint="default"/>
        <w:lang w:val="vi" w:eastAsia="en-US" w:bidi="ar-SA"/>
      </w:rPr>
    </w:lvl>
    <w:lvl w:ilvl="5" w:tplc="909416E6">
      <w:numFmt w:val="bullet"/>
      <w:lvlText w:val="•"/>
      <w:lvlJc w:val="left"/>
      <w:pPr>
        <w:ind w:left="5173" w:hanging="305"/>
      </w:pPr>
      <w:rPr>
        <w:rFonts w:hint="default"/>
        <w:lang w:val="vi" w:eastAsia="en-US" w:bidi="ar-SA"/>
      </w:rPr>
    </w:lvl>
    <w:lvl w:ilvl="6" w:tplc="F170D4C6">
      <w:numFmt w:val="bullet"/>
      <w:lvlText w:val="•"/>
      <w:lvlJc w:val="left"/>
      <w:pPr>
        <w:ind w:left="6003" w:hanging="305"/>
      </w:pPr>
      <w:rPr>
        <w:rFonts w:hint="default"/>
        <w:lang w:val="vi" w:eastAsia="en-US" w:bidi="ar-SA"/>
      </w:rPr>
    </w:lvl>
    <w:lvl w:ilvl="7" w:tplc="3CC83738">
      <w:numFmt w:val="bullet"/>
      <w:lvlText w:val="•"/>
      <w:lvlJc w:val="left"/>
      <w:pPr>
        <w:ind w:left="6834" w:hanging="305"/>
      </w:pPr>
      <w:rPr>
        <w:rFonts w:hint="default"/>
        <w:lang w:val="vi" w:eastAsia="en-US" w:bidi="ar-SA"/>
      </w:rPr>
    </w:lvl>
    <w:lvl w:ilvl="8" w:tplc="AC84B2E8">
      <w:numFmt w:val="bullet"/>
      <w:lvlText w:val="•"/>
      <w:lvlJc w:val="left"/>
      <w:pPr>
        <w:ind w:left="7665" w:hanging="305"/>
      </w:pPr>
      <w:rPr>
        <w:rFonts w:hint="default"/>
        <w:lang w:val="vi" w:eastAsia="en-US" w:bidi="ar-SA"/>
      </w:rPr>
    </w:lvl>
  </w:abstractNum>
  <w:abstractNum w:abstractNumId="3" w15:restartNumberingAfterBreak="0">
    <w:nsid w:val="0FD228FB"/>
    <w:multiLevelType w:val="hybridMultilevel"/>
    <w:tmpl w:val="BBCE82A2"/>
    <w:lvl w:ilvl="0" w:tplc="0016BBC0">
      <w:numFmt w:val="bullet"/>
      <w:lvlText w:val="-"/>
      <w:lvlJc w:val="left"/>
      <w:pPr>
        <w:ind w:left="1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2F8966C">
      <w:numFmt w:val="bullet"/>
      <w:lvlText w:val="•"/>
      <w:lvlJc w:val="left"/>
      <w:pPr>
        <w:ind w:left="1082" w:hanging="166"/>
      </w:pPr>
      <w:rPr>
        <w:rFonts w:hint="default"/>
        <w:lang w:val="vi" w:eastAsia="en-US" w:bidi="ar-SA"/>
      </w:rPr>
    </w:lvl>
    <w:lvl w:ilvl="2" w:tplc="516E40B0">
      <w:numFmt w:val="bullet"/>
      <w:lvlText w:val="•"/>
      <w:lvlJc w:val="left"/>
      <w:pPr>
        <w:ind w:left="2005" w:hanging="166"/>
      </w:pPr>
      <w:rPr>
        <w:rFonts w:hint="default"/>
        <w:lang w:val="vi" w:eastAsia="en-US" w:bidi="ar-SA"/>
      </w:rPr>
    </w:lvl>
    <w:lvl w:ilvl="3" w:tplc="0FFED62A">
      <w:numFmt w:val="bullet"/>
      <w:lvlText w:val="•"/>
      <w:lvlJc w:val="left"/>
      <w:pPr>
        <w:ind w:left="2927" w:hanging="166"/>
      </w:pPr>
      <w:rPr>
        <w:rFonts w:hint="default"/>
        <w:lang w:val="vi" w:eastAsia="en-US" w:bidi="ar-SA"/>
      </w:rPr>
    </w:lvl>
    <w:lvl w:ilvl="4" w:tplc="84EE34D8">
      <w:numFmt w:val="bullet"/>
      <w:lvlText w:val="•"/>
      <w:lvlJc w:val="left"/>
      <w:pPr>
        <w:ind w:left="3850" w:hanging="166"/>
      </w:pPr>
      <w:rPr>
        <w:rFonts w:hint="default"/>
        <w:lang w:val="vi" w:eastAsia="en-US" w:bidi="ar-SA"/>
      </w:rPr>
    </w:lvl>
    <w:lvl w:ilvl="5" w:tplc="A562450E">
      <w:numFmt w:val="bullet"/>
      <w:lvlText w:val="•"/>
      <w:lvlJc w:val="left"/>
      <w:pPr>
        <w:ind w:left="4773" w:hanging="166"/>
      </w:pPr>
      <w:rPr>
        <w:rFonts w:hint="default"/>
        <w:lang w:val="vi" w:eastAsia="en-US" w:bidi="ar-SA"/>
      </w:rPr>
    </w:lvl>
    <w:lvl w:ilvl="6" w:tplc="826CE50E">
      <w:numFmt w:val="bullet"/>
      <w:lvlText w:val="•"/>
      <w:lvlJc w:val="left"/>
      <w:pPr>
        <w:ind w:left="5695" w:hanging="166"/>
      </w:pPr>
      <w:rPr>
        <w:rFonts w:hint="default"/>
        <w:lang w:val="vi" w:eastAsia="en-US" w:bidi="ar-SA"/>
      </w:rPr>
    </w:lvl>
    <w:lvl w:ilvl="7" w:tplc="D52EE8A4">
      <w:numFmt w:val="bullet"/>
      <w:lvlText w:val="•"/>
      <w:lvlJc w:val="left"/>
      <w:pPr>
        <w:ind w:left="6618" w:hanging="166"/>
      </w:pPr>
      <w:rPr>
        <w:rFonts w:hint="default"/>
        <w:lang w:val="vi" w:eastAsia="en-US" w:bidi="ar-SA"/>
      </w:rPr>
    </w:lvl>
    <w:lvl w:ilvl="8" w:tplc="6CC2A70A">
      <w:numFmt w:val="bullet"/>
      <w:lvlText w:val="•"/>
      <w:lvlJc w:val="left"/>
      <w:pPr>
        <w:ind w:left="7541" w:hanging="166"/>
      </w:pPr>
      <w:rPr>
        <w:rFonts w:hint="default"/>
        <w:lang w:val="vi" w:eastAsia="en-US" w:bidi="ar-SA"/>
      </w:rPr>
    </w:lvl>
  </w:abstractNum>
  <w:abstractNum w:abstractNumId="4" w15:restartNumberingAfterBreak="0">
    <w:nsid w:val="15947DDB"/>
    <w:multiLevelType w:val="hybridMultilevel"/>
    <w:tmpl w:val="F6EEAC28"/>
    <w:lvl w:ilvl="0" w:tplc="25CAFD00">
      <w:start w:val="1"/>
      <w:numFmt w:val="decimal"/>
      <w:lvlText w:val="%1."/>
      <w:lvlJc w:val="left"/>
      <w:pPr>
        <w:ind w:left="1043" w:hanging="295"/>
      </w:pPr>
      <w:rPr>
        <w:rFonts w:ascii="Times New Roman" w:eastAsia="Times New Roman" w:hAnsi="Times New Roman" w:cs="Times New Roman" w:hint="default"/>
        <w:b/>
        <w:bCs/>
        <w:i w:val="0"/>
        <w:iCs w:val="0"/>
        <w:spacing w:val="0"/>
        <w:w w:val="100"/>
        <w:sz w:val="28"/>
        <w:szCs w:val="28"/>
        <w:lang w:val="vi" w:eastAsia="en-US" w:bidi="ar-SA"/>
      </w:rPr>
    </w:lvl>
    <w:lvl w:ilvl="1" w:tplc="7C58DC68">
      <w:numFmt w:val="bullet"/>
      <w:lvlText w:val="•"/>
      <w:lvlJc w:val="left"/>
      <w:pPr>
        <w:ind w:left="1849" w:hanging="295"/>
      </w:pPr>
      <w:rPr>
        <w:rFonts w:hint="default"/>
        <w:lang w:val="vi" w:eastAsia="en-US" w:bidi="ar-SA"/>
      </w:rPr>
    </w:lvl>
    <w:lvl w:ilvl="2" w:tplc="153E3412">
      <w:numFmt w:val="bullet"/>
      <w:lvlText w:val="•"/>
      <w:lvlJc w:val="left"/>
      <w:pPr>
        <w:ind w:left="2658" w:hanging="295"/>
      </w:pPr>
      <w:rPr>
        <w:rFonts w:hint="default"/>
        <w:lang w:val="vi" w:eastAsia="en-US" w:bidi="ar-SA"/>
      </w:rPr>
    </w:lvl>
    <w:lvl w:ilvl="3" w:tplc="ED883A70">
      <w:numFmt w:val="bullet"/>
      <w:lvlText w:val="•"/>
      <w:lvlJc w:val="left"/>
      <w:pPr>
        <w:ind w:left="3467" w:hanging="295"/>
      </w:pPr>
      <w:rPr>
        <w:rFonts w:hint="default"/>
        <w:lang w:val="vi" w:eastAsia="en-US" w:bidi="ar-SA"/>
      </w:rPr>
    </w:lvl>
    <w:lvl w:ilvl="4" w:tplc="46162716">
      <w:numFmt w:val="bullet"/>
      <w:lvlText w:val="•"/>
      <w:lvlJc w:val="left"/>
      <w:pPr>
        <w:ind w:left="4276" w:hanging="295"/>
      </w:pPr>
      <w:rPr>
        <w:rFonts w:hint="default"/>
        <w:lang w:val="vi" w:eastAsia="en-US" w:bidi="ar-SA"/>
      </w:rPr>
    </w:lvl>
    <w:lvl w:ilvl="5" w:tplc="F10876C4">
      <w:numFmt w:val="bullet"/>
      <w:lvlText w:val="•"/>
      <w:lvlJc w:val="left"/>
      <w:pPr>
        <w:ind w:left="5085" w:hanging="295"/>
      </w:pPr>
      <w:rPr>
        <w:rFonts w:hint="default"/>
        <w:lang w:val="vi" w:eastAsia="en-US" w:bidi="ar-SA"/>
      </w:rPr>
    </w:lvl>
    <w:lvl w:ilvl="6" w:tplc="E362D68C">
      <w:numFmt w:val="bullet"/>
      <w:lvlText w:val="•"/>
      <w:lvlJc w:val="left"/>
      <w:pPr>
        <w:ind w:left="5894" w:hanging="295"/>
      </w:pPr>
      <w:rPr>
        <w:rFonts w:hint="default"/>
        <w:lang w:val="vi" w:eastAsia="en-US" w:bidi="ar-SA"/>
      </w:rPr>
    </w:lvl>
    <w:lvl w:ilvl="7" w:tplc="4E522054">
      <w:numFmt w:val="bullet"/>
      <w:lvlText w:val="•"/>
      <w:lvlJc w:val="left"/>
      <w:pPr>
        <w:ind w:left="6703" w:hanging="295"/>
      </w:pPr>
      <w:rPr>
        <w:rFonts w:hint="default"/>
        <w:lang w:val="vi" w:eastAsia="en-US" w:bidi="ar-SA"/>
      </w:rPr>
    </w:lvl>
    <w:lvl w:ilvl="8" w:tplc="8E5A9AEC">
      <w:numFmt w:val="bullet"/>
      <w:lvlText w:val="•"/>
      <w:lvlJc w:val="left"/>
      <w:pPr>
        <w:ind w:left="7512" w:hanging="295"/>
      </w:pPr>
      <w:rPr>
        <w:rFonts w:hint="default"/>
        <w:lang w:val="vi" w:eastAsia="en-US" w:bidi="ar-SA"/>
      </w:rPr>
    </w:lvl>
  </w:abstractNum>
  <w:abstractNum w:abstractNumId="5" w15:restartNumberingAfterBreak="0">
    <w:nsid w:val="193B2BC8"/>
    <w:multiLevelType w:val="hybridMultilevel"/>
    <w:tmpl w:val="85A82286"/>
    <w:lvl w:ilvl="0" w:tplc="F7007378">
      <w:numFmt w:val="bullet"/>
      <w:lvlText w:val="-"/>
      <w:lvlJc w:val="left"/>
      <w:pPr>
        <w:ind w:left="162"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534038CC">
      <w:numFmt w:val="bullet"/>
      <w:lvlText w:val="•"/>
      <w:lvlJc w:val="left"/>
      <w:pPr>
        <w:ind w:left="1082" w:hanging="207"/>
      </w:pPr>
      <w:rPr>
        <w:rFonts w:hint="default"/>
        <w:lang w:val="vi" w:eastAsia="en-US" w:bidi="ar-SA"/>
      </w:rPr>
    </w:lvl>
    <w:lvl w:ilvl="2" w:tplc="4B48581C">
      <w:numFmt w:val="bullet"/>
      <w:lvlText w:val="•"/>
      <w:lvlJc w:val="left"/>
      <w:pPr>
        <w:ind w:left="2005" w:hanging="207"/>
      </w:pPr>
      <w:rPr>
        <w:rFonts w:hint="default"/>
        <w:lang w:val="vi" w:eastAsia="en-US" w:bidi="ar-SA"/>
      </w:rPr>
    </w:lvl>
    <w:lvl w:ilvl="3" w:tplc="A4AABB64">
      <w:numFmt w:val="bullet"/>
      <w:lvlText w:val="•"/>
      <w:lvlJc w:val="left"/>
      <w:pPr>
        <w:ind w:left="2927" w:hanging="207"/>
      </w:pPr>
      <w:rPr>
        <w:rFonts w:hint="default"/>
        <w:lang w:val="vi" w:eastAsia="en-US" w:bidi="ar-SA"/>
      </w:rPr>
    </w:lvl>
    <w:lvl w:ilvl="4" w:tplc="992CA1AA">
      <w:numFmt w:val="bullet"/>
      <w:lvlText w:val="•"/>
      <w:lvlJc w:val="left"/>
      <w:pPr>
        <w:ind w:left="3850" w:hanging="207"/>
      </w:pPr>
      <w:rPr>
        <w:rFonts w:hint="default"/>
        <w:lang w:val="vi" w:eastAsia="en-US" w:bidi="ar-SA"/>
      </w:rPr>
    </w:lvl>
    <w:lvl w:ilvl="5" w:tplc="A9826012">
      <w:numFmt w:val="bullet"/>
      <w:lvlText w:val="•"/>
      <w:lvlJc w:val="left"/>
      <w:pPr>
        <w:ind w:left="4773" w:hanging="207"/>
      </w:pPr>
      <w:rPr>
        <w:rFonts w:hint="default"/>
        <w:lang w:val="vi" w:eastAsia="en-US" w:bidi="ar-SA"/>
      </w:rPr>
    </w:lvl>
    <w:lvl w:ilvl="6" w:tplc="24985DFE">
      <w:numFmt w:val="bullet"/>
      <w:lvlText w:val="•"/>
      <w:lvlJc w:val="left"/>
      <w:pPr>
        <w:ind w:left="5695" w:hanging="207"/>
      </w:pPr>
      <w:rPr>
        <w:rFonts w:hint="default"/>
        <w:lang w:val="vi" w:eastAsia="en-US" w:bidi="ar-SA"/>
      </w:rPr>
    </w:lvl>
    <w:lvl w:ilvl="7" w:tplc="6960E7CC">
      <w:numFmt w:val="bullet"/>
      <w:lvlText w:val="•"/>
      <w:lvlJc w:val="left"/>
      <w:pPr>
        <w:ind w:left="6618" w:hanging="207"/>
      </w:pPr>
      <w:rPr>
        <w:rFonts w:hint="default"/>
        <w:lang w:val="vi" w:eastAsia="en-US" w:bidi="ar-SA"/>
      </w:rPr>
    </w:lvl>
    <w:lvl w:ilvl="8" w:tplc="0FBACDFE">
      <w:numFmt w:val="bullet"/>
      <w:lvlText w:val="•"/>
      <w:lvlJc w:val="left"/>
      <w:pPr>
        <w:ind w:left="7541" w:hanging="207"/>
      </w:pPr>
      <w:rPr>
        <w:rFonts w:hint="default"/>
        <w:lang w:val="vi" w:eastAsia="en-US" w:bidi="ar-SA"/>
      </w:rPr>
    </w:lvl>
  </w:abstractNum>
  <w:abstractNum w:abstractNumId="6" w15:restartNumberingAfterBreak="0">
    <w:nsid w:val="1BCD31F0"/>
    <w:multiLevelType w:val="hybridMultilevel"/>
    <w:tmpl w:val="E12E28B8"/>
    <w:lvl w:ilvl="0" w:tplc="7AE06724">
      <w:numFmt w:val="bullet"/>
      <w:lvlText w:val="-"/>
      <w:lvlJc w:val="left"/>
      <w:pPr>
        <w:ind w:left="16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3BCA43A8">
      <w:numFmt w:val="bullet"/>
      <w:lvlText w:val="•"/>
      <w:lvlJc w:val="left"/>
      <w:pPr>
        <w:ind w:left="1082" w:hanging="204"/>
      </w:pPr>
      <w:rPr>
        <w:rFonts w:hint="default"/>
        <w:lang w:val="vi" w:eastAsia="en-US" w:bidi="ar-SA"/>
      </w:rPr>
    </w:lvl>
    <w:lvl w:ilvl="2" w:tplc="F992EFE2">
      <w:numFmt w:val="bullet"/>
      <w:lvlText w:val="•"/>
      <w:lvlJc w:val="left"/>
      <w:pPr>
        <w:ind w:left="2005" w:hanging="204"/>
      </w:pPr>
      <w:rPr>
        <w:rFonts w:hint="default"/>
        <w:lang w:val="vi" w:eastAsia="en-US" w:bidi="ar-SA"/>
      </w:rPr>
    </w:lvl>
    <w:lvl w:ilvl="3" w:tplc="36C45334">
      <w:numFmt w:val="bullet"/>
      <w:lvlText w:val="•"/>
      <w:lvlJc w:val="left"/>
      <w:pPr>
        <w:ind w:left="2927" w:hanging="204"/>
      </w:pPr>
      <w:rPr>
        <w:rFonts w:hint="default"/>
        <w:lang w:val="vi" w:eastAsia="en-US" w:bidi="ar-SA"/>
      </w:rPr>
    </w:lvl>
    <w:lvl w:ilvl="4" w:tplc="69E863C0">
      <w:numFmt w:val="bullet"/>
      <w:lvlText w:val="•"/>
      <w:lvlJc w:val="left"/>
      <w:pPr>
        <w:ind w:left="3850" w:hanging="204"/>
      </w:pPr>
      <w:rPr>
        <w:rFonts w:hint="default"/>
        <w:lang w:val="vi" w:eastAsia="en-US" w:bidi="ar-SA"/>
      </w:rPr>
    </w:lvl>
    <w:lvl w:ilvl="5" w:tplc="177AF490">
      <w:numFmt w:val="bullet"/>
      <w:lvlText w:val="•"/>
      <w:lvlJc w:val="left"/>
      <w:pPr>
        <w:ind w:left="4773" w:hanging="204"/>
      </w:pPr>
      <w:rPr>
        <w:rFonts w:hint="default"/>
        <w:lang w:val="vi" w:eastAsia="en-US" w:bidi="ar-SA"/>
      </w:rPr>
    </w:lvl>
    <w:lvl w:ilvl="6" w:tplc="0108FC3A">
      <w:numFmt w:val="bullet"/>
      <w:lvlText w:val="•"/>
      <w:lvlJc w:val="left"/>
      <w:pPr>
        <w:ind w:left="5695" w:hanging="204"/>
      </w:pPr>
      <w:rPr>
        <w:rFonts w:hint="default"/>
        <w:lang w:val="vi" w:eastAsia="en-US" w:bidi="ar-SA"/>
      </w:rPr>
    </w:lvl>
    <w:lvl w:ilvl="7" w:tplc="FA8A0F3C">
      <w:numFmt w:val="bullet"/>
      <w:lvlText w:val="•"/>
      <w:lvlJc w:val="left"/>
      <w:pPr>
        <w:ind w:left="6618" w:hanging="204"/>
      </w:pPr>
      <w:rPr>
        <w:rFonts w:hint="default"/>
        <w:lang w:val="vi" w:eastAsia="en-US" w:bidi="ar-SA"/>
      </w:rPr>
    </w:lvl>
    <w:lvl w:ilvl="8" w:tplc="F0885AA6">
      <w:numFmt w:val="bullet"/>
      <w:lvlText w:val="•"/>
      <w:lvlJc w:val="left"/>
      <w:pPr>
        <w:ind w:left="7541" w:hanging="204"/>
      </w:pPr>
      <w:rPr>
        <w:rFonts w:hint="default"/>
        <w:lang w:val="vi" w:eastAsia="en-US" w:bidi="ar-SA"/>
      </w:rPr>
    </w:lvl>
  </w:abstractNum>
  <w:abstractNum w:abstractNumId="7" w15:restartNumberingAfterBreak="0">
    <w:nsid w:val="1C720203"/>
    <w:multiLevelType w:val="multilevel"/>
    <w:tmpl w:val="B3926DD6"/>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ascii="Times New Roman" w:eastAsia="Times New Roman" w:hAnsi="Times New Roman" w:cs="Times New Roman" w:hint="default"/>
        <w:b/>
        <w:bCs/>
        <w:i/>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val="0"/>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8" w15:restartNumberingAfterBreak="0">
    <w:nsid w:val="1F2D37AB"/>
    <w:multiLevelType w:val="hybridMultilevel"/>
    <w:tmpl w:val="A51A3F62"/>
    <w:lvl w:ilvl="0" w:tplc="27B24180">
      <w:numFmt w:val="bullet"/>
      <w:lvlText w:val="-"/>
      <w:lvlJc w:val="left"/>
      <w:pPr>
        <w:ind w:left="1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A40D0EA">
      <w:numFmt w:val="bullet"/>
      <w:lvlText w:val="•"/>
      <w:lvlJc w:val="left"/>
      <w:pPr>
        <w:ind w:left="1082" w:hanging="180"/>
      </w:pPr>
      <w:rPr>
        <w:rFonts w:hint="default"/>
        <w:lang w:val="vi" w:eastAsia="en-US" w:bidi="ar-SA"/>
      </w:rPr>
    </w:lvl>
    <w:lvl w:ilvl="2" w:tplc="46860402">
      <w:numFmt w:val="bullet"/>
      <w:lvlText w:val="•"/>
      <w:lvlJc w:val="left"/>
      <w:pPr>
        <w:ind w:left="2005" w:hanging="180"/>
      </w:pPr>
      <w:rPr>
        <w:rFonts w:hint="default"/>
        <w:lang w:val="vi" w:eastAsia="en-US" w:bidi="ar-SA"/>
      </w:rPr>
    </w:lvl>
    <w:lvl w:ilvl="3" w:tplc="3A0EAD42">
      <w:numFmt w:val="bullet"/>
      <w:lvlText w:val="•"/>
      <w:lvlJc w:val="left"/>
      <w:pPr>
        <w:ind w:left="2927" w:hanging="180"/>
      </w:pPr>
      <w:rPr>
        <w:rFonts w:hint="default"/>
        <w:lang w:val="vi" w:eastAsia="en-US" w:bidi="ar-SA"/>
      </w:rPr>
    </w:lvl>
    <w:lvl w:ilvl="4" w:tplc="3348AD00">
      <w:numFmt w:val="bullet"/>
      <w:lvlText w:val="•"/>
      <w:lvlJc w:val="left"/>
      <w:pPr>
        <w:ind w:left="3850" w:hanging="180"/>
      </w:pPr>
      <w:rPr>
        <w:rFonts w:hint="default"/>
        <w:lang w:val="vi" w:eastAsia="en-US" w:bidi="ar-SA"/>
      </w:rPr>
    </w:lvl>
    <w:lvl w:ilvl="5" w:tplc="5E72A4E0">
      <w:numFmt w:val="bullet"/>
      <w:lvlText w:val="•"/>
      <w:lvlJc w:val="left"/>
      <w:pPr>
        <w:ind w:left="4773" w:hanging="180"/>
      </w:pPr>
      <w:rPr>
        <w:rFonts w:hint="default"/>
        <w:lang w:val="vi" w:eastAsia="en-US" w:bidi="ar-SA"/>
      </w:rPr>
    </w:lvl>
    <w:lvl w:ilvl="6" w:tplc="CE78645A">
      <w:numFmt w:val="bullet"/>
      <w:lvlText w:val="•"/>
      <w:lvlJc w:val="left"/>
      <w:pPr>
        <w:ind w:left="5695" w:hanging="180"/>
      </w:pPr>
      <w:rPr>
        <w:rFonts w:hint="default"/>
        <w:lang w:val="vi" w:eastAsia="en-US" w:bidi="ar-SA"/>
      </w:rPr>
    </w:lvl>
    <w:lvl w:ilvl="7" w:tplc="35160788">
      <w:numFmt w:val="bullet"/>
      <w:lvlText w:val="•"/>
      <w:lvlJc w:val="left"/>
      <w:pPr>
        <w:ind w:left="6618" w:hanging="180"/>
      </w:pPr>
      <w:rPr>
        <w:rFonts w:hint="default"/>
        <w:lang w:val="vi" w:eastAsia="en-US" w:bidi="ar-SA"/>
      </w:rPr>
    </w:lvl>
    <w:lvl w:ilvl="8" w:tplc="399A3888">
      <w:numFmt w:val="bullet"/>
      <w:lvlText w:val="•"/>
      <w:lvlJc w:val="left"/>
      <w:pPr>
        <w:ind w:left="7541" w:hanging="180"/>
      </w:pPr>
      <w:rPr>
        <w:rFonts w:hint="default"/>
        <w:lang w:val="vi" w:eastAsia="en-US" w:bidi="ar-SA"/>
      </w:rPr>
    </w:lvl>
  </w:abstractNum>
  <w:abstractNum w:abstractNumId="9" w15:restartNumberingAfterBreak="0">
    <w:nsid w:val="20EB1294"/>
    <w:multiLevelType w:val="hybridMultilevel"/>
    <w:tmpl w:val="A568FA42"/>
    <w:lvl w:ilvl="0" w:tplc="3EACAC46">
      <w:start w:val="3"/>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0A3FBE"/>
    <w:multiLevelType w:val="multilevel"/>
    <w:tmpl w:val="3D3A5F2A"/>
    <w:lvl w:ilvl="0">
      <w:start w:val="1"/>
      <w:numFmt w:val="upperRoman"/>
      <w:lvlText w:val="%1."/>
      <w:lvlJc w:val="left"/>
      <w:pPr>
        <w:ind w:left="957"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8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00" w:hanging="493"/>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5111" w:hanging="701"/>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1400" w:hanging="701"/>
      </w:pPr>
      <w:rPr>
        <w:rFonts w:hint="default"/>
        <w:lang w:val="vi" w:eastAsia="en-US" w:bidi="ar-SA"/>
      </w:rPr>
    </w:lvl>
    <w:lvl w:ilvl="5">
      <w:numFmt w:val="bullet"/>
      <w:lvlText w:val="•"/>
      <w:lvlJc w:val="left"/>
      <w:pPr>
        <w:ind w:left="2721" w:hanging="701"/>
      </w:pPr>
      <w:rPr>
        <w:rFonts w:hint="default"/>
        <w:lang w:val="vi" w:eastAsia="en-US" w:bidi="ar-SA"/>
      </w:rPr>
    </w:lvl>
    <w:lvl w:ilvl="6">
      <w:numFmt w:val="bullet"/>
      <w:lvlText w:val="•"/>
      <w:lvlJc w:val="left"/>
      <w:pPr>
        <w:ind w:left="4042" w:hanging="701"/>
      </w:pPr>
      <w:rPr>
        <w:rFonts w:hint="default"/>
        <w:lang w:val="vi" w:eastAsia="en-US" w:bidi="ar-SA"/>
      </w:rPr>
    </w:lvl>
    <w:lvl w:ilvl="7">
      <w:numFmt w:val="bullet"/>
      <w:lvlText w:val="•"/>
      <w:lvlJc w:val="left"/>
      <w:pPr>
        <w:ind w:left="5363" w:hanging="701"/>
      </w:pPr>
      <w:rPr>
        <w:rFonts w:hint="default"/>
        <w:lang w:val="vi" w:eastAsia="en-US" w:bidi="ar-SA"/>
      </w:rPr>
    </w:lvl>
    <w:lvl w:ilvl="8">
      <w:numFmt w:val="bullet"/>
      <w:lvlText w:val="•"/>
      <w:lvlJc w:val="left"/>
      <w:pPr>
        <w:ind w:left="6684" w:hanging="701"/>
      </w:pPr>
      <w:rPr>
        <w:rFonts w:hint="default"/>
        <w:lang w:val="vi" w:eastAsia="en-US" w:bidi="ar-SA"/>
      </w:rPr>
    </w:lvl>
  </w:abstractNum>
  <w:abstractNum w:abstractNumId="11" w15:restartNumberingAfterBreak="0">
    <w:nsid w:val="2EAF2968"/>
    <w:multiLevelType w:val="hybridMultilevel"/>
    <w:tmpl w:val="90DCDCA6"/>
    <w:lvl w:ilvl="0" w:tplc="40C6798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374E83"/>
    <w:multiLevelType w:val="hybridMultilevel"/>
    <w:tmpl w:val="C92E8B32"/>
    <w:lvl w:ilvl="0" w:tplc="5540F0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1EC61A1"/>
    <w:multiLevelType w:val="hybridMultilevel"/>
    <w:tmpl w:val="E4204E1A"/>
    <w:lvl w:ilvl="0" w:tplc="ECCE2132">
      <w:start w:val="1"/>
      <w:numFmt w:val="lowerRoman"/>
      <w:lvlText w:val="(%1)"/>
      <w:lvlJc w:val="left"/>
      <w:pPr>
        <w:ind w:left="1577" w:hanging="720"/>
      </w:pPr>
      <w:rPr>
        <w:rFonts w:ascii="Times New Roman" w:hAnsi="Times New Roman" w:hint="default"/>
        <w:color w:val="auto"/>
        <w:sz w:val="28"/>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4" w15:restartNumberingAfterBreak="0">
    <w:nsid w:val="33422C7A"/>
    <w:multiLevelType w:val="hybridMultilevel"/>
    <w:tmpl w:val="DF542872"/>
    <w:lvl w:ilvl="0" w:tplc="EF5E8C2A">
      <w:numFmt w:val="bullet"/>
      <w:lvlText w:val="-"/>
      <w:lvlJc w:val="left"/>
      <w:pPr>
        <w:ind w:left="14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F9E6862">
      <w:numFmt w:val="bullet"/>
      <w:lvlText w:val="•"/>
      <w:lvlJc w:val="left"/>
      <w:pPr>
        <w:ind w:left="1058" w:hanging="166"/>
      </w:pPr>
      <w:rPr>
        <w:rFonts w:hint="default"/>
        <w:lang w:val="vi" w:eastAsia="en-US" w:bidi="ar-SA"/>
      </w:rPr>
    </w:lvl>
    <w:lvl w:ilvl="2" w:tplc="01461FF2">
      <w:numFmt w:val="bullet"/>
      <w:lvlText w:val="•"/>
      <w:lvlJc w:val="left"/>
      <w:pPr>
        <w:ind w:left="1977" w:hanging="166"/>
      </w:pPr>
      <w:rPr>
        <w:rFonts w:hint="default"/>
        <w:lang w:val="vi" w:eastAsia="en-US" w:bidi="ar-SA"/>
      </w:rPr>
    </w:lvl>
    <w:lvl w:ilvl="3" w:tplc="0D1EAB26">
      <w:numFmt w:val="bullet"/>
      <w:lvlText w:val="•"/>
      <w:lvlJc w:val="left"/>
      <w:pPr>
        <w:ind w:left="2895" w:hanging="166"/>
      </w:pPr>
      <w:rPr>
        <w:rFonts w:hint="default"/>
        <w:lang w:val="vi" w:eastAsia="en-US" w:bidi="ar-SA"/>
      </w:rPr>
    </w:lvl>
    <w:lvl w:ilvl="4" w:tplc="5F4C5226">
      <w:numFmt w:val="bullet"/>
      <w:lvlText w:val="•"/>
      <w:lvlJc w:val="left"/>
      <w:pPr>
        <w:ind w:left="3814" w:hanging="166"/>
      </w:pPr>
      <w:rPr>
        <w:rFonts w:hint="default"/>
        <w:lang w:val="vi" w:eastAsia="en-US" w:bidi="ar-SA"/>
      </w:rPr>
    </w:lvl>
    <w:lvl w:ilvl="5" w:tplc="F0383FAC">
      <w:numFmt w:val="bullet"/>
      <w:lvlText w:val="•"/>
      <w:lvlJc w:val="left"/>
      <w:pPr>
        <w:ind w:left="4733" w:hanging="166"/>
      </w:pPr>
      <w:rPr>
        <w:rFonts w:hint="default"/>
        <w:lang w:val="vi" w:eastAsia="en-US" w:bidi="ar-SA"/>
      </w:rPr>
    </w:lvl>
    <w:lvl w:ilvl="6" w:tplc="144C16A8">
      <w:numFmt w:val="bullet"/>
      <w:lvlText w:val="•"/>
      <w:lvlJc w:val="left"/>
      <w:pPr>
        <w:ind w:left="5651" w:hanging="166"/>
      </w:pPr>
      <w:rPr>
        <w:rFonts w:hint="default"/>
        <w:lang w:val="vi" w:eastAsia="en-US" w:bidi="ar-SA"/>
      </w:rPr>
    </w:lvl>
    <w:lvl w:ilvl="7" w:tplc="B1049BF8">
      <w:numFmt w:val="bullet"/>
      <w:lvlText w:val="•"/>
      <w:lvlJc w:val="left"/>
      <w:pPr>
        <w:ind w:left="6570" w:hanging="166"/>
      </w:pPr>
      <w:rPr>
        <w:rFonts w:hint="default"/>
        <w:lang w:val="vi" w:eastAsia="en-US" w:bidi="ar-SA"/>
      </w:rPr>
    </w:lvl>
    <w:lvl w:ilvl="8" w:tplc="0AD4D06C">
      <w:numFmt w:val="bullet"/>
      <w:lvlText w:val="•"/>
      <w:lvlJc w:val="left"/>
      <w:pPr>
        <w:ind w:left="7489" w:hanging="166"/>
      </w:pPr>
      <w:rPr>
        <w:rFonts w:hint="default"/>
        <w:lang w:val="vi" w:eastAsia="en-US" w:bidi="ar-SA"/>
      </w:rPr>
    </w:lvl>
  </w:abstractNum>
  <w:abstractNum w:abstractNumId="15" w15:restartNumberingAfterBreak="0">
    <w:nsid w:val="3D69374D"/>
    <w:multiLevelType w:val="multilevel"/>
    <w:tmpl w:val="65F041E0"/>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40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16" w15:restartNumberingAfterBreak="0">
    <w:nsid w:val="3F7C292A"/>
    <w:multiLevelType w:val="hybridMultilevel"/>
    <w:tmpl w:val="F762F05E"/>
    <w:lvl w:ilvl="0" w:tplc="CA524BF6">
      <w:start w:val="1"/>
      <w:numFmt w:val="lowerRoman"/>
      <w:lvlText w:val="(%1)"/>
      <w:lvlJc w:val="left"/>
      <w:pPr>
        <w:ind w:left="162" w:hanging="339"/>
      </w:pPr>
      <w:rPr>
        <w:rFonts w:ascii="Times New Roman" w:eastAsia="Times New Roman" w:hAnsi="Times New Roman" w:cs="Times New Roman" w:hint="default"/>
        <w:b w:val="0"/>
        <w:bCs w:val="0"/>
        <w:i w:val="0"/>
        <w:iCs w:val="0"/>
        <w:spacing w:val="0"/>
        <w:w w:val="100"/>
        <w:sz w:val="28"/>
        <w:szCs w:val="28"/>
        <w:lang w:val="vi" w:eastAsia="en-US" w:bidi="ar-SA"/>
      </w:rPr>
    </w:lvl>
    <w:lvl w:ilvl="1" w:tplc="6DC460F6">
      <w:numFmt w:val="bullet"/>
      <w:lvlText w:val="•"/>
      <w:lvlJc w:val="left"/>
      <w:pPr>
        <w:ind w:left="1082" w:hanging="339"/>
      </w:pPr>
      <w:rPr>
        <w:rFonts w:hint="default"/>
        <w:lang w:val="vi" w:eastAsia="en-US" w:bidi="ar-SA"/>
      </w:rPr>
    </w:lvl>
    <w:lvl w:ilvl="2" w:tplc="3DEE498E">
      <w:numFmt w:val="bullet"/>
      <w:lvlText w:val="•"/>
      <w:lvlJc w:val="left"/>
      <w:pPr>
        <w:ind w:left="2005" w:hanging="339"/>
      </w:pPr>
      <w:rPr>
        <w:rFonts w:hint="default"/>
        <w:lang w:val="vi" w:eastAsia="en-US" w:bidi="ar-SA"/>
      </w:rPr>
    </w:lvl>
    <w:lvl w:ilvl="3" w:tplc="2FB6D9CE">
      <w:numFmt w:val="bullet"/>
      <w:lvlText w:val="•"/>
      <w:lvlJc w:val="left"/>
      <w:pPr>
        <w:ind w:left="2927" w:hanging="339"/>
      </w:pPr>
      <w:rPr>
        <w:rFonts w:hint="default"/>
        <w:lang w:val="vi" w:eastAsia="en-US" w:bidi="ar-SA"/>
      </w:rPr>
    </w:lvl>
    <w:lvl w:ilvl="4" w:tplc="6870E888">
      <w:numFmt w:val="bullet"/>
      <w:lvlText w:val="•"/>
      <w:lvlJc w:val="left"/>
      <w:pPr>
        <w:ind w:left="3850" w:hanging="339"/>
      </w:pPr>
      <w:rPr>
        <w:rFonts w:hint="default"/>
        <w:lang w:val="vi" w:eastAsia="en-US" w:bidi="ar-SA"/>
      </w:rPr>
    </w:lvl>
    <w:lvl w:ilvl="5" w:tplc="2584B904">
      <w:numFmt w:val="bullet"/>
      <w:lvlText w:val="•"/>
      <w:lvlJc w:val="left"/>
      <w:pPr>
        <w:ind w:left="4773" w:hanging="339"/>
      </w:pPr>
      <w:rPr>
        <w:rFonts w:hint="default"/>
        <w:lang w:val="vi" w:eastAsia="en-US" w:bidi="ar-SA"/>
      </w:rPr>
    </w:lvl>
    <w:lvl w:ilvl="6" w:tplc="724C5BA8">
      <w:numFmt w:val="bullet"/>
      <w:lvlText w:val="•"/>
      <w:lvlJc w:val="left"/>
      <w:pPr>
        <w:ind w:left="5695" w:hanging="339"/>
      </w:pPr>
      <w:rPr>
        <w:rFonts w:hint="default"/>
        <w:lang w:val="vi" w:eastAsia="en-US" w:bidi="ar-SA"/>
      </w:rPr>
    </w:lvl>
    <w:lvl w:ilvl="7" w:tplc="CE6E0EDE">
      <w:numFmt w:val="bullet"/>
      <w:lvlText w:val="•"/>
      <w:lvlJc w:val="left"/>
      <w:pPr>
        <w:ind w:left="6618" w:hanging="339"/>
      </w:pPr>
      <w:rPr>
        <w:rFonts w:hint="default"/>
        <w:lang w:val="vi" w:eastAsia="en-US" w:bidi="ar-SA"/>
      </w:rPr>
    </w:lvl>
    <w:lvl w:ilvl="8" w:tplc="E10AD332">
      <w:numFmt w:val="bullet"/>
      <w:lvlText w:val="•"/>
      <w:lvlJc w:val="left"/>
      <w:pPr>
        <w:ind w:left="7541" w:hanging="339"/>
      </w:pPr>
      <w:rPr>
        <w:rFonts w:hint="default"/>
        <w:lang w:val="vi" w:eastAsia="en-US" w:bidi="ar-SA"/>
      </w:rPr>
    </w:lvl>
  </w:abstractNum>
  <w:abstractNum w:abstractNumId="17" w15:restartNumberingAfterBreak="0">
    <w:nsid w:val="45CF598E"/>
    <w:multiLevelType w:val="multilevel"/>
    <w:tmpl w:val="A9F46CCE"/>
    <w:lvl w:ilvl="0">
      <w:start w:val="2"/>
      <w:numFmt w:val="decimal"/>
      <w:lvlText w:val="%1."/>
      <w:lvlJc w:val="left"/>
      <w:pPr>
        <w:ind w:left="360" w:hanging="360"/>
      </w:pPr>
      <w:rPr>
        <w:rFonts w:hint="default"/>
        <w:sz w:val="22"/>
      </w:rPr>
    </w:lvl>
    <w:lvl w:ilvl="1">
      <w:start w:val="7"/>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4766" w:hanging="108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15:restartNumberingAfterBreak="0">
    <w:nsid w:val="47BC36C9"/>
    <w:multiLevelType w:val="hybridMultilevel"/>
    <w:tmpl w:val="E00CB4FC"/>
    <w:lvl w:ilvl="0" w:tplc="E04C6210">
      <w:numFmt w:val="bullet"/>
      <w:lvlText w:val="-"/>
      <w:lvlJc w:val="left"/>
      <w:pPr>
        <w:ind w:left="142" w:hanging="176"/>
      </w:pPr>
      <w:rPr>
        <w:rFonts w:ascii="Times New Roman" w:eastAsia="Times New Roman" w:hAnsi="Times New Roman" w:cs="Times New Roman" w:hint="default"/>
        <w:spacing w:val="0"/>
        <w:w w:val="100"/>
        <w:lang w:val="vi" w:eastAsia="en-US" w:bidi="ar-SA"/>
      </w:rPr>
    </w:lvl>
    <w:lvl w:ilvl="1" w:tplc="7E76F6AE">
      <w:numFmt w:val="bullet"/>
      <w:lvlText w:val="•"/>
      <w:lvlJc w:val="left"/>
      <w:pPr>
        <w:ind w:left="1058" w:hanging="176"/>
      </w:pPr>
      <w:rPr>
        <w:rFonts w:hint="default"/>
        <w:lang w:val="vi" w:eastAsia="en-US" w:bidi="ar-SA"/>
      </w:rPr>
    </w:lvl>
    <w:lvl w:ilvl="2" w:tplc="0C5C75EC">
      <w:numFmt w:val="bullet"/>
      <w:lvlText w:val="•"/>
      <w:lvlJc w:val="left"/>
      <w:pPr>
        <w:ind w:left="1977" w:hanging="176"/>
      </w:pPr>
      <w:rPr>
        <w:rFonts w:hint="default"/>
        <w:lang w:val="vi" w:eastAsia="en-US" w:bidi="ar-SA"/>
      </w:rPr>
    </w:lvl>
    <w:lvl w:ilvl="3" w:tplc="4E0EC6BE">
      <w:numFmt w:val="bullet"/>
      <w:lvlText w:val="•"/>
      <w:lvlJc w:val="left"/>
      <w:pPr>
        <w:ind w:left="2895" w:hanging="176"/>
      </w:pPr>
      <w:rPr>
        <w:rFonts w:hint="default"/>
        <w:lang w:val="vi" w:eastAsia="en-US" w:bidi="ar-SA"/>
      </w:rPr>
    </w:lvl>
    <w:lvl w:ilvl="4" w:tplc="13842266">
      <w:numFmt w:val="bullet"/>
      <w:lvlText w:val="•"/>
      <w:lvlJc w:val="left"/>
      <w:pPr>
        <w:ind w:left="3814" w:hanging="176"/>
      </w:pPr>
      <w:rPr>
        <w:rFonts w:hint="default"/>
        <w:lang w:val="vi" w:eastAsia="en-US" w:bidi="ar-SA"/>
      </w:rPr>
    </w:lvl>
    <w:lvl w:ilvl="5" w:tplc="2F72A40E">
      <w:numFmt w:val="bullet"/>
      <w:lvlText w:val="•"/>
      <w:lvlJc w:val="left"/>
      <w:pPr>
        <w:ind w:left="4733" w:hanging="176"/>
      </w:pPr>
      <w:rPr>
        <w:rFonts w:hint="default"/>
        <w:lang w:val="vi" w:eastAsia="en-US" w:bidi="ar-SA"/>
      </w:rPr>
    </w:lvl>
    <w:lvl w:ilvl="6" w:tplc="20F6E47A">
      <w:numFmt w:val="bullet"/>
      <w:lvlText w:val="•"/>
      <w:lvlJc w:val="left"/>
      <w:pPr>
        <w:ind w:left="5651" w:hanging="176"/>
      </w:pPr>
      <w:rPr>
        <w:rFonts w:hint="default"/>
        <w:lang w:val="vi" w:eastAsia="en-US" w:bidi="ar-SA"/>
      </w:rPr>
    </w:lvl>
    <w:lvl w:ilvl="7" w:tplc="ADBCB936">
      <w:numFmt w:val="bullet"/>
      <w:lvlText w:val="•"/>
      <w:lvlJc w:val="left"/>
      <w:pPr>
        <w:ind w:left="6570" w:hanging="176"/>
      </w:pPr>
      <w:rPr>
        <w:rFonts w:hint="default"/>
        <w:lang w:val="vi" w:eastAsia="en-US" w:bidi="ar-SA"/>
      </w:rPr>
    </w:lvl>
    <w:lvl w:ilvl="8" w:tplc="E0A47BDE">
      <w:numFmt w:val="bullet"/>
      <w:lvlText w:val="•"/>
      <w:lvlJc w:val="left"/>
      <w:pPr>
        <w:ind w:left="7489" w:hanging="176"/>
      </w:pPr>
      <w:rPr>
        <w:rFonts w:hint="default"/>
        <w:lang w:val="vi" w:eastAsia="en-US" w:bidi="ar-SA"/>
      </w:rPr>
    </w:lvl>
  </w:abstractNum>
  <w:abstractNum w:abstractNumId="19" w15:restartNumberingAfterBreak="0">
    <w:nsid w:val="488F6BBE"/>
    <w:multiLevelType w:val="multilevel"/>
    <w:tmpl w:val="426A280E"/>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81" w:hanging="471"/>
      </w:pPr>
      <w:rPr>
        <w:rFonts w:ascii="Times New Roman" w:eastAsia="Times New Roman" w:hAnsi="Times New Roman" w:cs="Times New Roman" w:hint="default"/>
        <w:b/>
        <w:bCs/>
        <w:i w:val="0"/>
        <w:iCs/>
        <w:spacing w:val="-6"/>
        <w:w w:val="100"/>
        <w:sz w:val="28"/>
        <w:szCs w:val="28"/>
        <w:lang w:val="vi" w:eastAsia="en-US" w:bidi="ar-SA"/>
      </w:rPr>
    </w:lvl>
    <w:lvl w:ilvl="3">
      <w:numFmt w:val="bullet"/>
      <w:lvlText w:val="-"/>
      <w:lvlJc w:val="left"/>
      <w:pPr>
        <w:ind w:left="3446"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20" w15:restartNumberingAfterBreak="0">
    <w:nsid w:val="4D62776F"/>
    <w:multiLevelType w:val="hybridMultilevel"/>
    <w:tmpl w:val="5352CB72"/>
    <w:lvl w:ilvl="0" w:tplc="502AC074">
      <w:start w:val="1"/>
      <w:numFmt w:val="lowerLetter"/>
      <w:lvlText w:val="%1)"/>
      <w:lvlJc w:val="left"/>
      <w:pPr>
        <w:ind w:left="142" w:hanging="321"/>
      </w:pPr>
      <w:rPr>
        <w:rFonts w:ascii="Times New Roman" w:eastAsia="Times New Roman" w:hAnsi="Times New Roman" w:cs="Times New Roman" w:hint="default"/>
        <w:b w:val="0"/>
        <w:bCs w:val="0"/>
        <w:i/>
        <w:iCs/>
        <w:spacing w:val="0"/>
        <w:w w:val="100"/>
        <w:sz w:val="28"/>
        <w:szCs w:val="28"/>
        <w:lang w:val="vi" w:eastAsia="en-US" w:bidi="ar-SA"/>
      </w:rPr>
    </w:lvl>
    <w:lvl w:ilvl="1" w:tplc="C5F4ABBE">
      <w:numFmt w:val="bullet"/>
      <w:lvlText w:val="•"/>
      <w:lvlJc w:val="left"/>
      <w:pPr>
        <w:ind w:left="1058" w:hanging="321"/>
      </w:pPr>
      <w:rPr>
        <w:rFonts w:hint="default"/>
        <w:lang w:val="vi" w:eastAsia="en-US" w:bidi="ar-SA"/>
      </w:rPr>
    </w:lvl>
    <w:lvl w:ilvl="2" w:tplc="3D0C88BC">
      <w:numFmt w:val="bullet"/>
      <w:lvlText w:val="•"/>
      <w:lvlJc w:val="left"/>
      <w:pPr>
        <w:ind w:left="1977" w:hanging="321"/>
      </w:pPr>
      <w:rPr>
        <w:rFonts w:hint="default"/>
        <w:lang w:val="vi" w:eastAsia="en-US" w:bidi="ar-SA"/>
      </w:rPr>
    </w:lvl>
    <w:lvl w:ilvl="3" w:tplc="3A403A88">
      <w:numFmt w:val="bullet"/>
      <w:lvlText w:val="•"/>
      <w:lvlJc w:val="left"/>
      <w:pPr>
        <w:ind w:left="2895" w:hanging="321"/>
      </w:pPr>
      <w:rPr>
        <w:rFonts w:hint="default"/>
        <w:lang w:val="vi" w:eastAsia="en-US" w:bidi="ar-SA"/>
      </w:rPr>
    </w:lvl>
    <w:lvl w:ilvl="4" w:tplc="EB9C6B7E">
      <w:numFmt w:val="bullet"/>
      <w:lvlText w:val="•"/>
      <w:lvlJc w:val="left"/>
      <w:pPr>
        <w:ind w:left="3814" w:hanging="321"/>
      </w:pPr>
      <w:rPr>
        <w:rFonts w:hint="default"/>
        <w:lang w:val="vi" w:eastAsia="en-US" w:bidi="ar-SA"/>
      </w:rPr>
    </w:lvl>
    <w:lvl w:ilvl="5" w:tplc="18E209A0">
      <w:numFmt w:val="bullet"/>
      <w:lvlText w:val="•"/>
      <w:lvlJc w:val="left"/>
      <w:pPr>
        <w:ind w:left="4733" w:hanging="321"/>
      </w:pPr>
      <w:rPr>
        <w:rFonts w:hint="default"/>
        <w:lang w:val="vi" w:eastAsia="en-US" w:bidi="ar-SA"/>
      </w:rPr>
    </w:lvl>
    <w:lvl w:ilvl="6" w:tplc="ACBADBA2">
      <w:numFmt w:val="bullet"/>
      <w:lvlText w:val="•"/>
      <w:lvlJc w:val="left"/>
      <w:pPr>
        <w:ind w:left="5651" w:hanging="321"/>
      </w:pPr>
      <w:rPr>
        <w:rFonts w:hint="default"/>
        <w:lang w:val="vi" w:eastAsia="en-US" w:bidi="ar-SA"/>
      </w:rPr>
    </w:lvl>
    <w:lvl w:ilvl="7" w:tplc="570021CE">
      <w:numFmt w:val="bullet"/>
      <w:lvlText w:val="•"/>
      <w:lvlJc w:val="left"/>
      <w:pPr>
        <w:ind w:left="6570" w:hanging="321"/>
      </w:pPr>
      <w:rPr>
        <w:rFonts w:hint="default"/>
        <w:lang w:val="vi" w:eastAsia="en-US" w:bidi="ar-SA"/>
      </w:rPr>
    </w:lvl>
    <w:lvl w:ilvl="8" w:tplc="1C6CBF00">
      <w:numFmt w:val="bullet"/>
      <w:lvlText w:val="•"/>
      <w:lvlJc w:val="left"/>
      <w:pPr>
        <w:ind w:left="7489" w:hanging="321"/>
      </w:pPr>
      <w:rPr>
        <w:rFonts w:hint="default"/>
        <w:lang w:val="vi" w:eastAsia="en-US" w:bidi="ar-SA"/>
      </w:rPr>
    </w:lvl>
  </w:abstractNum>
  <w:abstractNum w:abstractNumId="21" w15:restartNumberingAfterBreak="0">
    <w:nsid w:val="4F6D576F"/>
    <w:multiLevelType w:val="hybridMultilevel"/>
    <w:tmpl w:val="FEEEA018"/>
    <w:lvl w:ilvl="0" w:tplc="25F6C10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68A59A2">
      <w:numFmt w:val="bullet"/>
      <w:lvlText w:val="•"/>
      <w:lvlJc w:val="left"/>
      <w:pPr>
        <w:ind w:left="660" w:hanging="128"/>
      </w:pPr>
      <w:rPr>
        <w:rFonts w:hint="default"/>
        <w:lang w:val="vi" w:eastAsia="en-US" w:bidi="ar-SA"/>
      </w:rPr>
    </w:lvl>
    <w:lvl w:ilvl="2" w:tplc="2C9CBF0E">
      <w:numFmt w:val="bullet"/>
      <w:lvlText w:val="•"/>
      <w:lvlJc w:val="left"/>
      <w:pPr>
        <w:ind w:left="1140" w:hanging="128"/>
      </w:pPr>
      <w:rPr>
        <w:rFonts w:hint="default"/>
        <w:lang w:val="vi" w:eastAsia="en-US" w:bidi="ar-SA"/>
      </w:rPr>
    </w:lvl>
    <w:lvl w:ilvl="3" w:tplc="129C5A7C">
      <w:numFmt w:val="bullet"/>
      <w:lvlText w:val="•"/>
      <w:lvlJc w:val="left"/>
      <w:pPr>
        <w:ind w:left="1620" w:hanging="128"/>
      </w:pPr>
      <w:rPr>
        <w:rFonts w:hint="default"/>
        <w:lang w:val="vi" w:eastAsia="en-US" w:bidi="ar-SA"/>
      </w:rPr>
    </w:lvl>
    <w:lvl w:ilvl="4" w:tplc="C6703C52">
      <w:numFmt w:val="bullet"/>
      <w:lvlText w:val="•"/>
      <w:lvlJc w:val="left"/>
      <w:pPr>
        <w:ind w:left="2100" w:hanging="128"/>
      </w:pPr>
      <w:rPr>
        <w:rFonts w:hint="default"/>
        <w:lang w:val="vi" w:eastAsia="en-US" w:bidi="ar-SA"/>
      </w:rPr>
    </w:lvl>
    <w:lvl w:ilvl="5" w:tplc="8FE8497A">
      <w:numFmt w:val="bullet"/>
      <w:lvlText w:val="•"/>
      <w:lvlJc w:val="left"/>
      <w:pPr>
        <w:ind w:left="2581" w:hanging="128"/>
      </w:pPr>
      <w:rPr>
        <w:rFonts w:hint="default"/>
        <w:lang w:val="vi" w:eastAsia="en-US" w:bidi="ar-SA"/>
      </w:rPr>
    </w:lvl>
    <w:lvl w:ilvl="6" w:tplc="222E9296">
      <w:numFmt w:val="bullet"/>
      <w:lvlText w:val="•"/>
      <w:lvlJc w:val="left"/>
      <w:pPr>
        <w:ind w:left="3061" w:hanging="128"/>
      </w:pPr>
      <w:rPr>
        <w:rFonts w:hint="default"/>
        <w:lang w:val="vi" w:eastAsia="en-US" w:bidi="ar-SA"/>
      </w:rPr>
    </w:lvl>
    <w:lvl w:ilvl="7" w:tplc="F9D63D1C">
      <w:numFmt w:val="bullet"/>
      <w:lvlText w:val="•"/>
      <w:lvlJc w:val="left"/>
      <w:pPr>
        <w:ind w:left="3541" w:hanging="128"/>
      </w:pPr>
      <w:rPr>
        <w:rFonts w:hint="default"/>
        <w:lang w:val="vi" w:eastAsia="en-US" w:bidi="ar-SA"/>
      </w:rPr>
    </w:lvl>
    <w:lvl w:ilvl="8" w:tplc="C4B2687C">
      <w:numFmt w:val="bullet"/>
      <w:lvlText w:val="•"/>
      <w:lvlJc w:val="left"/>
      <w:pPr>
        <w:ind w:left="4021" w:hanging="128"/>
      </w:pPr>
      <w:rPr>
        <w:rFonts w:hint="default"/>
        <w:lang w:val="vi" w:eastAsia="en-US" w:bidi="ar-SA"/>
      </w:rPr>
    </w:lvl>
  </w:abstractNum>
  <w:abstractNum w:abstractNumId="22" w15:restartNumberingAfterBreak="0">
    <w:nsid w:val="511A211F"/>
    <w:multiLevelType w:val="multilevel"/>
    <w:tmpl w:val="948A1D48"/>
    <w:lvl w:ilvl="0">
      <w:start w:val="2"/>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3" w15:restartNumberingAfterBreak="0">
    <w:nsid w:val="532F6954"/>
    <w:multiLevelType w:val="hybridMultilevel"/>
    <w:tmpl w:val="F70E6B22"/>
    <w:lvl w:ilvl="0" w:tplc="6254CA2C">
      <w:start w:val="1"/>
      <w:numFmt w:val="lowerRoman"/>
      <w:lvlText w:val="(%1)"/>
      <w:lvlJc w:val="left"/>
      <w:pPr>
        <w:ind w:left="162" w:hanging="348"/>
      </w:pPr>
      <w:rPr>
        <w:rFonts w:ascii="Times New Roman" w:eastAsia="Times New Roman" w:hAnsi="Times New Roman" w:cs="Times New Roman" w:hint="default"/>
        <w:b w:val="0"/>
        <w:bCs w:val="0"/>
        <w:i w:val="0"/>
        <w:iCs w:val="0"/>
        <w:spacing w:val="0"/>
        <w:w w:val="100"/>
        <w:sz w:val="28"/>
        <w:szCs w:val="28"/>
        <w:lang w:val="vi" w:eastAsia="en-US" w:bidi="ar-SA"/>
      </w:rPr>
    </w:lvl>
    <w:lvl w:ilvl="1" w:tplc="837828E0">
      <w:numFmt w:val="bullet"/>
      <w:lvlText w:val="•"/>
      <w:lvlJc w:val="left"/>
      <w:pPr>
        <w:ind w:left="1082" w:hanging="348"/>
      </w:pPr>
      <w:rPr>
        <w:rFonts w:hint="default"/>
        <w:lang w:val="vi" w:eastAsia="en-US" w:bidi="ar-SA"/>
      </w:rPr>
    </w:lvl>
    <w:lvl w:ilvl="2" w:tplc="949CA3FA">
      <w:numFmt w:val="bullet"/>
      <w:lvlText w:val="•"/>
      <w:lvlJc w:val="left"/>
      <w:pPr>
        <w:ind w:left="2005" w:hanging="348"/>
      </w:pPr>
      <w:rPr>
        <w:rFonts w:hint="default"/>
        <w:lang w:val="vi" w:eastAsia="en-US" w:bidi="ar-SA"/>
      </w:rPr>
    </w:lvl>
    <w:lvl w:ilvl="3" w:tplc="4E0EF3C0">
      <w:numFmt w:val="bullet"/>
      <w:lvlText w:val="•"/>
      <w:lvlJc w:val="left"/>
      <w:pPr>
        <w:ind w:left="2927" w:hanging="348"/>
      </w:pPr>
      <w:rPr>
        <w:rFonts w:hint="default"/>
        <w:lang w:val="vi" w:eastAsia="en-US" w:bidi="ar-SA"/>
      </w:rPr>
    </w:lvl>
    <w:lvl w:ilvl="4" w:tplc="C532A112">
      <w:numFmt w:val="bullet"/>
      <w:lvlText w:val="•"/>
      <w:lvlJc w:val="left"/>
      <w:pPr>
        <w:ind w:left="3850" w:hanging="348"/>
      </w:pPr>
      <w:rPr>
        <w:rFonts w:hint="default"/>
        <w:lang w:val="vi" w:eastAsia="en-US" w:bidi="ar-SA"/>
      </w:rPr>
    </w:lvl>
    <w:lvl w:ilvl="5" w:tplc="C8C23A64">
      <w:numFmt w:val="bullet"/>
      <w:lvlText w:val="•"/>
      <w:lvlJc w:val="left"/>
      <w:pPr>
        <w:ind w:left="4773" w:hanging="348"/>
      </w:pPr>
      <w:rPr>
        <w:rFonts w:hint="default"/>
        <w:lang w:val="vi" w:eastAsia="en-US" w:bidi="ar-SA"/>
      </w:rPr>
    </w:lvl>
    <w:lvl w:ilvl="6" w:tplc="745C6342">
      <w:numFmt w:val="bullet"/>
      <w:lvlText w:val="•"/>
      <w:lvlJc w:val="left"/>
      <w:pPr>
        <w:ind w:left="5695" w:hanging="348"/>
      </w:pPr>
      <w:rPr>
        <w:rFonts w:hint="default"/>
        <w:lang w:val="vi" w:eastAsia="en-US" w:bidi="ar-SA"/>
      </w:rPr>
    </w:lvl>
    <w:lvl w:ilvl="7" w:tplc="768EA184">
      <w:numFmt w:val="bullet"/>
      <w:lvlText w:val="•"/>
      <w:lvlJc w:val="left"/>
      <w:pPr>
        <w:ind w:left="6618" w:hanging="348"/>
      </w:pPr>
      <w:rPr>
        <w:rFonts w:hint="default"/>
        <w:lang w:val="vi" w:eastAsia="en-US" w:bidi="ar-SA"/>
      </w:rPr>
    </w:lvl>
    <w:lvl w:ilvl="8" w:tplc="C4FEC758">
      <w:numFmt w:val="bullet"/>
      <w:lvlText w:val="•"/>
      <w:lvlJc w:val="left"/>
      <w:pPr>
        <w:ind w:left="7541" w:hanging="348"/>
      </w:pPr>
      <w:rPr>
        <w:rFonts w:hint="default"/>
        <w:lang w:val="vi" w:eastAsia="en-US" w:bidi="ar-SA"/>
      </w:rPr>
    </w:lvl>
  </w:abstractNum>
  <w:abstractNum w:abstractNumId="24" w15:restartNumberingAfterBreak="0">
    <w:nsid w:val="5BED51A0"/>
    <w:multiLevelType w:val="hybridMultilevel"/>
    <w:tmpl w:val="2396A0F4"/>
    <w:lvl w:ilvl="0" w:tplc="82B246E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31B4B95"/>
    <w:multiLevelType w:val="hybridMultilevel"/>
    <w:tmpl w:val="A6F6D354"/>
    <w:lvl w:ilvl="0" w:tplc="AC2E0EE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3C3D17"/>
    <w:multiLevelType w:val="hybridMultilevel"/>
    <w:tmpl w:val="AA90F500"/>
    <w:lvl w:ilvl="0" w:tplc="834A13E8">
      <w:start w:val="5"/>
      <w:numFmt w:val="upperRoman"/>
      <w:lvlText w:val="%1."/>
      <w:lvlJc w:val="left"/>
      <w:pPr>
        <w:ind w:left="1269" w:hanging="418"/>
      </w:pPr>
      <w:rPr>
        <w:rFonts w:ascii="Times New Roman" w:eastAsia="Times New Roman" w:hAnsi="Times New Roman" w:cs="Times New Roman" w:hint="default"/>
        <w:b/>
        <w:bCs/>
        <w:i w:val="0"/>
        <w:iCs w:val="0"/>
        <w:spacing w:val="-2"/>
        <w:w w:val="100"/>
        <w:sz w:val="28"/>
        <w:szCs w:val="28"/>
        <w:lang w:val="vi" w:eastAsia="en-US" w:bidi="ar-SA"/>
      </w:rPr>
    </w:lvl>
    <w:lvl w:ilvl="1" w:tplc="FE6E8DF8">
      <w:start w:val="1"/>
      <w:numFmt w:val="decimal"/>
      <w:lvlText w:val="%2."/>
      <w:lvlJc w:val="left"/>
      <w:pPr>
        <w:ind w:left="1269" w:hanging="312"/>
      </w:pPr>
      <w:rPr>
        <w:rFonts w:ascii="Times New Roman" w:eastAsia="Times New Roman" w:hAnsi="Times New Roman" w:cs="Times New Roman" w:hint="default"/>
        <w:b/>
        <w:bCs/>
        <w:i w:val="0"/>
        <w:iCs w:val="0"/>
        <w:spacing w:val="0"/>
        <w:w w:val="100"/>
        <w:sz w:val="28"/>
        <w:szCs w:val="28"/>
        <w:lang w:val="vi" w:eastAsia="en-US" w:bidi="ar-SA"/>
      </w:rPr>
    </w:lvl>
    <w:lvl w:ilvl="2" w:tplc="DB8C4416">
      <w:numFmt w:val="bullet"/>
      <w:lvlText w:val="•"/>
      <w:lvlJc w:val="left"/>
      <w:pPr>
        <w:ind w:left="3112" w:hanging="312"/>
      </w:pPr>
      <w:rPr>
        <w:rFonts w:hint="default"/>
        <w:lang w:val="vi" w:eastAsia="en-US" w:bidi="ar-SA"/>
      </w:rPr>
    </w:lvl>
    <w:lvl w:ilvl="3" w:tplc="96EED3B8">
      <w:numFmt w:val="bullet"/>
      <w:lvlText w:val="•"/>
      <w:lvlJc w:val="left"/>
      <w:pPr>
        <w:ind w:left="4034" w:hanging="312"/>
      </w:pPr>
      <w:rPr>
        <w:rFonts w:hint="default"/>
        <w:lang w:val="vi" w:eastAsia="en-US" w:bidi="ar-SA"/>
      </w:rPr>
    </w:lvl>
    <w:lvl w:ilvl="4" w:tplc="D1040B74">
      <w:numFmt w:val="bullet"/>
      <w:lvlText w:val="•"/>
      <w:lvlJc w:val="left"/>
      <w:pPr>
        <w:ind w:left="4957" w:hanging="312"/>
      </w:pPr>
      <w:rPr>
        <w:rFonts w:hint="default"/>
        <w:lang w:val="vi" w:eastAsia="en-US" w:bidi="ar-SA"/>
      </w:rPr>
    </w:lvl>
    <w:lvl w:ilvl="5" w:tplc="9E9E95D8">
      <w:numFmt w:val="bullet"/>
      <w:lvlText w:val="•"/>
      <w:lvlJc w:val="left"/>
      <w:pPr>
        <w:ind w:left="5880" w:hanging="312"/>
      </w:pPr>
      <w:rPr>
        <w:rFonts w:hint="default"/>
        <w:lang w:val="vi" w:eastAsia="en-US" w:bidi="ar-SA"/>
      </w:rPr>
    </w:lvl>
    <w:lvl w:ilvl="6" w:tplc="06926AB0">
      <w:numFmt w:val="bullet"/>
      <w:lvlText w:val="•"/>
      <w:lvlJc w:val="left"/>
      <w:pPr>
        <w:ind w:left="6802" w:hanging="312"/>
      </w:pPr>
      <w:rPr>
        <w:rFonts w:hint="default"/>
        <w:lang w:val="vi" w:eastAsia="en-US" w:bidi="ar-SA"/>
      </w:rPr>
    </w:lvl>
    <w:lvl w:ilvl="7" w:tplc="5CFCA346">
      <w:numFmt w:val="bullet"/>
      <w:lvlText w:val="•"/>
      <w:lvlJc w:val="left"/>
      <w:pPr>
        <w:ind w:left="7725" w:hanging="312"/>
      </w:pPr>
      <w:rPr>
        <w:rFonts w:hint="default"/>
        <w:lang w:val="vi" w:eastAsia="en-US" w:bidi="ar-SA"/>
      </w:rPr>
    </w:lvl>
    <w:lvl w:ilvl="8" w:tplc="5686C4CC">
      <w:numFmt w:val="bullet"/>
      <w:lvlText w:val="•"/>
      <w:lvlJc w:val="left"/>
      <w:pPr>
        <w:ind w:left="8648" w:hanging="312"/>
      </w:pPr>
      <w:rPr>
        <w:rFonts w:hint="default"/>
        <w:lang w:val="vi" w:eastAsia="en-US" w:bidi="ar-SA"/>
      </w:rPr>
    </w:lvl>
  </w:abstractNum>
  <w:abstractNum w:abstractNumId="27" w15:restartNumberingAfterBreak="0">
    <w:nsid w:val="67B4349D"/>
    <w:multiLevelType w:val="hybridMultilevel"/>
    <w:tmpl w:val="71C2786E"/>
    <w:lvl w:ilvl="0" w:tplc="A704C5DC">
      <w:numFmt w:val="bullet"/>
      <w:lvlText w:val="-"/>
      <w:lvlJc w:val="left"/>
      <w:pPr>
        <w:ind w:left="1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0F486A8">
      <w:numFmt w:val="bullet"/>
      <w:lvlText w:val="•"/>
      <w:lvlJc w:val="left"/>
      <w:pPr>
        <w:ind w:left="1082" w:hanging="173"/>
      </w:pPr>
      <w:rPr>
        <w:rFonts w:hint="default"/>
        <w:lang w:val="vi" w:eastAsia="en-US" w:bidi="ar-SA"/>
      </w:rPr>
    </w:lvl>
    <w:lvl w:ilvl="2" w:tplc="3AD6888C">
      <w:numFmt w:val="bullet"/>
      <w:lvlText w:val="•"/>
      <w:lvlJc w:val="left"/>
      <w:pPr>
        <w:ind w:left="2005" w:hanging="173"/>
      </w:pPr>
      <w:rPr>
        <w:rFonts w:hint="default"/>
        <w:lang w:val="vi" w:eastAsia="en-US" w:bidi="ar-SA"/>
      </w:rPr>
    </w:lvl>
    <w:lvl w:ilvl="3" w:tplc="E1C60696">
      <w:numFmt w:val="bullet"/>
      <w:lvlText w:val="•"/>
      <w:lvlJc w:val="left"/>
      <w:pPr>
        <w:ind w:left="2927" w:hanging="173"/>
      </w:pPr>
      <w:rPr>
        <w:rFonts w:hint="default"/>
        <w:lang w:val="vi" w:eastAsia="en-US" w:bidi="ar-SA"/>
      </w:rPr>
    </w:lvl>
    <w:lvl w:ilvl="4" w:tplc="057CD92E">
      <w:numFmt w:val="bullet"/>
      <w:lvlText w:val="•"/>
      <w:lvlJc w:val="left"/>
      <w:pPr>
        <w:ind w:left="3850" w:hanging="173"/>
      </w:pPr>
      <w:rPr>
        <w:rFonts w:hint="default"/>
        <w:lang w:val="vi" w:eastAsia="en-US" w:bidi="ar-SA"/>
      </w:rPr>
    </w:lvl>
    <w:lvl w:ilvl="5" w:tplc="4E92A46C">
      <w:numFmt w:val="bullet"/>
      <w:lvlText w:val="•"/>
      <w:lvlJc w:val="left"/>
      <w:pPr>
        <w:ind w:left="4773" w:hanging="173"/>
      </w:pPr>
      <w:rPr>
        <w:rFonts w:hint="default"/>
        <w:lang w:val="vi" w:eastAsia="en-US" w:bidi="ar-SA"/>
      </w:rPr>
    </w:lvl>
    <w:lvl w:ilvl="6" w:tplc="439644F0">
      <w:numFmt w:val="bullet"/>
      <w:lvlText w:val="•"/>
      <w:lvlJc w:val="left"/>
      <w:pPr>
        <w:ind w:left="5695" w:hanging="173"/>
      </w:pPr>
      <w:rPr>
        <w:rFonts w:hint="default"/>
        <w:lang w:val="vi" w:eastAsia="en-US" w:bidi="ar-SA"/>
      </w:rPr>
    </w:lvl>
    <w:lvl w:ilvl="7" w:tplc="2DE076C2">
      <w:numFmt w:val="bullet"/>
      <w:lvlText w:val="•"/>
      <w:lvlJc w:val="left"/>
      <w:pPr>
        <w:ind w:left="6618" w:hanging="173"/>
      </w:pPr>
      <w:rPr>
        <w:rFonts w:hint="default"/>
        <w:lang w:val="vi" w:eastAsia="en-US" w:bidi="ar-SA"/>
      </w:rPr>
    </w:lvl>
    <w:lvl w:ilvl="8" w:tplc="7C183E4E">
      <w:numFmt w:val="bullet"/>
      <w:lvlText w:val="•"/>
      <w:lvlJc w:val="left"/>
      <w:pPr>
        <w:ind w:left="7541" w:hanging="173"/>
      </w:pPr>
      <w:rPr>
        <w:rFonts w:hint="default"/>
        <w:lang w:val="vi" w:eastAsia="en-US" w:bidi="ar-SA"/>
      </w:rPr>
    </w:lvl>
  </w:abstractNum>
  <w:abstractNum w:abstractNumId="28" w15:restartNumberingAfterBreak="0">
    <w:nsid w:val="67D77141"/>
    <w:multiLevelType w:val="hybridMultilevel"/>
    <w:tmpl w:val="23AE3A46"/>
    <w:lvl w:ilvl="0" w:tplc="146A6A58">
      <w:start w:val="1"/>
      <w:numFmt w:val="lowerLetter"/>
      <w:lvlText w:val="%1)"/>
      <w:lvlJc w:val="left"/>
      <w:pPr>
        <w:ind w:left="142" w:hanging="317"/>
      </w:pPr>
      <w:rPr>
        <w:rFonts w:ascii="Times New Roman" w:eastAsia="Times New Roman" w:hAnsi="Times New Roman" w:cs="Times New Roman" w:hint="default"/>
        <w:b w:val="0"/>
        <w:bCs w:val="0"/>
        <w:i/>
        <w:iCs/>
        <w:spacing w:val="0"/>
        <w:w w:val="100"/>
        <w:sz w:val="28"/>
        <w:szCs w:val="28"/>
        <w:lang w:val="vi" w:eastAsia="en-US" w:bidi="ar-SA"/>
      </w:rPr>
    </w:lvl>
    <w:lvl w:ilvl="1" w:tplc="38F0BE5A">
      <w:numFmt w:val="bullet"/>
      <w:lvlText w:val="•"/>
      <w:lvlJc w:val="left"/>
      <w:pPr>
        <w:ind w:left="1058" w:hanging="317"/>
      </w:pPr>
      <w:rPr>
        <w:rFonts w:hint="default"/>
        <w:lang w:val="vi" w:eastAsia="en-US" w:bidi="ar-SA"/>
      </w:rPr>
    </w:lvl>
    <w:lvl w:ilvl="2" w:tplc="263E7386">
      <w:numFmt w:val="bullet"/>
      <w:lvlText w:val="•"/>
      <w:lvlJc w:val="left"/>
      <w:pPr>
        <w:ind w:left="1977" w:hanging="317"/>
      </w:pPr>
      <w:rPr>
        <w:rFonts w:hint="default"/>
        <w:lang w:val="vi" w:eastAsia="en-US" w:bidi="ar-SA"/>
      </w:rPr>
    </w:lvl>
    <w:lvl w:ilvl="3" w:tplc="59D82BFE">
      <w:numFmt w:val="bullet"/>
      <w:lvlText w:val="•"/>
      <w:lvlJc w:val="left"/>
      <w:pPr>
        <w:ind w:left="2895" w:hanging="317"/>
      </w:pPr>
      <w:rPr>
        <w:rFonts w:hint="default"/>
        <w:lang w:val="vi" w:eastAsia="en-US" w:bidi="ar-SA"/>
      </w:rPr>
    </w:lvl>
    <w:lvl w:ilvl="4" w:tplc="2B66747E">
      <w:numFmt w:val="bullet"/>
      <w:lvlText w:val="•"/>
      <w:lvlJc w:val="left"/>
      <w:pPr>
        <w:ind w:left="3814" w:hanging="317"/>
      </w:pPr>
      <w:rPr>
        <w:rFonts w:hint="default"/>
        <w:lang w:val="vi" w:eastAsia="en-US" w:bidi="ar-SA"/>
      </w:rPr>
    </w:lvl>
    <w:lvl w:ilvl="5" w:tplc="718C7238">
      <w:numFmt w:val="bullet"/>
      <w:lvlText w:val="•"/>
      <w:lvlJc w:val="left"/>
      <w:pPr>
        <w:ind w:left="4733" w:hanging="317"/>
      </w:pPr>
      <w:rPr>
        <w:rFonts w:hint="default"/>
        <w:lang w:val="vi" w:eastAsia="en-US" w:bidi="ar-SA"/>
      </w:rPr>
    </w:lvl>
    <w:lvl w:ilvl="6" w:tplc="3C04F614">
      <w:numFmt w:val="bullet"/>
      <w:lvlText w:val="•"/>
      <w:lvlJc w:val="left"/>
      <w:pPr>
        <w:ind w:left="5651" w:hanging="317"/>
      </w:pPr>
      <w:rPr>
        <w:rFonts w:hint="default"/>
        <w:lang w:val="vi" w:eastAsia="en-US" w:bidi="ar-SA"/>
      </w:rPr>
    </w:lvl>
    <w:lvl w:ilvl="7" w:tplc="EF2CFC5C">
      <w:numFmt w:val="bullet"/>
      <w:lvlText w:val="•"/>
      <w:lvlJc w:val="left"/>
      <w:pPr>
        <w:ind w:left="6570" w:hanging="317"/>
      </w:pPr>
      <w:rPr>
        <w:rFonts w:hint="default"/>
        <w:lang w:val="vi" w:eastAsia="en-US" w:bidi="ar-SA"/>
      </w:rPr>
    </w:lvl>
    <w:lvl w:ilvl="8" w:tplc="12D24CD2">
      <w:numFmt w:val="bullet"/>
      <w:lvlText w:val="•"/>
      <w:lvlJc w:val="left"/>
      <w:pPr>
        <w:ind w:left="7489" w:hanging="317"/>
      </w:pPr>
      <w:rPr>
        <w:rFonts w:hint="default"/>
        <w:lang w:val="vi" w:eastAsia="en-US" w:bidi="ar-SA"/>
      </w:rPr>
    </w:lvl>
  </w:abstractNum>
  <w:abstractNum w:abstractNumId="29" w15:restartNumberingAfterBreak="0">
    <w:nsid w:val="6AE81711"/>
    <w:multiLevelType w:val="hybridMultilevel"/>
    <w:tmpl w:val="557AAC0C"/>
    <w:lvl w:ilvl="0" w:tplc="D234AE1A">
      <w:start w:val="1"/>
      <w:numFmt w:val="lowerRoman"/>
      <w:lvlText w:val="(%1)"/>
      <w:lvlJc w:val="left"/>
      <w:pPr>
        <w:ind w:left="517" w:hanging="356"/>
      </w:pPr>
      <w:rPr>
        <w:rFonts w:ascii="Times New Roman" w:eastAsia="Times New Roman" w:hAnsi="Times New Roman" w:cs="Times New Roman" w:hint="default"/>
        <w:b w:val="0"/>
        <w:bCs w:val="0"/>
        <w:i w:val="0"/>
        <w:iCs w:val="0"/>
        <w:spacing w:val="0"/>
        <w:w w:val="100"/>
        <w:sz w:val="28"/>
        <w:szCs w:val="28"/>
        <w:lang w:val="vi" w:eastAsia="en-US" w:bidi="ar-SA"/>
      </w:rPr>
    </w:lvl>
    <w:lvl w:ilvl="1" w:tplc="8670122A">
      <w:numFmt w:val="bullet"/>
      <w:lvlText w:val="•"/>
      <w:lvlJc w:val="left"/>
      <w:pPr>
        <w:ind w:left="1406" w:hanging="356"/>
      </w:pPr>
      <w:rPr>
        <w:rFonts w:hint="default"/>
        <w:lang w:val="vi" w:eastAsia="en-US" w:bidi="ar-SA"/>
      </w:rPr>
    </w:lvl>
    <w:lvl w:ilvl="2" w:tplc="25C0C374">
      <w:numFmt w:val="bullet"/>
      <w:lvlText w:val="•"/>
      <w:lvlJc w:val="left"/>
      <w:pPr>
        <w:ind w:left="2293" w:hanging="356"/>
      </w:pPr>
      <w:rPr>
        <w:rFonts w:hint="default"/>
        <w:lang w:val="vi" w:eastAsia="en-US" w:bidi="ar-SA"/>
      </w:rPr>
    </w:lvl>
    <w:lvl w:ilvl="3" w:tplc="BC2461E8">
      <w:numFmt w:val="bullet"/>
      <w:lvlText w:val="•"/>
      <w:lvlJc w:val="left"/>
      <w:pPr>
        <w:ind w:left="3179" w:hanging="356"/>
      </w:pPr>
      <w:rPr>
        <w:rFonts w:hint="default"/>
        <w:lang w:val="vi" w:eastAsia="en-US" w:bidi="ar-SA"/>
      </w:rPr>
    </w:lvl>
    <w:lvl w:ilvl="4" w:tplc="A142CC72">
      <w:numFmt w:val="bullet"/>
      <w:lvlText w:val="•"/>
      <w:lvlJc w:val="left"/>
      <w:pPr>
        <w:ind w:left="4066" w:hanging="356"/>
      </w:pPr>
      <w:rPr>
        <w:rFonts w:hint="default"/>
        <w:lang w:val="vi" w:eastAsia="en-US" w:bidi="ar-SA"/>
      </w:rPr>
    </w:lvl>
    <w:lvl w:ilvl="5" w:tplc="B2366D5C">
      <w:numFmt w:val="bullet"/>
      <w:lvlText w:val="•"/>
      <w:lvlJc w:val="left"/>
      <w:pPr>
        <w:ind w:left="4953" w:hanging="356"/>
      </w:pPr>
      <w:rPr>
        <w:rFonts w:hint="default"/>
        <w:lang w:val="vi" w:eastAsia="en-US" w:bidi="ar-SA"/>
      </w:rPr>
    </w:lvl>
    <w:lvl w:ilvl="6" w:tplc="D0280D6C">
      <w:numFmt w:val="bullet"/>
      <w:lvlText w:val="•"/>
      <w:lvlJc w:val="left"/>
      <w:pPr>
        <w:ind w:left="5839" w:hanging="356"/>
      </w:pPr>
      <w:rPr>
        <w:rFonts w:hint="default"/>
        <w:lang w:val="vi" w:eastAsia="en-US" w:bidi="ar-SA"/>
      </w:rPr>
    </w:lvl>
    <w:lvl w:ilvl="7" w:tplc="645A6BA2">
      <w:numFmt w:val="bullet"/>
      <w:lvlText w:val="•"/>
      <w:lvlJc w:val="left"/>
      <w:pPr>
        <w:ind w:left="6726" w:hanging="356"/>
      </w:pPr>
      <w:rPr>
        <w:rFonts w:hint="default"/>
        <w:lang w:val="vi" w:eastAsia="en-US" w:bidi="ar-SA"/>
      </w:rPr>
    </w:lvl>
    <w:lvl w:ilvl="8" w:tplc="805858F6">
      <w:numFmt w:val="bullet"/>
      <w:lvlText w:val="•"/>
      <w:lvlJc w:val="left"/>
      <w:pPr>
        <w:ind w:left="7613" w:hanging="356"/>
      </w:pPr>
      <w:rPr>
        <w:rFonts w:hint="default"/>
        <w:lang w:val="vi" w:eastAsia="en-US" w:bidi="ar-SA"/>
      </w:rPr>
    </w:lvl>
  </w:abstractNum>
  <w:abstractNum w:abstractNumId="30" w15:restartNumberingAfterBreak="0">
    <w:nsid w:val="6DCC7357"/>
    <w:multiLevelType w:val="hybridMultilevel"/>
    <w:tmpl w:val="21D2E120"/>
    <w:lvl w:ilvl="0" w:tplc="121E592C">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FE8FA8A">
      <w:numFmt w:val="bullet"/>
      <w:lvlText w:val="•"/>
      <w:lvlJc w:val="left"/>
      <w:pPr>
        <w:ind w:left="1058" w:hanging="168"/>
      </w:pPr>
      <w:rPr>
        <w:rFonts w:hint="default"/>
        <w:lang w:val="vi" w:eastAsia="en-US" w:bidi="ar-SA"/>
      </w:rPr>
    </w:lvl>
    <w:lvl w:ilvl="2" w:tplc="46DAAAF8">
      <w:numFmt w:val="bullet"/>
      <w:lvlText w:val="•"/>
      <w:lvlJc w:val="left"/>
      <w:pPr>
        <w:ind w:left="1977" w:hanging="168"/>
      </w:pPr>
      <w:rPr>
        <w:rFonts w:hint="default"/>
        <w:lang w:val="vi" w:eastAsia="en-US" w:bidi="ar-SA"/>
      </w:rPr>
    </w:lvl>
    <w:lvl w:ilvl="3" w:tplc="97483378">
      <w:numFmt w:val="bullet"/>
      <w:lvlText w:val="•"/>
      <w:lvlJc w:val="left"/>
      <w:pPr>
        <w:ind w:left="2895" w:hanging="168"/>
      </w:pPr>
      <w:rPr>
        <w:rFonts w:hint="default"/>
        <w:lang w:val="vi" w:eastAsia="en-US" w:bidi="ar-SA"/>
      </w:rPr>
    </w:lvl>
    <w:lvl w:ilvl="4" w:tplc="F31E88CE">
      <w:numFmt w:val="bullet"/>
      <w:lvlText w:val="•"/>
      <w:lvlJc w:val="left"/>
      <w:pPr>
        <w:ind w:left="3814" w:hanging="168"/>
      </w:pPr>
      <w:rPr>
        <w:rFonts w:hint="default"/>
        <w:lang w:val="vi" w:eastAsia="en-US" w:bidi="ar-SA"/>
      </w:rPr>
    </w:lvl>
    <w:lvl w:ilvl="5" w:tplc="BC686A1A">
      <w:numFmt w:val="bullet"/>
      <w:lvlText w:val="•"/>
      <w:lvlJc w:val="left"/>
      <w:pPr>
        <w:ind w:left="4733" w:hanging="168"/>
      </w:pPr>
      <w:rPr>
        <w:rFonts w:hint="default"/>
        <w:lang w:val="vi" w:eastAsia="en-US" w:bidi="ar-SA"/>
      </w:rPr>
    </w:lvl>
    <w:lvl w:ilvl="6" w:tplc="D92C17D4">
      <w:numFmt w:val="bullet"/>
      <w:lvlText w:val="•"/>
      <w:lvlJc w:val="left"/>
      <w:pPr>
        <w:ind w:left="5651" w:hanging="168"/>
      </w:pPr>
      <w:rPr>
        <w:rFonts w:hint="default"/>
        <w:lang w:val="vi" w:eastAsia="en-US" w:bidi="ar-SA"/>
      </w:rPr>
    </w:lvl>
    <w:lvl w:ilvl="7" w:tplc="9E42BEC0">
      <w:numFmt w:val="bullet"/>
      <w:lvlText w:val="•"/>
      <w:lvlJc w:val="left"/>
      <w:pPr>
        <w:ind w:left="6570" w:hanging="168"/>
      </w:pPr>
      <w:rPr>
        <w:rFonts w:hint="default"/>
        <w:lang w:val="vi" w:eastAsia="en-US" w:bidi="ar-SA"/>
      </w:rPr>
    </w:lvl>
    <w:lvl w:ilvl="8" w:tplc="4400024C">
      <w:numFmt w:val="bullet"/>
      <w:lvlText w:val="•"/>
      <w:lvlJc w:val="left"/>
      <w:pPr>
        <w:ind w:left="7489" w:hanging="168"/>
      </w:pPr>
      <w:rPr>
        <w:rFonts w:hint="default"/>
        <w:lang w:val="vi" w:eastAsia="en-US" w:bidi="ar-SA"/>
      </w:rPr>
    </w:lvl>
  </w:abstractNum>
  <w:abstractNum w:abstractNumId="31" w15:restartNumberingAfterBreak="0">
    <w:nsid w:val="6E173B16"/>
    <w:multiLevelType w:val="multilevel"/>
    <w:tmpl w:val="E056074E"/>
    <w:lvl w:ilvl="0">
      <w:start w:val="3"/>
      <w:numFmt w:val="decimal"/>
      <w:lvlText w:val="%1."/>
      <w:lvlJc w:val="left"/>
      <w:pPr>
        <w:ind w:left="360" w:hanging="360"/>
      </w:pPr>
      <w:rPr>
        <w:rFonts w:hint="default"/>
        <w:sz w:val="22"/>
      </w:rPr>
    </w:lvl>
    <w:lvl w:ilvl="1">
      <w:start w:val="7"/>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32" w15:restartNumberingAfterBreak="0">
    <w:nsid w:val="73ED1FA2"/>
    <w:multiLevelType w:val="multilevel"/>
    <w:tmpl w:val="426A280E"/>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81" w:hanging="471"/>
      </w:pPr>
      <w:rPr>
        <w:rFonts w:ascii="Times New Roman" w:eastAsia="Times New Roman" w:hAnsi="Times New Roman" w:cs="Times New Roman" w:hint="default"/>
        <w:b/>
        <w:bCs/>
        <w:i w:val="0"/>
        <w:iCs/>
        <w:spacing w:val="-6"/>
        <w:w w:val="100"/>
        <w:sz w:val="28"/>
        <w:szCs w:val="28"/>
        <w:lang w:val="vi" w:eastAsia="en-US" w:bidi="ar-SA"/>
      </w:rPr>
    </w:lvl>
    <w:lvl w:ilvl="3">
      <w:numFmt w:val="bullet"/>
      <w:lvlText w:val="-"/>
      <w:lvlJc w:val="left"/>
      <w:pPr>
        <w:ind w:left="3446"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33" w15:restartNumberingAfterBreak="0">
    <w:nsid w:val="783133CE"/>
    <w:multiLevelType w:val="multilevel"/>
    <w:tmpl w:val="777C3B82"/>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5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34" w15:restartNumberingAfterBreak="0">
    <w:nsid w:val="7B6F28EB"/>
    <w:multiLevelType w:val="hybridMultilevel"/>
    <w:tmpl w:val="AB126F7A"/>
    <w:lvl w:ilvl="0" w:tplc="622A5FD4">
      <w:start w:val="3"/>
      <w:numFmt w:val="bullet"/>
      <w:lvlText w:val=""/>
      <w:lvlJc w:val="left"/>
      <w:pPr>
        <w:ind w:left="1217" w:hanging="360"/>
      </w:pPr>
      <w:rPr>
        <w:rFonts w:ascii="Symbol" w:eastAsia="Times New Roman" w:hAnsi="Symbol" w:cs="Times New Roman" w:hint="default"/>
      </w:rPr>
    </w:lvl>
    <w:lvl w:ilvl="1" w:tplc="04090003" w:tentative="1">
      <w:start w:val="1"/>
      <w:numFmt w:val="bullet"/>
      <w:lvlText w:val="o"/>
      <w:lvlJc w:val="left"/>
      <w:pPr>
        <w:ind w:left="1937" w:hanging="360"/>
      </w:pPr>
      <w:rPr>
        <w:rFonts w:ascii="Courier New" w:hAnsi="Courier New" w:cs="Courier New" w:hint="default"/>
      </w:rPr>
    </w:lvl>
    <w:lvl w:ilvl="2" w:tplc="04090005">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num w:numId="1">
    <w:abstractNumId w:val="3"/>
  </w:num>
  <w:num w:numId="2">
    <w:abstractNumId w:val="21"/>
  </w:num>
  <w:num w:numId="3">
    <w:abstractNumId w:val="26"/>
  </w:num>
  <w:num w:numId="4">
    <w:abstractNumId w:val="16"/>
  </w:num>
  <w:num w:numId="5">
    <w:abstractNumId w:val="27"/>
  </w:num>
  <w:num w:numId="6">
    <w:abstractNumId w:val="23"/>
  </w:num>
  <w:num w:numId="7">
    <w:abstractNumId w:val="5"/>
  </w:num>
  <w:num w:numId="8">
    <w:abstractNumId w:val="6"/>
  </w:num>
  <w:num w:numId="9">
    <w:abstractNumId w:val="0"/>
  </w:num>
  <w:num w:numId="10">
    <w:abstractNumId w:val="8"/>
  </w:num>
  <w:num w:numId="11">
    <w:abstractNumId w:val="4"/>
  </w:num>
  <w:num w:numId="12">
    <w:abstractNumId w:val="29"/>
  </w:num>
  <w:num w:numId="13">
    <w:abstractNumId w:val="7"/>
  </w:num>
  <w:num w:numId="14">
    <w:abstractNumId w:val="22"/>
  </w:num>
  <w:num w:numId="15">
    <w:abstractNumId w:val="34"/>
  </w:num>
  <w:num w:numId="16">
    <w:abstractNumId w:val="19"/>
  </w:num>
  <w:num w:numId="17">
    <w:abstractNumId w:val="33"/>
  </w:num>
  <w:num w:numId="18">
    <w:abstractNumId w:val="1"/>
  </w:num>
  <w:num w:numId="19">
    <w:abstractNumId w:val="17"/>
  </w:num>
  <w:num w:numId="20">
    <w:abstractNumId w:val="31"/>
  </w:num>
  <w:num w:numId="21">
    <w:abstractNumId w:val="32"/>
  </w:num>
  <w:num w:numId="22">
    <w:abstractNumId w:val="28"/>
  </w:num>
  <w:num w:numId="23">
    <w:abstractNumId w:val="14"/>
  </w:num>
  <w:num w:numId="24">
    <w:abstractNumId w:val="30"/>
  </w:num>
  <w:num w:numId="25">
    <w:abstractNumId w:val="2"/>
  </w:num>
  <w:num w:numId="26">
    <w:abstractNumId w:val="10"/>
  </w:num>
  <w:num w:numId="27">
    <w:abstractNumId w:val="20"/>
  </w:num>
  <w:num w:numId="28">
    <w:abstractNumId w:val="18"/>
  </w:num>
  <w:num w:numId="29">
    <w:abstractNumId w:val="9"/>
  </w:num>
  <w:num w:numId="30">
    <w:abstractNumId w:val="13"/>
  </w:num>
  <w:num w:numId="31">
    <w:abstractNumId w:val="12"/>
  </w:num>
  <w:num w:numId="32">
    <w:abstractNumId w:val="15"/>
  </w:num>
  <w:num w:numId="33">
    <w:abstractNumId w:val="25"/>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5B"/>
    <w:rsid w:val="000116BB"/>
    <w:rsid w:val="00014569"/>
    <w:rsid w:val="00020DBB"/>
    <w:rsid w:val="00021419"/>
    <w:rsid w:val="00021725"/>
    <w:rsid w:val="000221CD"/>
    <w:rsid w:val="00023194"/>
    <w:rsid w:val="00023D1B"/>
    <w:rsid w:val="00023DB6"/>
    <w:rsid w:val="000244D9"/>
    <w:rsid w:val="00025F80"/>
    <w:rsid w:val="000265A0"/>
    <w:rsid w:val="00030B23"/>
    <w:rsid w:val="000326AA"/>
    <w:rsid w:val="0003325F"/>
    <w:rsid w:val="00035C97"/>
    <w:rsid w:val="0003716D"/>
    <w:rsid w:val="00037DDB"/>
    <w:rsid w:val="00040B00"/>
    <w:rsid w:val="00041983"/>
    <w:rsid w:val="00041D42"/>
    <w:rsid w:val="0004345C"/>
    <w:rsid w:val="000471D4"/>
    <w:rsid w:val="00047B12"/>
    <w:rsid w:val="00050439"/>
    <w:rsid w:val="00052F77"/>
    <w:rsid w:val="00053FB8"/>
    <w:rsid w:val="00056E0B"/>
    <w:rsid w:val="0006217C"/>
    <w:rsid w:val="0006308A"/>
    <w:rsid w:val="00063B5E"/>
    <w:rsid w:val="00064961"/>
    <w:rsid w:val="000704B0"/>
    <w:rsid w:val="00070F42"/>
    <w:rsid w:val="00074DD5"/>
    <w:rsid w:val="000831E7"/>
    <w:rsid w:val="0008460C"/>
    <w:rsid w:val="00084847"/>
    <w:rsid w:val="00085E9B"/>
    <w:rsid w:val="00086C81"/>
    <w:rsid w:val="000937B7"/>
    <w:rsid w:val="00094E10"/>
    <w:rsid w:val="0009590F"/>
    <w:rsid w:val="00096A16"/>
    <w:rsid w:val="000A0FDC"/>
    <w:rsid w:val="000A4A18"/>
    <w:rsid w:val="000A7CA6"/>
    <w:rsid w:val="000B2A92"/>
    <w:rsid w:val="000B7D08"/>
    <w:rsid w:val="000C02CD"/>
    <w:rsid w:val="000C0F20"/>
    <w:rsid w:val="000C32E2"/>
    <w:rsid w:val="000C484F"/>
    <w:rsid w:val="000C5449"/>
    <w:rsid w:val="000C63AC"/>
    <w:rsid w:val="000C77C0"/>
    <w:rsid w:val="000D4180"/>
    <w:rsid w:val="000D4593"/>
    <w:rsid w:val="000D5468"/>
    <w:rsid w:val="000D6531"/>
    <w:rsid w:val="000D76C6"/>
    <w:rsid w:val="000E00C6"/>
    <w:rsid w:val="000E1265"/>
    <w:rsid w:val="000E1ECE"/>
    <w:rsid w:val="000E2A7C"/>
    <w:rsid w:val="000E6118"/>
    <w:rsid w:val="000E659C"/>
    <w:rsid w:val="000F28D9"/>
    <w:rsid w:val="000F4291"/>
    <w:rsid w:val="000F6AA7"/>
    <w:rsid w:val="001010F4"/>
    <w:rsid w:val="0011013C"/>
    <w:rsid w:val="0011578F"/>
    <w:rsid w:val="00120FDE"/>
    <w:rsid w:val="00121AA5"/>
    <w:rsid w:val="00125AA7"/>
    <w:rsid w:val="0012647F"/>
    <w:rsid w:val="00127EF0"/>
    <w:rsid w:val="00132DAE"/>
    <w:rsid w:val="00133068"/>
    <w:rsid w:val="00140E72"/>
    <w:rsid w:val="0014262E"/>
    <w:rsid w:val="00143221"/>
    <w:rsid w:val="00155296"/>
    <w:rsid w:val="001566C8"/>
    <w:rsid w:val="001635B4"/>
    <w:rsid w:val="0016552A"/>
    <w:rsid w:val="00170DE3"/>
    <w:rsid w:val="001742EE"/>
    <w:rsid w:val="001760A4"/>
    <w:rsid w:val="001767BB"/>
    <w:rsid w:val="00180E6E"/>
    <w:rsid w:val="00183711"/>
    <w:rsid w:val="00184A37"/>
    <w:rsid w:val="00186CBD"/>
    <w:rsid w:val="00193239"/>
    <w:rsid w:val="00193C3C"/>
    <w:rsid w:val="0019508B"/>
    <w:rsid w:val="001A027F"/>
    <w:rsid w:val="001A03A6"/>
    <w:rsid w:val="001A210C"/>
    <w:rsid w:val="001A2455"/>
    <w:rsid w:val="001B0F32"/>
    <w:rsid w:val="001B1F4C"/>
    <w:rsid w:val="001B2A57"/>
    <w:rsid w:val="001B6546"/>
    <w:rsid w:val="001C1E3B"/>
    <w:rsid w:val="001C24AE"/>
    <w:rsid w:val="001C33AC"/>
    <w:rsid w:val="001C5DD4"/>
    <w:rsid w:val="001C6235"/>
    <w:rsid w:val="001C765A"/>
    <w:rsid w:val="001D1C1B"/>
    <w:rsid w:val="001D62EF"/>
    <w:rsid w:val="001D7A7D"/>
    <w:rsid w:val="001E1145"/>
    <w:rsid w:val="001E30B2"/>
    <w:rsid w:val="001E51DE"/>
    <w:rsid w:val="001E614E"/>
    <w:rsid w:val="001E64BA"/>
    <w:rsid w:val="001F15BE"/>
    <w:rsid w:val="001F1A2E"/>
    <w:rsid w:val="001F432B"/>
    <w:rsid w:val="001F71B6"/>
    <w:rsid w:val="00201D4B"/>
    <w:rsid w:val="00201E23"/>
    <w:rsid w:val="00205CCF"/>
    <w:rsid w:val="00205F6B"/>
    <w:rsid w:val="00206843"/>
    <w:rsid w:val="00206947"/>
    <w:rsid w:val="002118C7"/>
    <w:rsid w:val="002156D0"/>
    <w:rsid w:val="0021593B"/>
    <w:rsid w:val="00221B04"/>
    <w:rsid w:val="00224090"/>
    <w:rsid w:val="00224B02"/>
    <w:rsid w:val="002317E2"/>
    <w:rsid w:val="002319D5"/>
    <w:rsid w:val="00232C3F"/>
    <w:rsid w:val="002335EA"/>
    <w:rsid w:val="00235890"/>
    <w:rsid w:val="00237A61"/>
    <w:rsid w:val="00240D6C"/>
    <w:rsid w:val="00242125"/>
    <w:rsid w:val="00242AC6"/>
    <w:rsid w:val="00246994"/>
    <w:rsid w:val="002539D2"/>
    <w:rsid w:val="0025624F"/>
    <w:rsid w:val="0026198B"/>
    <w:rsid w:val="0026212A"/>
    <w:rsid w:val="00262FA1"/>
    <w:rsid w:val="0026393E"/>
    <w:rsid w:val="00264912"/>
    <w:rsid w:val="00265423"/>
    <w:rsid w:val="00270A47"/>
    <w:rsid w:val="0027590F"/>
    <w:rsid w:val="00276851"/>
    <w:rsid w:val="00277EA3"/>
    <w:rsid w:val="0028330E"/>
    <w:rsid w:val="00285725"/>
    <w:rsid w:val="00290808"/>
    <w:rsid w:val="00290952"/>
    <w:rsid w:val="0029115A"/>
    <w:rsid w:val="00291E6E"/>
    <w:rsid w:val="0029429E"/>
    <w:rsid w:val="00294E3E"/>
    <w:rsid w:val="00297308"/>
    <w:rsid w:val="002A2596"/>
    <w:rsid w:val="002A4EFC"/>
    <w:rsid w:val="002A623A"/>
    <w:rsid w:val="002A6CB9"/>
    <w:rsid w:val="002A6D59"/>
    <w:rsid w:val="002A7411"/>
    <w:rsid w:val="002B2DA9"/>
    <w:rsid w:val="002B385F"/>
    <w:rsid w:val="002B6926"/>
    <w:rsid w:val="002C0DF1"/>
    <w:rsid w:val="002C10AD"/>
    <w:rsid w:val="002C2083"/>
    <w:rsid w:val="002C2438"/>
    <w:rsid w:val="002C2B66"/>
    <w:rsid w:val="002C3AB1"/>
    <w:rsid w:val="002C3F44"/>
    <w:rsid w:val="002C4DEE"/>
    <w:rsid w:val="002C7BF2"/>
    <w:rsid w:val="002C7E57"/>
    <w:rsid w:val="002D2B69"/>
    <w:rsid w:val="002E1A09"/>
    <w:rsid w:val="002E39F4"/>
    <w:rsid w:val="002E5323"/>
    <w:rsid w:val="002E640A"/>
    <w:rsid w:val="002F47BB"/>
    <w:rsid w:val="00300F1F"/>
    <w:rsid w:val="003018DE"/>
    <w:rsid w:val="00301F1D"/>
    <w:rsid w:val="00304E99"/>
    <w:rsid w:val="003057D6"/>
    <w:rsid w:val="0030656E"/>
    <w:rsid w:val="00306DB2"/>
    <w:rsid w:val="00310F41"/>
    <w:rsid w:val="00313558"/>
    <w:rsid w:val="00314BDF"/>
    <w:rsid w:val="003203AC"/>
    <w:rsid w:val="0032041E"/>
    <w:rsid w:val="003218BD"/>
    <w:rsid w:val="00326A5E"/>
    <w:rsid w:val="00327EAF"/>
    <w:rsid w:val="00331FFF"/>
    <w:rsid w:val="00333547"/>
    <w:rsid w:val="00335338"/>
    <w:rsid w:val="00335B57"/>
    <w:rsid w:val="00343E91"/>
    <w:rsid w:val="00344943"/>
    <w:rsid w:val="00345B19"/>
    <w:rsid w:val="00362111"/>
    <w:rsid w:val="00370086"/>
    <w:rsid w:val="003716EC"/>
    <w:rsid w:val="00372C93"/>
    <w:rsid w:val="0037360D"/>
    <w:rsid w:val="00374CB9"/>
    <w:rsid w:val="00374F84"/>
    <w:rsid w:val="003779F5"/>
    <w:rsid w:val="00380E8B"/>
    <w:rsid w:val="003822C2"/>
    <w:rsid w:val="00382B57"/>
    <w:rsid w:val="00387378"/>
    <w:rsid w:val="00390C81"/>
    <w:rsid w:val="0039280D"/>
    <w:rsid w:val="00392E56"/>
    <w:rsid w:val="00395C7D"/>
    <w:rsid w:val="003979DB"/>
    <w:rsid w:val="003A2098"/>
    <w:rsid w:val="003A24BF"/>
    <w:rsid w:val="003A3237"/>
    <w:rsid w:val="003A54A4"/>
    <w:rsid w:val="003B1BCF"/>
    <w:rsid w:val="003B1EC2"/>
    <w:rsid w:val="003B200D"/>
    <w:rsid w:val="003B2F03"/>
    <w:rsid w:val="003B2F53"/>
    <w:rsid w:val="003B4ECA"/>
    <w:rsid w:val="003C59EB"/>
    <w:rsid w:val="003C6503"/>
    <w:rsid w:val="003C699C"/>
    <w:rsid w:val="003D1922"/>
    <w:rsid w:val="003E23FE"/>
    <w:rsid w:val="003E3192"/>
    <w:rsid w:val="003E3F12"/>
    <w:rsid w:val="003E509F"/>
    <w:rsid w:val="003F0683"/>
    <w:rsid w:val="003F2CB9"/>
    <w:rsid w:val="003F4B91"/>
    <w:rsid w:val="003F4F31"/>
    <w:rsid w:val="00401797"/>
    <w:rsid w:val="0041031A"/>
    <w:rsid w:val="00413C73"/>
    <w:rsid w:val="00415E88"/>
    <w:rsid w:val="00415F50"/>
    <w:rsid w:val="004203CC"/>
    <w:rsid w:val="0042214D"/>
    <w:rsid w:val="00427CB9"/>
    <w:rsid w:val="0043168D"/>
    <w:rsid w:val="004368B6"/>
    <w:rsid w:val="00440BAE"/>
    <w:rsid w:val="00440E25"/>
    <w:rsid w:val="00444E12"/>
    <w:rsid w:val="0044633B"/>
    <w:rsid w:val="00446382"/>
    <w:rsid w:val="004521FA"/>
    <w:rsid w:val="00452609"/>
    <w:rsid w:val="0045374F"/>
    <w:rsid w:val="00454474"/>
    <w:rsid w:val="004574EA"/>
    <w:rsid w:val="00460E57"/>
    <w:rsid w:val="00460FB0"/>
    <w:rsid w:val="0046297A"/>
    <w:rsid w:val="0046464D"/>
    <w:rsid w:val="00467003"/>
    <w:rsid w:val="0047007C"/>
    <w:rsid w:val="004706AB"/>
    <w:rsid w:val="00471B47"/>
    <w:rsid w:val="0047205A"/>
    <w:rsid w:val="00480963"/>
    <w:rsid w:val="004945F3"/>
    <w:rsid w:val="004975E1"/>
    <w:rsid w:val="00497618"/>
    <w:rsid w:val="004A11DF"/>
    <w:rsid w:val="004A1876"/>
    <w:rsid w:val="004A1A2E"/>
    <w:rsid w:val="004A3BCA"/>
    <w:rsid w:val="004A7192"/>
    <w:rsid w:val="004A7ADC"/>
    <w:rsid w:val="004B0CBD"/>
    <w:rsid w:val="004B2F60"/>
    <w:rsid w:val="004B5E78"/>
    <w:rsid w:val="004B5EF4"/>
    <w:rsid w:val="004B66E7"/>
    <w:rsid w:val="004C1204"/>
    <w:rsid w:val="004D48E7"/>
    <w:rsid w:val="004D6036"/>
    <w:rsid w:val="004E2039"/>
    <w:rsid w:val="004E2DE7"/>
    <w:rsid w:val="00500063"/>
    <w:rsid w:val="005016CA"/>
    <w:rsid w:val="00505F4A"/>
    <w:rsid w:val="00506F94"/>
    <w:rsid w:val="00520256"/>
    <w:rsid w:val="0052042B"/>
    <w:rsid w:val="005204CB"/>
    <w:rsid w:val="00523894"/>
    <w:rsid w:val="00523920"/>
    <w:rsid w:val="00525CC5"/>
    <w:rsid w:val="00527D74"/>
    <w:rsid w:val="00530ED8"/>
    <w:rsid w:val="00532C92"/>
    <w:rsid w:val="005347CB"/>
    <w:rsid w:val="005409EB"/>
    <w:rsid w:val="00541073"/>
    <w:rsid w:val="00543B94"/>
    <w:rsid w:val="00546652"/>
    <w:rsid w:val="00550216"/>
    <w:rsid w:val="00564942"/>
    <w:rsid w:val="005666BF"/>
    <w:rsid w:val="00571A97"/>
    <w:rsid w:val="0057235D"/>
    <w:rsid w:val="00572810"/>
    <w:rsid w:val="0057429D"/>
    <w:rsid w:val="005809F0"/>
    <w:rsid w:val="00583543"/>
    <w:rsid w:val="00584783"/>
    <w:rsid w:val="00593CC2"/>
    <w:rsid w:val="00594C19"/>
    <w:rsid w:val="00595602"/>
    <w:rsid w:val="00595B58"/>
    <w:rsid w:val="005A1E48"/>
    <w:rsid w:val="005A403C"/>
    <w:rsid w:val="005A4BAD"/>
    <w:rsid w:val="005A7D63"/>
    <w:rsid w:val="005B0FDF"/>
    <w:rsid w:val="005B10B9"/>
    <w:rsid w:val="005B2AF8"/>
    <w:rsid w:val="005B4DC7"/>
    <w:rsid w:val="005B4E95"/>
    <w:rsid w:val="005B6612"/>
    <w:rsid w:val="005C06E7"/>
    <w:rsid w:val="005C5FF5"/>
    <w:rsid w:val="005C6938"/>
    <w:rsid w:val="005C6D4E"/>
    <w:rsid w:val="005E2122"/>
    <w:rsid w:val="005E435B"/>
    <w:rsid w:val="005E4769"/>
    <w:rsid w:val="005E4F74"/>
    <w:rsid w:val="005E645C"/>
    <w:rsid w:val="005E7409"/>
    <w:rsid w:val="005E7506"/>
    <w:rsid w:val="005E7CCB"/>
    <w:rsid w:val="005F14AD"/>
    <w:rsid w:val="005F1E72"/>
    <w:rsid w:val="005F3EE2"/>
    <w:rsid w:val="005F4533"/>
    <w:rsid w:val="005F526B"/>
    <w:rsid w:val="00601663"/>
    <w:rsid w:val="00601917"/>
    <w:rsid w:val="00602652"/>
    <w:rsid w:val="00604DB5"/>
    <w:rsid w:val="00605356"/>
    <w:rsid w:val="00605D11"/>
    <w:rsid w:val="006070F8"/>
    <w:rsid w:val="00607216"/>
    <w:rsid w:val="00614597"/>
    <w:rsid w:val="00621199"/>
    <w:rsid w:val="006214B1"/>
    <w:rsid w:val="00630E0E"/>
    <w:rsid w:val="00641BFA"/>
    <w:rsid w:val="00642408"/>
    <w:rsid w:val="00642B29"/>
    <w:rsid w:val="00642DC1"/>
    <w:rsid w:val="0064302A"/>
    <w:rsid w:val="00644223"/>
    <w:rsid w:val="00645BF9"/>
    <w:rsid w:val="00645F35"/>
    <w:rsid w:val="00647357"/>
    <w:rsid w:val="0065396D"/>
    <w:rsid w:val="0065455E"/>
    <w:rsid w:val="00655319"/>
    <w:rsid w:val="006626DC"/>
    <w:rsid w:val="0067136F"/>
    <w:rsid w:val="00675E0E"/>
    <w:rsid w:val="006815D9"/>
    <w:rsid w:val="00681DCA"/>
    <w:rsid w:val="0068284E"/>
    <w:rsid w:val="006839A1"/>
    <w:rsid w:val="0068550E"/>
    <w:rsid w:val="006858E0"/>
    <w:rsid w:val="00686DF1"/>
    <w:rsid w:val="006870B3"/>
    <w:rsid w:val="00692FC0"/>
    <w:rsid w:val="00695F17"/>
    <w:rsid w:val="006A0277"/>
    <w:rsid w:val="006A04A7"/>
    <w:rsid w:val="006A2B63"/>
    <w:rsid w:val="006A46C2"/>
    <w:rsid w:val="006B0BE4"/>
    <w:rsid w:val="006B0CF7"/>
    <w:rsid w:val="006B146E"/>
    <w:rsid w:val="006B3B32"/>
    <w:rsid w:val="006B5F5B"/>
    <w:rsid w:val="006B6269"/>
    <w:rsid w:val="006C0CC4"/>
    <w:rsid w:val="006D0D2B"/>
    <w:rsid w:val="006D10D6"/>
    <w:rsid w:val="006D19BE"/>
    <w:rsid w:val="006D22CB"/>
    <w:rsid w:val="006D4B1A"/>
    <w:rsid w:val="006D6229"/>
    <w:rsid w:val="006E0839"/>
    <w:rsid w:val="006E4C83"/>
    <w:rsid w:val="006E5859"/>
    <w:rsid w:val="006F0E8E"/>
    <w:rsid w:val="006F1495"/>
    <w:rsid w:val="006F5AAA"/>
    <w:rsid w:val="00704149"/>
    <w:rsid w:val="00711DC2"/>
    <w:rsid w:val="0071363A"/>
    <w:rsid w:val="0071372B"/>
    <w:rsid w:val="00723E9C"/>
    <w:rsid w:val="00725098"/>
    <w:rsid w:val="0073349D"/>
    <w:rsid w:val="007344EF"/>
    <w:rsid w:val="00735C20"/>
    <w:rsid w:val="00740CA5"/>
    <w:rsid w:val="007438BD"/>
    <w:rsid w:val="0074467F"/>
    <w:rsid w:val="007469CF"/>
    <w:rsid w:val="00750425"/>
    <w:rsid w:val="00751C4E"/>
    <w:rsid w:val="0075575B"/>
    <w:rsid w:val="00757484"/>
    <w:rsid w:val="00757622"/>
    <w:rsid w:val="00761E23"/>
    <w:rsid w:val="007646E7"/>
    <w:rsid w:val="007709DD"/>
    <w:rsid w:val="00771158"/>
    <w:rsid w:val="0077766B"/>
    <w:rsid w:val="00777FFE"/>
    <w:rsid w:val="00782F6D"/>
    <w:rsid w:val="00783484"/>
    <w:rsid w:val="0078615E"/>
    <w:rsid w:val="00786E19"/>
    <w:rsid w:val="00794AEB"/>
    <w:rsid w:val="00795A97"/>
    <w:rsid w:val="00797C64"/>
    <w:rsid w:val="007A33DB"/>
    <w:rsid w:val="007A566D"/>
    <w:rsid w:val="007A6101"/>
    <w:rsid w:val="007B03EE"/>
    <w:rsid w:val="007B1C2D"/>
    <w:rsid w:val="007B30BA"/>
    <w:rsid w:val="007B358E"/>
    <w:rsid w:val="007B4D92"/>
    <w:rsid w:val="007B4F17"/>
    <w:rsid w:val="007C10AB"/>
    <w:rsid w:val="007C3E79"/>
    <w:rsid w:val="007C5DC9"/>
    <w:rsid w:val="007D1461"/>
    <w:rsid w:val="007D1C39"/>
    <w:rsid w:val="007D4126"/>
    <w:rsid w:val="007D5F14"/>
    <w:rsid w:val="007D7AA6"/>
    <w:rsid w:val="007E26F5"/>
    <w:rsid w:val="007E2BD9"/>
    <w:rsid w:val="007E4D74"/>
    <w:rsid w:val="007E678C"/>
    <w:rsid w:val="0080688E"/>
    <w:rsid w:val="00811020"/>
    <w:rsid w:val="00812403"/>
    <w:rsid w:val="0081737D"/>
    <w:rsid w:val="008206A4"/>
    <w:rsid w:val="00821217"/>
    <w:rsid w:val="00822D47"/>
    <w:rsid w:val="00823B17"/>
    <w:rsid w:val="0082569D"/>
    <w:rsid w:val="00825CFE"/>
    <w:rsid w:val="00827684"/>
    <w:rsid w:val="00827AD2"/>
    <w:rsid w:val="00834001"/>
    <w:rsid w:val="00840AFB"/>
    <w:rsid w:val="00842C65"/>
    <w:rsid w:val="0084320A"/>
    <w:rsid w:val="00843A4B"/>
    <w:rsid w:val="008456C2"/>
    <w:rsid w:val="0084615E"/>
    <w:rsid w:val="0085162E"/>
    <w:rsid w:val="00852246"/>
    <w:rsid w:val="00854C44"/>
    <w:rsid w:val="008552DF"/>
    <w:rsid w:val="00860924"/>
    <w:rsid w:val="008610A4"/>
    <w:rsid w:val="00862BFF"/>
    <w:rsid w:val="0086328A"/>
    <w:rsid w:val="0086367E"/>
    <w:rsid w:val="0086506E"/>
    <w:rsid w:val="008657E8"/>
    <w:rsid w:val="00867317"/>
    <w:rsid w:val="00871028"/>
    <w:rsid w:val="00872F5B"/>
    <w:rsid w:val="0087352B"/>
    <w:rsid w:val="00873CFC"/>
    <w:rsid w:val="00876C9B"/>
    <w:rsid w:val="008804D7"/>
    <w:rsid w:val="00880A3E"/>
    <w:rsid w:val="00881316"/>
    <w:rsid w:val="0088166A"/>
    <w:rsid w:val="008826D7"/>
    <w:rsid w:val="008843F8"/>
    <w:rsid w:val="00884DCC"/>
    <w:rsid w:val="008851F4"/>
    <w:rsid w:val="00887C67"/>
    <w:rsid w:val="0089067A"/>
    <w:rsid w:val="00891016"/>
    <w:rsid w:val="008916DC"/>
    <w:rsid w:val="00892AE8"/>
    <w:rsid w:val="00892F9D"/>
    <w:rsid w:val="008A0770"/>
    <w:rsid w:val="008A53BA"/>
    <w:rsid w:val="008A547E"/>
    <w:rsid w:val="008A5EA5"/>
    <w:rsid w:val="008B1C93"/>
    <w:rsid w:val="008B5140"/>
    <w:rsid w:val="008B577D"/>
    <w:rsid w:val="008C0622"/>
    <w:rsid w:val="008C4133"/>
    <w:rsid w:val="008C42B5"/>
    <w:rsid w:val="008C63AC"/>
    <w:rsid w:val="008D367D"/>
    <w:rsid w:val="008D6502"/>
    <w:rsid w:val="008E0845"/>
    <w:rsid w:val="008E13B7"/>
    <w:rsid w:val="008E15EA"/>
    <w:rsid w:val="008E6634"/>
    <w:rsid w:val="008F084D"/>
    <w:rsid w:val="008F1054"/>
    <w:rsid w:val="008F26FC"/>
    <w:rsid w:val="008F5F10"/>
    <w:rsid w:val="008F7935"/>
    <w:rsid w:val="00903182"/>
    <w:rsid w:val="00905527"/>
    <w:rsid w:val="00905722"/>
    <w:rsid w:val="0090682A"/>
    <w:rsid w:val="00910221"/>
    <w:rsid w:val="00922028"/>
    <w:rsid w:val="00922666"/>
    <w:rsid w:val="00924420"/>
    <w:rsid w:val="0092444B"/>
    <w:rsid w:val="00926953"/>
    <w:rsid w:val="00932444"/>
    <w:rsid w:val="00932BDC"/>
    <w:rsid w:val="009341CC"/>
    <w:rsid w:val="00935DCD"/>
    <w:rsid w:val="00940A68"/>
    <w:rsid w:val="009433EA"/>
    <w:rsid w:val="009440FF"/>
    <w:rsid w:val="00954476"/>
    <w:rsid w:val="00955D96"/>
    <w:rsid w:val="009561D4"/>
    <w:rsid w:val="009561DE"/>
    <w:rsid w:val="00956234"/>
    <w:rsid w:val="009726E0"/>
    <w:rsid w:val="00973F55"/>
    <w:rsid w:val="00975DB3"/>
    <w:rsid w:val="00977C76"/>
    <w:rsid w:val="00981FAF"/>
    <w:rsid w:val="00984376"/>
    <w:rsid w:val="0098674B"/>
    <w:rsid w:val="0099200D"/>
    <w:rsid w:val="0099488E"/>
    <w:rsid w:val="00994C80"/>
    <w:rsid w:val="00996733"/>
    <w:rsid w:val="009B3DFD"/>
    <w:rsid w:val="009B6399"/>
    <w:rsid w:val="009B6C74"/>
    <w:rsid w:val="009C0176"/>
    <w:rsid w:val="009D2893"/>
    <w:rsid w:val="009E0E86"/>
    <w:rsid w:val="009E3FD5"/>
    <w:rsid w:val="009F58CF"/>
    <w:rsid w:val="00A00ACC"/>
    <w:rsid w:val="00A067AA"/>
    <w:rsid w:val="00A0714B"/>
    <w:rsid w:val="00A11B56"/>
    <w:rsid w:val="00A14A46"/>
    <w:rsid w:val="00A16612"/>
    <w:rsid w:val="00A221BD"/>
    <w:rsid w:val="00A22C09"/>
    <w:rsid w:val="00A24EE3"/>
    <w:rsid w:val="00A25F5F"/>
    <w:rsid w:val="00A3042D"/>
    <w:rsid w:val="00A361A2"/>
    <w:rsid w:val="00A45572"/>
    <w:rsid w:val="00A536D3"/>
    <w:rsid w:val="00A53EF7"/>
    <w:rsid w:val="00A54F15"/>
    <w:rsid w:val="00A550B9"/>
    <w:rsid w:val="00A5580A"/>
    <w:rsid w:val="00A577F1"/>
    <w:rsid w:val="00A63B55"/>
    <w:rsid w:val="00A64E40"/>
    <w:rsid w:val="00A70FDF"/>
    <w:rsid w:val="00A75916"/>
    <w:rsid w:val="00A8047D"/>
    <w:rsid w:val="00A82B9B"/>
    <w:rsid w:val="00A853BD"/>
    <w:rsid w:val="00A9660D"/>
    <w:rsid w:val="00A97D9C"/>
    <w:rsid w:val="00AA037C"/>
    <w:rsid w:val="00AA284A"/>
    <w:rsid w:val="00AA3DD4"/>
    <w:rsid w:val="00AB0649"/>
    <w:rsid w:val="00AB3B22"/>
    <w:rsid w:val="00AC0FC6"/>
    <w:rsid w:val="00AC119B"/>
    <w:rsid w:val="00AC26CF"/>
    <w:rsid w:val="00AD2982"/>
    <w:rsid w:val="00AD504E"/>
    <w:rsid w:val="00AD52CA"/>
    <w:rsid w:val="00AE03ED"/>
    <w:rsid w:val="00AE1E90"/>
    <w:rsid w:val="00AE271F"/>
    <w:rsid w:val="00AE2781"/>
    <w:rsid w:val="00AE3DA2"/>
    <w:rsid w:val="00AE4792"/>
    <w:rsid w:val="00AE6EFD"/>
    <w:rsid w:val="00AE7834"/>
    <w:rsid w:val="00AF2EA4"/>
    <w:rsid w:val="00AF4331"/>
    <w:rsid w:val="00AF4908"/>
    <w:rsid w:val="00AF540A"/>
    <w:rsid w:val="00AF7277"/>
    <w:rsid w:val="00AF7E43"/>
    <w:rsid w:val="00B02212"/>
    <w:rsid w:val="00B10EA1"/>
    <w:rsid w:val="00B14025"/>
    <w:rsid w:val="00B1528E"/>
    <w:rsid w:val="00B17CC0"/>
    <w:rsid w:val="00B21FE6"/>
    <w:rsid w:val="00B24934"/>
    <w:rsid w:val="00B30C89"/>
    <w:rsid w:val="00B3104C"/>
    <w:rsid w:val="00B33758"/>
    <w:rsid w:val="00B34844"/>
    <w:rsid w:val="00B35437"/>
    <w:rsid w:val="00B41987"/>
    <w:rsid w:val="00B41F53"/>
    <w:rsid w:val="00B45D65"/>
    <w:rsid w:val="00B50B32"/>
    <w:rsid w:val="00B5393B"/>
    <w:rsid w:val="00B560BB"/>
    <w:rsid w:val="00B57C87"/>
    <w:rsid w:val="00B600F5"/>
    <w:rsid w:val="00B636D5"/>
    <w:rsid w:val="00B6375F"/>
    <w:rsid w:val="00B67136"/>
    <w:rsid w:val="00B70582"/>
    <w:rsid w:val="00B71234"/>
    <w:rsid w:val="00B724C8"/>
    <w:rsid w:val="00B76741"/>
    <w:rsid w:val="00B76EC6"/>
    <w:rsid w:val="00B8050C"/>
    <w:rsid w:val="00B8293A"/>
    <w:rsid w:val="00B82CF8"/>
    <w:rsid w:val="00B8359D"/>
    <w:rsid w:val="00B835ED"/>
    <w:rsid w:val="00B86C6B"/>
    <w:rsid w:val="00B91FE8"/>
    <w:rsid w:val="00B936F2"/>
    <w:rsid w:val="00B946B6"/>
    <w:rsid w:val="00B9579D"/>
    <w:rsid w:val="00B97B9D"/>
    <w:rsid w:val="00BA0050"/>
    <w:rsid w:val="00BA4185"/>
    <w:rsid w:val="00BA4984"/>
    <w:rsid w:val="00BA4C23"/>
    <w:rsid w:val="00BB0EDA"/>
    <w:rsid w:val="00BB57CA"/>
    <w:rsid w:val="00BB5F8F"/>
    <w:rsid w:val="00BC0B1F"/>
    <w:rsid w:val="00BC231E"/>
    <w:rsid w:val="00BC29A6"/>
    <w:rsid w:val="00BC4738"/>
    <w:rsid w:val="00BD144E"/>
    <w:rsid w:val="00BD783C"/>
    <w:rsid w:val="00BE005B"/>
    <w:rsid w:val="00BE0339"/>
    <w:rsid w:val="00BE0596"/>
    <w:rsid w:val="00BE0EB4"/>
    <w:rsid w:val="00BE223B"/>
    <w:rsid w:val="00BE6477"/>
    <w:rsid w:val="00BF02E4"/>
    <w:rsid w:val="00BF0DA1"/>
    <w:rsid w:val="00BF77DB"/>
    <w:rsid w:val="00C00E0E"/>
    <w:rsid w:val="00C00E27"/>
    <w:rsid w:val="00C01A20"/>
    <w:rsid w:val="00C02839"/>
    <w:rsid w:val="00C035C6"/>
    <w:rsid w:val="00C0514D"/>
    <w:rsid w:val="00C10501"/>
    <w:rsid w:val="00C12834"/>
    <w:rsid w:val="00C1303B"/>
    <w:rsid w:val="00C135E8"/>
    <w:rsid w:val="00C13E34"/>
    <w:rsid w:val="00C20620"/>
    <w:rsid w:val="00C21D58"/>
    <w:rsid w:val="00C2635E"/>
    <w:rsid w:val="00C26DD1"/>
    <w:rsid w:val="00C32540"/>
    <w:rsid w:val="00C33699"/>
    <w:rsid w:val="00C36A56"/>
    <w:rsid w:val="00C36B7A"/>
    <w:rsid w:val="00C42D2F"/>
    <w:rsid w:val="00C44A86"/>
    <w:rsid w:val="00C50DF9"/>
    <w:rsid w:val="00C513C1"/>
    <w:rsid w:val="00C56680"/>
    <w:rsid w:val="00C63531"/>
    <w:rsid w:val="00C657A9"/>
    <w:rsid w:val="00C6793A"/>
    <w:rsid w:val="00C71B08"/>
    <w:rsid w:val="00C73F42"/>
    <w:rsid w:val="00C74222"/>
    <w:rsid w:val="00C74470"/>
    <w:rsid w:val="00C761CD"/>
    <w:rsid w:val="00C77D42"/>
    <w:rsid w:val="00C8059B"/>
    <w:rsid w:val="00C80694"/>
    <w:rsid w:val="00C81AF0"/>
    <w:rsid w:val="00C82277"/>
    <w:rsid w:val="00C842B5"/>
    <w:rsid w:val="00C84306"/>
    <w:rsid w:val="00C937E0"/>
    <w:rsid w:val="00C94DE8"/>
    <w:rsid w:val="00C95061"/>
    <w:rsid w:val="00CA1A43"/>
    <w:rsid w:val="00CA1B54"/>
    <w:rsid w:val="00CA1C8D"/>
    <w:rsid w:val="00CB1B2C"/>
    <w:rsid w:val="00CB304C"/>
    <w:rsid w:val="00CB62A3"/>
    <w:rsid w:val="00CB7914"/>
    <w:rsid w:val="00CC0FF3"/>
    <w:rsid w:val="00CC14C4"/>
    <w:rsid w:val="00CC3F61"/>
    <w:rsid w:val="00CC45D7"/>
    <w:rsid w:val="00CC5504"/>
    <w:rsid w:val="00CC5D65"/>
    <w:rsid w:val="00CC7D9F"/>
    <w:rsid w:val="00CD5716"/>
    <w:rsid w:val="00CD5E3B"/>
    <w:rsid w:val="00CE2720"/>
    <w:rsid w:val="00CE343B"/>
    <w:rsid w:val="00CE68F7"/>
    <w:rsid w:val="00CE7B82"/>
    <w:rsid w:val="00CF3F6D"/>
    <w:rsid w:val="00CF5CAC"/>
    <w:rsid w:val="00D01121"/>
    <w:rsid w:val="00D0187D"/>
    <w:rsid w:val="00D030EF"/>
    <w:rsid w:val="00D105FA"/>
    <w:rsid w:val="00D11358"/>
    <w:rsid w:val="00D142E3"/>
    <w:rsid w:val="00D16E38"/>
    <w:rsid w:val="00D17CA4"/>
    <w:rsid w:val="00D21DA1"/>
    <w:rsid w:val="00D23B82"/>
    <w:rsid w:val="00D27855"/>
    <w:rsid w:val="00D41B4E"/>
    <w:rsid w:val="00D4251B"/>
    <w:rsid w:val="00D4486D"/>
    <w:rsid w:val="00D45B76"/>
    <w:rsid w:val="00D46610"/>
    <w:rsid w:val="00D50C18"/>
    <w:rsid w:val="00D52846"/>
    <w:rsid w:val="00D546E9"/>
    <w:rsid w:val="00D60E2B"/>
    <w:rsid w:val="00D61FC5"/>
    <w:rsid w:val="00D65FF1"/>
    <w:rsid w:val="00D67200"/>
    <w:rsid w:val="00D701B9"/>
    <w:rsid w:val="00D72972"/>
    <w:rsid w:val="00D75326"/>
    <w:rsid w:val="00D84215"/>
    <w:rsid w:val="00D8618B"/>
    <w:rsid w:val="00D87259"/>
    <w:rsid w:val="00D907FB"/>
    <w:rsid w:val="00D925B4"/>
    <w:rsid w:val="00D92D3C"/>
    <w:rsid w:val="00DA105D"/>
    <w:rsid w:val="00DA19FF"/>
    <w:rsid w:val="00DA3A32"/>
    <w:rsid w:val="00DA3BFB"/>
    <w:rsid w:val="00DA3FFA"/>
    <w:rsid w:val="00DA6DB8"/>
    <w:rsid w:val="00DB0913"/>
    <w:rsid w:val="00DB2DFB"/>
    <w:rsid w:val="00DB69ED"/>
    <w:rsid w:val="00DC0422"/>
    <w:rsid w:val="00DC4675"/>
    <w:rsid w:val="00DC568B"/>
    <w:rsid w:val="00DC6882"/>
    <w:rsid w:val="00DD34B7"/>
    <w:rsid w:val="00DD5333"/>
    <w:rsid w:val="00DE006C"/>
    <w:rsid w:val="00DE1495"/>
    <w:rsid w:val="00DE40D8"/>
    <w:rsid w:val="00DF136A"/>
    <w:rsid w:val="00DF13DF"/>
    <w:rsid w:val="00DF2027"/>
    <w:rsid w:val="00DF2897"/>
    <w:rsid w:val="00DF29BF"/>
    <w:rsid w:val="00DF5F6C"/>
    <w:rsid w:val="00DF6514"/>
    <w:rsid w:val="00E003BA"/>
    <w:rsid w:val="00E0338E"/>
    <w:rsid w:val="00E10D44"/>
    <w:rsid w:val="00E20B66"/>
    <w:rsid w:val="00E22AD1"/>
    <w:rsid w:val="00E23C8D"/>
    <w:rsid w:val="00E2466B"/>
    <w:rsid w:val="00E24D7F"/>
    <w:rsid w:val="00E2508A"/>
    <w:rsid w:val="00E258E5"/>
    <w:rsid w:val="00E312F6"/>
    <w:rsid w:val="00E35293"/>
    <w:rsid w:val="00E406EA"/>
    <w:rsid w:val="00E41FE8"/>
    <w:rsid w:val="00E45078"/>
    <w:rsid w:val="00E55A30"/>
    <w:rsid w:val="00E565AC"/>
    <w:rsid w:val="00E56C7A"/>
    <w:rsid w:val="00E57F49"/>
    <w:rsid w:val="00E57FE8"/>
    <w:rsid w:val="00E644B9"/>
    <w:rsid w:val="00E64CBD"/>
    <w:rsid w:val="00E65C6B"/>
    <w:rsid w:val="00E65D87"/>
    <w:rsid w:val="00E6641C"/>
    <w:rsid w:val="00E66A0B"/>
    <w:rsid w:val="00E7502F"/>
    <w:rsid w:val="00E759D0"/>
    <w:rsid w:val="00E87202"/>
    <w:rsid w:val="00E93C33"/>
    <w:rsid w:val="00E9481C"/>
    <w:rsid w:val="00E94CE4"/>
    <w:rsid w:val="00E94D7C"/>
    <w:rsid w:val="00E9664A"/>
    <w:rsid w:val="00E97B70"/>
    <w:rsid w:val="00EA030A"/>
    <w:rsid w:val="00EA1100"/>
    <w:rsid w:val="00EA19EC"/>
    <w:rsid w:val="00EA304C"/>
    <w:rsid w:val="00EA405D"/>
    <w:rsid w:val="00EA63DF"/>
    <w:rsid w:val="00EB06A7"/>
    <w:rsid w:val="00EB2EE6"/>
    <w:rsid w:val="00EC020A"/>
    <w:rsid w:val="00EC04FE"/>
    <w:rsid w:val="00EC116D"/>
    <w:rsid w:val="00EC33FD"/>
    <w:rsid w:val="00EC65E3"/>
    <w:rsid w:val="00EC66A7"/>
    <w:rsid w:val="00ED4C3F"/>
    <w:rsid w:val="00ED4EC7"/>
    <w:rsid w:val="00ED7A54"/>
    <w:rsid w:val="00ED7DC7"/>
    <w:rsid w:val="00EF24A9"/>
    <w:rsid w:val="00EF352E"/>
    <w:rsid w:val="00EF75A0"/>
    <w:rsid w:val="00F01F4D"/>
    <w:rsid w:val="00F13A2C"/>
    <w:rsid w:val="00F155E4"/>
    <w:rsid w:val="00F16181"/>
    <w:rsid w:val="00F251D8"/>
    <w:rsid w:val="00F40D2B"/>
    <w:rsid w:val="00F41D8E"/>
    <w:rsid w:val="00F438B7"/>
    <w:rsid w:val="00F461B3"/>
    <w:rsid w:val="00F464EF"/>
    <w:rsid w:val="00F4679D"/>
    <w:rsid w:val="00F51282"/>
    <w:rsid w:val="00F516B6"/>
    <w:rsid w:val="00F5318C"/>
    <w:rsid w:val="00F53A6C"/>
    <w:rsid w:val="00F53B32"/>
    <w:rsid w:val="00F54D24"/>
    <w:rsid w:val="00F5515D"/>
    <w:rsid w:val="00F556BC"/>
    <w:rsid w:val="00F60557"/>
    <w:rsid w:val="00F65152"/>
    <w:rsid w:val="00F67B4D"/>
    <w:rsid w:val="00F73614"/>
    <w:rsid w:val="00F74BD3"/>
    <w:rsid w:val="00F75F42"/>
    <w:rsid w:val="00F761C6"/>
    <w:rsid w:val="00F82CD6"/>
    <w:rsid w:val="00F82DAF"/>
    <w:rsid w:val="00F91048"/>
    <w:rsid w:val="00F92F65"/>
    <w:rsid w:val="00F95177"/>
    <w:rsid w:val="00F96ABE"/>
    <w:rsid w:val="00FA0336"/>
    <w:rsid w:val="00FA372C"/>
    <w:rsid w:val="00FA5E4A"/>
    <w:rsid w:val="00FA65D4"/>
    <w:rsid w:val="00FB12B6"/>
    <w:rsid w:val="00FB3844"/>
    <w:rsid w:val="00FB3BB0"/>
    <w:rsid w:val="00FB5380"/>
    <w:rsid w:val="00FC5BF8"/>
    <w:rsid w:val="00FC66ED"/>
    <w:rsid w:val="00FD4DA3"/>
    <w:rsid w:val="00FE23B5"/>
    <w:rsid w:val="00FE521C"/>
    <w:rsid w:val="00FE69EB"/>
    <w:rsid w:val="00FE7538"/>
    <w:rsid w:val="00FE78FC"/>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7F7626"/>
  <w15:docId w15:val="{850011F8-DA58-4C33-BF5B-E4D9929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34"/>
    <w:rPr>
      <w:rFonts w:ascii="Times New Roman" w:eastAsia="Times New Roman" w:hAnsi="Times New Roman" w:cs="Times New Roman"/>
      <w:lang w:val="vi"/>
    </w:rPr>
  </w:style>
  <w:style w:type="paragraph" w:styleId="Heading1">
    <w:name w:val="heading 1"/>
    <w:basedOn w:val="Normal"/>
    <w:uiPriority w:val="9"/>
    <w:qFormat/>
    <w:pPr>
      <w:spacing w:before="12"/>
      <w:ind w:left="162"/>
      <w:outlineLvl w:val="0"/>
    </w:pPr>
    <w:rPr>
      <w:b/>
      <w:bCs/>
      <w:sz w:val="28"/>
      <w:szCs w:val="28"/>
    </w:rPr>
  </w:style>
  <w:style w:type="paragraph" w:styleId="Heading2">
    <w:name w:val="heading 2"/>
    <w:basedOn w:val="Normal"/>
    <w:uiPriority w:val="9"/>
    <w:unhideWhenUsed/>
    <w:qFormat/>
    <w:pPr>
      <w:spacing w:before="97"/>
      <w:ind w:left="1137"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7"/>
      <w:ind w:left="162" w:firstLine="719"/>
      <w:jc w:val="both"/>
    </w:pPr>
    <w:rPr>
      <w:sz w:val="28"/>
      <w:szCs w:val="28"/>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Table Sequen"/>
    <w:basedOn w:val="Normal"/>
    <w:link w:val="ListParagraphChar"/>
    <w:uiPriority w:val="34"/>
    <w:qFormat/>
    <w:pPr>
      <w:spacing w:before="97"/>
      <w:ind w:left="162" w:firstLine="71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A53BA"/>
    <w:rPr>
      <w:rFonts w:ascii="Times New Roman" w:eastAsia="Times New Roman" w:hAnsi="Times New Roman" w:cs="Times New Roman"/>
      <w:sz w:val="28"/>
      <w:szCs w:val="28"/>
      <w:lang w:val="vi"/>
    </w:rPr>
  </w:style>
  <w:style w:type="character" w:styleId="Emphasis">
    <w:name w:val="Emphasis"/>
    <w:basedOn w:val="DefaultParagraphFont"/>
    <w:uiPriority w:val="20"/>
    <w:qFormat/>
    <w:rsid w:val="00843A4B"/>
    <w:rPr>
      <w:i/>
      <w:iCs/>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basedOn w:val="DefaultParagraphFont"/>
    <w:link w:val="FootnoteText"/>
    <w:uiPriority w:val="99"/>
    <w:qFormat/>
    <w:locked/>
    <w:rsid w:val="008916DC"/>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
    <w:basedOn w:val="Normal"/>
    <w:link w:val="FootnoteTextChar"/>
    <w:uiPriority w:val="99"/>
    <w:unhideWhenUsed/>
    <w:qFormat/>
    <w:rsid w:val="008916DC"/>
    <w:pPr>
      <w:widowControl/>
      <w:autoSpaceDE/>
      <w:autoSpaceDN/>
    </w:pPr>
    <w:rPr>
      <w:sz w:val="20"/>
      <w:szCs w:val="20"/>
      <w:lang w:val="en-US"/>
    </w:rPr>
  </w:style>
  <w:style w:type="character" w:customStyle="1" w:styleId="FootnoteTextChar1">
    <w:name w:val="Footnote Text Char1"/>
    <w:basedOn w:val="DefaultParagraphFont"/>
    <w:uiPriority w:val="99"/>
    <w:semiHidden/>
    <w:rsid w:val="008916DC"/>
    <w:rPr>
      <w:rFonts w:ascii="Times New Roman" w:eastAsia="Times New Roman" w:hAnsi="Times New Roman" w:cs="Times New Roman"/>
      <w:sz w:val="20"/>
      <w:szCs w:val="20"/>
      <w:lang w:val="vi"/>
    </w:rPr>
  </w:style>
  <w:style w:type="character" w:styleId="FootnoteReference">
    <w:name w:val="footnote reference"/>
    <w:aliases w:val="Footnote,Footnote text,ftref,BVI fnr,BearingPoint,16 Point,Superscript 6 Point,fr,(NECG) Footnote Reference,Footnote + Arial,10 pt,Black,Footnote Text1,f,R,footnote ref,de nota al pie,Footnot,Ref,Footnote text + 13 pt,4_"/>
    <w:link w:val="BVIfnrCharCharChar"/>
    <w:uiPriority w:val="99"/>
    <w:unhideWhenUsed/>
    <w:qFormat/>
    <w:rsid w:val="008916DC"/>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rsid w:val="008916DC"/>
    <w:pPr>
      <w:widowControl/>
      <w:autoSpaceDE/>
      <w:autoSpaceDN/>
      <w:spacing w:after="160" w:line="240" w:lineRule="exact"/>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1D62E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6B5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F5B"/>
    <w:rPr>
      <w:rFonts w:ascii="Segoe UI" w:eastAsia="Times New Roman" w:hAnsi="Segoe UI" w:cs="Segoe UI"/>
      <w:sz w:val="18"/>
      <w:szCs w:val="18"/>
      <w:lang w:val="vi"/>
    </w:rPr>
  </w:style>
  <w:style w:type="paragraph" w:styleId="CommentText">
    <w:name w:val="annotation text"/>
    <w:basedOn w:val="Normal"/>
    <w:link w:val="CommentTextChar"/>
    <w:unhideWhenUsed/>
    <w:rsid w:val="00922666"/>
    <w:pPr>
      <w:widowControl/>
      <w:autoSpaceDE/>
      <w:autoSpaceDN/>
    </w:pPr>
    <w:rPr>
      <w:sz w:val="20"/>
      <w:szCs w:val="20"/>
      <w:lang w:val="en-US"/>
    </w:rPr>
  </w:style>
  <w:style w:type="character" w:customStyle="1" w:styleId="CommentTextChar">
    <w:name w:val="Comment Text Char"/>
    <w:basedOn w:val="DefaultParagraphFont"/>
    <w:link w:val="CommentText"/>
    <w:rsid w:val="00922666"/>
    <w:rPr>
      <w:rFonts w:ascii="Times New Roman" w:eastAsia="Times New Roman" w:hAnsi="Times New Roman" w:cs="Times New Roman"/>
      <w:sz w:val="20"/>
      <w:szCs w:val="20"/>
    </w:rPr>
  </w:style>
  <w:style w:type="character" w:styleId="CommentReference">
    <w:name w:val="annotation reference"/>
    <w:uiPriority w:val="99"/>
    <w:unhideWhenUsed/>
    <w:rsid w:val="00205F6B"/>
    <w:rPr>
      <w:sz w:val="16"/>
      <w:szCs w:val="16"/>
    </w:rPr>
  </w:style>
  <w:style w:type="paragraph" w:styleId="Header">
    <w:name w:val="header"/>
    <w:basedOn w:val="Normal"/>
    <w:link w:val="HeaderChar"/>
    <w:uiPriority w:val="99"/>
    <w:unhideWhenUsed/>
    <w:rsid w:val="00FC66ED"/>
    <w:pPr>
      <w:tabs>
        <w:tab w:val="center" w:pos="4680"/>
        <w:tab w:val="right" w:pos="9360"/>
      </w:tabs>
    </w:pPr>
  </w:style>
  <w:style w:type="character" w:customStyle="1" w:styleId="HeaderChar">
    <w:name w:val="Header Char"/>
    <w:basedOn w:val="DefaultParagraphFont"/>
    <w:link w:val="Header"/>
    <w:uiPriority w:val="99"/>
    <w:rsid w:val="00FC66ED"/>
    <w:rPr>
      <w:rFonts w:ascii="Times New Roman" w:eastAsia="Times New Roman" w:hAnsi="Times New Roman" w:cs="Times New Roman"/>
      <w:lang w:val="vi"/>
    </w:rPr>
  </w:style>
  <w:style w:type="paragraph" w:styleId="Footer">
    <w:name w:val="footer"/>
    <w:basedOn w:val="Normal"/>
    <w:link w:val="FooterChar"/>
    <w:uiPriority w:val="99"/>
    <w:unhideWhenUsed/>
    <w:rsid w:val="00FC66ED"/>
    <w:pPr>
      <w:tabs>
        <w:tab w:val="center" w:pos="4680"/>
        <w:tab w:val="right" w:pos="9360"/>
      </w:tabs>
    </w:pPr>
  </w:style>
  <w:style w:type="character" w:customStyle="1" w:styleId="FooterChar">
    <w:name w:val="Footer Char"/>
    <w:basedOn w:val="DefaultParagraphFont"/>
    <w:link w:val="Footer"/>
    <w:uiPriority w:val="99"/>
    <w:rsid w:val="00FC66ED"/>
    <w:rPr>
      <w:rFonts w:ascii="Times New Roman" w:eastAsia="Times New Roman" w:hAnsi="Times New Roman" w:cs="Times New Roman"/>
      <w:lang w:val="vi"/>
    </w:rPr>
  </w:style>
  <w:style w:type="table" w:styleId="TableGrid">
    <w:name w:val="Table Grid"/>
    <w:basedOn w:val="TableNormal"/>
    <w:uiPriority w:val="59"/>
    <w:rsid w:val="00D23B82"/>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locked/>
    <w:rsid w:val="00686DF1"/>
    <w:rPr>
      <w:rFonts w:ascii=".VnTime" w:hAnsi=".VnTime"/>
      <w:lang w:val="en-US" w:eastAsia="en-US" w:bidi="ar-SA"/>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locked/>
    <w:rsid w:val="0052392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1330">
      <w:bodyDiv w:val="1"/>
      <w:marLeft w:val="0"/>
      <w:marRight w:val="0"/>
      <w:marTop w:val="0"/>
      <w:marBottom w:val="0"/>
      <w:divBdr>
        <w:top w:val="none" w:sz="0" w:space="0" w:color="auto"/>
        <w:left w:val="none" w:sz="0" w:space="0" w:color="auto"/>
        <w:bottom w:val="none" w:sz="0" w:space="0" w:color="auto"/>
        <w:right w:val="none" w:sz="0" w:space="0" w:color="auto"/>
      </w:divBdr>
    </w:div>
    <w:div w:id="143737383">
      <w:bodyDiv w:val="1"/>
      <w:marLeft w:val="0"/>
      <w:marRight w:val="0"/>
      <w:marTop w:val="0"/>
      <w:marBottom w:val="0"/>
      <w:divBdr>
        <w:top w:val="none" w:sz="0" w:space="0" w:color="auto"/>
        <w:left w:val="none" w:sz="0" w:space="0" w:color="auto"/>
        <w:bottom w:val="none" w:sz="0" w:space="0" w:color="auto"/>
        <w:right w:val="none" w:sz="0" w:space="0" w:color="auto"/>
      </w:divBdr>
    </w:div>
    <w:div w:id="193462683">
      <w:bodyDiv w:val="1"/>
      <w:marLeft w:val="0"/>
      <w:marRight w:val="0"/>
      <w:marTop w:val="0"/>
      <w:marBottom w:val="0"/>
      <w:divBdr>
        <w:top w:val="none" w:sz="0" w:space="0" w:color="auto"/>
        <w:left w:val="none" w:sz="0" w:space="0" w:color="auto"/>
        <w:bottom w:val="none" w:sz="0" w:space="0" w:color="auto"/>
        <w:right w:val="none" w:sz="0" w:space="0" w:color="auto"/>
      </w:divBdr>
    </w:div>
    <w:div w:id="291984666">
      <w:bodyDiv w:val="1"/>
      <w:marLeft w:val="0"/>
      <w:marRight w:val="0"/>
      <w:marTop w:val="0"/>
      <w:marBottom w:val="0"/>
      <w:divBdr>
        <w:top w:val="none" w:sz="0" w:space="0" w:color="auto"/>
        <w:left w:val="none" w:sz="0" w:space="0" w:color="auto"/>
        <w:bottom w:val="none" w:sz="0" w:space="0" w:color="auto"/>
        <w:right w:val="none" w:sz="0" w:space="0" w:color="auto"/>
      </w:divBdr>
    </w:div>
    <w:div w:id="487983111">
      <w:bodyDiv w:val="1"/>
      <w:marLeft w:val="0"/>
      <w:marRight w:val="0"/>
      <w:marTop w:val="0"/>
      <w:marBottom w:val="0"/>
      <w:divBdr>
        <w:top w:val="none" w:sz="0" w:space="0" w:color="auto"/>
        <w:left w:val="none" w:sz="0" w:space="0" w:color="auto"/>
        <w:bottom w:val="none" w:sz="0" w:space="0" w:color="auto"/>
        <w:right w:val="none" w:sz="0" w:space="0" w:color="auto"/>
      </w:divBdr>
    </w:div>
    <w:div w:id="515311320">
      <w:bodyDiv w:val="1"/>
      <w:marLeft w:val="0"/>
      <w:marRight w:val="0"/>
      <w:marTop w:val="0"/>
      <w:marBottom w:val="0"/>
      <w:divBdr>
        <w:top w:val="none" w:sz="0" w:space="0" w:color="auto"/>
        <w:left w:val="none" w:sz="0" w:space="0" w:color="auto"/>
        <w:bottom w:val="none" w:sz="0" w:space="0" w:color="auto"/>
        <w:right w:val="none" w:sz="0" w:space="0" w:color="auto"/>
      </w:divBdr>
    </w:div>
    <w:div w:id="590553563">
      <w:bodyDiv w:val="1"/>
      <w:marLeft w:val="0"/>
      <w:marRight w:val="0"/>
      <w:marTop w:val="0"/>
      <w:marBottom w:val="0"/>
      <w:divBdr>
        <w:top w:val="none" w:sz="0" w:space="0" w:color="auto"/>
        <w:left w:val="none" w:sz="0" w:space="0" w:color="auto"/>
        <w:bottom w:val="none" w:sz="0" w:space="0" w:color="auto"/>
        <w:right w:val="none" w:sz="0" w:space="0" w:color="auto"/>
      </w:divBdr>
    </w:div>
    <w:div w:id="611480064">
      <w:bodyDiv w:val="1"/>
      <w:marLeft w:val="0"/>
      <w:marRight w:val="0"/>
      <w:marTop w:val="0"/>
      <w:marBottom w:val="0"/>
      <w:divBdr>
        <w:top w:val="none" w:sz="0" w:space="0" w:color="auto"/>
        <w:left w:val="none" w:sz="0" w:space="0" w:color="auto"/>
        <w:bottom w:val="none" w:sz="0" w:space="0" w:color="auto"/>
        <w:right w:val="none" w:sz="0" w:space="0" w:color="auto"/>
      </w:divBdr>
    </w:div>
    <w:div w:id="656960280">
      <w:bodyDiv w:val="1"/>
      <w:marLeft w:val="0"/>
      <w:marRight w:val="0"/>
      <w:marTop w:val="0"/>
      <w:marBottom w:val="0"/>
      <w:divBdr>
        <w:top w:val="none" w:sz="0" w:space="0" w:color="auto"/>
        <w:left w:val="none" w:sz="0" w:space="0" w:color="auto"/>
        <w:bottom w:val="none" w:sz="0" w:space="0" w:color="auto"/>
        <w:right w:val="none" w:sz="0" w:space="0" w:color="auto"/>
      </w:divBdr>
    </w:div>
    <w:div w:id="685209269">
      <w:bodyDiv w:val="1"/>
      <w:marLeft w:val="0"/>
      <w:marRight w:val="0"/>
      <w:marTop w:val="0"/>
      <w:marBottom w:val="0"/>
      <w:divBdr>
        <w:top w:val="none" w:sz="0" w:space="0" w:color="auto"/>
        <w:left w:val="none" w:sz="0" w:space="0" w:color="auto"/>
        <w:bottom w:val="none" w:sz="0" w:space="0" w:color="auto"/>
        <w:right w:val="none" w:sz="0" w:space="0" w:color="auto"/>
      </w:divBdr>
      <w:divsChild>
        <w:div w:id="1971859105">
          <w:marLeft w:val="0"/>
          <w:marRight w:val="0"/>
          <w:marTop w:val="0"/>
          <w:marBottom w:val="0"/>
          <w:divBdr>
            <w:top w:val="none" w:sz="0" w:space="0" w:color="auto"/>
            <w:left w:val="none" w:sz="0" w:space="0" w:color="auto"/>
            <w:bottom w:val="none" w:sz="0" w:space="0" w:color="auto"/>
            <w:right w:val="none" w:sz="0" w:space="0" w:color="auto"/>
          </w:divBdr>
          <w:divsChild>
            <w:div w:id="416173054">
              <w:marLeft w:val="0"/>
              <w:marRight w:val="0"/>
              <w:marTop w:val="0"/>
              <w:marBottom w:val="0"/>
              <w:divBdr>
                <w:top w:val="none" w:sz="0" w:space="0" w:color="auto"/>
                <w:left w:val="none" w:sz="0" w:space="0" w:color="auto"/>
                <w:bottom w:val="none" w:sz="0" w:space="0" w:color="auto"/>
                <w:right w:val="none" w:sz="0" w:space="0" w:color="auto"/>
              </w:divBdr>
              <w:divsChild>
                <w:div w:id="931426693">
                  <w:marLeft w:val="0"/>
                  <w:marRight w:val="0"/>
                  <w:marTop w:val="0"/>
                  <w:marBottom w:val="0"/>
                  <w:divBdr>
                    <w:top w:val="none" w:sz="0" w:space="0" w:color="auto"/>
                    <w:left w:val="none" w:sz="0" w:space="0" w:color="auto"/>
                    <w:bottom w:val="none" w:sz="0" w:space="0" w:color="auto"/>
                    <w:right w:val="none" w:sz="0" w:space="0" w:color="auto"/>
                  </w:divBdr>
                  <w:divsChild>
                    <w:div w:id="1593395857">
                      <w:marLeft w:val="0"/>
                      <w:marRight w:val="-105"/>
                      <w:marTop w:val="0"/>
                      <w:marBottom w:val="0"/>
                      <w:divBdr>
                        <w:top w:val="none" w:sz="0" w:space="0" w:color="auto"/>
                        <w:left w:val="none" w:sz="0" w:space="0" w:color="auto"/>
                        <w:bottom w:val="none" w:sz="0" w:space="0" w:color="auto"/>
                        <w:right w:val="none" w:sz="0" w:space="0" w:color="auto"/>
                      </w:divBdr>
                      <w:divsChild>
                        <w:div w:id="469175356">
                          <w:marLeft w:val="0"/>
                          <w:marRight w:val="0"/>
                          <w:marTop w:val="0"/>
                          <w:marBottom w:val="0"/>
                          <w:divBdr>
                            <w:top w:val="none" w:sz="0" w:space="0" w:color="auto"/>
                            <w:left w:val="none" w:sz="0" w:space="0" w:color="auto"/>
                            <w:bottom w:val="none" w:sz="0" w:space="0" w:color="auto"/>
                            <w:right w:val="none" w:sz="0" w:space="0" w:color="auto"/>
                          </w:divBdr>
                          <w:divsChild>
                            <w:div w:id="781609578">
                              <w:marLeft w:val="0"/>
                              <w:marRight w:val="0"/>
                              <w:marTop w:val="0"/>
                              <w:marBottom w:val="0"/>
                              <w:divBdr>
                                <w:top w:val="none" w:sz="0" w:space="0" w:color="auto"/>
                                <w:left w:val="none" w:sz="0" w:space="0" w:color="auto"/>
                                <w:bottom w:val="none" w:sz="0" w:space="0" w:color="auto"/>
                                <w:right w:val="none" w:sz="0" w:space="0" w:color="auto"/>
                              </w:divBdr>
                              <w:divsChild>
                                <w:div w:id="32733490">
                                  <w:marLeft w:val="0"/>
                                  <w:marRight w:val="0"/>
                                  <w:marTop w:val="0"/>
                                  <w:marBottom w:val="0"/>
                                  <w:divBdr>
                                    <w:top w:val="none" w:sz="0" w:space="0" w:color="auto"/>
                                    <w:left w:val="none" w:sz="0" w:space="0" w:color="auto"/>
                                    <w:bottom w:val="none" w:sz="0" w:space="0" w:color="auto"/>
                                    <w:right w:val="none" w:sz="0" w:space="0" w:color="auto"/>
                                  </w:divBdr>
                                  <w:divsChild>
                                    <w:div w:id="701058947">
                                      <w:marLeft w:val="750"/>
                                      <w:marRight w:val="0"/>
                                      <w:marTop w:val="0"/>
                                      <w:marBottom w:val="0"/>
                                      <w:divBdr>
                                        <w:top w:val="none" w:sz="0" w:space="0" w:color="auto"/>
                                        <w:left w:val="none" w:sz="0" w:space="0" w:color="auto"/>
                                        <w:bottom w:val="none" w:sz="0" w:space="0" w:color="auto"/>
                                        <w:right w:val="none" w:sz="0" w:space="0" w:color="auto"/>
                                      </w:divBdr>
                                      <w:divsChild>
                                        <w:div w:id="1789659824">
                                          <w:marLeft w:val="0"/>
                                          <w:marRight w:val="0"/>
                                          <w:marTop w:val="0"/>
                                          <w:marBottom w:val="0"/>
                                          <w:divBdr>
                                            <w:top w:val="none" w:sz="0" w:space="0" w:color="auto"/>
                                            <w:left w:val="none" w:sz="0" w:space="0" w:color="auto"/>
                                            <w:bottom w:val="none" w:sz="0" w:space="0" w:color="auto"/>
                                            <w:right w:val="none" w:sz="0" w:space="0" w:color="auto"/>
                                          </w:divBdr>
                                          <w:divsChild>
                                            <w:div w:id="1348017600">
                                              <w:marLeft w:val="0"/>
                                              <w:marRight w:val="0"/>
                                              <w:marTop w:val="0"/>
                                              <w:marBottom w:val="0"/>
                                              <w:divBdr>
                                                <w:top w:val="none" w:sz="0" w:space="0" w:color="auto"/>
                                                <w:left w:val="none" w:sz="0" w:space="0" w:color="auto"/>
                                                <w:bottom w:val="none" w:sz="0" w:space="0" w:color="auto"/>
                                                <w:right w:val="none" w:sz="0" w:space="0" w:color="auto"/>
                                              </w:divBdr>
                                              <w:divsChild>
                                                <w:div w:id="1069957704">
                                                  <w:marLeft w:val="0"/>
                                                  <w:marRight w:val="0"/>
                                                  <w:marTop w:val="0"/>
                                                  <w:marBottom w:val="0"/>
                                                  <w:divBdr>
                                                    <w:top w:val="none" w:sz="0" w:space="0" w:color="auto"/>
                                                    <w:left w:val="none" w:sz="0" w:space="0" w:color="auto"/>
                                                    <w:bottom w:val="none" w:sz="0" w:space="0" w:color="auto"/>
                                                    <w:right w:val="none" w:sz="0" w:space="0" w:color="auto"/>
                                                  </w:divBdr>
                                                  <w:divsChild>
                                                    <w:div w:id="1292134082">
                                                      <w:marLeft w:val="0"/>
                                                      <w:marRight w:val="0"/>
                                                      <w:marTop w:val="0"/>
                                                      <w:marBottom w:val="0"/>
                                                      <w:divBdr>
                                                        <w:top w:val="none" w:sz="0" w:space="0" w:color="auto"/>
                                                        <w:left w:val="none" w:sz="0" w:space="0" w:color="auto"/>
                                                        <w:bottom w:val="none" w:sz="0" w:space="0" w:color="auto"/>
                                                        <w:right w:val="none" w:sz="0" w:space="0" w:color="auto"/>
                                                      </w:divBdr>
                                                      <w:divsChild>
                                                        <w:div w:id="1702125907">
                                                          <w:marLeft w:val="0"/>
                                                          <w:marRight w:val="0"/>
                                                          <w:marTop w:val="0"/>
                                                          <w:marBottom w:val="0"/>
                                                          <w:divBdr>
                                                            <w:top w:val="none" w:sz="0" w:space="0" w:color="auto"/>
                                                            <w:left w:val="none" w:sz="0" w:space="0" w:color="auto"/>
                                                            <w:bottom w:val="none" w:sz="0" w:space="0" w:color="auto"/>
                                                            <w:right w:val="none" w:sz="0" w:space="0" w:color="auto"/>
                                                          </w:divBdr>
                                                          <w:divsChild>
                                                            <w:div w:id="1576209855">
                                                              <w:marLeft w:val="0"/>
                                                              <w:marRight w:val="0"/>
                                                              <w:marTop w:val="0"/>
                                                              <w:marBottom w:val="0"/>
                                                              <w:divBdr>
                                                                <w:top w:val="none" w:sz="0" w:space="0" w:color="auto"/>
                                                                <w:left w:val="none" w:sz="0" w:space="0" w:color="auto"/>
                                                                <w:bottom w:val="none" w:sz="0" w:space="0" w:color="auto"/>
                                                                <w:right w:val="none" w:sz="0" w:space="0" w:color="auto"/>
                                                              </w:divBdr>
                                                              <w:divsChild>
                                                                <w:div w:id="507840210">
                                                                  <w:marLeft w:val="0"/>
                                                                  <w:marRight w:val="0"/>
                                                                  <w:marTop w:val="0"/>
                                                                  <w:marBottom w:val="0"/>
                                                                  <w:divBdr>
                                                                    <w:top w:val="none" w:sz="0" w:space="0" w:color="auto"/>
                                                                    <w:left w:val="none" w:sz="0" w:space="0" w:color="auto"/>
                                                                    <w:bottom w:val="none" w:sz="0" w:space="0" w:color="auto"/>
                                                                    <w:right w:val="none" w:sz="0" w:space="0" w:color="auto"/>
                                                                  </w:divBdr>
                                                                  <w:divsChild>
                                                                    <w:div w:id="657613578">
                                                                      <w:marLeft w:val="0"/>
                                                                      <w:marRight w:val="0"/>
                                                                      <w:marTop w:val="0"/>
                                                                      <w:marBottom w:val="0"/>
                                                                      <w:divBdr>
                                                                        <w:top w:val="none" w:sz="0" w:space="0" w:color="auto"/>
                                                                        <w:left w:val="none" w:sz="0" w:space="0" w:color="auto"/>
                                                                        <w:bottom w:val="none" w:sz="0" w:space="0" w:color="auto"/>
                                                                        <w:right w:val="none" w:sz="0" w:space="0" w:color="auto"/>
                                                                      </w:divBdr>
                                                                      <w:divsChild>
                                                                        <w:div w:id="1328316112">
                                                                          <w:marLeft w:val="0"/>
                                                                          <w:marRight w:val="0"/>
                                                                          <w:marTop w:val="0"/>
                                                                          <w:marBottom w:val="0"/>
                                                                          <w:divBdr>
                                                                            <w:top w:val="none" w:sz="0" w:space="0" w:color="auto"/>
                                                                            <w:left w:val="none" w:sz="0" w:space="0" w:color="auto"/>
                                                                            <w:bottom w:val="none" w:sz="0" w:space="0" w:color="auto"/>
                                                                            <w:right w:val="none" w:sz="0" w:space="0" w:color="auto"/>
                                                                          </w:divBdr>
                                                                          <w:divsChild>
                                                                            <w:div w:id="11634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5887">
                                                                  <w:marLeft w:val="0"/>
                                                                  <w:marRight w:val="0"/>
                                                                  <w:marTop w:val="60"/>
                                                                  <w:marBottom w:val="0"/>
                                                                  <w:divBdr>
                                                                    <w:top w:val="none" w:sz="0" w:space="0" w:color="auto"/>
                                                                    <w:left w:val="none" w:sz="0" w:space="0" w:color="auto"/>
                                                                    <w:bottom w:val="none" w:sz="0" w:space="0" w:color="auto"/>
                                                                    <w:right w:val="none" w:sz="0" w:space="0" w:color="auto"/>
                                                                  </w:divBdr>
                                                                </w:div>
                                                                <w:div w:id="844437872">
                                                                  <w:marLeft w:val="0"/>
                                                                  <w:marRight w:val="0"/>
                                                                  <w:marTop w:val="0"/>
                                                                  <w:marBottom w:val="0"/>
                                                                  <w:divBdr>
                                                                    <w:top w:val="none" w:sz="0" w:space="0" w:color="auto"/>
                                                                    <w:left w:val="none" w:sz="0" w:space="0" w:color="auto"/>
                                                                    <w:bottom w:val="none" w:sz="0" w:space="0" w:color="auto"/>
                                                                    <w:right w:val="none" w:sz="0" w:space="0" w:color="auto"/>
                                                                  </w:divBdr>
                                                                  <w:divsChild>
                                                                    <w:div w:id="1476409663">
                                                                      <w:marLeft w:val="0"/>
                                                                      <w:marRight w:val="0"/>
                                                                      <w:marTop w:val="0"/>
                                                                      <w:marBottom w:val="0"/>
                                                                      <w:divBdr>
                                                                        <w:top w:val="none" w:sz="0" w:space="0" w:color="auto"/>
                                                                        <w:left w:val="none" w:sz="0" w:space="0" w:color="auto"/>
                                                                        <w:bottom w:val="none" w:sz="0" w:space="0" w:color="auto"/>
                                                                        <w:right w:val="none" w:sz="0" w:space="0" w:color="auto"/>
                                                                      </w:divBdr>
                                                                      <w:divsChild>
                                                                        <w:div w:id="2086753945">
                                                                          <w:marLeft w:val="0"/>
                                                                          <w:marRight w:val="0"/>
                                                                          <w:marTop w:val="0"/>
                                                                          <w:marBottom w:val="0"/>
                                                                          <w:divBdr>
                                                                            <w:top w:val="none" w:sz="0" w:space="0" w:color="auto"/>
                                                                            <w:left w:val="none" w:sz="0" w:space="0" w:color="auto"/>
                                                                            <w:bottom w:val="none" w:sz="0" w:space="0" w:color="auto"/>
                                                                            <w:right w:val="none" w:sz="0" w:space="0" w:color="auto"/>
                                                                          </w:divBdr>
                                                                          <w:divsChild>
                                                                            <w:div w:id="981234789">
                                                                              <w:marLeft w:val="0"/>
                                                                              <w:marRight w:val="0"/>
                                                                              <w:marTop w:val="0"/>
                                                                              <w:marBottom w:val="0"/>
                                                                              <w:divBdr>
                                                                                <w:top w:val="none" w:sz="0" w:space="0" w:color="auto"/>
                                                                                <w:left w:val="none" w:sz="0" w:space="0" w:color="auto"/>
                                                                                <w:bottom w:val="none" w:sz="0" w:space="0" w:color="auto"/>
                                                                                <w:right w:val="none" w:sz="0" w:space="0" w:color="auto"/>
                                                                              </w:divBdr>
                                                                              <w:divsChild>
                                                                                <w:div w:id="1384404185">
                                                                                  <w:marLeft w:val="105"/>
                                                                                  <w:marRight w:val="105"/>
                                                                                  <w:marTop w:val="90"/>
                                                                                  <w:marBottom w:val="150"/>
                                                                                  <w:divBdr>
                                                                                    <w:top w:val="none" w:sz="0" w:space="0" w:color="auto"/>
                                                                                    <w:left w:val="none" w:sz="0" w:space="0" w:color="auto"/>
                                                                                    <w:bottom w:val="none" w:sz="0" w:space="0" w:color="auto"/>
                                                                                    <w:right w:val="none" w:sz="0" w:space="0" w:color="auto"/>
                                                                                  </w:divBdr>
                                                                                </w:div>
                                                                                <w:div w:id="909266852">
                                                                                  <w:marLeft w:val="105"/>
                                                                                  <w:marRight w:val="105"/>
                                                                                  <w:marTop w:val="90"/>
                                                                                  <w:marBottom w:val="150"/>
                                                                                  <w:divBdr>
                                                                                    <w:top w:val="none" w:sz="0" w:space="0" w:color="auto"/>
                                                                                    <w:left w:val="none" w:sz="0" w:space="0" w:color="auto"/>
                                                                                    <w:bottom w:val="none" w:sz="0" w:space="0" w:color="auto"/>
                                                                                    <w:right w:val="none" w:sz="0" w:space="0" w:color="auto"/>
                                                                                  </w:divBdr>
                                                                                </w:div>
                                                                                <w:div w:id="1427385439">
                                                                                  <w:marLeft w:val="105"/>
                                                                                  <w:marRight w:val="105"/>
                                                                                  <w:marTop w:val="90"/>
                                                                                  <w:marBottom w:val="150"/>
                                                                                  <w:divBdr>
                                                                                    <w:top w:val="none" w:sz="0" w:space="0" w:color="auto"/>
                                                                                    <w:left w:val="none" w:sz="0" w:space="0" w:color="auto"/>
                                                                                    <w:bottom w:val="none" w:sz="0" w:space="0" w:color="auto"/>
                                                                                    <w:right w:val="none" w:sz="0" w:space="0" w:color="auto"/>
                                                                                  </w:divBdr>
                                                                                </w:div>
                                                                                <w:div w:id="1018238788">
                                                                                  <w:marLeft w:val="105"/>
                                                                                  <w:marRight w:val="105"/>
                                                                                  <w:marTop w:val="90"/>
                                                                                  <w:marBottom w:val="150"/>
                                                                                  <w:divBdr>
                                                                                    <w:top w:val="none" w:sz="0" w:space="0" w:color="auto"/>
                                                                                    <w:left w:val="none" w:sz="0" w:space="0" w:color="auto"/>
                                                                                    <w:bottom w:val="none" w:sz="0" w:space="0" w:color="auto"/>
                                                                                    <w:right w:val="none" w:sz="0" w:space="0" w:color="auto"/>
                                                                                  </w:divBdr>
                                                                                </w:div>
                                                                                <w:div w:id="363601267">
                                                                                  <w:marLeft w:val="105"/>
                                                                                  <w:marRight w:val="105"/>
                                                                                  <w:marTop w:val="90"/>
                                                                                  <w:marBottom w:val="150"/>
                                                                                  <w:divBdr>
                                                                                    <w:top w:val="none" w:sz="0" w:space="0" w:color="auto"/>
                                                                                    <w:left w:val="none" w:sz="0" w:space="0" w:color="auto"/>
                                                                                    <w:bottom w:val="none" w:sz="0" w:space="0" w:color="auto"/>
                                                                                    <w:right w:val="none" w:sz="0" w:space="0" w:color="auto"/>
                                                                                  </w:divBdr>
                                                                                </w:div>
                                                                                <w:div w:id="16427333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1102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559183">
          <w:marLeft w:val="0"/>
          <w:marRight w:val="0"/>
          <w:marTop w:val="0"/>
          <w:marBottom w:val="0"/>
          <w:divBdr>
            <w:top w:val="none" w:sz="0" w:space="0" w:color="auto"/>
            <w:left w:val="none" w:sz="0" w:space="0" w:color="auto"/>
            <w:bottom w:val="none" w:sz="0" w:space="0" w:color="auto"/>
            <w:right w:val="none" w:sz="0" w:space="0" w:color="auto"/>
          </w:divBdr>
          <w:divsChild>
            <w:div w:id="532769161">
              <w:marLeft w:val="0"/>
              <w:marRight w:val="0"/>
              <w:marTop w:val="0"/>
              <w:marBottom w:val="0"/>
              <w:divBdr>
                <w:top w:val="none" w:sz="0" w:space="0" w:color="auto"/>
                <w:left w:val="none" w:sz="0" w:space="0" w:color="auto"/>
                <w:bottom w:val="none" w:sz="0" w:space="0" w:color="auto"/>
                <w:right w:val="none" w:sz="0" w:space="0" w:color="auto"/>
              </w:divBdr>
              <w:divsChild>
                <w:div w:id="1727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15324">
      <w:bodyDiv w:val="1"/>
      <w:marLeft w:val="0"/>
      <w:marRight w:val="0"/>
      <w:marTop w:val="0"/>
      <w:marBottom w:val="0"/>
      <w:divBdr>
        <w:top w:val="none" w:sz="0" w:space="0" w:color="auto"/>
        <w:left w:val="none" w:sz="0" w:space="0" w:color="auto"/>
        <w:bottom w:val="none" w:sz="0" w:space="0" w:color="auto"/>
        <w:right w:val="none" w:sz="0" w:space="0" w:color="auto"/>
      </w:divBdr>
    </w:div>
    <w:div w:id="861017131">
      <w:bodyDiv w:val="1"/>
      <w:marLeft w:val="0"/>
      <w:marRight w:val="0"/>
      <w:marTop w:val="0"/>
      <w:marBottom w:val="0"/>
      <w:divBdr>
        <w:top w:val="none" w:sz="0" w:space="0" w:color="auto"/>
        <w:left w:val="none" w:sz="0" w:space="0" w:color="auto"/>
        <w:bottom w:val="none" w:sz="0" w:space="0" w:color="auto"/>
        <w:right w:val="none" w:sz="0" w:space="0" w:color="auto"/>
      </w:divBdr>
    </w:div>
    <w:div w:id="887304824">
      <w:bodyDiv w:val="1"/>
      <w:marLeft w:val="0"/>
      <w:marRight w:val="0"/>
      <w:marTop w:val="0"/>
      <w:marBottom w:val="0"/>
      <w:divBdr>
        <w:top w:val="none" w:sz="0" w:space="0" w:color="auto"/>
        <w:left w:val="none" w:sz="0" w:space="0" w:color="auto"/>
        <w:bottom w:val="none" w:sz="0" w:space="0" w:color="auto"/>
        <w:right w:val="none" w:sz="0" w:space="0" w:color="auto"/>
      </w:divBdr>
    </w:div>
    <w:div w:id="948779788">
      <w:bodyDiv w:val="1"/>
      <w:marLeft w:val="0"/>
      <w:marRight w:val="0"/>
      <w:marTop w:val="0"/>
      <w:marBottom w:val="0"/>
      <w:divBdr>
        <w:top w:val="none" w:sz="0" w:space="0" w:color="auto"/>
        <w:left w:val="none" w:sz="0" w:space="0" w:color="auto"/>
        <w:bottom w:val="none" w:sz="0" w:space="0" w:color="auto"/>
        <w:right w:val="none" w:sz="0" w:space="0" w:color="auto"/>
      </w:divBdr>
    </w:div>
    <w:div w:id="976300940">
      <w:bodyDiv w:val="1"/>
      <w:marLeft w:val="0"/>
      <w:marRight w:val="0"/>
      <w:marTop w:val="0"/>
      <w:marBottom w:val="0"/>
      <w:divBdr>
        <w:top w:val="none" w:sz="0" w:space="0" w:color="auto"/>
        <w:left w:val="none" w:sz="0" w:space="0" w:color="auto"/>
        <w:bottom w:val="none" w:sz="0" w:space="0" w:color="auto"/>
        <w:right w:val="none" w:sz="0" w:space="0" w:color="auto"/>
      </w:divBdr>
    </w:div>
    <w:div w:id="1012025257">
      <w:bodyDiv w:val="1"/>
      <w:marLeft w:val="0"/>
      <w:marRight w:val="0"/>
      <w:marTop w:val="0"/>
      <w:marBottom w:val="0"/>
      <w:divBdr>
        <w:top w:val="none" w:sz="0" w:space="0" w:color="auto"/>
        <w:left w:val="none" w:sz="0" w:space="0" w:color="auto"/>
        <w:bottom w:val="none" w:sz="0" w:space="0" w:color="auto"/>
        <w:right w:val="none" w:sz="0" w:space="0" w:color="auto"/>
      </w:divBdr>
    </w:div>
    <w:div w:id="1051465885">
      <w:bodyDiv w:val="1"/>
      <w:marLeft w:val="0"/>
      <w:marRight w:val="0"/>
      <w:marTop w:val="0"/>
      <w:marBottom w:val="0"/>
      <w:divBdr>
        <w:top w:val="none" w:sz="0" w:space="0" w:color="auto"/>
        <w:left w:val="none" w:sz="0" w:space="0" w:color="auto"/>
        <w:bottom w:val="none" w:sz="0" w:space="0" w:color="auto"/>
        <w:right w:val="none" w:sz="0" w:space="0" w:color="auto"/>
      </w:divBdr>
    </w:div>
    <w:div w:id="1080755667">
      <w:bodyDiv w:val="1"/>
      <w:marLeft w:val="0"/>
      <w:marRight w:val="0"/>
      <w:marTop w:val="0"/>
      <w:marBottom w:val="0"/>
      <w:divBdr>
        <w:top w:val="none" w:sz="0" w:space="0" w:color="auto"/>
        <w:left w:val="none" w:sz="0" w:space="0" w:color="auto"/>
        <w:bottom w:val="none" w:sz="0" w:space="0" w:color="auto"/>
        <w:right w:val="none" w:sz="0" w:space="0" w:color="auto"/>
      </w:divBdr>
    </w:div>
    <w:div w:id="1161313247">
      <w:bodyDiv w:val="1"/>
      <w:marLeft w:val="0"/>
      <w:marRight w:val="0"/>
      <w:marTop w:val="0"/>
      <w:marBottom w:val="0"/>
      <w:divBdr>
        <w:top w:val="none" w:sz="0" w:space="0" w:color="auto"/>
        <w:left w:val="none" w:sz="0" w:space="0" w:color="auto"/>
        <w:bottom w:val="none" w:sz="0" w:space="0" w:color="auto"/>
        <w:right w:val="none" w:sz="0" w:space="0" w:color="auto"/>
      </w:divBdr>
    </w:div>
    <w:div w:id="1246767837">
      <w:bodyDiv w:val="1"/>
      <w:marLeft w:val="0"/>
      <w:marRight w:val="0"/>
      <w:marTop w:val="0"/>
      <w:marBottom w:val="0"/>
      <w:divBdr>
        <w:top w:val="none" w:sz="0" w:space="0" w:color="auto"/>
        <w:left w:val="none" w:sz="0" w:space="0" w:color="auto"/>
        <w:bottom w:val="none" w:sz="0" w:space="0" w:color="auto"/>
        <w:right w:val="none" w:sz="0" w:space="0" w:color="auto"/>
      </w:divBdr>
    </w:div>
    <w:div w:id="1286306377">
      <w:bodyDiv w:val="1"/>
      <w:marLeft w:val="0"/>
      <w:marRight w:val="0"/>
      <w:marTop w:val="0"/>
      <w:marBottom w:val="0"/>
      <w:divBdr>
        <w:top w:val="none" w:sz="0" w:space="0" w:color="auto"/>
        <w:left w:val="none" w:sz="0" w:space="0" w:color="auto"/>
        <w:bottom w:val="none" w:sz="0" w:space="0" w:color="auto"/>
        <w:right w:val="none" w:sz="0" w:space="0" w:color="auto"/>
      </w:divBdr>
    </w:div>
    <w:div w:id="1487431105">
      <w:bodyDiv w:val="1"/>
      <w:marLeft w:val="0"/>
      <w:marRight w:val="0"/>
      <w:marTop w:val="0"/>
      <w:marBottom w:val="0"/>
      <w:divBdr>
        <w:top w:val="none" w:sz="0" w:space="0" w:color="auto"/>
        <w:left w:val="none" w:sz="0" w:space="0" w:color="auto"/>
        <w:bottom w:val="none" w:sz="0" w:space="0" w:color="auto"/>
        <w:right w:val="none" w:sz="0" w:space="0" w:color="auto"/>
      </w:divBdr>
    </w:div>
    <w:div w:id="1647394767">
      <w:bodyDiv w:val="1"/>
      <w:marLeft w:val="0"/>
      <w:marRight w:val="0"/>
      <w:marTop w:val="0"/>
      <w:marBottom w:val="0"/>
      <w:divBdr>
        <w:top w:val="none" w:sz="0" w:space="0" w:color="auto"/>
        <w:left w:val="none" w:sz="0" w:space="0" w:color="auto"/>
        <w:bottom w:val="none" w:sz="0" w:space="0" w:color="auto"/>
        <w:right w:val="none" w:sz="0" w:space="0" w:color="auto"/>
      </w:divBdr>
    </w:div>
    <w:div w:id="1680038032">
      <w:bodyDiv w:val="1"/>
      <w:marLeft w:val="0"/>
      <w:marRight w:val="0"/>
      <w:marTop w:val="0"/>
      <w:marBottom w:val="0"/>
      <w:divBdr>
        <w:top w:val="none" w:sz="0" w:space="0" w:color="auto"/>
        <w:left w:val="none" w:sz="0" w:space="0" w:color="auto"/>
        <w:bottom w:val="none" w:sz="0" w:space="0" w:color="auto"/>
        <w:right w:val="none" w:sz="0" w:space="0" w:color="auto"/>
      </w:divBdr>
    </w:div>
    <w:div w:id="1702590804">
      <w:bodyDiv w:val="1"/>
      <w:marLeft w:val="0"/>
      <w:marRight w:val="0"/>
      <w:marTop w:val="0"/>
      <w:marBottom w:val="0"/>
      <w:divBdr>
        <w:top w:val="none" w:sz="0" w:space="0" w:color="auto"/>
        <w:left w:val="none" w:sz="0" w:space="0" w:color="auto"/>
        <w:bottom w:val="none" w:sz="0" w:space="0" w:color="auto"/>
        <w:right w:val="none" w:sz="0" w:space="0" w:color="auto"/>
      </w:divBdr>
    </w:div>
    <w:div w:id="1722554570">
      <w:bodyDiv w:val="1"/>
      <w:marLeft w:val="0"/>
      <w:marRight w:val="0"/>
      <w:marTop w:val="0"/>
      <w:marBottom w:val="0"/>
      <w:divBdr>
        <w:top w:val="none" w:sz="0" w:space="0" w:color="auto"/>
        <w:left w:val="none" w:sz="0" w:space="0" w:color="auto"/>
        <w:bottom w:val="none" w:sz="0" w:space="0" w:color="auto"/>
        <w:right w:val="none" w:sz="0" w:space="0" w:color="auto"/>
      </w:divBdr>
    </w:div>
    <w:div w:id="1727798438">
      <w:bodyDiv w:val="1"/>
      <w:marLeft w:val="0"/>
      <w:marRight w:val="0"/>
      <w:marTop w:val="0"/>
      <w:marBottom w:val="0"/>
      <w:divBdr>
        <w:top w:val="none" w:sz="0" w:space="0" w:color="auto"/>
        <w:left w:val="none" w:sz="0" w:space="0" w:color="auto"/>
        <w:bottom w:val="none" w:sz="0" w:space="0" w:color="auto"/>
        <w:right w:val="none" w:sz="0" w:space="0" w:color="auto"/>
      </w:divBdr>
    </w:div>
    <w:div w:id="1820682968">
      <w:bodyDiv w:val="1"/>
      <w:marLeft w:val="0"/>
      <w:marRight w:val="0"/>
      <w:marTop w:val="0"/>
      <w:marBottom w:val="0"/>
      <w:divBdr>
        <w:top w:val="none" w:sz="0" w:space="0" w:color="auto"/>
        <w:left w:val="none" w:sz="0" w:space="0" w:color="auto"/>
        <w:bottom w:val="none" w:sz="0" w:space="0" w:color="auto"/>
        <w:right w:val="none" w:sz="0" w:space="0" w:color="auto"/>
      </w:divBdr>
    </w:div>
    <w:div w:id="1872765530">
      <w:bodyDiv w:val="1"/>
      <w:marLeft w:val="0"/>
      <w:marRight w:val="0"/>
      <w:marTop w:val="0"/>
      <w:marBottom w:val="0"/>
      <w:divBdr>
        <w:top w:val="none" w:sz="0" w:space="0" w:color="auto"/>
        <w:left w:val="none" w:sz="0" w:space="0" w:color="auto"/>
        <w:bottom w:val="none" w:sz="0" w:space="0" w:color="auto"/>
        <w:right w:val="none" w:sz="0" w:space="0" w:color="auto"/>
      </w:divBdr>
    </w:div>
    <w:div w:id="194171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5236-E076-4116-B2CB-201F1C42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4499</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BÁO CÁO TÌNH HÌNH PHÁT HÀNH TRÁI PHIẾU DOANH NGHIỆP THEO NGHỊ ĐỊNH 52/2006/NĐ-CP NGÀY 19/5/2006 CỦA CHÍNH PHỦ</vt:lpstr>
    </vt:vector>
  </TitlesOfParts>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PHÁT HÀNH TRÁI PHIẾU DOANH NGHIỆP THEO NGHỊ ĐỊNH 52/2006/NĐ-CP NGÀY 19/5/2006 CỦA CHÍNH PHỦ</dc:title>
  <dc:creator>Do Duc Minh</dc:creator>
  <cp:lastModifiedBy>Vu Phi Van - QLCB</cp:lastModifiedBy>
  <cp:revision>58</cp:revision>
  <cp:lastPrinted>2026-05-14T08:18:00Z</cp:lastPrinted>
  <dcterms:created xsi:type="dcterms:W3CDTF">2025-12-17T04:48:00Z</dcterms:created>
  <dcterms:modified xsi:type="dcterms:W3CDTF">2026-05-14T08:19:00Z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Office Word 2007</vt:lpwstr>
  </property>
  <property fmtid="{D5CDD505-2E9C-101B-9397-08002B2CF9AE}" pid="4" name="LastSaved">
    <vt:filetime>2025-09-24T00:00:00Z</vt:filetime>
  </property>
  <property fmtid="{D5CDD505-2E9C-101B-9397-08002B2CF9AE}" pid="5" name="Producer">
    <vt:lpwstr>Microsoft® Office Word 2007</vt:lpwstr>
  </property>
</Properties>
</file>