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16" w:type="dxa"/>
        <w:tblInd w:w="-106" w:type="dxa"/>
        <w:tblLayout w:type="fixed"/>
        <w:tblLook w:val="0000" w:firstRow="0" w:lastRow="0" w:firstColumn="0" w:lastColumn="0" w:noHBand="0" w:noVBand="0"/>
      </w:tblPr>
      <w:tblGrid>
        <w:gridCol w:w="3475"/>
        <w:gridCol w:w="6041"/>
      </w:tblGrid>
      <w:tr w:rsidR="00C34A87" w:rsidRPr="00E91E50" w14:paraId="4E31E092" w14:textId="77777777" w:rsidTr="00C34A87">
        <w:trPr>
          <w:trHeight w:val="800"/>
        </w:trPr>
        <w:tc>
          <w:tcPr>
            <w:tcW w:w="3475" w:type="dxa"/>
          </w:tcPr>
          <w:bookmarkStart w:id="0" w:name="dieu_18"/>
          <w:bookmarkStart w:id="1" w:name="dieu_20"/>
          <w:p w14:paraId="309A00F8" w14:textId="5D12E524" w:rsidR="00C34A87" w:rsidRPr="00E91E50" w:rsidRDefault="00C34A87" w:rsidP="00581A98">
            <w:pPr>
              <w:jc w:val="center"/>
              <w:rPr>
                <w:rFonts w:ascii="Times New Roman" w:hAnsi="Times New Roman" w:cs="Times New Roman"/>
                <w:b/>
                <w:sz w:val="26"/>
                <w:szCs w:val="26"/>
                <w:lang w:val="vi-VN"/>
              </w:rPr>
            </w:pPr>
            <w:r w:rsidRPr="00E91E50">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2311658B" wp14:editId="1A770489">
                      <wp:simplePos x="0" y="0"/>
                      <wp:positionH relativeFrom="column">
                        <wp:posOffset>567055</wp:posOffset>
                      </wp:positionH>
                      <wp:positionV relativeFrom="paragraph">
                        <wp:posOffset>288925</wp:posOffset>
                      </wp:positionV>
                      <wp:extent cx="9334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3D2D7"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65pt,22.75pt" to="118.1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"/>
                  </w:pict>
                </mc:Fallback>
              </mc:AlternateContent>
            </w:r>
            <w:r w:rsidRPr="00E91E50">
              <w:rPr>
                <w:rFonts w:ascii="Times New Roman" w:hAnsi="Times New Roman" w:cs="Times New Roman"/>
                <w:sz w:val="2"/>
                <w:lang w:val="vi-VN"/>
              </w:rPr>
              <w:br w:type="page"/>
            </w:r>
            <w:r w:rsidRPr="00E91E50">
              <w:rPr>
                <w:rFonts w:ascii="Times New Roman" w:hAnsi="Times New Roman" w:cs="Times New Roman"/>
                <w:b/>
                <w:sz w:val="26"/>
                <w:szCs w:val="26"/>
                <w:lang w:val="vi-VN"/>
              </w:rPr>
              <w:t>BỘ TÀI CHÍNH</w:t>
            </w:r>
          </w:p>
          <w:p w14:paraId="1F23F10E" w14:textId="1077C024" w:rsidR="00C34A87" w:rsidRPr="00E91E50" w:rsidRDefault="00C34A87" w:rsidP="00581A98">
            <w:pPr>
              <w:jc w:val="center"/>
              <w:rPr>
                <w:rFonts w:ascii="Times New Roman" w:hAnsi="Times New Roman" w:cs="Times New Roman"/>
                <w:sz w:val="26"/>
                <w:lang w:val="vi-VN"/>
              </w:rPr>
            </w:pPr>
          </w:p>
          <w:p w14:paraId="6D03DA14" w14:textId="77777777" w:rsidR="00C34A87" w:rsidRPr="00E91E50" w:rsidRDefault="00C34A87" w:rsidP="00581A98">
            <w:pPr>
              <w:jc w:val="center"/>
              <w:rPr>
                <w:rFonts w:ascii="Times New Roman" w:hAnsi="Times New Roman" w:cs="Times New Roman"/>
                <w:sz w:val="26"/>
                <w:szCs w:val="26"/>
              </w:rPr>
            </w:pPr>
            <w:r w:rsidRPr="00E91E50">
              <w:rPr>
                <w:rFonts w:ascii="Times New Roman" w:hAnsi="Times New Roman" w:cs="Times New Roman"/>
                <w:sz w:val="26"/>
                <w:szCs w:val="26"/>
                <w:lang w:val="vi-VN"/>
              </w:rPr>
              <w:t>Số:</w:t>
            </w:r>
            <w:r w:rsidRPr="00E91E50">
              <w:rPr>
                <w:rFonts w:ascii="Times New Roman" w:hAnsi="Times New Roman" w:cs="Times New Roman"/>
                <w:sz w:val="26"/>
                <w:szCs w:val="26"/>
              </w:rPr>
              <w:t xml:space="preserve">        </w:t>
            </w:r>
            <w:r w:rsidRPr="00E91E50">
              <w:rPr>
                <w:rFonts w:ascii="Times New Roman" w:hAnsi="Times New Roman" w:cs="Times New Roman"/>
                <w:sz w:val="26"/>
                <w:szCs w:val="26"/>
                <w:lang w:val="vi-VN"/>
              </w:rPr>
              <w:t>/B</w:t>
            </w:r>
            <w:r w:rsidRPr="00E91E50">
              <w:rPr>
                <w:rFonts w:ascii="Times New Roman" w:hAnsi="Times New Roman" w:cs="Times New Roman"/>
                <w:sz w:val="26"/>
                <w:szCs w:val="26"/>
              </w:rPr>
              <w:t>C</w:t>
            </w:r>
            <w:r w:rsidRPr="00E91E50">
              <w:rPr>
                <w:rFonts w:ascii="Times New Roman" w:hAnsi="Times New Roman" w:cs="Times New Roman"/>
                <w:sz w:val="26"/>
                <w:szCs w:val="26"/>
                <w:lang w:val="vi-VN"/>
              </w:rPr>
              <w:t>-</w:t>
            </w:r>
            <w:r w:rsidRPr="00E91E50">
              <w:rPr>
                <w:rFonts w:ascii="Times New Roman" w:hAnsi="Times New Roman" w:cs="Times New Roman"/>
                <w:sz w:val="26"/>
                <w:szCs w:val="26"/>
              </w:rPr>
              <w:t>BTC</w:t>
            </w:r>
          </w:p>
          <w:p w14:paraId="47D2142C" w14:textId="32227113" w:rsidR="00C34A87" w:rsidRPr="00E91E50" w:rsidRDefault="00881829" w:rsidP="00581A98">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E58AB22" wp14:editId="1B824362">
                      <wp:simplePos x="0" y="0"/>
                      <wp:positionH relativeFrom="column">
                        <wp:posOffset>-17536</wp:posOffset>
                      </wp:positionH>
                      <wp:positionV relativeFrom="paragraph">
                        <wp:posOffset>202321</wp:posOffset>
                      </wp:positionV>
                      <wp:extent cx="1081454" cy="334107"/>
                      <wp:effectExtent l="0" t="0" r="23495" b="27940"/>
                      <wp:wrapNone/>
                      <wp:docPr id="1898460071" name="Rectangle 1"/>
                      <wp:cNvGraphicFramePr/>
                      <a:graphic xmlns:a="http://schemas.openxmlformats.org/drawingml/2006/main">
                        <a:graphicData uri="http://schemas.microsoft.com/office/word/2010/wordprocessingShape">
                          <wps:wsp>
                            <wps:cNvSpPr/>
                            <wps:spPr>
                              <a:xfrm>
                                <a:off x="0" y="0"/>
                                <a:ext cx="1081454" cy="334107"/>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526428" id="Rectangle 1" o:spid="_x0000_s1026" style="position:absolute;margin-left:-1.4pt;margin-top:15.95pt;width:85.15pt;height:26.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" filled="f" strokecolor="black [3200]">
                      <v:stroke joinstyle="round"/>
                    </v:rect>
                  </w:pict>
                </mc:Fallback>
              </mc:AlternateContent>
            </w:r>
            <w:r w:rsidR="00C34A87" w:rsidRPr="00E91E50">
              <w:rPr>
                <w:rFonts w:ascii="Times New Roman" w:hAnsi="Times New Roman" w:cs="Times New Roman"/>
              </w:rPr>
              <w:t xml:space="preserve"> </w:t>
            </w:r>
          </w:p>
        </w:tc>
        <w:tc>
          <w:tcPr>
            <w:tcW w:w="6041" w:type="dxa"/>
          </w:tcPr>
          <w:p w14:paraId="615CACD5" w14:textId="77777777" w:rsidR="00C34A87" w:rsidRPr="00E91E50" w:rsidRDefault="00C34A87" w:rsidP="00581A98">
            <w:pPr>
              <w:jc w:val="center"/>
              <w:rPr>
                <w:rFonts w:ascii="Times New Roman" w:hAnsi="Times New Roman" w:cs="Times New Roman"/>
                <w:b/>
                <w:sz w:val="26"/>
                <w:szCs w:val="26"/>
                <w:lang w:val="vi-VN"/>
              </w:rPr>
            </w:pPr>
            <w:r w:rsidRPr="00E91E50">
              <w:rPr>
                <w:rFonts w:ascii="Times New Roman" w:hAnsi="Times New Roman" w:cs="Times New Roman"/>
                <w:b/>
                <w:sz w:val="26"/>
                <w:szCs w:val="26"/>
                <w:lang w:val="vi-VN"/>
              </w:rPr>
              <w:t>CỘNG HÒA XÃ HỘI CHỦ NGHĨA VIỆT NAM</w:t>
            </w:r>
          </w:p>
          <w:p w14:paraId="3B5F40D8" w14:textId="47CF0B1B" w:rsidR="00C34A87" w:rsidRPr="00E91E50" w:rsidRDefault="00C34A87" w:rsidP="00581A98">
            <w:pPr>
              <w:jc w:val="center"/>
              <w:rPr>
                <w:rFonts w:ascii="Times New Roman" w:hAnsi="Times New Roman" w:cs="Times New Roman"/>
                <w:b/>
                <w:sz w:val="28"/>
                <w:szCs w:val="28"/>
              </w:rPr>
            </w:pPr>
            <w:r w:rsidRPr="00E91E50">
              <w:rPr>
                <w:rFonts w:ascii="Times New Roman" w:hAnsi="Times New Roman" w:cs="Times New Roman"/>
                <w:noProof/>
              </w:rPr>
              <mc:AlternateContent>
                <mc:Choice Requires="wps">
                  <w:drawing>
                    <wp:anchor distT="4294967295" distB="4294967295" distL="114300" distR="114300" simplePos="0" relativeHeight="251660288" behindDoc="0" locked="0" layoutInCell="1" allowOverlap="1" wp14:anchorId="6D715A16" wp14:editId="4B261CB6">
                      <wp:simplePos x="0" y="0"/>
                      <wp:positionH relativeFrom="column">
                        <wp:posOffset>829310</wp:posOffset>
                      </wp:positionH>
                      <wp:positionV relativeFrom="paragraph">
                        <wp:posOffset>275590</wp:posOffset>
                      </wp:positionV>
                      <wp:extent cx="2069465" cy="0"/>
                      <wp:effectExtent l="0" t="0" r="260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9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EAF20"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3pt,21.7pt" to="228.2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"/>
                  </w:pict>
                </mc:Fallback>
              </mc:AlternateContent>
            </w:r>
            <w:r w:rsidRPr="00E91E50">
              <w:rPr>
                <w:rFonts w:ascii="Times New Roman" w:hAnsi="Times New Roman" w:cs="Times New Roman"/>
                <w:b/>
                <w:sz w:val="28"/>
                <w:szCs w:val="28"/>
              </w:rPr>
              <w:t>Độc lập - Tự do - Hạnh phúc</w:t>
            </w:r>
          </w:p>
          <w:p w14:paraId="602D0863" w14:textId="24AE2506" w:rsidR="00C34A87" w:rsidRPr="00E91E50" w:rsidRDefault="00C34A87" w:rsidP="00581A98">
            <w:pPr>
              <w:jc w:val="center"/>
              <w:rPr>
                <w:rFonts w:ascii="Times New Roman" w:hAnsi="Times New Roman" w:cs="Times New Roman"/>
                <w:i/>
                <w:sz w:val="8"/>
              </w:rPr>
            </w:pPr>
          </w:p>
          <w:p w14:paraId="3AA7B0AE" w14:textId="77777777" w:rsidR="00C34A87" w:rsidRPr="00E91E50" w:rsidRDefault="00C34A87" w:rsidP="00581A98">
            <w:pPr>
              <w:jc w:val="center"/>
              <w:rPr>
                <w:rFonts w:ascii="Times New Roman" w:hAnsi="Times New Roman" w:cs="Times New Roman"/>
                <w:i/>
                <w:sz w:val="28"/>
                <w:szCs w:val="28"/>
              </w:rPr>
            </w:pPr>
            <w:r w:rsidRPr="00E91E50">
              <w:rPr>
                <w:rFonts w:ascii="Times New Roman" w:hAnsi="Times New Roman" w:cs="Times New Roman"/>
                <w:i/>
                <w:sz w:val="28"/>
                <w:szCs w:val="28"/>
              </w:rPr>
              <w:t>Hà Nội, ngày     tháng 5 năm 2026</w:t>
            </w:r>
          </w:p>
        </w:tc>
      </w:tr>
    </w:tbl>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tblGrid>
      <w:tr w:rsidR="00E27C55" w14:paraId="2DAFEE35" w14:textId="77777777" w:rsidTr="00881829">
        <w:trPr>
          <w:trHeight w:val="378"/>
        </w:trPr>
        <w:tc>
          <w:tcPr>
            <w:tcW w:w="1933" w:type="dxa"/>
          </w:tcPr>
          <w:p w14:paraId="7C60EEA3" w14:textId="23EBEF95" w:rsidR="00E27C55" w:rsidRDefault="00BC27E1" w:rsidP="00D61220">
            <w:pPr>
              <w:jc w:val="center"/>
              <w:rPr>
                <w:rFonts w:ascii="Times New Roman" w:hAnsi="Times New Roman" w:cs="Times New Roman"/>
                <w:b/>
                <w:sz w:val="28"/>
                <w:szCs w:val="28"/>
              </w:rPr>
            </w:pPr>
            <w:r>
              <w:rPr>
                <w:rFonts w:ascii="Times New Roman" w:hAnsi="Times New Roman" w:cs="Times New Roman"/>
                <w:b/>
                <w:sz w:val="28"/>
                <w:szCs w:val="28"/>
              </w:rPr>
              <w:t>DỰ THẢO</w:t>
            </w:r>
          </w:p>
        </w:tc>
      </w:tr>
    </w:tbl>
    <w:p w14:paraId="35203F6D" w14:textId="7962ACB3" w:rsidR="001C6AE5" w:rsidRPr="00E91E50" w:rsidRDefault="001C6AE5" w:rsidP="007365EE">
      <w:pPr>
        <w:spacing w:after="0"/>
        <w:jc w:val="center"/>
        <w:rPr>
          <w:rFonts w:ascii="Times New Roman" w:hAnsi="Times New Roman" w:cs="Times New Roman"/>
          <w:b/>
          <w:sz w:val="28"/>
          <w:szCs w:val="28"/>
        </w:rPr>
      </w:pPr>
      <w:r w:rsidRPr="00E91E50">
        <w:rPr>
          <w:rFonts w:ascii="Times New Roman" w:hAnsi="Times New Roman" w:cs="Times New Roman"/>
          <w:b/>
          <w:sz w:val="28"/>
          <w:szCs w:val="28"/>
        </w:rPr>
        <w:t xml:space="preserve">BÁO CÁO </w:t>
      </w:r>
    </w:p>
    <w:p w14:paraId="0FE3219E" w14:textId="5C79E602" w:rsidR="00A039FC" w:rsidRPr="00E91E50" w:rsidRDefault="007365EE" w:rsidP="00A039FC">
      <w:pPr>
        <w:jc w:val="center"/>
        <w:rPr>
          <w:rFonts w:ascii="Times New Roman" w:eastAsia="Times New Roman" w:hAnsi="Times New Roman" w:cs="Times New Roman"/>
          <w:sz w:val="28"/>
          <w:szCs w:val="28"/>
        </w:rPr>
      </w:pPr>
      <w:r w:rsidRPr="00E91E50">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04438CFE" wp14:editId="50BCD719">
                <wp:simplePos x="0" y="0"/>
                <wp:positionH relativeFrom="margin">
                  <wp:posOffset>2384425</wp:posOffset>
                </wp:positionH>
                <wp:positionV relativeFrom="paragraph">
                  <wp:posOffset>501992</wp:posOffset>
                </wp:positionV>
                <wp:extent cx="971550" cy="0"/>
                <wp:effectExtent l="0" t="0" r="19050"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70DC7" id="Line 1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7.75pt,39.55pt" to="264.2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">
                <w10:wrap anchorx="margin"/>
              </v:line>
            </w:pict>
          </mc:Fallback>
        </mc:AlternateContent>
      </w:r>
      <w:r w:rsidR="00C47C6F" w:rsidRPr="00E91E50">
        <w:rPr>
          <w:rFonts w:ascii="Times New Roman" w:hAnsi="Times New Roman" w:cs="Times New Roman"/>
          <w:b/>
          <w:sz w:val="28"/>
          <w:szCs w:val="28"/>
        </w:rPr>
        <w:t xml:space="preserve">Đánh giá tác động của chính sách </w:t>
      </w:r>
      <w:r w:rsidR="005D18F0" w:rsidRPr="00E91E50">
        <w:rPr>
          <w:rFonts w:ascii="Times New Roman" w:hAnsi="Times New Roman" w:cs="Times New Roman"/>
          <w:b/>
          <w:sz w:val="28"/>
          <w:szCs w:val="28"/>
        </w:rPr>
        <w:t>dự thảo</w:t>
      </w:r>
      <w:r w:rsidR="00C801B1" w:rsidRPr="00E91E50">
        <w:rPr>
          <w:rFonts w:ascii="Times New Roman" w:hAnsi="Times New Roman" w:cs="Times New Roman"/>
          <w:b/>
          <w:sz w:val="28"/>
          <w:szCs w:val="28"/>
        </w:rPr>
        <w:t xml:space="preserve"> </w:t>
      </w:r>
      <w:r w:rsidR="00C801B1" w:rsidRPr="00E91E50">
        <w:rPr>
          <w:rFonts w:ascii="Times New Roman" w:eastAsia="Times New Roman" w:hAnsi="Times New Roman" w:cs="Times New Roman"/>
          <w:b/>
          <w:sz w:val="28"/>
          <w:szCs w:val="28"/>
        </w:rPr>
        <w:t>Nghị định số 113/2024/NĐ-CP ngày 12/9/2024 của Chính phủ</w:t>
      </w:r>
      <w:r w:rsidR="00C801B1" w:rsidRPr="00E91E50">
        <w:rPr>
          <w:rFonts w:ascii="Times New Roman" w:hAnsi="Times New Roman" w:cs="Times New Roman"/>
          <w:b/>
          <w:noProof/>
          <w:sz w:val="28"/>
          <w:szCs w:val="28"/>
        </w:rPr>
        <w:t xml:space="preserve"> (sửa đổi</w:t>
      </w:r>
      <w:r w:rsidR="00C47C6F" w:rsidRPr="00E91E50">
        <w:rPr>
          <w:rFonts w:ascii="Times New Roman" w:hAnsi="Times New Roman" w:cs="Times New Roman"/>
          <w:b/>
          <w:noProof/>
          <w:sz w:val="28"/>
          <w:szCs w:val="28"/>
        </w:rPr>
        <w:t>, bổ sung</w:t>
      </w:r>
      <w:r w:rsidR="00C801B1" w:rsidRPr="00E91E50">
        <w:rPr>
          <w:rFonts w:ascii="Times New Roman" w:hAnsi="Times New Roman" w:cs="Times New Roman"/>
          <w:b/>
          <w:noProof/>
          <w:sz w:val="28"/>
          <w:szCs w:val="28"/>
        </w:rPr>
        <w:t>)</w:t>
      </w:r>
    </w:p>
    <w:p w14:paraId="1F898E7A" w14:textId="77777777" w:rsidR="0007443E" w:rsidRPr="00E91E50" w:rsidRDefault="0007443E" w:rsidP="00C34A87">
      <w:pPr>
        <w:spacing w:before="160" w:line="240" w:lineRule="auto"/>
        <w:ind w:firstLine="720"/>
        <w:jc w:val="both"/>
        <w:rPr>
          <w:rFonts w:ascii="Times New Roman" w:eastAsia="Times New Roman" w:hAnsi="Times New Roman" w:cs="Times New Roman"/>
          <w:sz w:val="28"/>
          <w:szCs w:val="28"/>
        </w:rPr>
      </w:pPr>
    </w:p>
    <w:p w14:paraId="0D988C24" w14:textId="740860F8" w:rsidR="005D18F0" w:rsidRPr="00E91E50" w:rsidRDefault="005D18F0" w:rsidP="00CB0679">
      <w:pPr>
        <w:spacing w:before="120" w:after="120" w:line="240" w:lineRule="auto"/>
        <w:jc w:val="both"/>
        <w:rPr>
          <w:rFonts w:ascii="Times New Roman" w:eastAsia="Times New Roman" w:hAnsi="Times New Roman" w:cs="Times New Roman"/>
          <w:b/>
          <w:sz w:val="28"/>
          <w:szCs w:val="28"/>
        </w:rPr>
      </w:pPr>
      <w:r w:rsidRPr="00E91E50">
        <w:rPr>
          <w:rFonts w:ascii="Times New Roman" w:eastAsia="Times New Roman" w:hAnsi="Times New Roman" w:cs="Times New Roman"/>
          <w:color w:val="FF0000"/>
          <w:sz w:val="28"/>
          <w:szCs w:val="28"/>
        </w:rPr>
        <w:tab/>
      </w:r>
      <w:r w:rsidRPr="00E91E50">
        <w:rPr>
          <w:rFonts w:ascii="Times New Roman" w:eastAsia="Times New Roman" w:hAnsi="Times New Roman" w:cs="Times New Roman"/>
          <w:b/>
          <w:sz w:val="28"/>
          <w:szCs w:val="28"/>
        </w:rPr>
        <w:t xml:space="preserve">I. </w:t>
      </w:r>
      <w:r w:rsidR="001E1864" w:rsidRPr="00E91E50">
        <w:rPr>
          <w:rFonts w:ascii="Times New Roman" w:eastAsia="Times New Roman" w:hAnsi="Times New Roman" w:cs="Times New Roman"/>
          <w:b/>
          <w:sz w:val="28"/>
          <w:szCs w:val="28"/>
        </w:rPr>
        <w:t xml:space="preserve">XÁC ĐỊNH VẤN ĐỀ </w:t>
      </w:r>
    </w:p>
    <w:p w14:paraId="02CC432E" w14:textId="5A3E3731" w:rsidR="00EF3E3D" w:rsidRPr="00E91E50" w:rsidRDefault="00EF3E3D" w:rsidP="00CB0679">
      <w:pPr>
        <w:spacing w:before="120" w:after="120" w:line="240" w:lineRule="auto"/>
        <w:jc w:val="both"/>
        <w:rPr>
          <w:rFonts w:ascii="Times New Roman" w:eastAsia="Times New Roman" w:hAnsi="Times New Roman" w:cs="Times New Roman"/>
          <w:b/>
          <w:sz w:val="28"/>
          <w:szCs w:val="28"/>
        </w:rPr>
      </w:pPr>
      <w:r w:rsidRPr="00E91E50">
        <w:rPr>
          <w:rFonts w:ascii="Times New Roman" w:eastAsia="Times New Roman" w:hAnsi="Times New Roman" w:cs="Times New Roman"/>
          <w:b/>
          <w:sz w:val="28"/>
          <w:szCs w:val="28"/>
        </w:rPr>
        <w:tab/>
        <w:t xml:space="preserve">1. </w:t>
      </w:r>
      <w:r w:rsidR="001E1864" w:rsidRPr="00E91E50">
        <w:rPr>
          <w:rFonts w:ascii="Times New Roman" w:eastAsia="Times New Roman" w:hAnsi="Times New Roman" w:cs="Times New Roman"/>
          <w:b/>
          <w:sz w:val="28"/>
          <w:szCs w:val="28"/>
        </w:rPr>
        <w:t>Bối cảnh xây dựng chính sách</w:t>
      </w:r>
    </w:p>
    <w:p w14:paraId="6FD2952A" w14:textId="18A462C4" w:rsidR="00252D60" w:rsidRPr="00E91E50" w:rsidRDefault="00106504" w:rsidP="00CB0679">
      <w:pPr>
        <w:spacing w:before="120" w:after="120" w:line="240" w:lineRule="auto"/>
        <w:ind w:firstLine="720"/>
        <w:jc w:val="both"/>
        <w:rPr>
          <w:rFonts w:ascii="Times New Roman" w:hAnsi="Times New Roman" w:cs="Times New Roman"/>
          <w:sz w:val="28"/>
          <w:szCs w:val="28"/>
        </w:rPr>
      </w:pPr>
      <w:r w:rsidRPr="00E91E50">
        <w:rPr>
          <w:rFonts w:ascii="Times New Roman" w:hAnsi="Times New Roman" w:cs="Times New Roman"/>
          <w:sz w:val="28"/>
          <w:szCs w:val="28"/>
        </w:rPr>
        <w:t xml:space="preserve">Luật Hợp tác xã năm 2023 có hiệu lực thi hành từ ngày 01 tháng 7 năm 2024 đã tạo lập khuôn khổ pháp lý mới, góp phần thúc đẩy khu vực kinh tế tập thể, hợp tác xã phát triển theo hướng minh bạch, hiệu quả và hội nhập. Trên cơ sở đó, Chính phủ đã ban hành Nghị định số 113/2024/NĐ-CP ngày 12 tháng 9 năm 2024 </w:t>
      </w:r>
      <w:r w:rsidR="00ED7FD6" w:rsidRPr="00E91E50">
        <w:rPr>
          <w:rFonts w:ascii="Times New Roman" w:hAnsi="Times New Roman" w:cs="Times New Roman"/>
          <w:sz w:val="28"/>
          <w:szCs w:val="28"/>
        </w:rPr>
        <w:t xml:space="preserve">(Nghị định số 113/2024/NĐ-CP) </w:t>
      </w:r>
      <w:r w:rsidRPr="00E91E50">
        <w:rPr>
          <w:rFonts w:ascii="Times New Roman" w:hAnsi="Times New Roman" w:cs="Times New Roman"/>
          <w:sz w:val="28"/>
          <w:szCs w:val="28"/>
        </w:rPr>
        <w:t>quy định chi tiết một số điều của Luật Hợp tác xã để quy định chi tiết một số điều của Luật, qua đó từng bước hoàn thiện hành lang pháp lý cho việc tổ chức, hoạt động và hỗ trợ phát triển hợp tác xã</w:t>
      </w:r>
      <w:r w:rsidR="0084545E" w:rsidRPr="00E91E50">
        <w:rPr>
          <w:rFonts w:ascii="Times New Roman" w:hAnsi="Times New Roman" w:cs="Times New Roman"/>
          <w:sz w:val="28"/>
          <w:szCs w:val="28"/>
        </w:rPr>
        <w:t xml:space="preserve">. </w:t>
      </w:r>
      <w:r w:rsidRPr="00E91E50">
        <w:rPr>
          <w:rFonts w:ascii="Times New Roman" w:hAnsi="Times New Roman" w:cs="Times New Roman"/>
          <w:sz w:val="28"/>
          <w:szCs w:val="28"/>
        </w:rPr>
        <w:t xml:space="preserve">Tuy nhiên, trong quá trình triển khai thực hiện, bối cảnh pháp lý, tổ chức bộ máy và điều kiện kinh tế - xã hội đã có nhiều thay đổi quan trọng, tác động trực tiếp đến tính phù hợp và hiệu quả của các quy định tại Nghị định số 113/2024/NĐ-CP. </w:t>
      </w:r>
      <w:r w:rsidR="0084545E" w:rsidRPr="00E91E50">
        <w:rPr>
          <w:rFonts w:ascii="Times New Roman" w:hAnsi="Times New Roman" w:cs="Times New Roman"/>
          <w:sz w:val="28"/>
          <w:szCs w:val="28"/>
        </w:rPr>
        <w:t xml:space="preserve"> Việc xây dựng Nghị định sửa đổi, bổ sung một số điều của Nghị định số 113/2024/NĐ-CP được đặt trong bối cảnh hệ thống pháp luật và tổ chức bộ máy nhà nước có nhiều thay đổi lớn, đồng thời chịu sự chi phối trực tiếp của các chủ trương, định hướng quan trọng của Đảng và Nhà nước về phát triển kinh tế và hoàn thiện thể chế.</w:t>
      </w:r>
    </w:p>
    <w:p w14:paraId="58CA01AB" w14:textId="77777777" w:rsidR="0084545E" w:rsidRPr="00E91E50" w:rsidRDefault="0084545E" w:rsidP="00CB0679">
      <w:pPr>
        <w:pStyle w:val="NormalWeb"/>
        <w:shd w:val="clear" w:color="auto" w:fill="FFFFFF"/>
        <w:spacing w:before="120" w:beforeAutospacing="0" w:after="120" w:afterAutospacing="0"/>
        <w:ind w:firstLine="720"/>
        <w:jc w:val="both"/>
        <w:rPr>
          <w:sz w:val="28"/>
          <w:szCs w:val="28"/>
        </w:rPr>
      </w:pPr>
      <w:r w:rsidRPr="00E91E50">
        <w:rPr>
          <w:sz w:val="28"/>
          <w:szCs w:val="28"/>
        </w:rPr>
        <w:t xml:space="preserve">Trước hết, về căn cứ chính trị, </w:t>
      </w:r>
      <w:r w:rsidRPr="00E91E50">
        <w:rPr>
          <w:rStyle w:val="Strong"/>
          <w:b w:val="0"/>
          <w:sz w:val="28"/>
          <w:szCs w:val="28"/>
        </w:rPr>
        <w:t>Nghị quyết số 68-NQ/TW ngày 04/5/2025 của Bộ Chính trị về phát triển kinh tế tư nhân</w:t>
      </w:r>
      <w:r w:rsidRPr="00E91E50">
        <w:rPr>
          <w:sz w:val="28"/>
          <w:szCs w:val="28"/>
        </w:rPr>
        <w:t xml:space="preserve"> xác định yêu cầu hoàn thiện cơ chế, chính sách nhằm tạo môi trường thuận lợi cho các thành phần kinh tế phát triển, trong đó nhấn mạnh vai trò liên kết giữa doanh nghiệp với khu vực kinh tế tập thể, hợp tác xã. Điều này đặt ra yêu cầu phải tiếp tục hoàn thiện các chính sách hỗ trợ hợp tác xã để nâng cao năng lực tham gia chuỗi giá trị và đóng góp vào tăng trưởng chung của nền kinh tế.</w:t>
      </w:r>
    </w:p>
    <w:p w14:paraId="49310DBE" w14:textId="5744BF26" w:rsidR="0084545E" w:rsidRPr="00E91E50" w:rsidRDefault="0084545E" w:rsidP="00CB0679">
      <w:pPr>
        <w:pStyle w:val="NormalWeb"/>
        <w:shd w:val="clear" w:color="auto" w:fill="FFFFFF"/>
        <w:spacing w:before="120" w:beforeAutospacing="0" w:after="120" w:afterAutospacing="0"/>
        <w:ind w:firstLine="720"/>
        <w:jc w:val="both"/>
        <w:rPr>
          <w:sz w:val="28"/>
          <w:szCs w:val="28"/>
        </w:rPr>
      </w:pPr>
      <w:r w:rsidRPr="00E91E50">
        <w:rPr>
          <w:sz w:val="28"/>
          <w:szCs w:val="28"/>
        </w:rPr>
        <w:t xml:space="preserve">Bên cạnh đó, </w:t>
      </w:r>
      <w:r w:rsidRPr="00E91E50">
        <w:rPr>
          <w:rStyle w:val="Strong"/>
          <w:b w:val="0"/>
          <w:sz w:val="28"/>
          <w:szCs w:val="28"/>
        </w:rPr>
        <w:t>Nghị quyết số 57-NQ/TW ngày 22/12/2024 của Bộ Chính trị về đột phá phát triển khoa học, công nghệ, đổi mới sáng tạo và chuyển đổi số quốc gia</w:t>
      </w:r>
      <w:r w:rsidRPr="00E91E50">
        <w:rPr>
          <w:sz w:val="28"/>
          <w:szCs w:val="28"/>
        </w:rPr>
        <w:t xml:space="preserve"> đã xác định chuyển đổi số là động lực quan trọng của tăng trưởng, yêu cầu các khu vực kinh tế, bao gồm hợp tác xã, phải đổi mới phương thức quản trị, ứng dụng công nghệ trong sản xuất và tiêu thụ sản phẩm. Tuy nhiên, các quy định hiện hành </w:t>
      </w:r>
      <w:r w:rsidRPr="00E91E50">
        <w:rPr>
          <w:sz w:val="28"/>
          <w:szCs w:val="28"/>
        </w:rPr>
        <w:lastRenderedPageBreak/>
        <w:t>tại Nghị định số 113/2024/NĐ-CP chưa bao quát đầy đủ nội dung này, dẫn đến khoảng trống chính sách trong việc thúc đẩy chuyển đổi số đối với hợp tác xã.</w:t>
      </w:r>
    </w:p>
    <w:p w14:paraId="5BE65AA2" w14:textId="58AEE917" w:rsidR="00252D60" w:rsidRPr="00E91E50" w:rsidRDefault="00252D60" w:rsidP="00CB0679">
      <w:pPr>
        <w:pStyle w:val="NormalWeb"/>
        <w:shd w:val="clear" w:color="auto" w:fill="FFFFFF"/>
        <w:spacing w:before="120" w:beforeAutospacing="0" w:after="120" w:afterAutospacing="0"/>
        <w:ind w:firstLine="720"/>
        <w:jc w:val="both"/>
        <w:rPr>
          <w:rStyle w:val="Strong"/>
          <w:b w:val="0"/>
          <w:sz w:val="28"/>
          <w:szCs w:val="28"/>
        </w:rPr>
      </w:pPr>
      <w:r w:rsidRPr="00E91E50">
        <w:rPr>
          <w:rStyle w:val="Strong"/>
          <w:b w:val="0"/>
          <w:sz w:val="28"/>
          <w:szCs w:val="28"/>
        </w:rPr>
        <w:t xml:space="preserve">Nghị quyết số 18-NQ/TW ngày 25/10/2017 của Ban Chấp hành Trung ương </w:t>
      </w:r>
      <w:r w:rsidRPr="00E91E50">
        <w:rPr>
          <w:color w:val="2E2E2E"/>
          <w:sz w:val="28"/>
          <w:szCs w:val="28"/>
          <w:shd w:val="clear" w:color="auto" w:fill="FFFFFF"/>
        </w:rPr>
        <w:t>về một số vấn đề về tiếp tục đổi mới, sắp xếp tổ chức bộ máy của hệ thống chính trị tinh gọn, hoạt động hiệu lực, hiệu quả</w:t>
      </w:r>
      <w:r w:rsidRPr="00E91E50">
        <w:rPr>
          <w:rStyle w:val="Strong"/>
          <w:b w:val="0"/>
          <w:sz w:val="28"/>
          <w:szCs w:val="28"/>
        </w:rPr>
        <w:t xml:space="preserve"> và </w:t>
      </w:r>
      <w:r w:rsidRPr="00E91E50">
        <w:rPr>
          <w:color w:val="2E2E2E"/>
          <w:sz w:val="28"/>
          <w:szCs w:val="28"/>
          <w:shd w:val="clear" w:color="auto" w:fill="FFFFFF"/>
        </w:rPr>
        <w:t>Kết luận số 121-KL/TW ngày 24/01/2025 của Ban Chấp hành Trung ương khóa XIII về tổng kết Nghị quyết số 18-NQ/TW ngày 25/10/2017 của Ban Chấp hành Trung ương Đảng khoá XII</w:t>
      </w:r>
      <w:r w:rsidRPr="00E91E50">
        <w:rPr>
          <w:sz w:val="28"/>
          <w:szCs w:val="28"/>
        </w:rPr>
        <w:t xml:space="preserve">, liên quan đến phát triển kinh tế tập thể, sắp xếp tổ chức bộ máy, xây dựng mô hình chính quyền địa phương 2 cấp, đẩy mạnh phân cấp, phân quyền và cải cách thủ tục hành chính, trong đó bám sát chủ trương: </w:t>
      </w:r>
      <w:r w:rsidRPr="00E91E50">
        <w:rPr>
          <w:i/>
          <w:sz w:val="28"/>
          <w:szCs w:val="28"/>
        </w:rPr>
        <w:t>“</w:t>
      </w:r>
      <w:r w:rsidRPr="00E91E50">
        <w:rPr>
          <w:i/>
          <w:color w:val="000000"/>
          <w:sz w:val="28"/>
          <w:szCs w:val="28"/>
          <w:shd w:val="clear" w:color="auto" w:fill="FFFFFF"/>
        </w:rPr>
        <w:t>xác định rõ trách nhiệm giữa Trung ương và địa phương và giữa các cấp chính quyền địa phương; đẩy mạnh phân cấp, phân quyền, bảo đảm Trung ương tăng cường quản lý vĩ mô, xây dựng thể chế, chiến lược, quy hoạch, kế hoạch đồng bộ, thống nhất, giữ vai trò kiến tạo và tăng cường kiểm tra, giám sát, "địa phương quyết, địa phương làm, địa phương chịu trách nhiệm". Rà soát, sửa đổi, bổ sung các văn bản còn chồng chéo, bất cập cản trở sự phát triển, khơi thông các điểm nghẽn, tạo ra động lực mới cho phát triển; tăng cường quyền tự chủ, tính chủ động, sáng tạo, tự chịu trách nhiệm của các cơ quan, đơn vị gắn với nâng cao trách nhiệm giải trình của người đứng đầu, kiểm soát quyền lực chặt chẽ; phân bổ nguồn lực hợp lý”</w:t>
      </w:r>
      <w:r w:rsidRPr="00E91E50">
        <w:rPr>
          <w:color w:val="000000"/>
          <w:sz w:val="18"/>
          <w:szCs w:val="18"/>
          <w:shd w:val="clear" w:color="auto" w:fill="FFFFFF"/>
        </w:rPr>
        <w:t xml:space="preserve"> </w:t>
      </w:r>
      <w:r w:rsidRPr="00E91E50">
        <w:rPr>
          <w:rStyle w:val="Strong"/>
          <w:b w:val="0"/>
          <w:sz w:val="28"/>
          <w:szCs w:val="28"/>
        </w:rPr>
        <w:t xml:space="preserve"> </w:t>
      </w:r>
    </w:p>
    <w:p w14:paraId="477BDCEA" w14:textId="7066D9B5" w:rsidR="0038454B" w:rsidRPr="00E91E50" w:rsidRDefault="0038454B" w:rsidP="00CB0679">
      <w:pPr>
        <w:spacing w:before="120" w:after="120" w:line="240" w:lineRule="auto"/>
        <w:ind w:firstLine="720"/>
        <w:jc w:val="both"/>
        <w:rPr>
          <w:rFonts w:ascii="Times New Roman" w:hAnsi="Times New Roman" w:cs="Times New Roman"/>
          <w:sz w:val="28"/>
          <w:szCs w:val="28"/>
        </w:rPr>
      </w:pPr>
      <w:r w:rsidRPr="00E91E50">
        <w:rPr>
          <w:rFonts w:ascii="Times New Roman" w:hAnsi="Times New Roman" w:cs="Times New Roman"/>
          <w:sz w:val="28"/>
          <w:szCs w:val="28"/>
        </w:rPr>
        <w:t>Nghị quyết số 66-NQ/TW ngày 30 tháng 4 năm 2025 của Bộ Chính trị về đổi mới công tác xây dựng và thi hành pháp luật đặt ra yêu cầu hoàn thiện hệ thống pháp luật theo hướng đồng bộ, minh bạch, dễ thực hiện, tăng cường phân cấp, phân quyền gắn với kiểm tra, giám sát và đơn giản hóa thủ tục hành chính. Trong bối cảnh đó, việc triển khai mô hình chính quyền địa phương 02 cấp theo quy định của pháp luật hiện hành, đặc biệt là theo Nghị định số 125/2025/NĐ-CP ngày 11 tháng 6 năm 2025 của Chính phủ về phân định nhiệm vụ, quyền hạn của chính quyền địa phương theo mô hình tổ chức chính quyền địa phương 02 cấp trong các lĩnh vực quản lý nhà nước của Bộ Tài chính, đã làm thay đổi căn bản cơ chế phân công, phân cấp trong tổ chức thực hiện chính sách hỗ trợ hợp tác xã. Tuy nhiên, một số quy định tại Nghị định số 113/2024/NĐ-CP vẫn được thiết kế theo mô hình chính quyền 03 cấp, dẫn đến thiếu thống nhất, khó khăn trong thực hiện</w:t>
      </w:r>
      <w:r w:rsidRPr="00E91E50">
        <w:rPr>
          <w:rFonts w:ascii="Times New Roman" w:hAnsi="Times New Roman" w:cs="Times New Roman"/>
        </w:rPr>
        <w:t>.</w:t>
      </w:r>
      <w:r w:rsidR="0084545E" w:rsidRPr="00E91E50">
        <w:rPr>
          <w:rFonts w:ascii="Times New Roman" w:hAnsi="Times New Roman" w:cs="Times New Roman"/>
          <w:sz w:val="28"/>
          <w:szCs w:val="28"/>
        </w:rPr>
        <w:t xml:space="preserve">Về bối cảnh pháp lý, việc triển khai </w:t>
      </w:r>
      <w:r w:rsidR="0084545E" w:rsidRPr="00E91E50">
        <w:rPr>
          <w:rStyle w:val="Strong"/>
          <w:rFonts w:ascii="Times New Roman" w:hAnsi="Times New Roman" w:cs="Times New Roman"/>
          <w:b w:val="0"/>
          <w:sz w:val="28"/>
          <w:szCs w:val="28"/>
        </w:rPr>
        <w:t>mô hình chính quyền địa phương 02 cấp (cấp tỉnh và cấp xã)</w:t>
      </w:r>
      <w:r w:rsidR="0084545E" w:rsidRPr="00E91E50">
        <w:rPr>
          <w:rFonts w:ascii="Times New Roman" w:hAnsi="Times New Roman" w:cs="Times New Roman"/>
          <w:sz w:val="28"/>
          <w:szCs w:val="28"/>
        </w:rPr>
        <w:t xml:space="preserve"> theo các quy định pháp luật mới đã làm thay đổi căn bản cơ cấu tổ chức và phân định thẩm quyền quản lý nhà nước. </w:t>
      </w:r>
    </w:p>
    <w:p w14:paraId="74BF27E4" w14:textId="6A95A12C" w:rsidR="00252D60" w:rsidRPr="00E91E50" w:rsidRDefault="0084545E" w:rsidP="00CB0679">
      <w:pPr>
        <w:spacing w:before="120" w:after="120" w:line="240" w:lineRule="auto"/>
        <w:ind w:firstLine="720"/>
        <w:jc w:val="both"/>
        <w:rPr>
          <w:rFonts w:ascii="Times New Roman" w:eastAsia="Times New Roman" w:hAnsi="Times New Roman" w:cs="Times New Roman"/>
          <w:sz w:val="28"/>
          <w:szCs w:val="28"/>
        </w:rPr>
      </w:pPr>
      <w:r w:rsidRPr="00E91E50">
        <w:rPr>
          <w:rFonts w:ascii="Times New Roman" w:hAnsi="Times New Roman" w:cs="Times New Roman"/>
          <w:sz w:val="28"/>
          <w:szCs w:val="28"/>
        </w:rPr>
        <w:t xml:space="preserve">Tuy nhiên, Nghị định số 113/2024/NĐ-CP vẫn còn nhiều nội dung được thiết kế theo mô hình chính quyền 03 cấp, đặc biệt liên quan đến vai trò của Ủy ban nhân dân cấp huyện. Điều này dẫn đến sự không thống nhất trong hệ thống pháp luật và gây khó khăn, lúng túng trong quá trình tổ chức thực hiện tại địa phương, </w:t>
      </w:r>
      <w:r w:rsidR="00252D60" w:rsidRPr="00E91E50">
        <w:rPr>
          <w:rFonts w:ascii="Times New Roman" w:hAnsi="Times New Roman" w:cs="Times New Roman"/>
          <w:sz w:val="28"/>
          <w:szCs w:val="28"/>
        </w:rPr>
        <w:t xml:space="preserve">trong bối cảnh triển khai các chủ trương mới về sắp xếp đơn vị hành chính, không tổ chức cấp huyện, xây dựng mô hình chính quyền địa phương 2 cấp và yêu cầu tiếp tục hoàn thiện tổ chức bộ máy, một số nội dung của dự thảo Nghị định chưa được cập nhật đầy đủ, nhất là các quy định liên quan đến thẩm quyền, </w:t>
      </w:r>
      <w:r w:rsidR="00252D60" w:rsidRPr="00E91E50">
        <w:rPr>
          <w:rFonts w:ascii="Times New Roman" w:hAnsi="Times New Roman" w:cs="Times New Roman"/>
          <w:sz w:val="28"/>
          <w:szCs w:val="28"/>
        </w:rPr>
        <w:lastRenderedPageBreak/>
        <w:t>trách nhiệm của các cấp chính quyền, trình tự, thủ tục thực hiện chính sách và cơ chế phối hợp giữa các cơ quan. Bên cạnh đó, một số quy định về điều kiện, thủ tục hỗ trợ còn có thể phát sinh giấy tờ, chi phí tuân thủ, ảnh hưởng đến khả năng tiếp cận chính sách của hợp tác xã, đặc biệt là hợp tác xã quy mô nhỏ và siêu nhỏ</w:t>
      </w:r>
      <w:r w:rsidR="00084F04" w:rsidRPr="00E91E50">
        <w:rPr>
          <w:rFonts w:ascii="Times New Roman" w:hAnsi="Times New Roman" w:cs="Times New Roman"/>
          <w:sz w:val="28"/>
          <w:szCs w:val="28"/>
        </w:rPr>
        <w:t xml:space="preserve">. </w:t>
      </w:r>
    </w:p>
    <w:p w14:paraId="5B764049" w14:textId="03644773" w:rsidR="0084545E" w:rsidRPr="00E91E50" w:rsidRDefault="00106504" w:rsidP="00865AE6">
      <w:pPr>
        <w:spacing w:before="120" w:after="120" w:line="240" w:lineRule="auto"/>
        <w:ind w:firstLine="720"/>
        <w:jc w:val="both"/>
        <w:rPr>
          <w:rFonts w:ascii="Times New Roman" w:hAnsi="Times New Roman" w:cs="Times New Roman"/>
          <w:color w:val="000000" w:themeColor="text1"/>
          <w:sz w:val="28"/>
          <w:szCs w:val="28"/>
        </w:rPr>
      </w:pPr>
      <w:r w:rsidRPr="00E91E50">
        <w:rPr>
          <w:rFonts w:ascii="Times New Roman" w:hAnsi="Times New Roman" w:cs="Times New Roman"/>
          <w:sz w:val="28"/>
          <w:szCs w:val="28"/>
        </w:rPr>
        <w:t xml:space="preserve">Bên cạnh đó, theo kết quả </w:t>
      </w:r>
      <w:r w:rsidR="009A2790" w:rsidRPr="00E91E50">
        <w:rPr>
          <w:rFonts w:ascii="Times New Roman" w:hAnsi="Times New Roman" w:cs="Times New Roman"/>
          <w:sz w:val="28"/>
          <w:szCs w:val="28"/>
        </w:rPr>
        <w:t xml:space="preserve">tổng hợp </w:t>
      </w:r>
      <w:r w:rsidR="00DF3EE9" w:rsidRPr="00E91E50">
        <w:rPr>
          <w:rFonts w:ascii="Times New Roman" w:hAnsi="Times New Roman" w:cs="Times New Roman"/>
          <w:sz w:val="28"/>
          <w:szCs w:val="28"/>
        </w:rPr>
        <w:t>báo cáo T</w:t>
      </w:r>
      <w:r w:rsidRPr="00E91E50">
        <w:rPr>
          <w:rFonts w:ascii="Times New Roman" w:hAnsi="Times New Roman" w:cs="Times New Roman"/>
          <w:sz w:val="28"/>
          <w:szCs w:val="28"/>
        </w:rPr>
        <w:t>ổng kết thi hành Nghị định số</w:t>
      </w:r>
      <w:r w:rsidR="00865AE6" w:rsidRPr="00E91E50">
        <w:rPr>
          <w:rFonts w:ascii="Times New Roman" w:hAnsi="Times New Roman" w:cs="Times New Roman"/>
          <w:sz w:val="28"/>
          <w:szCs w:val="28"/>
        </w:rPr>
        <w:t xml:space="preserve"> 113/2024/NĐ-CP</w:t>
      </w:r>
      <w:r w:rsidRPr="00E91E50">
        <w:rPr>
          <w:rFonts w:ascii="Times New Roman" w:hAnsi="Times New Roman" w:cs="Times New Roman"/>
          <w:sz w:val="28"/>
          <w:szCs w:val="28"/>
        </w:rPr>
        <w:t xml:space="preserve">, việc triển khai các quy định về hỗ trợ phát triển hợp tác xã đã đạt được một số kết quả tích cực, góp phần thúc đẩy số lượng và chất lượng hợp tác xã, mở rộng liên kết chuỗi giá trị và ứng dụng khoa học công nghệ. Tuy nhiên, </w:t>
      </w:r>
      <w:r w:rsidR="00865AE6" w:rsidRPr="00E91E50">
        <w:rPr>
          <w:rFonts w:ascii="Times New Roman" w:hAnsi="Times New Roman" w:cs="Times New Roman"/>
          <w:sz w:val="28"/>
          <w:szCs w:val="28"/>
        </w:rPr>
        <w:t xml:space="preserve">bên cạnh những kết quả đạt được, việc triển khai chính sách còn bộc lộ nhiều hạn chế như, </w:t>
      </w:r>
      <w:r w:rsidRPr="00E91E50">
        <w:rPr>
          <w:rFonts w:ascii="Times New Roman" w:hAnsi="Times New Roman" w:cs="Times New Roman"/>
          <w:sz w:val="28"/>
          <w:szCs w:val="28"/>
        </w:rPr>
        <w:t xml:space="preserve">thực tiễn cũng cho thấy còn nhiều khó khăn, vướng mắc phát sinh cả về thể chế và tổ chức thực hiện. Một số quy định chưa theo kịp thực tiễn phát triển của khu vực kinh tế tập thể; tiêu chí thụ hưởng chính sách còn cao, chưa phù hợp với hợp tác xã quy mô nhỏ hoặc mới thành lập; thủ tục hành chính còn phức tạp, gây khó khăn trong tiếp cận chính sách; </w:t>
      </w:r>
      <w:r w:rsidR="00865AE6" w:rsidRPr="00E91E50">
        <w:rPr>
          <w:rFonts w:ascii="Times New Roman" w:hAnsi="Times New Roman" w:cs="Times New Roman"/>
          <w:color w:val="000000" w:themeColor="text1"/>
          <w:sz w:val="28"/>
          <w:szCs w:val="28"/>
        </w:rPr>
        <w:t>cơ chế quản lý và sử dụng kinh phí chưa rõ rang</w:t>
      </w:r>
      <w:r w:rsidR="00865AE6" w:rsidRPr="00E91E50">
        <w:rPr>
          <w:rFonts w:ascii="Times New Roman" w:hAnsi="Times New Roman" w:cs="Times New Roman"/>
          <w:sz w:val="28"/>
          <w:szCs w:val="28"/>
        </w:rPr>
        <w:t xml:space="preserve">; </w:t>
      </w:r>
      <w:r w:rsidRPr="00E91E50">
        <w:rPr>
          <w:rFonts w:ascii="Times New Roman" w:hAnsi="Times New Roman" w:cs="Times New Roman"/>
          <w:sz w:val="28"/>
          <w:szCs w:val="28"/>
        </w:rPr>
        <w:t>năng lực quản trị của hợp tác xã còn hạn chế; hệ thống dữ liệu và thông tin quản lý chưa đồng bộ</w:t>
      </w:r>
      <w:r w:rsidR="00CE05E9" w:rsidRPr="00E91E50">
        <w:rPr>
          <w:rFonts w:ascii="Times New Roman" w:hAnsi="Times New Roman" w:cs="Times New Roman"/>
          <w:sz w:val="28"/>
          <w:szCs w:val="28"/>
        </w:rPr>
        <w:t xml:space="preserve"> </w:t>
      </w:r>
      <w:r w:rsidR="00046565" w:rsidRPr="00E91E50">
        <w:rPr>
          <w:rFonts w:ascii="Times New Roman" w:hAnsi="Times New Roman" w:cs="Times New Roman"/>
          <w:color w:val="000000" w:themeColor="text1"/>
          <w:sz w:val="28"/>
          <w:szCs w:val="28"/>
        </w:rPr>
        <w:t>(Báo cáo tổng kết – kèm theo)</w:t>
      </w:r>
      <w:r w:rsidR="00CE05E9" w:rsidRPr="00E91E50">
        <w:rPr>
          <w:rFonts w:ascii="Times New Roman" w:hAnsi="Times New Roman" w:cs="Times New Roman"/>
          <w:color w:val="000000" w:themeColor="text1"/>
          <w:sz w:val="28"/>
          <w:szCs w:val="28"/>
        </w:rPr>
        <w:t xml:space="preserve"> </w:t>
      </w:r>
    </w:p>
    <w:p w14:paraId="6DBDA70F" w14:textId="05483DD1" w:rsidR="0038454B" w:rsidRPr="00E91E50" w:rsidRDefault="0038454B" w:rsidP="00CB0679">
      <w:pPr>
        <w:autoSpaceDE w:val="0"/>
        <w:autoSpaceDN w:val="0"/>
        <w:adjustRightInd w:val="0"/>
        <w:spacing w:before="120" w:after="120" w:line="240" w:lineRule="auto"/>
        <w:ind w:firstLine="720"/>
        <w:jc w:val="both"/>
        <w:rPr>
          <w:rFonts w:ascii="Times New Roman" w:hAnsi="Times New Roman" w:cs="Times New Roman"/>
          <w:sz w:val="28"/>
          <w:szCs w:val="28"/>
        </w:rPr>
      </w:pPr>
      <w:r w:rsidRPr="00E91E50">
        <w:rPr>
          <w:rFonts w:ascii="Times New Roman" w:hAnsi="Times New Roman" w:cs="Times New Roman"/>
          <w:sz w:val="28"/>
          <w:szCs w:val="28"/>
        </w:rPr>
        <w:t>Ngoài ra, trong bối cảnh quốc tế, xu hướng phát triển kinh tế xanh, kinh tế tuần hoàn, chuyển đổi số, truy xuất nguồn gốc và tiêu chuẩn hóa chất lượng sản phẩm ngày càng gia tăng, trong khi thị trường thế giới tiếp tục biến động do cạnh tranh chiến lược và gián đoạn chuỗi cung ứng, đặt ra yêu cầu khu vực hợp tác xã phải nâng cao năng lực quản trị, liên kết và thích ứng; do đó, chính sách hỗ trợ cần được hoàn thiện theo hướng linh hoạt, đồng bộ và phù hợp hơn với thực tiễn phát triển.</w:t>
      </w:r>
    </w:p>
    <w:p w14:paraId="6CA5DA1F" w14:textId="77777777" w:rsidR="00E960D4" w:rsidRPr="00E91E50" w:rsidRDefault="00084F04" w:rsidP="00E960D4">
      <w:pPr>
        <w:autoSpaceDE w:val="0"/>
        <w:autoSpaceDN w:val="0"/>
        <w:adjustRightInd w:val="0"/>
        <w:spacing w:before="120" w:after="120" w:line="240" w:lineRule="auto"/>
        <w:ind w:firstLine="720"/>
        <w:jc w:val="both"/>
        <w:rPr>
          <w:rFonts w:ascii="Times New Roman" w:hAnsi="Times New Roman" w:cs="Times New Roman"/>
          <w:b/>
          <w:bCs/>
          <w:sz w:val="28"/>
          <w:szCs w:val="28"/>
        </w:rPr>
      </w:pPr>
      <w:r w:rsidRPr="00E91E50">
        <w:rPr>
          <w:rFonts w:ascii="Times New Roman" w:hAnsi="Times New Roman" w:cs="Times New Roman"/>
          <w:sz w:val="28"/>
          <w:szCs w:val="28"/>
        </w:rPr>
        <w:t xml:space="preserve">Bên cạnh việc triển khai mô hình chính quyền địa phương 02 cấp, cơ cấu tổ chức của Chính phủ cũng đã được sắp xếp lại theo </w:t>
      </w:r>
      <w:r w:rsidRPr="00E91E50">
        <w:rPr>
          <w:rStyle w:val="Strong"/>
          <w:rFonts w:ascii="Times New Roman" w:hAnsi="Times New Roman" w:cs="Times New Roman"/>
          <w:b w:val="0"/>
          <w:sz w:val="28"/>
          <w:szCs w:val="28"/>
        </w:rPr>
        <w:t>Nghị quyết số 176/2025/QH15 ngày 18 tháng 02 năm 2025 của Quốc hội về cơ cấu tổ chức của Chính phủ nhiệm kỳ Quốc hội khóa XV</w:t>
      </w:r>
      <w:r w:rsidRPr="00E91E50">
        <w:rPr>
          <w:rFonts w:ascii="Times New Roman" w:hAnsi="Times New Roman" w:cs="Times New Roman"/>
          <w:sz w:val="28"/>
          <w:szCs w:val="28"/>
        </w:rPr>
        <w:t xml:space="preserve">; theo đó, các bộ, cơ quan ngang bộ theo cơ cấu tổ chức mới chính thức hoạt động từ ngày 01 tháng 3 năm 2025. Trên cơ sở đó, </w:t>
      </w:r>
      <w:r w:rsidRPr="00E91E50">
        <w:rPr>
          <w:rStyle w:val="Strong"/>
          <w:rFonts w:ascii="Times New Roman" w:hAnsi="Times New Roman" w:cs="Times New Roman"/>
          <w:b w:val="0"/>
          <w:sz w:val="28"/>
          <w:szCs w:val="28"/>
        </w:rPr>
        <w:t>Nghị định số 29/2025/NĐ-CP ngày 24 tháng 02 năm 2025 của Chính phủ</w:t>
      </w:r>
      <w:r w:rsidRPr="00E91E50">
        <w:rPr>
          <w:rFonts w:ascii="Times New Roman" w:hAnsi="Times New Roman" w:cs="Times New Roman"/>
          <w:sz w:val="28"/>
          <w:szCs w:val="28"/>
        </w:rPr>
        <w:t xml:space="preserve"> đã quy định Bộ Tài chính thực hiện chức năng quản lý nhà nước về đầu tư công, doanh nghiệp, kinh tế tập thể, kinh tế hợp tác và các lĩnh vực có liên quan. Do vậy, việc sửa đổi, bổ sung Nghị định số 113/2024/NĐ-CP cần bảo đảm phản ánh đầy đủ bối cảnh tổ chức bộ máy mới, thống nhất đầu mối quản lý nhà nước tại Bộ Tài chính</w:t>
      </w:r>
      <w:r w:rsidR="00E960D4" w:rsidRPr="00E91E50">
        <w:rPr>
          <w:rFonts w:ascii="Times New Roman" w:hAnsi="Times New Roman" w:cs="Times New Roman"/>
          <w:sz w:val="28"/>
          <w:szCs w:val="28"/>
        </w:rPr>
        <w:t xml:space="preserve"> và nhằm bảo đảm phù hợp với thực tiễn và định hướng phát triển trong giai đoạn mới,</w:t>
      </w:r>
      <w:r w:rsidR="00E960D4" w:rsidRPr="00E91E50">
        <w:rPr>
          <w:rFonts w:ascii="Times New Roman" w:hAnsi="Times New Roman" w:cs="Times New Roman"/>
          <w:color w:val="FF0000"/>
          <w:sz w:val="28"/>
          <w:szCs w:val="28"/>
        </w:rPr>
        <w:t xml:space="preserve"> </w:t>
      </w:r>
      <w:r w:rsidR="00E960D4" w:rsidRPr="00E91E50">
        <w:rPr>
          <w:rFonts w:ascii="Times New Roman" w:hAnsi="Times New Roman" w:cs="Times New Roman"/>
          <w:sz w:val="28"/>
          <w:szCs w:val="28"/>
        </w:rPr>
        <w:t xml:space="preserve">nâng cao hiệu quả tổ chức thi hành pháp luật trong thời gian tới. </w:t>
      </w:r>
    </w:p>
    <w:p w14:paraId="0E27E6E2" w14:textId="48CC6CD5" w:rsidR="00106504" w:rsidRDefault="00252D60" w:rsidP="00CB0679">
      <w:pPr>
        <w:spacing w:before="120" w:after="120" w:line="240" w:lineRule="auto"/>
        <w:ind w:firstLine="720"/>
        <w:jc w:val="both"/>
        <w:rPr>
          <w:rFonts w:ascii="Times New Roman" w:hAnsi="Times New Roman" w:cs="Times New Roman"/>
          <w:sz w:val="28"/>
          <w:szCs w:val="28"/>
        </w:rPr>
      </w:pPr>
      <w:r w:rsidRPr="00E91E50">
        <w:rPr>
          <w:rFonts w:ascii="Times New Roman" w:hAnsi="Times New Roman" w:cs="Times New Roman"/>
          <w:sz w:val="28"/>
          <w:szCs w:val="28"/>
        </w:rPr>
        <w:t>2. Mục tiêu xây dựng chính sách</w:t>
      </w:r>
    </w:p>
    <w:p w14:paraId="12618F2C" w14:textId="6ADF8065" w:rsidR="00106504" w:rsidRPr="00E91E50" w:rsidRDefault="00252D60" w:rsidP="00CB0679">
      <w:pPr>
        <w:spacing w:before="120" w:after="120" w:line="240" w:lineRule="auto"/>
        <w:ind w:firstLine="720"/>
        <w:jc w:val="both"/>
        <w:rPr>
          <w:rFonts w:ascii="Times New Roman" w:hAnsi="Times New Roman" w:cs="Times New Roman"/>
          <w:sz w:val="28"/>
          <w:szCs w:val="28"/>
        </w:rPr>
      </w:pPr>
      <w:r w:rsidRPr="00E91E50">
        <w:rPr>
          <w:rFonts w:ascii="Times New Roman" w:hAnsi="Times New Roman" w:cs="Times New Roman"/>
          <w:sz w:val="28"/>
          <w:szCs w:val="28"/>
        </w:rPr>
        <w:t>Việc xây dựng Nghị định sửa đổi, bổ sung một số điều của Nghị định số 113/2024/NĐ-CP nhằm đạt được các mục tiêu chủ yếu sau:</w:t>
      </w:r>
    </w:p>
    <w:p w14:paraId="72475646" w14:textId="40D5C36E" w:rsidR="00563D98" w:rsidRPr="00E91E50" w:rsidRDefault="00252D60" w:rsidP="00CB0679">
      <w:pPr>
        <w:spacing w:before="120" w:after="120" w:line="240" w:lineRule="auto"/>
        <w:ind w:firstLine="720"/>
        <w:jc w:val="both"/>
        <w:rPr>
          <w:rFonts w:ascii="Times New Roman" w:eastAsia="Times New Roman" w:hAnsi="Times New Roman" w:cs="Times New Roman"/>
          <w:color w:val="FF0000"/>
          <w:sz w:val="28"/>
          <w:szCs w:val="28"/>
        </w:rPr>
      </w:pPr>
      <w:r w:rsidRPr="00E91E50">
        <w:rPr>
          <w:rFonts w:ascii="Times New Roman" w:hAnsi="Times New Roman" w:cs="Times New Roman"/>
          <w:sz w:val="28"/>
          <w:szCs w:val="28"/>
        </w:rPr>
        <w:t xml:space="preserve">Thứ nhất, </w:t>
      </w:r>
      <w:r w:rsidR="00563D98" w:rsidRPr="00E91E50">
        <w:rPr>
          <w:rFonts w:ascii="Times New Roman" w:hAnsi="Times New Roman" w:cs="Times New Roman"/>
          <w:sz w:val="28"/>
          <w:szCs w:val="28"/>
        </w:rPr>
        <w:t xml:space="preserve">nhằm bảo đảm tính hợp hiến, hợp pháp và thống nhất của hệ thống pháp luật; khắc phục các bất cập trong thực tiễn thi hành; hoàn thiện cơ chế </w:t>
      </w:r>
      <w:r w:rsidR="00563D98" w:rsidRPr="00E91E50">
        <w:rPr>
          <w:rFonts w:ascii="Times New Roman" w:hAnsi="Times New Roman" w:cs="Times New Roman"/>
          <w:sz w:val="28"/>
          <w:szCs w:val="28"/>
        </w:rPr>
        <w:lastRenderedPageBreak/>
        <w:t xml:space="preserve">phân cấp, phân quyền phù hợp với mô hình chính quyền địa phương 02 cấp và các quy định pháp luật mới có liên quan. </w:t>
      </w:r>
    </w:p>
    <w:p w14:paraId="3565F59B" w14:textId="7EA0B809" w:rsidR="00252D60" w:rsidRPr="00E91E50" w:rsidRDefault="00252D60" w:rsidP="00CB0679">
      <w:pPr>
        <w:spacing w:before="120" w:after="120" w:line="240" w:lineRule="auto"/>
        <w:ind w:firstLine="720"/>
        <w:jc w:val="both"/>
        <w:rPr>
          <w:rFonts w:ascii="Times New Roman" w:hAnsi="Times New Roman" w:cs="Times New Roman"/>
          <w:sz w:val="28"/>
          <w:szCs w:val="28"/>
        </w:rPr>
      </w:pPr>
      <w:r w:rsidRPr="00E91E50">
        <w:rPr>
          <w:rFonts w:ascii="Times New Roman" w:hAnsi="Times New Roman" w:cs="Times New Roman"/>
          <w:sz w:val="28"/>
          <w:szCs w:val="28"/>
        </w:rPr>
        <w:t>Thứ hai, khắc phục các khó khăn, vướng mắc phát sinh trong thực tiễn tổ chức thi hành, tạo điều kiện thuận lợi cho các bộ, ngành, địa phương và hợp tác xã trong quá trình triển khai chính sách.</w:t>
      </w:r>
    </w:p>
    <w:p w14:paraId="50170459" w14:textId="6DD5C93B" w:rsidR="00252D60" w:rsidRPr="00E91E50" w:rsidRDefault="00252D60" w:rsidP="00CB0679">
      <w:pPr>
        <w:spacing w:before="120" w:after="120" w:line="240" w:lineRule="auto"/>
        <w:ind w:firstLine="720"/>
        <w:jc w:val="both"/>
        <w:rPr>
          <w:rFonts w:ascii="Times New Roman" w:hAnsi="Times New Roman" w:cs="Times New Roman"/>
          <w:sz w:val="28"/>
          <w:szCs w:val="28"/>
        </w:rPr>
      </w:pPr>
      <w:r w:rsidRPr="00E91E50">
        <w:rPr>
          <w:rFonts w:ascii="Times New Roman" w:hAnsi="Times New Roman" w:cs="Times New Roman"/>
          <w:sz w:val="28"/>
          <w:szCs w:val="28"/>
        </w:rPr>
        <w:t>Thứ ba, đơn giản hóa thủ tục hành chính, giảm chi phí tuân thủ, nâng cao khả năng tiếp cận chính sách của hợp tác xã, nhất là các hợp tác xã quy mô nhỏ, mới thành lập.</w:t>
      </w:r>
    </w:p>
    <w:p w14:paraId="320DA58C" w14:textId="4900C5AB" w:rsidR="00252D60" w:rsidRPr="00E91E50" w:rsidRDefault="00252D60" w:rsidP="00CB0679">
      <w:pPr>
        <w:spacing w:before="120" w:after="120" w:line="240" w:lineRule="auto"/>
        <w:ind w:firstLine="720"/>
        <w:jc w:val="both"/>
        <w:rPr>
          <w:rFonts w:ascii="Times New Roman" w:hAnsi="Times New Roman" w:cs="Times New Roman"/>
          <w:sz w:val="28"/>
          <w:szCs w:val="28"/>
        </w:rPr>
      </w:pPr>
      <w:r w:rsidRPr="00E91E50">
        <w:rPr>
          <w:rFonts w:ascii="Times New Roman" w:hAnsi="Times New Roman" w:cs="Times New Roman"/>
          <w:sz w:val="28"/>
          <w:szCs w:val="28"/>
        </w:rPr>
        <w:t>Thứ tư, hoàn thiện cơ chế quản lý, sử dụng và quyết toán kinh phí hỗ trợ từ ngân sách nhà nước theo đúng quy định của pháp luật về ngân sách, bảo đảm hiệu quả và minh bạch.</w:t>
      </w:r>
    </w:p>
    <w:p w14:paraId="73CDB417" w14:textId="39CEF02A" w:rsidR="00252D60" w:rsidRPr="00E91E50" w:rsidRDefault="00252D60" w:rsidP="00CB0679">
      <w:pPr>
        <w:spacing w:before="120" w:after="120" w:line="240" w:lineRule="auto"/>
        <w:ind w:firstLine="720"/>
        <w:jc w:val="both"/>
        <w:rPr>
          <w:rFonts w:ascii="Times New Roman" w:hAnsi="Times New Roman" w:cs="Times New Roman"/>
          <w:sz w:val="28"/>
          <w:szCs w:val="28"/>
        </w:rPr>
      </w:pPr>
      <w:r w:rsidRPr="00E91E50">
        <w:rPr>
          <w:rFonts w:ascii="Times New Roman" w:hAnsi="Times New Roman" w:cs="Times New Roman"/>
          <w:sz w:val="28"/>
          <w:szCs w:val="28"/>
        </w:rPr>
        <w:t>Thứ năm, bổ sung các quy định đáp ứng yêu cầu phát triển mới của khu vực kinh tế tập thể, đặc biệt là chuyển đổi số, phát triển theo chuỗi giá trị và kinh tế xanh, góp phần nâng cao năng lực cạnh tranh của hợp tác xã.</w:t>
      </w:r>
    </w:p>
    <w:p w14:paraId="52E03E9E" w14:textId="7E5C11E4" w:rsidR="00252D60" w:rsidRPr="00E91E50" w:rsidRDefault="00252D60" w:rsidP="00CB0679">
      <w:pPr>
        <w:spacing w:before="120" w:after="120" w:line="240" w:lineRule="auto"/>
        <w:ind w:firstLine="720"/>
        <w:jc w:val="both"/>
        <w:rPr>
          <w:rFonts w:ascii="Times New Roman" w:hAnsi="Times New Roman" w:cs="Times New Roman"/>
          <w:b/>
          <w:sz w:val="28"/>
          <w:szCs w:val="28"/>
        </w:rPr>
      </w:pPr>
      <w:r w:rsidRPr="00E91E50">
        <w:rPr>
          <w:rFonts w:ascii="Times New Roman" w:hAnsi="Times New Roman" w:cs="Times New Roman"/>
          <w:b/>
          <w:sz w:val="28"/>
          <w:szCs w:val="28"/>
        </w:rPr>
        <w:t>I. ĐÁNH GIÁ TÁC ĐỘNG CỦA CHÍNH SÁCH</w:t>
      </w:r>
    </w:p>
    <w:p w14:paraId="173349A0" w14:textId="77777777" w:rsidR="00160B99" w:rsidRPr="00CC4F95" w:rsidRDefault="00252D60" w:rsidP="00CB0679">
      <w:pPr>
        <w:spacing w:before="120" w:after="120" w:line="240" w:lineRule="auto"/>
        <w:ind w:firstLine="720"/>
        <w:jc w:val="both"/>
        <w:rPr>
          <w:rFonts w:ascii="Times New Roman" w:hAnsi="Times New Roman" w:cs="Times New Roman"/>
          <w:b/>
          <w:sz w:val="28"/>
          <w:szCs w:val="28"/>
        </w:rPr>
      </w:pPr>
      <w:r w:rsidRPr="00CC4F95">
        <w:rPr>
          <w:rFonts w:ascii="Times New Roman" w:hAnsi="Times New Roman" w:cs="Times New Roman"/>
          <w:b/>
          <w:sz w:val="28"/>
          <w:szCs w:val="28"/>
        </w:rPr>
        <w:t>1. Chính sách 1: Hoàn thiện quy định phù hợp với mô hình chính quyền địa phương 02 cấp</w:t>
      </w:r>
      <w:r w:rsidR="00160B99" w:rsidRPr="00CC4F95">
        <w:rPr>
          <w:rFonts w:ascii="Times New Roman" w:hAnsi="Times New Roman" w:cs="Times New Roman"/>
          <w:b/>
          <w:sz w:val="28"/>
          <w:szCs w:val="28"/>
        </w:rPr>
        <w:t xml:space="preserve"> và cơ cấu tổ chức của Chính phủ</w:t>
      </w:r>
    </w:p>
    <w:p w14:paraId="4F99EC00" w14:textId="199FF36E" w:rsidR="00AE2F92" w:rsidRPr="00AE2F92" w:rsidRDefault="005074C1" w:rsidP="00AE2F92">
      <w:pPr>
        <w:spacing w:before="120" w:after="120" w:line="240" w:lineRule="auto"/>
        <w:ind w:firstLine="720"/>
        <w:jc w:val="both"/>
        <w:rPr>
          <w:rFonts w:ascii="Times New Roman" w:hAnsi="Times New Roman" w:cs="Times New Roman"/>
          <w:sz w:val="24"/>
          <w:szCs w:val="24"/>
        </w:rPr>
      </w:pPr>
      <w:r w:rsidRPr="00E91E50">
        <w:rPr>
          <w:rFonts w:ascii="Times New Roman" w:hAnsi="Times New Roman" w:cs="Times New Roman"/>
          <w:sz w:val="28"/>
          <w:szCs w:val="28"/>
        </w:rPr>
        <w:t xml:space="preserve">a) Giải pháp 1: </w:t>
      </w:r>
      <w:r w:rsidR="00AE2F92" w:rsidRPr="00AE2F92">
        <w:rPr>
          <w:rFonts w:ascii="Times New Roman" w:hAnsi="Times New Roman" w:cs="Times New Roman"/>
          <w:sz w:val="28"/>
          <w:szCs w:val="28"/>
        </w:rPr>
        <w:t>Giữ nguyên cơ chế phân cấp hiện hành nhưng tăng cường hướng dẫn, phân công trách nhiệm thông qua văn bản hướng dẫn của các bộ, ngành và địa phương</w:t>
      </w:r>
      <w:r w:rsidR="00AE2F92" w:rsidRPr="00AE2F92">
        <w:rPr>
          <w:rFonts w:ascii="Times New Roman" w:hAnsi="Times New Roman" w:cs="Times New Roman"/>
          <w:sz w:val="24"/>
          <w:szCs w:val="24"/>
        </w:rPr>
        <w:t xml:space="preserve"> </w:t>
      </w:r>
      <w:r w:rsidR="00AE2F92">
        <w:rPr>
          <w:rFonts w:ascii="Times New Roman" w:hAnsi="Times New Roman" w:cs="Times New Roman"/>
          <w:sz w:val="24"/>
          <w:szCs w:val="24"/>
        </w:rPr>
        <w:t xml:space="preserve">. </w:t>
      </w:r>
    </w:p>
    <w:p w14:paraId="56A1B7C3" w14:textId="4BE13697" w:rsidR="005074C1" w:rsidRPr="00AE2F92" w:rsidRDefault="00B03BF9" w:rsidP="00CB0679">
      <w:pPr>
        <w:spacing w:before="120" w:after="120" w:line="240" w:lineRule="auto"/>
        <w:ind w:firstLine="720"/>
        <w:jc w:val="both"/>
        <w:rPr>
          <w:rFonts w:ascii="Times New Roman" w:hAnsi="Times New Roman" w:cs="Times New Roman"/>
          <w:sz w:val="28"/>
          <w:szCs w:val="28"/>
        </w:rPr>
      </w:pPr>
      <w:r w:rsidRPr="00AE2F92">
        <w:rPr>
          <w:rFonts w:ascii="Times New Roman" w:hAnsi="Times New Roman" w:cs="Times New Roman"/>
          <w:sz w:val="28"/>
          <w:szCs w:val="28"/>
        </w:rPr>
        <w:t>Theo g</w:t>
      </w:r>
      <w:r w:rsidR="005074C1" w:rsidRPr="00AE2F92">
        <w:rPr>
          <w:rFonts w:ascii="Times New Roman" w:hAnsi="Times New Roman" w:cs="Times New Roman"/>
          <w:sz w:val="28"/>
          <w:szCs w:val="28"/>
        </w:rPr>
        <w:t xml:space="preserve">iải pháp này không thực hiện sửa đổi các quy định liên quan đến phân công, phân cấp trong tổ chức thực hiện chính sách hỗ trợ hợp tác xã, tiếp tục duy trì cách thức thiết kế theo mô hình chính quyền địa phương 03 cấp (tỉnh – huyện – xã). </w:t>
      </w:r>
      <w:r w:rsidR="00160B99" w:rsidRPr="00AE2F92">
        <w:rPr>
          <w:rFonts w:ascii="Times New Roman" w:hAnsi="Times New Roman" w:cs="Times New Roman"/>
          <w:sz w:val="28"/>
          <w:szCs w:val="28"/>
        </w:rPr>
        <w:t>hệ thống quy định hiện hành tiếp tục duy trì các nội dung liên quan đến cấp trung gian (cấp huyện) và cơ chế phối hợp giữa các bộ, ngành theo mô hình cũ.</w:t>
      </w:r>
    </w:p>
    <w:p w14:paraId="11F4E7AD" w14:textId="0100E06A" w:rsidR="005074C1" w:rsidRPr="00AE2F92" w:rsidRDefault="005074C1" w:rsidP="00CB0679">
      <w:pPr>
        <w:spacing w:before="120" w:after="120" w:line="240" w:lineRule="auto"/>
        <w:ind w:firstLine="720"/>
        <w:jc w:val="both"/>
        <w:rPr>
          <w:rFonts w:ascii="Times New Roman" w:hAnsi="Times New Roman" w:cs="Times New Roman"/>
          <w:sz w:val="28"/>
          <w:szCs w:val="28"/>
        </w:rPr>
      </w:pPr>
      <w:r w:rsidRPr="00AE2F92">
        <w:rPr>
          <w:rFonts w:ascii="Times New Roman" w:hAnsi="Times New Roman" w:cs="Times New Roman"/>
          <w:sz w:val="28"/>
          <w:szCs w:val="28"/>
        </w:rPr>
        <w:t>- Về tác động đối với hệ thống pháp luậ</w:t>
      </w:r>
      <w:r w:rsidR="005135AE">
        <w:rPr>
          <w:rFonts w:ascii="Times New Roman" w:hAnsi="Times New Roman" w:cs="Times New Roman"/>
          <w:sz w:val="28"/>
          <w:szCs w:val="28"/>
        </w:rPr>
        <w:t>t: G</w:t>
      </w:r>
      <w:r w:rsidRPr="00AE2F92">
        <w:rPr>
          <w:rFonts w:ascii="Times New Roman" w:hAnsi="Times New Roman" w:cs="Times New Roman"/>
          <w:sz w:val="28"/>
          <w:szCs w:val="28"/>
        </w:rPr>
        <w:t xml:space="preserve">iải pháp này không bảo đảm tính thống nhất với các quy định mới về tổ chức chính quyền địa phương, đặc biệt là không phù hợp với Nghị định số 125/2025/NĐ-CP của Chính phủ về phân định nhiệm vụ, quyền hạn của chính quyền địa phương theo mô hình 02 cấp, dẫn đến nguy cơ chồng chéo, xung đột pháp lý và khó khăn trong áp dụng. </w:t>
      </w:r>
    </w:p>
    <w:p w14:paraId="37A55611" w14:textId="77777777" w:rsidR="00B433A8" w:rsidRPr="00B433A8" w:rsidRDefault="005074C1" w:rsidP="00B433A8">
      <w:pPr>
        <w:spacing w:before="120" w:after="120" w:line="240" w:lineRule="auto"/>
        <w:ind w:firstLine="720"/>
        <w:jc w:val="both"/>
        <w:rPr>
          <w:rFonts w:ascii="Times New Roman" w:hAnsi="Times New Roman" w:cs="Times New Roman"/>
          <w:sz w:val="28"/>
          <w:szCs w:val="28"/>
        </w:rPr>
      </w:pPr>
      <w:r w:rsidRPr="00AE2F92">
        <w:rPr>
          <w:rFonts w:ascii="Times New Roman" w:hAnsi="Times New Roman" w:cs="Times New Roman"/>
          <w:sz w:val="28"/>
          <w:szCs w:val="28"/>
        </w:rPr>
        <w:t>- Về tác động kinh tế - xã hội</w:t>
      </w:r>
      <w:r w:rsidRPr="00B433A8">
        <w:rPr>
          <w:rFonts w:ascii="Times New Roman" w:hAnsi="Times New Roman" w:cs="Times New Roman"/>
          <w:sz w:val="28"/>
          <w:szCs w:val="28"/>
        </w:rPr>
        <w:t xml:space="preserve">, </w:t>
      </w:r>
      <w:r w:rsidR="00B433A8" w:rsidRPr="00B433A8">
        <w:rPr>
          <w:rFonts w:ascii="Times New Roman" w:hAnsi="Times New Roman" w:cs="Times New Roman"/>
          <w:sz w:val="28"/>
          <w:szCs w:val="28"/>
        </w:rPr>
        <w:t xml:space="preserve">việc tiếp tục duy trì các quy định không còn phù hợp sẽ ảnh hưởng trực tiếp đến môi trường tổ chức thực hiện chính sách, làm giảm hiệu quả quản lý nhà nước, kéo dài quy trình xử lý công việc, từ đó làm tăng chi phí tuân thủ đối với hợp tác xã, hạn chế khả năng tiếp cận chính sách, ảnh hưởng đến hoạt động sản xuất kinh doanh và năng lực cạnh tranh của khu vực kinh tế tập thể; đồng thời không tạo điều kiện thuận lợi để ổn định và mở rộng việc làm trong khu vực này. Bên cạnh đó, việc không điều chỉnh phân cấp, phân quyền phù hợp sẽ làm giảm tính chủ động, tự chịu trách nhiệm của địa phương, </w:t>
      </w:r>
      <w:r w:rsidR="00B433A8" w:rsidRPr="00B433A8">
        <w:rPr>
          <w:rFonts w:ascii="Times New Roman" w:hAnsi="Times New Roman" w:cs="Times New Roman"/>
          <w:sz w:val="28"/>
          <w:szCs w:val="28"/>
        </w:rPr>
        <w:lastRenderedPageBreak/>
        <w:t xml:space="preserve">tiềm ẩn nguy cơ chồng chéo, trùng lặp nhiệm vụ giữa các cấp chính quyền, đồng thời không tạo điều kiện thuận lợi cho việc ứng dụng công nghệ thông tin trong quản lý và điều hành, ảnh hưởng đến yêu cầu chuyển đổi số trong quản lý nhà nước hiện nay. </w:t>
      </w:r>
    </w:p>
    <w:p w14:paraId="07706750" w14:textId="77777777" w:rsidR="003A3070" w:rsidRPr="00112D5D" w:rsidRDefault="003A3070" w:rsidP="003A3070">
      <w:pPr>
        <w:spacing w:before="120" w:after="120" w:line="240" w:lineRule="auto"/>
        <w:ind w:firstLine="720"/>
        <w:jc w:val="both"/>
        <w:rPr>
          <w:rFonts w:ascii="Times New Roman" w:hAnsi="Times New Roman" w:cs="Times New Roman"/>
          <w:sz w:val="28"/>
          <w:szCs w:val="28"/>
        </w:rPr>
      </w:pPr>
      <w:r w:rsidRPr="00112D5D">
        <w:rPr>
          <w:rFonts w:ascii="Times New Roman" w:hAnsi="Times New Roman" w:cs="Times New Roman"/>
          <w:sz w:val="28"/>
          <w:szCs w:val="28"/>
        </w:rPr>
        <w:t xml:space="preserve">- </w:t>
      </w:r>
      <w:r w:rsidRPr="00112D5D">
        <w:rPr>
          <w:rStyle w:val="Strong"/>
          <w:rFonts w:ascii="Times New Roman" w:hAnsi="Times New Roman" w:cs="Times New Roman"/>
          <w:b w:val="0"/>
          <w:sz w:val="28"/>
          <w:szCs w:val="28"/>
        </w:rPr>
        <w:t>Tác động về giới:</w:t>
      </w:r>
      <w:r w:rsidRPr="00112D5D">
        <w:rPr>
          <w:rFonts w:ascii="Times New Roman" w:hAnsi="Times New Roman" w:cs="Times New Roman"/>
          <w:sz w:val="28"/>
          <w:szCs w:val="28"/>
        </w:rPr>
        <w:t xml:space="preserve"> Chính sách không tạo ra sự khác biệt về cơ hội, điều kiện tiếp cận và thụ hưởng giữa các giới; đồng thời việc nâng cao hiệu quả tiếp cận chính sách hỗ trợ có thể góp phần tạo điều kiện thuận lợi hơn cho các nhóm yếu thế, trong đó có phụ nữ tham gia khu vực kinh tế tập thể</w:t>
      </w:r>
      <w:r>
        <w:rPr>
          <w:rFonts w:ascii="Times New Roman" w:hAnsi="Times New Roman" w:cs="Times New Roman"/>
          <w:sz w:val="28"/>
          <w:szCs w:val="28"/>
        </w:rPr>
        <w:t>.</w:t>
      </w:r>
    </w:p>
    <w:p w14:paraId="4DC630DD" w14:textId="77777777" w:rsidR="004603F7" w:rsidRPr="00AE2F92" w:rsidRDefault="005074C1" w:rsidP="00CB0679">
      <w:pPr>
        <w:spacing w:before="120" w:after="120" w:line="240" w:lineRule="auto"/>
        <w:ind w:firstLine="720"/>
        <w:jc w:val="both"/>
        <w:rPr>
          <w:rFonts w:ascii="Times New Roman" w:hAnsi="Times New Roman" w:cs="Times New Roman"/>
          <w:sz w:val="28"/>
          <w:szCs w:val="28"/>
        </w:rPr>
      </w:pPr>
      <w:r w:rsidRPr="00AE2F92">
        <w:rPr>
          <w:rFonts w:ascii="Times New Roman" w:hAnsi="Times New Roman" w:cs="Times New Roman"/>
          <w:sz w:val="28"/>
          <w:szCs w:val="28"/>
        </w:rPr>
        <w:t>- Về tác động của thủ tục hành chính, giải pháp này không góp phần đơn giản hóa thủ tục, thậm chí tiếp tục duy trì các khâu trung gian không cần thiết do vẫn giả định sự tồn tại của cấp huyện, từ đó làm kéo dài quy trình xử lý hồ sơ và giảm tính minh bạ</w:t>
      </w:r>
      <w:r w:rsidR="004603F7" w:rsidRPr="00AE2F92">
        <w:rPr>
          <w:rFonts w:ascii="Times New Roman" w:hAnsi="Times New Roman" w:cs="Times New Roman"/>
          <w:sz w:val="28"/>
          <w:szCs w:val="28"/>
        </w:rPr>
        <w:t>ch trong quy trình thực hiện.</w:t>
      </w:r>
    </w:p>
    <w:p w14:paraId="5764CCC9" w14:textId="48F5CB95" w:rsidR="00CF5230" w:rsidRPr="00E91E50" w:rsidRDefault="005074C1" w:rsidP="00CB0679">
      <w:pPr>
        <w:spacing w:before="120" w:after="120" w:line="240" w:lineRule="auto"/>
        <w:ind w:firstLine="720"/>
        <w:jc w:val="both"/>
        <w:rPr>
          <w:rFonts w:ascii="Times New Roman" w:hAnsi="Times New Roman" w:cs="Times New Roman"/>
          <w:sz w:val="28"/>
          <w:szCs w:val="28"/>
        </w:rPr>
      </w:pPr>
      <w:r w:rsidRPr="00E91E50">
        <w:rPr>
          <w:rFonts w:ascii="Times New Roman" w:hAnsi="Times New Roman" w:cs="Times New Roman"/>
          <w:sz w:val="28"/>
          <w:szCs w:val="28"/>
        </w:rPr>
        <w:t xml:space="preserve">b) Giải pháp 2: </w:t>
      </w:r>
      <w:r w:rsidR="00CF5230" w:rsidRPr="00E91E50">
        <w:rPr>
          <w:rFonts w:ascii="Times New Roman" w:hAnsi="Times New Roman" w:cs="Times New Roman"/>
          <w:sz w:val="28"/>
          <w:szCs w:val="28"/>
        </w:rPr>
        <w:t>Sửa đổi, bổ sung các quy định của Nghị định theo hướng loại bỏ các nội dung không còn phù hợp với mô hình chính quyền địa phương 02 cấp (</w:t>
      </w:r>
      <w:r w:rsidRPr="00E91E50">
        <w:rPr>
          <w:rFonts w:ascii="Times New Roman" w:hAnsi="Times New Roman" w:cs="Times New Roman"/>
          <w:sz w:val="28"/>
          <w:szCs w:val="28"/>
        </w:rPr>
        <w:t>theo hướng phân định lại thẩm quyền giữa cấp tỉnh và cấp xã, bãi bỏ các nội dung liên quan đến cấp huyện, đồng thời quy định rõ trách nhiệm của từng cấp trong tổ chức thực hiện chính sách</w:t>
      </w:r>
      <w:r w:rsidR="00CF5230" w:rsidRPr="00E91E50">
        <w:rPr>
          <w:rFonts w:ascii="Times New Roman" w:hAnsi="Times New Roman" w:cs="Times New Roman"/>
          <w:sz w:val="28"/>
          <w:szCs w:val="28"/>
        </w:rPr>
        <w:t xml:space="preserve">; đồng thời điều chỉnh trách nhiệm của các cơ quan theo cơ cấu tổ chức mới của Chính phủ, trong đó thống nhất đầu mối quản lý nhà nước tại Bộ Tài chính. </w:t>
      </w:r>
    </w:p>
    <w:p w14:paraId="758A8AD4" w14:textId="6BD649BE" w:rsidR="00A35290" w:rsidRPr="00E91E50" w:rsidRDefault="00A35290" w:rsidP="00CB0679">
      <w:pPr>
        <w:spacing w:before="120" w:after="120" w:line="240" w:lineRule="auto"/>
        <w:ind w:firstLine="720"/>
        <w:jc w:val="both"/>
        <w:rPr>
          <w:rFonts w:ascii="Times New Roman" w:hAnsi="Times New Roman" w:cs="Times New Roman"/>
          <w:sz w:val="28"/>
          <w:szCs w:val="28"/>
        </w:rPr>
      </w:pPr>
      <w:r w:rsidRPr="00E91E50">
        <w:rPr>
          <w:rFonts w:ascii="Times New Roman" w:hAnsi="Times New Roman" w:cs="Times New Roman"/>
          <w:sz w:val="28"/>
          <w:szCs w:val="28"/>
        </w:rPr>
        <w:t xml:space="preserve">Theo giải pháp này, các quy định được rà soát, cập nhật phù hợp với Nghị quyết của Quốc hội về cơ cấu tổ chức của Chính phủ, </w:t>
      </w:r>
      <w:r w:rsidR="005074C1" w:rsidRPr="00E91E50">
        <w:rPr>
          <w:rFonts w:ascii="Times New Roman" w:hAnsi="Times New Roman" w:cs="Times New Roman"/>
          <w:sz w:val="28"/>
          <w:szCs w:val="28"/>
        </w:rPr>
        <w:t xml:space="preserve">sửa đổi toàn diện các quy định có liên quan để phù hợp với mô hình chính quyền địa phương 02 cấp. </w:t>
      </w:r>
    </w:p>
    <w:p w14:paraId="58EAD075" w14:textId="468BE2EA" w:rsidR="00A35290" w:rsidRPr="005135AE" w:rsidRDefault="00A35290" w:rsidP="00CB0679">
      <w:pPr>
        <w:spacing w:before="120" w:after="120" w:line="240" w:lineRule="auto"/>
        <w:ind w:firstLine="720"/>
        <w:jc w:val="both"/>
        <w:rPr>
          <w:rFonts w:ascii="Times New Roman" w:hAnsi="Times New Roman" w:cs="Times New Roman"/>
          <w:sz w:val="28"/>
          <w:szCs w:val="28"/>
        </w:rPr>
      </w:pPr>
      <w:r w:rsidRPr="00E91E50">
        <w:rPr>
          <w:rFonts w:ascii="Times New Roman" w:hAnsi="Times New Roman" w:cs="Times New Roman"/>
          <w:sz w:val="28"/>
          <w:szCs w:val="28"/>
        </w:rPr>
        <w:t xml:space="preserve">- </w:t>
      </w:r>
      <w:r w:rsidR="005074C1" w:rsidRPr="00E91E50">
        <w:rPr>
          <w:rFonts w:ascii="Times New Roman" w:hAnsi="Times New Roman" w:cs="Times New Roman"/>
          <w:sz w:val="28"/>
          <w:szCs w:val="28"/>
        </w:rPr>
        <w:t xml:space="preserve">Về tác động đối với hệ thống pháp luật, giải pháp này bảo đảm tính thống nhất, đồng bộ với Nghị định số 125/2025/NĐ-CP và các quy định pháp luật hiện hành về tổ chức chính quyền địa phương, đồng thời khắc phục </w:t>
      </w:r>
      <w:r w:rsidRPr="00E91E50">
        <w:rPr>
          <w:rFonts w:ascii="Times New Roman" w:hAnsi="Times New Roman" w:cs="Times New Roman"/>
          <w:sz w:val="28"/>
          <w:szCs w:val="28"/>
        </w:rPr>
        <w:t>tình trạng chồng chéo, trùng lặp về thẩm quyền</w:t>
      </w:r>
      <w:r w:rsidR="005074C1" w:rsidRPr="00E91E50">
        <w:rPr>
          <w:rFonts w:ascii="Times New Roman" w:hAnsi="Times New Roman" w:cs="Times New Roman"/>
          <w:sz w:val="28"/>
          <w:szCs w:val="28"/>
        </w:rPr>
        <w:t>, góp phần hoàn thiện khuôn khổ</w:t>
      </w:r>
      <w:r w:rsidR="005135AE">
        <w:rPr>
          <w:rFonts w:ascii="Times New Roman" w:hAnsi="Times New Roman" w:cs="Times New Roman"/>
          <w:sz w:val="28"/>
          <w:szCs w:val="28"/>
        </w:rPr>
        <w:t xml:space="preserve"> pháp lý, </w:t>
      </w:r>
      <w:r w:rsidR="005135AE" w:rsidRPr="005135AE">
        <w:rPr>
          <w:rFonts w:ascii="Times New Roman" w:hAnsi="Times New Roman" w:cs="Times New Roman"/>
          <w:sz w:val="28"/>
          <w:szCs w:val="28"/>
        </w:rPr>
        <w:t>bảo đảm tính hợp hiến, hợp pháp, thống nhất của hệ thống pháp luật</w:t>
      </w:r>
      <w:r w:rsidR="005135AE">
        <w:rPr>
          <w:rFonts w:ascii="Times New Roman" w:hAnsi="Times New Roman" w:cs="Times New Roman"/>
          <w:sz w:val="28"/>
          <w:szCs w:val="28"/>
        </w:rPr>
        <w:t>.</w:t>
      </w:r>
    </w:p>
    <w:p w14:paraId="7AFD69F1" w14:textId="104D884C" w:rsidR="00A35290" w:rsidRPr="00B433A8" w:rsidRDefault="00A35290" w:rsidP="00CB0679">
      <w:pPr>
        <w:spacing w:before="120" w:after="120" w:line="240" w:lineRule="auto"/>
        <w:ind w:firstLine="720"/>
        <w:jc w:val="both"/>
        <w:rPr>
          <w:rFonts w:ascii="Times New Roman" w:hAnsi="Times New Roman" w:cs="Times New Roman"/>
          <w:sz w:val="28"/>
          <w:szCs w:val="28"/>
        </w:rPr>
      </w:pPr>
      <w:r w:rsidRPr="00B433A8">
        <w:rPr>
          <w:rFonts w:ascii="Times New Roman" w:hAnsi="Times New Roman" w:cs="Times New Roman"/>
          <w:sz w:val="28"/>
          <w:szCs w:val="28"/>
        </w:rPr>
        <w:t xml:space="preserve">- </w:t>
      </w:r>
      <w:r w:rsidR="005074C1" w:rsidRPr="00B433A8">
        <w:rPr>
          <w:rFonts w:ascii="Times New Roman" w:hAnsi="Times New Roman" w:cs="Times New Roman"/>
          <w:sz w:val="28"/>
          <w:szCs w:val="28"/>
        </w:rPr>
        <w:t>Về tác động kinh tế - xã hộ</w:t>
      </w:r>
      <w:r w:rsidR="00B433A8" w:rsidRPr="00B433A8">
        <w:rPr>
          <w:rFonts w:ascii="Times New Roman" w:hAnsi="Times New Roman" w:cs="Times New Roman"/>
          <w:sz w:val="28"/>
          <w:szCs w:val="28"/>
        </w:rPr>
        <w:t>i: Việc phân định rõ thẩm quyền giữa cấp tỉnh và cấp xã sẽ góp phần cải thiện môi trường tổ chức thực hiện chính sách, tạo điều kiện thuận lợi cho hợp tác xã trong tiếp cận nguồn lực, nâng cao hiệu quả sản xuất kinh doanh và khả năng cạnh tranh; đồng thời góp phần ổn định và mở rộng việc làm trong khu vực kinh tế tập thể, nâng cao năng suất lao động và hiệu quả hoạt động. Bên cạnh đó, giải pháp này tăng cường tính chủ động, tự chịu trách nhiệm của địa phương trong quản lý, giảm chồng chéo nhiệm vụ, đồng thời tạo điều kiện thuận lợi cho việc triển khai ứng dụng công nghệ thông tin, nâng cao hiệu quả quản lý, giám sát và phù hợp với yêu cầu chuyển đổi số trong quản lý nhà nước</w:t>
      </w:r>
      <w:r w:rsidR="005074C1" w:rsidRPr="00B433A8">
        <w:rPr>
          <w:rFonts w:ascii="Times New Roman" w:hAnsi="Times New Roman" w:cs="Times New Roman"/>
          <w:sz w:val="28"/>
          <w:szCs w:val="28"/>
        </w:rPr>
        <w:t xml:space="preserve">. </w:t>
      </w:r>
    </w:p>
    <w:p w14:paraId="15A38415" w14:textId="3701FFBA" w:rsidR="003A3070" w:rsidRPr="00112D5D" w:rsidRDefault="003A3070" w:rsidP="003A3070">
      <w:pPr>
        <w:spacing w:before="120" w:after="120" w:line="240" w:lineRule="auto"/>
        <w:ind w:firstLine="720"/>
        <w:jc w:val="both"/>
        <w:rPr>
          <w:rFonts w:ascii="Times New Roman" w:hAnsi="Times New Roman" w:cs="Times New Roman"/>
          <w:sz w:val="28"/>
          <w:szCs w:val="28"/>
        </w:rPr>
      </w:pPr>
      <w:r w:rsidRPr="00112D5D">
        <w:rPr>
          <w:rFonts w:ascii="Times New Roman" w:hAnsi="Times New Roman" w:cs="Times New Roman"/>
          <w:sz w:val="28"/>
          <w:szCs w:val="28"/>
        </w:rPr>
        <w:t xml:space="preserve">- </w:t>
      </w:r>
      <w:r w:rsidRPr="00112D5D">
        <w:rPr>
          <w:rStyle w:val="Strong"/>
          <w:rFonts w:ascii="Times New Roman" w:hAnsi="Times New Roman" w:cs="Times New Roman"/>
          <w:b w:val="0"/>
          <w:sz w:val="28"/>
          <w:szCs w:val="28"/>
        </w:rPr>
        <w:t>Tác động về giới:</w:t>
      </w:r>
      <w:r w:rsidRPr="00112D5D">
        <w:rPr>
          <w:rFonts w:ascii="Times New Roman" w:hAnsi="Times New Roman" w:cs="Times New Roman"/>
          <w:sz w:val="28"/>
          <w:szCs w:val="28"/>
        </w:rPr>
        <w:t xml:space="preserve"> Chính sách không tạo ra sự khác biệt về cơ hội, điều kiện tiếp cận và thụ hưởng giữa các giới; đồng thời việc nâng cao hiệu quả tiếp cận chính sách hỗ trợ có thể góp phần tạo điều kiện thuận lợi hơn cho các nhóm yếu thế, trong đó có phụ nữ tham gia khu vực kinh tế tập thể</w:t>
      </w:r>
      <w:r>
        <w:rPr>
          <w:rFonts w:ascii="Times New Roman" w:hAnsi="Times New Roman" w:cs="Times New Roman"/>
          <w:sz w:val="28"/>
          <w:szCs w:val="28"/>
        </w:rPr>
        <w:t>.</w:t>
      </w:r>
    </w:p>
    <w:p w14:paraId="41448115" w14:textId="24981EAE" w:rsidR="005074C1" w:rsidRPr="007E09DC" w:rsidRDefault="005074C1" w:rsidP="00CB0679">
      <w:pPr>
        <w:spacing w:before="120" w:after="120" w:line="240" w:lineRule="auto"/>
        <w:ind w:firstLine="720"/>
        <w:jc w:val="both"/>
        <w:rPr>
          <w:rFonts w:ascii="Times New Roman" w:hAnsi="Times New Roman" w:cs="Times New Roman"/>
          <w:sz w:val="28"/>
          <w:szCs w:val="28"/>
        </w:rPr>
      </w:pPr>
      <w:r w:rsidRPr="00E91E50">
        <w:rPr>
          <w:rFonts w:ascii="Times New Roman" w:hAnsi="Times New Roman" w:cs="Times New Roman"/>
          <w:sz w:val="28"/>
          <w:szCs w:val="28"/>
        </w:rPr>
        <w:lastRenderedPageBreak/>
        <w:t xml:space="preserve"> </w:t>
      </w:r>
      <w:r w:rsidR="00A35290" w:rsidRPr="00E91E50">
        <w:rPr>
          <w:rFonts w:ascii="Times New Roman" w:hAnsi="Times New Roman" w:cs="Times New Roman"/>
          <w:sz w:val="28"/>
          <w:szCs w:val="28"/>
        </w:rPr>
        <w:t xml:space="preserve">- </w:t>
      </w:r>
      <w:r w:rsidRPr="00E91E50">
        <w:rPr>
          <w:rFonts w:ascii="Times New Roman" w:hAnsi="Times New Roman" w:cs="Times New Roman"/>
          <w:sz w:val="28"/>
          <w:szCs w:val="28"/>
        </w:rPr>
        <w:t>Về tác động của thủ tục hành chính, giải pháp này góp phần cắt giảm các bước trung gian, đơn giản hóa quy trình xử lý, tăng tính minh bạch và xác định rõ trách nhiệm của cơ quan thực hiện, qua đó giảm chi phí tuân thủ cho tổ chức, cá nhân.</w:t>
      </w:r>
      <w:r w:rsidR="007E09DC">
        <w:rPr>
          <w:rFonts w:ascii="Times New Roman" w:hAnsi="Times New Roman" w:cs="Times New Roman"/>
          <w:sz w:val="28"/>
          <w:szCs w:val="28"/>
        </w:rPr>
        <w:t xml:space="preserve"> </w:t>
      </w:r>
      <w:r w:rsidR="007E09DC" w:rsidRPr="007E09DC">
        <w:rPr>
          <w:rFonts w:ascii="Times New Roman" w:hAnsi="Times New Roman" w:cs="Times New Roman"/>
          <w:sz w:val="28"/>
          <w:szCs w:val="28"/>
        </w:rPr>
        <w:t>Các thủ tục hành chính (nếu có) được thiết kế nhằm bảo đảm yêu cầu quản lý nhà nước, đồng thời không làm phát sinh thủ tục không cần thiết, phù hợp với yêu cầu cải cách thủ tục hành chính</w:t>
      </w:r>
    </w:p>
    <w:p w14:paraId="5B27B3AE" w14:textId="224FA749" w:rsidR="005074C1" w:rsidRPr="00E91E50" w:rsidRDefault="005074C1" w:rsidP="00CB0679">
      <w:pPr>
        <w:spacing w:before="120" w:after="120" w:line="240" w:lineRule="auto"/>
        <w:ind w:firstLine="720"/>
        <w:jc w:val="both"/>
        <w:rPr>
          <w:rFonts w:ascii="Times New Roman" w:hAnsi="Times New Roman" w:cs="Times New Roman"/>
          <w:sz w:val="28"/>
          <w:szCs w:val="28"/>
        </w:rPr>
      </w:pPr>
      <w:r w:rsidRPr="00E91E50">
        <w:rPr>
          <w:rFonts w:ascii="Times New Roman" w:hAnsi="Times New Roman" w:cs="Times New Roman"/>
          <w:sz w:val="28"/>
          <w:szCs w:val="28"/>
        </w:rPr>
        <w:t>1.2. Giải pháp tối ưu được lựa chọn và lý do lựa chọn giải pháp</w:t>
      </w:r>
    </w:p>
    <w:p w14:paraId="7B86B757" w14:textId="43625BC8" w:rsidR="00252D60" w:rsidRPr="00E91E50" w:rsidRDefault="00252D60" w:rsidP="00CB0679">
      <w:pPr>
        <w:spacing w:before="120" w:after="120" w:line="240" w:lineRule="auto"/>
        <w:ind w:firstLine="720"/>
        <w:jc w:val="both"/>
        <w:rPr>
          <w:rFonts w:ascii="Times New Roman" w:hAnsi="Times New Roman" w:cs="Times New Roman"/>
          <w:sz w:val="28"/>
          <w:szCs w:val="28"/>
        </w:rPr>
      </w:pPr>
      <w:r w:rsidRPr="00E91E50">
        <w:rPr>
          <w:rFonts w:ascii="Times New Roman" w:hAnsi="Times New Roman" w:cs="Times New Roman"/>
          <w:sz w:val="28"/>
          <w:szCs w:val="28"/>
        </w:rPr>
        <w:t>Trong quá trình xây dựng chính sách, hai phương án được xem xét. Phương án thứ nhất là giữ nguyên các quy định hiện hành tại Nghị định số 113/2024/NĐ-CP. Tuy nhiên, phương án này không bảo đảm tính thống nhất với Luật Tổ chức chính quyền địa phương năm 2025 và các văn bản có liên quan do vẫn duy trì các quy định về thẩm quyền của Ủy ban nhân dân cấp huyện, trong khi cấp này không còn tồn tại trong mô hình tổ chức mới. Việc giữ nguyên quy định sẽ tiếp tục gây lúng túng trong tổ chức thực hiện, làm giảm hiệu lực, hiệu quả quản lý nhà nước và ảnh hưởng đến tiến độ triển khai các chính sách hỗ trợ hợp tác xã</w:t>
      </w:r>
      <w:r w:rsidR="005074C1" w:rsidRPr="00E91E50">
        <w:rPr>
          <w:rFonts w:ascii="Times New Roman" w:hAnsi="Times New Roman" w:cs="Times New Roman"/>
          <w:sz w:val="28"/>
          <w:szCs w:val="28"/>
        </w:rPr>
        <w:t>.</w:t>
      </w:r>
    </w:p>
    <w:p w14:paraId="2F67D56F" w14:textId="6083FB6D" w:rsidR="005074C1" w:rsidRPr="006D369F" w:rsidRDefault="005074C1" w:rsidP="00CB0679">
      <w:pPr>
        <w:spacing w:before="120" w:after="120" w:line="240" w:lineRule="auto"/>
        <w:ind w:firstLine="720"/>
        <w:jc w:val="both"/>
        <w:rPr>
          <w:rFonts w:ascii="Times New Roman" w:hAnsi="Times New Roman" w:cs="Times New Roman"/>
          <w:sz w:val="28"/>
          <w:szCs w:val="28"/>
        </w:rPr>
      </w:pPr>
      <w:r w:rsidRPr="00E91E50">
        <w:rPr>
          <w:rFonts w:ascii="Times New Roman" w:hAnsi="Times New Roman" w:cs="Times New Roman"/>
          <w:sz w:val="28"/>
          <w:szCs w:val="28"/>
        </w:rPr>
        <w:t xml:space="preserve">Trên cơ sở phân tích nêu trên, lựa chọn </w:t>
      </w:r>
      <w:r w:rsidRPr="00E91E50">
        <w:rPr>
          <w:rStyle w:val="Strong"/>
          <w:rFonts w:ascii="Times New Roman" w:hAnsi="Times New Roman" w:cs="Times New Roman"/>
          <w:b w:val="0"/>
          <w:sz w:val="28"/>
          <w:szCs w:val="28"/>
        </w:rPr>
        <w:t>Giải pháp 2</w:t>
      </w:r>
      <w:r w:rsidRPr="00E91E50">
        <w:rPr>
          <w:rFonts w:ascii="Times New Roman" w:hAnsi="Times New Roman" w:cs="Times New Roman"/>
          <w:sz w:val="28"/>
          <w:szCs w:val="28"/>
        </w:rPr>
        <w:t xml:space="preserve"> do bảo đảm tính thống nhất với hệ thống pháp luật hiện hành, đặc biệt là Nghị định số 125/2025/NĐ-CP; phù hợp với mô hình tổ chức chính quyền địa phương 02 cấp; khắc phục triệt để các vướng mắc trong thực tiễn; đồng thời góp phần nâng cao hiệu lực, hiệu quả quản lý nhà </w:t>
      </w:r>
      <w:r w:rsidRPr="006D369F">
        <w:rPr>
          <w:rFonts w:ascii="Times New Roman" w:hAnsi="Times New Roman" w:cs="Times New Roman"/>
          <w:sz w:val="28"/>
          <w:szCs w:val="28"/>
        </w:rPr>
        <w:t>nước và giảm chi phí tuân thủ cho các chủ thể thực hiện chính sách.</w:t>
      </w:r>
    </w:p>
    <w:p w14:paraId="75BE6599" w14:textId="4B00CCB3" w:rsidR="008E22CB" w:rsidRPr="006D369F" w:rsidRDefault="008E22CB" w:rsidP="00CB0679">
      <w:pPr>
        <w:spacing w:before="120" w:after="120" w:line="240" w:lineRule="auto"/>
        <w:ind w:firstLine="720"/>
        <w:jc w:val="both"/>
        <w:rPr>
          <w:rFonts w:ascii="Times New Roman" w:hAnsi="Times New Roman" w:cs="Times New Roman"/>
          <w:b/>
          <w:sz w:val="28"/>
          <w:szCs w:val="28"/>
        </w:rPr>
      </w:pPr>
      <w:r w:rsidRPr="006D369F">
        <w:rPr>
          <w:rFonts w:ascii="Times New Roman" w:hAnsi="Times New Roman" w:cs="Times New Roman"/>
          <w:b/>
          <w:sz w:val="28"/>
          <w:szCs w:val="28"/>
        </w:rPr>
        <w:t>2. Chính sách 2: Hoàn thiện cơ chế quản lý, sử dụng kinh phí và quy định rõ trách nhiệm của Bộ Tài chính trong tổ chức thực hiện chính sách</w:t>
      </w:r>
    </w:p>
    <w:p w14:paraId="3BBD7309" w14:textId="30634950" w:rsidR="006D369F" w:rsidRPr="006D369F" w:rsidRDefault="006D369F" w:rsidP="006D369F">
      <w:pPr>
        <w:spacing w:before="120" w:after="120"/>
        <w:ind w:firstLine="720"/>
        <w:jc w:val="both"/>
        <w:rPr>
          <w:rFonts w:ascii="Times New Roman" w:hAnsi="Times New Roman" w:cs="Times New Roman"/>
          <w:sz w:val="28"/>
          <w:szCs w:val="28"/>
        </w:rPr>
      </w:pPr>
      <w:r w:rsidRPr="006D369F">
        <w:rPr>
          <w:rFonts w:ascii="Times New Roman" w:hAnsi="Times New Roman" w:cs="Times New Roman"/>
          <w:sz w:val="28"/>
          <w:szCs w:val="28"/>
        </w:rPr>
        <w:t>Luật Hợp tác xã năm 2023 đã được Quốc hội thông qua và có hiệu lực thi hành từ ngày 01 tháng 7 năm 2024. Luật đã quy định nhiều cơ chế, chính sách nhằm thúc đẩy phát triển kinh tế tập thể, hợp tác xã trong giai đoạn mới. Để cụ thể hóa các quy định của Luật, Chính phủ đã ban hành Nghị định số 113/2024/NĐ-CP ngày 12/9/2024 quy định chi tiết một số điều của Luật Hợp tác xã. Nghị định này quy định nhiều chính sách hỗ trợ phát triển kinh tế tập thể, hợp tác xã, bao gồm các chính sách về phát triển nguồn nhân lực; hỗ trợ thông tin; xây dựng mạng lưới cung cấp dịch vụ tư vấn; nhân rộng mô hình hợp tác xã hoạt động hiệu quả; hỗ trợ ứng dụng khoa học công nghệ, đổi mới sáng tạo và chuyển đổi số; hỗ trợ tiếp cận và nghiên cứu thị trường; tư vấn tài chính và một số nội dung hỗ trợ khác. Các chính sách nêu trên đều có sử dụng nguồn ngân sách nhà nước. Tuy nhiên, Nghị định số 113/2024/NĐ-CP chủ yếu quy định về đối tượng hỗ trợ, nội dung hỗ trợ và nguyên tắc thực hiện chính sách; chưa quy định cụ thể cơ chế quản lý và sử dụng kinh phí ngân sách nhà nước để triển khai các chính sách.</w:t>
      </w:r>
    </w:p>
    <w:p w14:paraId="23DDE401" w14:textId="77777777" w:rsidR="006D369F" w:rsidRPr="006D369F" w:rsidRDefault="006D369F" w:rsidP="006D369F">
      <w:pPr>
        <w:spacing w:before="120" w:after="120"/>
        <w:ind w:firstLine="720"/>
        <w:jc w:val="both"/>
        <w:rPr>
          <w:rFonts w:ascii="Times New Roman" w:hAnsi="Times New Roman" w:cs="Times New Roman"/>
          <w:sz w:val="28"/>
          <w:szCs w:val="28"/>
        </w:rPr>
      </w:pPr>
      <w:r w:rsidRPr="006D369F">
        <w:rPr>
          <w:rFonts w:ascii="Times New Roman" w:hAnsi="Times New Roman" w:cs="Times New Roman"/>
          <w:sz w:val="28"/>
          <w:szCs w:val="28"/>
        </w:rPr>
        <w:t xml:space="preserve">Qua rà soát Thông tư số 124/2021/TT-BTC ngày 30/12/2021 của Bộ Tài chính hướng dẫn cơ chế tài chính, quản lý và sử dụng kinh phí Chương trình hỗ trợ phát triển kinh tế tập thể, hợp tác xã giai đoạn 2021–2025 ban hành kèm theo </w:t>
      </w:r>
      <w:r w:rsidRPr="006D369F">
        <w:rPr>
          <w:rFonts w:ascii="Times New Roman" w:hAnsi="Times New Roman" w:cs="Times New Roman"/>
          <w:sz w:val="28"/>
          <w:szCs w:val="28"/>
        </w:rPr>
        <w:lastRenderedPageBreak/>
        <w:t>Quyết định số 1804/QĐ-TTg ngày 13 tháng 11 năm 2020 của Thủ tướng Chính phủ đã hết hiệu lực thi hành theo thời hạn của Chương trình (31/12/2025). Đồng thời, chính sách hỗ trợ khu vực kinh tế tập thể được quy định tại Nghị định số 113/2024/NĐ-CP theo Luật Hợp tác xã năm 2023 gồm chính sách được kế thừa từ Chương trình hỗ trợ phát triển kinh tế tập thể, hợp tác xã giai đoạn 2021–2025 và những chính sách mới. - Tháo gỡ khó khăn trong thực tiễn triển khai chính sách hỗ trợ:</w:t>
      </w:r>
    </w:p>
    <w:p w14:paraId="1280AF31" w14:textId="77777777" w:rsidR="006D369F" w:rsidRPr="006D369F" w:rsidRDefault="006D369F" w:rsidP="006D369F">
      <w:pPr>
        <w:spacing w:before="120" w:after="120"/>
        <w:ind w:firstLine="720"/>
        <w:jc w:val="both"/>
        <w:rPr>
          <w:rFonts w:ascii="Times New Roman" w:hAnsi="Times New Roman" w:cs="Times New Roman"/>
          <w:sz w:val="28"/>
          <w:szCs w:val="28"/>
        </w:rPr>
      </w:pPr>
      <w:r w:rsidRPr="006D369F">
        <w:rPr>
          <w:rFonts w:ascii="Times New Roman" w:hAnsi="Times New Roman" w:cs="Times New Roman"/>
          <w:sz w:val="28"/>
          <w:szCs w:val="28"/>
        </w:rPr>
        <w:t xml:space="preserve">Trong quá trình tổng kết Chương trình hỗ trợ phát triển kinh tế tập thể, hợp tác xã giai đoạn 2021–2025 </w:t>
      </w:r>
      <w:bookmarkStart w:id="2" w:name="dieu_1_name"/>
      <w:r w:rsidRPr="006D369F">
        <w:rPr>
          <w:rFonts w:ascii="Times New Roman" w:hAnsi="Times New Roman" w:cs="Times New Roman"/>
          <w:sz w:val="28"/>
          <w:szCs w:val="28"/>
        </w:rPr>
        <w:t xml:space="preserve">và </w:t>
      </w:r>
      <w:r w:rsidRPr="006D369F">
        <w:rPr>
          <w:rFonts w:ascii="Times New Roman" w:hAnsi="Times New Roman" w:cs="Times New Roman"/>
          <w:color w:val="000000"/>
          <w:sz w:val="28"/>
          <w:szCs w:val="28"/>
          <w:shd w:val="clear" w:color="auto" w:fill="FFFFFF"/>
        </w:rPr>
        <w:t>Chương trình hành động của Chính phủ thực hiện Nghị quyết số 20-NQ/TW ngày 16 tháng 6 năm 2022, Hội nghị lần thứ năm, Ban Chấp hành Trung ương Đảng khóa XIII về tiếp tục đổi mới, phát triển và nâng cao hiệu quả kinh tế tập thể trong giai đoạn mới</w:t>
      </w:r>
      <w:bookmarkEnd w:id="2"/>
      <w:r w:rsidRPr="006D369F">
        <w:rPr>
          <w:rFonts w:ascii="Times New Roman" w:hAnsi="Times New Roman" w:cs="Times New Roman"/>
          <w:color w:val="000000"/>
          <w:sz w:val="28"/>
          <w:szCs w:val="28"/>
          <w:shd w:val="clear" w:color="auto" w:fill="FFFFFF"/>
        </w:rPr>
        <w:t xml:space="preserve"> (ban hành kèm theo Nghị quyết 09/NQ-CP ngày 02/2/2023) </w:t>
      </w:r>
      <w:r w:rsidRPr="006D369F">
        <w:rPr>
          <w:rFonts w:ascii="Times New Roman" w:hAnsi="Times New Roman" w:cs="Times New Roman"/>
          <w:sz w:val="28"/>
          <w:szCs w:val="28"/>
        </w:rPr>
        <w:t>có một số bộ ngành, địa phương</w:t>
      </w:r>
      <w:r w:rsidRPr="006D369F">
        <w:rPr>
          <w:rStyle w:val="FootnoteReference"/>
          <w:rFonts w:ascii="Times New Roman" w:hAnsi="Times New Roman" w:cs="Times New Roman"/>
          <w:sz w:val="28"/>
          <w:szCs w:val="28"/>
        </w:rPr>
        <w:footnoteReference w:id="1"/>
      </w:r>
      <w:r w:rsidRPr="006D369F">
        <w:rPr>
          <w:rFonts w:ascii="Times New Roman" w:hAnsi="Times New Roman" w:cs="Times New Roman"/>
          <w:sz w:val="28"/>
          <w:szCs w:val="28"/>
        </w:rPr>
        <w:t xml:space="preserve"> đã có văn bản gửi Bộ Tài chính phản ánh khó khăn trong thực hiện các chính sách hỗ trợ tại Nghị định số 113/2024/NĐ-CP, đặc biệt là các chính sách sử dụng nguồn NSNN chi thường xuyên (các chính sách sử nguồn vốn đầu tư công thực hiện theo quy định của Luật Đầu tư công và các văn bản hướng dẫn). Việc thiếu Thông tư hướng dẫn (tương tự Thông tư số 124/2021/TT-BTC) đến khó khăn trong quá trình xây dựng dự toán kinh phí hỗ trợ HTX năm 2026; không đủ cơ sở để trình Bộ, báo cáo cấp có thẩm quyền hỗ trợ kinh phí trong dự toán NSNN năm 2026.</w:t>
      </w:r>
    </w:p>
    <w:p w14:paraId="6DCDA072" w14:textId="343FAD2E" w:rsidR="006D369F" w:rsidRPr="006D369F" w:rsidRDefault="006D369F" w:rsidP="006D369F">
      <w:pPr>
        <w:spacing w:before="120" w:after="120"/>
        <w:ind w:firstLine="720"/>
        <w:jc w:val="both"/>
        <w:rPr>
          <w:rFonts w:ascii="Times New Roman" w:hAnsi="Times New Roman" w:cs="Times New Roman"/>
          <w:sz w:val="28"/>
          <w:szCs w:val="28"/>
        </w:rPr>
      </w:pPr>
      <w:r w:rsidRPr="006D369F">
        <w:rPr>
          <w:rFonts w:ascii="Times New Roman" w:hAnsi="Times New Roman" w:cs="Times New Roman"/>
          <w:sz w:val="28"/>
          <w:szCs w:val="28"/>
        </w:rPr>
        <w:t>Do đó, cần phải có quy định cơ chế sử dụng kinh phí ngân sách nhà nước hỗ trợ tổ hợp tác, hợp tác xã, liên hiệp hợp tác xã theo quy định tại Nghị định số 113/2024/NĐ-CP làm căn cứ lập dự toán, bố trí, quản lý, thanh toán và quyết toán kinh phí ngân sách nhà nước.</w:t>
      </w:r>
    </w:p>
    <w:p w14:paraId="532A3C21" w14:textId="32421DC1" w:rsidR="00207E20" w:rsidRPr="009518D3" w:rsidRDefault="00207E20" w:rsidP="00CB0679">
      <w:pPr>
        <w:spacing w:before="120" w:after="120" w:line="240" w:lineRule="auto"/>
        <w:ind w:firstLine="720"/>
        <w:jc w:val="both"/>
        <w:rPr>
          <w:rFonts w:ascii="Times New Roman" w:hAnsi="Times New Roman" w:cs="Times New Roman"/>
          <w:sz w:val="28"/>
          <w:szCs w:val="28"/>
        </w:rPr>
      </w:pPr>
      <w:r w:rsidRPr="009518D3">
        <w:rPr>
          <w:rFonts w:ascii="Times New Roman" w:hAnsi="Times New Roman" w:cs="Times New Roman"/>
          <w:sz w:val="28"/>
          <w:szCs w:val="28"/>
        </w:rPr>
        <w:t>2.1. Đánh giá tác động</w:t>
      </w:r>
    </w:p>
    <w:p w14:paraId="29C75C78" w14:textId="77777777" w:rsidR="005F1ED7" w:rsidRPr="00E91E50" w:rsidRDefault="005F1ED7" w:rsidP="00CB0679">
      <w:pPr>
        <w:spacing w:before="120" w:after="120" w:line="240" w:lineRule="auto"/>
        <w:ind w:firstLine="720"/>
        <w:jc w:val="both"/>
        <w:rPr>
          <w:rFonts w:ascii="Times New Roman" w:hAnsi="Times New Roman" w:cs="Times New Roman"/>
          <w:sz w:val="28"/>
          <w:szCs w:val="28"/>
        </w:rPr>
      </w:pPr>
      <w:r w:rsidRPr="00E91E50">
        <w:rPr>
          <w:rFonts w:ascii="Times New Roman" w:hAnsi="Times New Roman" w:cs="Times New Roman"/>
          <w:sz w:val="28"/>
          <w:szCs w:val="28"/>
        </w:rPr>
        <w:t>a) Giải pháp 1: Không bổ sung quy định giao Bộ Tài chính hướng dẫn việc lập dự toán, quản lý, sử dụng và quyết toán kinh phí, giữ nguyên quy định hiện hành.</w:t>
      </w:r>
    </w:p>
    <w:p w14:paraId="4CA37FBE" w14:textId="05F7E0B9" w:rsidR="005F1ED7" w:rsidRPr="00E91E50" w:rsidRDefault="005F1ED7" w:rsidP="00CB0679">
      <w:pPr>
        <w:spacing w:before="120" w:after="120" w:line="240" w:lineRule="auto"/>
        <w:ind w:firstLine="720"/>
        <w:jc w:val="both"/>
        <w:rPr>
          <w:rFonts w:ascii="Times New Roman" w:hAnsi="Times New Roman" w:cs="Times New Roman"/>
          <w:sz w:val="28"/>
          <w:szCs w:val="28"/>
        </w:rPr>
      </w:pPr>
      <w:r w:rsidRPr="00E91E50">
        <w:rPr>
          <w:rFonts w:ascii="Times New Roman" w:hAnsi="Times New Roman" w:cs="Times New Roman"/>
          <w:sz w:val="28"/>
          <w:szCs w:val="28"/>
        </w:rPr>
        <w:t xml:space="preserve"> Theo giải pháp này, Bộ Tài chính tiếp tục thực hiện nhiệm vụ tổng hợp, báo cáo phương án phân bổ vốn sự nghiệp mà không tham gia sâu vào khâu tổ </w:t>
      </w:r>
      <w:r w:rsidRPr="00E91E50">
        <w:rPr>
          <w:rFonts w:ascii="Times New Roman" w:hAnsi="Times New Roman" w:cs="Times New Roman"/>
          <w:sz w:val="28"/>
          <w:szCs w:val="28"/>
        </w:rPr>
        <w:lastRenderedPageBreak/>
        <w:t>chức thực hiện sau phân bổ. Việc giữ nguyên quy định hiện hành không giải quyết được các vướng mắc phát sinh trong thực tiễn, đặc biệt là khoảng trống pháp lý giữa khâu phân bổ và tổ chức thực hiện kinh phí</w:t>
      </w:r>
    </w:p>
    <w:p w14:paraId="3BC5D9CD" w14:textId="5E85ECBE" w:rsidR="005F1ED7" w:rsidRPr="00E91E50" w:rsidRDefault="005F1ED7" w:rsidP="00CB0679">
      <w:pPr>
        <w:spacing w:before="120" w:after="120" w:line="240" w:lineRule="auto"/>
        <w:ind w:firstLine="720"/>
        <w:jc w:val="both"/>
        <w:rPr>
          <w:rFonts w:ascii="Times New Roman" w:hAnsi="Times New Roman" w:cs="Times New Roman"/>
          <w:sz w:val="28"/>
          <w:szCs w:val="28"/>
        </w:rPr>
      </w:pPr>
      <w:r w:rsidRPr="00E91E50">
        <w:rPr>
          <w:rFonts w:ascii="Times New Roman" w:hAnsi="Times New Roman" w:cs="Times New Roman"/>
          <w:sz w:val="28"/>
          <w:szCs w:val="28"/>
        </w:rPr>
        <w:t>- Tác động đối với hệ thống pháp luật</w:t>
      </w:r>
      <w:r w:rsidR="009518D3">
        <w:rPr>
          <w:rFonts w:ascii="Times New Roman" w:hAnsi="Times New Roman" w:cs="Times New Roman"/>
          <w:sz w:val="28"/>
          <w:szCs w:val="28"/>
        </w:rPr>
        <w:t>:</w:t>
      </w:r>
      <w:r w:rsidRPr="00E91E50">
        <w:rPr>
          <w:rFonts w:ascii="Times New Roman" w:hAnsi="Times New Roman" w:cs="Times New Roman"/>
          <w:sz w:val="28"/>
          <w:szCs w:val="28"/>
        </w:rPr>
        <w:t xml:space="preserve"> </w:t>
      </w:r>
      <w:r w:rsidR="009518D3">
        <w:rPr>
          <w:rFonts w:ascii="Times New Roman" w:hAnsi="Times New Roman" w:cs="Times New Roman"/>
          <w:sz w:val="28"/>
          <w:szCs w:val="28"/>
        </w:rPr>
        <w:t>D</w:t>
      </w:r>
      <w:r w:rsidRPr="00E91E50">
        <w:rPr>
          <w:rFonts w:ascii="Times New Roman" w:hAnsi="Times New Roman" w:cs="Times New Roman"/>
          <w:sz w:val="28"/>
          <w:szCs w:val="28"/>
        </w:rPr>
        <w:t xml:space="preserve">uy trì ổn định quy định hiện hành, không phát sinh nhiệm vụ mới; tuy nhiên, không khắc phục được khoảng trống pháp lý giữa khâu phân bổ và khâu sử dụng kinh phí. </w:t>
      </w:r>
    </w:p>
    <w:p w14:paraId="6140799A" w14:textId="6337FDA8" w:rsidR="005F1ED7" w:rsidRPr="00B433A8" w:rsidRDefault="005F1ED7" w:rsidP="00CB0679">
      <w:pPr>
        <w:spacing w:before="120" w:after="120" w:line="240" w:lineRule="auto"/>
        <w:ind w:firstLine="720"/>
        <w:jc w:val="both"/>
        <w:rPr>
          <w:rFonts w:ascii="Times New Roman" w:hAnsi="Times New Roman" w:cs="Times New Roman"/>
          <w:sz w:val="28"/>
          <w:szCs w:val="28"/>
        </w:rPr>
      </w:pPr>
      <w:r w:rsidRPr="00B433A8">
        <w:rPr>
          <w:rFonts w:ascii="Times New Roman" w:hAnsi="Times New Roman" w:cs="Times New Roman"/>
          <w:sz w:val="28"/>
          <w:szCs w:val="28"/>
        </w:rPr>
        <w:t>- Tác động về kinh tế - xã hội</w:t>
      </w:r>
      <w:r w:rsidR="009518D3" w:rsidRPr="00B433A8">
        <w:rPr>
          <w:rFonts w:ascii="Times New Roman" w:hAnsi="Times New Roman" w:cs="Times New Roman"/>
          <w:sz w:val="28"/>
          <w:szCs w:val="28"/>
        </w:rPr>
        <w:t>:</w:t>
      </w:r>
      <w:r w:rsidRPr="00B433A8">
        <w:rPr>
          <w:rFonts w:ascii="Times New Roman" w:hAnsi="Times New Roman" w:cs="Times New Roman"/>
          <w:sz w:val="28"/>
          <w:szCs w:val="28"/>
        </w:rPr>
        <w:t xml:space="preserve"> </w:t>
      </w:r>
      <w:r w:rsidR="00B433A8" w:rsidRPr="00B433A8">
        <w:rPr>
          <w:rFonts w:ascii="Times New Roman" w:hAnsi="Times New Roman" w:cs="Times New Roman"/>
          <w:sz w:val="28"/>
          <w:szCs w:val="28"/>
        </w:rPr>
        <w:t>Việc thiếu hướng dẫn thống nhất sẽ ảnh hưởng trực tiếp đến hiệu quả sử dụng ngân sách nhà nước, làm giảm hiệu quả phân bổ nguồn lực, gây khó khăn cho các địa phương trong tổ chức thực hiện, từ đó ảnh hưởng đến khả năng tiếp cận nguồn lực của hợp tác xã, làm giảm hiệu quả hoạt động sản xuất kinh doanh và khả năng cạnh tranh; đồng thời không tạo điều kiện thuận lợi để duy trì và mở rộng việc làm trong khu vực kinh tế tập thể. Bên cạnh đó, việc không quy định rõ trách nhiệm sẽ làm giảm tính chủ động của các cơ quan trong phân cấp quản lý tài chính, tiềm ẩn nguy cơ chồng chéo trong tổ chức thực hiện, đồng thời không tạo điều kiện thuận lợi cho việc ứng dụng công nghệ thông tin trong quản lý, theo dõi và quyết toán kinh phí, ảnh hưởng đến quá trình chuyển đổi số trong quản lý ngân sách.</w:t>
      </w:r>
      <w:r w:rsidRPr="00B433A8">
        <w:rPr>
          <w:rFonts w:ascii="Times New Roman" w:hAnsi="Times New Roman" w:cs="Times New Roman"/>
          <w:sz w:val="28"/>
          <w:szCs w:val="28"/>
        </w:rPr>
        <w:t xml:space="preserve">. </w:t>
      </w:r>
    </w:p>
    <w:p w14:paraId="079F705B" w14:textId="77777777" w:rsidR="003A3070" w:rsidRPr="00112D5D" w:rsidRDefault="003A3070" w:rsidP="003A3070">
      <w:pPr>
        <w:spacing w:before="120" w:after="120" w:line="240" w:lineRule="auto"/>
        <w:ind w:firstLine="720"/>
        <w:jc w:val="both"/>
        <w:rPr>
          <w:rFonts w:ascii="Times New Roman" w:hAnsi="Times New Roman" w:cs="Times New Roman"/>
          <w:sz w:val="28"/>
          <w:szCs w:val="28"/>
        </w:rPr>
      </w:pPr>
      <w:r w:rsidRPr="00112D5D">
        <w:rPr>
          <w:rFonts w:ascii="Times New Roman" w:hAnsi="Times New Roman" w:cs="Times New Roman"/>
          <w:sz w:val="28"/>
          <w:szCs w:val="28"/>
        </w:rPr>
        <w:t xml:space="preserve">- </w:t>
      </w:r>
      <w:r w:rsidRPr="00112D5D">
        <w:rPr>
          <w:rStyle w:val="Strong"/>
          <w:rFonts w:ascii="Times New Roman" w:hAnsi="Times New Roman" w:cs="Times New Roman"/>
          <w:b w:val="0"/>
          <w:sz w:val="28"/>
          <w:szCs w:val="28"/>
        </w:rPr>
        <w:t>Tác động về giới:</w:t>
      </w:r>
      <w:r w:rsidRPr="00112D5D">
        <w:rPr>
          <w:rFonts w:ascii="Times New Roman" w:hAnsi="Times New Roman" w:cs="Times New Roman"/>
          <w:sz w:val="28"/>
          <w:szCs w:val="28"/>
        </w:rPr>
        <w:t xml:space="preserve"> Chính sách không tạo ra sự khác biệt về cơ hội, điều kiện tiếp cận và thụ hưởng giữa các giới; đồng thời việc nâng cao hiệu quả tiếp cận chính sách hỗ trợ có thể góp phần tạo điều kiện thuận lợi hơn cho các nhóm yếu thế, trong đó có phụ nữ tham gia khu vực kinh tế tập thể</w:t>
      </w:r>
      <w:r>
        <w:rPr>
          <w:rFonts w:ascii="Times New Roman" w:hAnsi="Times New Roman" w:cs="Times New Roman"/>
          <w:sz w:val="28"/>
          <w:szCs w:val="28"/>
        </w:rPr>
        <w:t>.</w:t>
      </w:r>
    </w:p>
    <w:p w14:paraId="61DD56DB" w14:textId="3DC7F880" w:rsidR="005F1ED7" w:rsidRPr="00E91E50" w:rsidRDefault="005F1ED7" w:rsidP="00CB0679">
      <w:pPr>
        <w:spacing w:before="120" w:after="120" w:line="240" w:lineRule="auto"/>
        <w:ind w:firstLine="720"/>
        <w:jc w:val="both"/>
        <w:rPr>
          <w:rStyle w:val="Strong"/>
          <w:rFonts w:ascii="Times New Roman" w:hAnsi="Times New Roman" w:cs="Times New Roman"/>
          <w:sz w:val="28"/>
          <w:szCs w:val="28"/>
        </w:rPr>
      </w:pPr>
      <w:r w:rsidRPr="00E91E50">
        <w:rPr>
          <w:rFonts w:ascii="Times New Roman" w:hAnsi="Times New Roman" w:cs="Times New Roman"/>
          <w:sz w:val="28"/>
          <w:szCs w:val="28"/>
        </w:rPr>
        <w:t>- Tác động về thủ tục hành chính</w:t>
      </w:r>
      <w:r w:rsidR="009518D3">
        <w:rPr>
          <w:rFonts w:ascii="Times New Roman" w:hAnsi="Times New Roman" w:cs="Times New Roman"/>
          <w:sz w:val="28"/>
          <w:szCs w:val="28"/>
        </w:rPr>
        <w:t>:</w:t>
      </w:r>
      <w:r w:rsidRPr="00E91E50">
        <w:rPr>
          <w:rFonts w:ascii="Times New Roman" w:hAnsi="Times New Roman" w:cs="Times New Roman"/>
          <w:sz w:val="28"/>
          <w:szCs w:val="28"/>
        </w:rPr>
        <w:t xml:space="preserve"> </w:t>
      </w:r>
      <w:r w:rsidR="009518D3">
        <w:rPr>
          <w:rFonts w:ascii="Times New Roman" w:hAnsi="Times New Roman" w:cs="Times New Roman"/>
          <w:sz w:val="28"/>
          <w:szCs w:val="28"/>
        </w:rPr>
        <w:t>K</w:t>
      </w:r>
      <w:r w:rsidRPr="00E91E50">
        <w:rPr>
          <w:rFonts w:ascii="Times New Roman" w:hAnsi="Times New Roman" w:cs="Times New Roman"/>
          <w:sz w:val="28"/>
          <w:szCs w:val="28"/>
        </w:rPr>
        <w:t>hông phát sinh thủ tục mới nhưng cũng không cải thiện được tính rõ ràng, minh bạch trong tổ chức thực hiện.</w:t>
      </w:r>
      <w:r w:rsidRPr="00E91E50">
        <w:rPr>
          <w:rStyle w:val="Strong"/>
          <w:rFonts w:ascii="Times New Roman" w:hAnsi="Times New Roman" w:cs="Times New Roman"/>
          <w:sz w:val="28"/>
          <w:szCs w:val="28"/>
        </w:rPr>
        <w:t xml:space="preserve"> </w:t>
      </w:r>
    </w:p>
    <w:p w14:paraId="4EE3FC8E" w14:textId="77777777" w:rsidR="005252C9" w:rsidRDefault="00207E20" w:rsidP="005252C9">
      <w:pPr>
        <w:pStyle w:val="isselectedend"/>
        <w:ind w:firstLine="720"/>
        <w:rPr>
          <w:sz w:val="28"/>
          <w:szCs w:val="28"/>
        </w:rPr>
      </w:pPr>
      <w:r w:rsidRPr="005252C9">
        <w:rPr>
          <w:sz w:val="28"/>
          <w:szCs w:val="28"/>
        </w:rPr>
        <w:t xml:space="preserve">b) </w:t>
      </w:r>
      <w:r w:rsidR="005F1ED7" w:rsidRPr="005252C9">
        <w:rPr>
          <w:sz w:val="28"/>
          <w:szCs w:val="28"/>
        </w:rPr>
        <w:t xml:space="preserve">Giải pháp 2: </w:t>
      </w:r>
      <w:r w:rsidR="005252C9" w:rsidRPr="005252C9">
        <w:rPr>
          <w:sz w:val="28"/>
          <w:szCs w:val="28"/>
        </w:rPr>
        <w:t>Bổ sung quy định giao Bộ Tài chính chủ trì hướng dẫn việc lập dự toán, phân bổ, sử dụng và quyết toán kinh phí thực hiện các chính sách hỗ trợ theo quy định của pháp luật về ngân sách nhà nước.</w:t>
      </w:r>
    </w:p>
    <w:p w14:paraId="53BAB5DC" w14:textId="0364D8F6" w:rsidR="005252C9" w:rsidRPr="005252C9" w:rsidRDefault="005252C9" w:rsidP="005252C9">
      <w:pPr>
        <w:pStyle w:val="isselectedend"/>
        <w:ind w:firstLine="720"/>
        <w:rPr>
          <w:sz w:val="28"/>
          <w:szCs w:val="28"/>
        </w:rPr>
      </w:pPr>
      <w:r w:rsidRPr="005252C9">
        <w:rPr>
          <w:sz w:val="28"/>
          <w:szCs w:val="28"/>
        </w:rPr>
        <w:t>Giải pháp này có ưu điểm là bảo đảm bao quát đầy đủ quy trình ngân sách nhà nước. Tuy nhiên, nội dung này về cơ bản đã được quy định tại Luật Ngân sách nhà nước và các văn bản hướng dẫn hiện hành; việc quy định lại trong Nghị định là chưa thực sự cần thiết, đồng thời chưa tập trung giải quyết yêu cầu cấp thiết là hướng dẫn cơ chế sử dụng kinh phí để tổ chức thực hiện các chính sách hỗ trợ trong thực tiễn.</w:t>
      </w:r>
    </w:p>
    <w:p w14:paraId="504A3567" w14:textId="43B7BBE6" w:rsidR="005252C9" w:rsidRPr="005252C9" w:rsidRDefault="005252C9" w:rsidP="005252C9">
      <w:pPr>
        <w:spacing w:before="120" w:after="120" w:line="240" w:lineRule="auto"/>
        <w:ind w:firstLine="720"/>
        <w:jc w:val="both"/>
        <w:rPr>
          <w:rFonts w:ascii="Times New Roman" w:hAnsi="Times New Roman" w:cs="Times New Roman"/>
          <w:sz w:val="28"/>
          <w:szCs w:val="28"/>
        </w:rPr>
      </w:pPr>
      <w:r w:rsidRPr="005252C9">
        <w:rPr>
          <w:rFonts w:ascii="Times New Roman" w:hAnsi="Times New Roman" w:cs="Times New Roman"/>
          <w:sz w:val="28"/>
          <w:szCs w:val="28"/>
        </w:rPr>
        <w:t>- Tác động đối với hệ thống pháp luật: Khắc phục khoảng trống pháp lý giữa khâu phân bổ và tổ chức thực hiện, đồng thời bảo đảm không làm phát sinh chính sách mới mà chỉ cụ thể hóa các nội dung đã được quy định trong Nghị định và pháp luật về ngân sách nhà nước, đồng thời khắc phục khoảng trống pháp lý hiện nay, bảo đảm tính hợp hiến, hợp pháp, thống nhất của hệ thống pháp luật.</w:t>
      </w:r>
    </w:p>
    <w:p w14:paraId="49EF8324" w14:textId="77777777" w:rsidR="005252C9" w:rsidRPr="005252C9" w:rsidRDefault="005252C9" w:rsidP="005252C9">
      <w:pPr>
        <w:spacing w:before="120" w:after="120" w:line="240" w:lineRule="auto"/>
        <w:ind w:firstLine="720"/>
        <w:jc w:val="both"/>
        <w:rPr>
          <w:rFonts w:ascii="Times New Roman" w:hAnsi="Times New Roman" w:cs="Times New Roman"/>
          <w:sz w:val="28"/>
          <w:szCs w:val="28"/>
        </w:rPr>
      </w:pPr>
      <w:r w:rsidRPr="005252C9">
        <w:rPr>
          <w:rFonts w:ascii="Times New Roman" w:hAnsi="Times New Roman" w:cs="Times New Roman"/>
          <w:sz w:val="28"/>
          <w:szCs w:val="28"/>
        </w:rPr>
        <w:t xml:space="preserve">- Tác động về kinh tế - xã hội: Giải pháp này giúp nâng cao hiệu quả sử dụng ngân sách nhà nước, tạo điều kiện thuận lợi cho hợp tác xã trong tiếp cận </w:t>
      </w:r>
      <w:r w:rsidRPr="005252C9">
        <w:rPr>
          <w:rFonts w:ascii="Times New Roman" w:hAnsi="Times New Roman" w:cs="Times New Roman"/>
          <w:sz w:val="28"/>
          <w:szCs w:val="28"/>
        </w:rPr>
        <w:lastRenderedPageBreak/>
        <w:t>nguồn lực, qua đó cải thiện môi trường sản xuất kinh doanh, nâng cao khả năng cạnh tranh; góp phần ổn định và mở rộng việc làm trong khu vực kinh tế tập thể; đồng thời tăng cường tính chủ động của địa phương trong phân cấp quản lý ngân sách, hạn chế chồng chéo, trùng lặp; đồng thời tạo điều kiện thúc đẩy ứng dụng công nghệ thông tin trong quản lý, theo dõi và quyết toán kinh phí, phù hợp với yêu cầu chuyển đổi số trong quản lý tài chính công.</w:t>
      </w:r>
    </w:p>
    <w:p w14:paraId="0486CF67" w14:textId="77777777" w:rsidR="005252C9" w:rsidRPr="005252C9" w:rsidRDefault="005252C9" w:rsidP="005252C9">
      <w:pPr>
        <w:spacing w:before="120" w:after="120" w:line="240" w:lineRule="auto"/>
        <w:ind w:firstLine="720"/>
        <w:jc w:val="both"/>
        <w:rPr>
          <w:rFonts w:ascii="Times New Roman" w:hAnsi="Times New Roman" w:cs="Times New Roman"/>
          <w:sz w:val="28"/>
          <w:szCs w:val="28"/>
        </w:rPr>
      </w:pPr>
      <w:r w:rsidRPr="005252C9">
        <w:rPr>
          <w:rFonts w:ascii="Times New Roman" w:hAnsi="Times New Roman" w:cs="Times New Roman"/>
          <w:sz w:val="28"/>
          <w:szCs w:val="28"/>
        </w:rPr>
        <w:t xml:space="preserve">- </w:t>
      </w:r>
      <w:r w:rsidRPr="005252C9">
        <w:rPr>
          <w:rStyle w:val="Strong"/>
          <w:rFonts w:ascii="Times New Roman" w:hAnsi="Times New Roman" w:cs="Times New Roman"/>
          <w:b w:val="0"/>
          <w:sz w:val="28"/>
          <w:szCs w:val="28"/>
        </w:rPr>
        <w:t>Tác động về giới:</w:t>
      </w:r>
      <w:r w:rsidRPr="005252C9">
        <w:rPr>
          <w:rFonts w:ascii="Times New Roman" w:hAnsi="Times New Roman" w:cs="Times New Roman"/>
          <w:sz w:val="28"/>
          <w:szCs w:val="28"/>
        </w:rPr>
        <w:t xml:space="preserve"> Chính sách không tạo ra sự khác biệt về cơ hội, điều kiện tiếp cận và thụ hưởng giữa các giới; đồng thời việc nâng cao hiệu quả tiếp cận chính sách hỗ trợ có thể góp phần tạo điều kiện thuận lợi hơn cho các nhóm yếu thế, trong đó có phụ nữ tham gia khu vực kinh tế tập thể.</w:t>
      </w:r>
    </w:p>
    <w:p w14:paraId="42CF554B" w14:textId="77777777" w:rsidR="005252C9" w:rsidRPr="005252C9" w:rsidRDefault="005252C9" w:rsidP="005252C9">
      <w:pPr>
        <w:spacing w:before="120" w:after="120" w:line="240" w:lineRule="auto"/>
        <w:ind w:firstLine="720"/>
        <w:jc w:val="both"/>
        <w:rPr>
          <w:rFonts w:ascii="Times New Roman" w:hAnsi="Times New Roman" w:cs="Times New Roman"/>
          <w:sz w:val="28"/>
          <w:szCs w:val="28"/>
        </w:rPr>
      </w:pPr>
      <w:r w:rsidRPr="005252C9">
        <w:rPr>
          <w:rFonts w:ascii="Times New Roman" w:hAnsi="Times New Roman" w:cs="Times New Roman"/>
          <w:sz w:val="28"/>
          <w:szCs w:val="28"/>
        </w:rPr>
        <w:t xml:space="preserve">- Tác động về thủ tục hành chính: Các thủ tục hành chính (nếu có) được thiết kế nhằm bảo đảm yêu cầu quản lý nhà nước, đồng thời, không làm phát sinh thủ tục mới đối với người dân, doanh nghiệp, nhưng giúp chuẩn hóa quy trình nội bộ của cơ quan nhà nước, hạn chế phát sinh thủ tục không cần thiết và tăng tính minh bạch. </w:t>
      </w:r>
    </w:p>
    <w:p w14:paraId="24BA230D" w14:textId="1E09A8D3" w:rsidR="005252C9" w:rsidRPr="005252C9" w:rsidRDefault="00207E20" w:rsidP="005252C9">
      <w:pPr>
        <w:spacing w:before="120" w:after="120" w:line="240" w:lineRule="auto"/>
        <w:ind w:firstLine="720"/>
        <w:jc w:val="both"/>
        <w:rPr>
          <w:rFonts w:ascii="Times New Roman" w:hAnsi="Times New Roman" w:cs="Times New Roman"/>
          <w:sz w:val="28"/>
          <w:szCs w:val="28"/>
        </w:rPr>
      </w:pPr>
      <w:r w:rsidRPr="005252C9">
        <w:rPr>
          <w:rFonts w:ascii="Times New Roman" w:hAnsi="Times New Roman" w:cs="Times New Roman"/>
          <w:sz w:val="28"/>
          <w:szCs w:val="28"/>
        </w:rPr>
        <w:t xml:space="preserve">c) </w:t>
      </w:r>
      <w:r w:rsidR="00987D97" w:rsidRPr="005252C9">
        <w:rPr>
          <w:rFonts w:ascii="Times New Roman" w:hAnsi="Times New Roman" w:cs="Times New Roman"/>
          <w:sz w:val="28"/>
          <w:szCs w:val="28"/>
        </w:rPr>
        <w:t xml:space="preserve">Giải pháp 3: </w:t>
      </w:r>
      <w:r w:rsidR="005252C9" w:rsidRPr="005252C9">
        <w:rPr>
          <w:rFonts w:ascii="Times New Roman" w:hAnsi="Times New Roman" w:cs="Times New Roman"/>
          <w:sz w:val="28"/>
          <w:szCs w:val="28"/>
        </w:rPr>
        <w:t xml:space="preserve">Bổ sung quy định giao Bộ Tài chính chủ trì hướng dẫn cơ chế sử dụng kinh phí ngân sách nhà nước chi thường xuyên hỗ trợ tổ hợp tác, hợp tác xã, liên hiệp hợp tác xã theo quy định tại Nghị định này. </w:t>
      </w:r>
    </w:p>
    <w:p w14:paraId="13DF7A0C" w14:textId="77777777" w:rsidR="005252C9" w:rsidRPr="005252C9" w:rsidRDefault="005252C9" w:rsidP="005252C9">
      <w:pPr>
        <w:spacing w:before="120" w:after="120" w:line="240" w:lineRule="auto"/>
        <w:ind w:firstLine="720"/>
        <w:jc w:val="both"/>
        <w:rPr>
          <w:rFonts w:ascii="Times New Roman" w:hAnsi="Times New Roman" w:cs="Times New Roman"/>
          <w:sz w:val="28"/>
          <w:szCs w:val="28"/>
        </w:rPr>
      </w:pPr>
      <w:r w:rsidRPr="005252C9">
        <w:rPr>
          <w:rFonts w:ascii="Times New Roman" w:hAnsi="Times New Roman" w:cs="Times New Roman"/>
          <w:sz w:val="28"/>
          <w:szCs w:val="28"/>
        </w:rPr>
        <w:t>Giải pháp này có ưu điểm là kế thừa cách tiếp cận trước đây và tạo sự linh hoạt trong quá trình hướng dẫn, góp phần tháo gỡ các vướng mắc phát sinh trong tổ chức thực hiện. Nội dung hướng dẫn tập trung vào cơ chế sử dụng kinh phí ngân sách nhà nước chi thường xuyên nhằm bảo đảm việc triển khai các chính sách hỗ trợ phù hợp với thực tiễn, đồng thời vẫn tuân thủ các quy định của pháp luật về ngân sách nhà nước</w:t>
      </w:r>
    </w:p>
    <w:p w14:paraId="2B2B4A70" w14:textId="77777777" w:rsidR="005252C9" w:rsidRPr="00E91E50" w:rsidRDefault="005252C9" w:rsidP="005252C9">
      <w:pPr>
        <w:spacing w:before="120" w:after="120" w:line="240" w:lineRule="auto"/>
        <w:ind w:firstLine="720"/>
        <w:jc w:val="both"/>
        <w:rPr>
          <w:rFonts w:ascii="Times New Roman" w:hAnsi="Times New Roman" w:cs="Times New Roman"/>
          <w:sz w:val="28"/>
          <w:szCs w:val="28"/>
        </w:rPr>
      </w:pPr>
      <w:r w:rsidRPr="00E91E50">
        <w:rPr>
          <w:rFonts w:ascii="Times New Roman" w:hAnsi="Times New Roman" w:cs="Times New Roman"/>
          <w:sz w:val="28"/>
          <w:szCs w:val="28"/>
        </w:rPr>
        <w:t>- Tác động đối với hệ thống pháp luật</w:t>
      </w:r>
      <w:r>
        <w:rPr>
          <w:rFonts w:ascii="Times New Roman" w:hAnsi="Times New Roman" w:cs="Times New Roman"/>
          <w:sz w:val="28"/>
          <w:szCs w:val="28"/>
        </w:rPr>
        <w:t xml:space="preserve">: </w:t>
      </w:r>
      <w:r w:rsidRPr="0060331F">
        <w:rPr>
          <w:rFonts w:ascii="Times New Roman" w:hAnsi="Times New Roman" w:cs="Times New Roman"/>
          <w:sz w:val="28"/>
          <w:szCs w:val="28"/>
        </w:rPr>
        <w:t>Việc bổ sung quy định giao Bộ Tài chính chủ trì hướng dẫn cơ chế quản lý, sử dụng kinh phí ngân sách nhà nước chi thường xuyên là cần thiết nhằm cụ thể hóa các nội dung hỗ trợ quy định tại Nghị định, bảo đảm tính khả thi trong tổ chức thực hiện. Nội dung này không làm phát sinh chính sách mới mà chỉ hướng dẫn cách thức tổ chức thực hiện chi ngân sách nhà nước theo đúng quy định của pháp luật hiện hành.</w:t>
      </w:r>
      <w:r>
        <w:rPr>
          <w:rFonts w:ascii="Times New Roman" w:hAnsi="Times New Roman" w:cs="Times New Roman"/>
          <w:sz w:val="28"/>
          <w:szCs w:val="28"/>
        </w:rPr>
        <w:t xml:space="preserve"> </w:t>
      </w:r>
      <w:r w:rsidRPr="00E91E50">
        <w:rPr>
          <w:rFonts w:ascii="Times New Roman" w:hAnsi="Times New Roman" w:cs="Times New Roman"/>
          <w:sz w:val="28"/>
          <w:szCs w:val="28"/>
        </w:rPr>
        <w:t>Giải pháp này có cải thiện so với phương án giữ nguyên nhưng chưa bao quát đầy đủ toàn bộ chu trình ngân sách (lập dự toán, phân bổ, quyết toán), do đó vẫn còn khoảng trống pháp lý.</w:t>
      </w:r>
      <w:r w:rsidRPr="005135AE">
        <w:rPr>
          <w:rFonts w:ascii="Times New Roman" w:hAnsi="Times New Roman" w:cs="Times New Roman"/>
          <w:sz w:val="28"/>
          <w:szCs w:val="28"/>
        </w:rPr>
        <w:t xml:space="preserve"> </w:t>
      </w:r>
    </w:p>
    <w:p w14:paraId="36D362BC" w14:textId="77777777" w:rsidR="005252C9" w:rsidRPr="00B433A8" w:rsidRDefault="005252C9" w:rsidP="005252C9">
      <w:pPr>
        <w:spacing w:before="120" w:after="120" w:line="240" w:lineRule="auto"/>
        <w:ind w:firstLine="720"/>
        <w:jc w:val="both"/>
        <w:rPr>
          <w:rFonts w:ascii="Times New Roman" w:hAnsi="Times New Roman" w:cs="Times New Roman"/>
          <w:sz w:val="28"/>
          <w:szCs w:val="28"/>
        </w:rPr>
      </w:pPr>
      <w:r w:rsidRPr="00E91E50">
        <w:rPr>
          <w:rFonts w:ascii="Times New Roman" w:hAnsi="Times New Roman" w:cs="Times New Roman"/>
          <w:sz w:val="28"/>
          <w:szCs w:val="28"/>
        </w:rPr>
        <w:t>- Tác động về kinh tế - xã hội</w:t>
      </w:r>
      <w:r>
        <w:rPr>
          <w:rFonts w:ascii="Times New Roman" w:hAnsi="Times New Roman" w:cs="Times New Roman"/>
          <w:sz w:val="28"/>
          <w:szCs w:val="28"/>
        </w:rPr>
        <w:t>:</w:t>
      </w:r>
      <w:r w:rsidRPr="00E91E50">
        <w:rPr>
          <w:rFonts w:ascii="Times New Roman" w:hAnsi="Times New Roman" w:cs="Times New Roman"/>
          <w:sz w:val="28"/>
          <w:szCs w:val="28"/>
        </w:rPr>
        <w:t xml:space="preserve"> </w:t>
      </w:r>
      <w:r>
        <w:rPr>
          <w:rFonts w:ascii="Times New Roman" w:hAnsi="Times New Roman" w:cs="Times New Roman"/>
          <w:sz w:val="28"/>
          <w:szCs w:val="28"/>
        </w:rPr>
        <w:t>G</w:t>
      </w:r>
      <w:r w:rsidRPr="00B433A8">
        <w:rPr>
          <w:rFonts w:ascii="Times New Roman" w:hAnsi="Times New Roman" w:cs="Times New Roman"/>
          <w:sz w:val="28"/>
          <w:szCs w:val="28"/>
        </w:rPr>
        <w:t>iải pháp này chỉ cải thiện một phần môi trường tổ chức thực hiện chính sách, giúp giảm một số vướng mắc nhưng chưa tạo được sự đồng bộ trong quản lý, do đó hiệu quả hỗ trợ đối với hoạt động sản xuất kinh doanh của hợp tác xã còn hạn chế; tác động đến việc làm và năng suất lao động chưa rõ rệt. Đồng thời, việc quy định chưa đầy đủ có thể dẫn đến cách hiểu khác nhau giữa các địa phương, ảnh hưởng đến tính chủ động trong phân cấp quản lý, và chưa tạo điều kiện thuận lợi để triển khai các ứng dụng công nghệ thông tin một cách thống nhất.</w:t>
      </w:r>
    </w:p>
    <w:p w14:paraId="667F9B0A" w14:textId="77777777" w:rsidR="005252C9" w:rsidRPr="00112D5D" w:rsidRDefault="005252C9" w:rsidP="005252C9">
      <w:pPr>
        <w:spacing w:before="120" w:after="120" w:line="240" w:lineRule="auto"/>
        <w:ind w:firstLine="720"/>
        <w:jc w:val="both"/>
        <w:rPr>
          <w:rFonts w:ascii="Times New Roman" w:hAnsi="Times New Roman" w:cs="Times New Roman"/>
          <w:sz w:val="28"/>
          <w:szCs w:val="28"/>
        </w:rPr>
      </w:pPr>
      <w:r w:rsidRPr="00112D5D">
        <w:rPr>
          <w:rFonts w:ascii="Times New Roman" w:hAnsi="Times New Roman" w:cs="Times New Roman"/>
          <w:sz w:val="28"/>
          <w:szCs w:val="28"/>
        </w:rPr>
        <w:lastRenderedPageBreak/>
        <w:t xml:space="preserve">- </w:t>
      </w:r>
      <w:r w:rsidRPr="00112D5D">
        <w:rPr>
          <w:rStyle w:val="Strong"/>
          <w:rFonts w:ascii="Times New Roman" w:hAnsi="Times New Roman" w:cs="Times New Roman"/>
          <w:b w:val="0"/>
          <w:sz w:val="28"/>
          <w:szCs w:val="28"/>
        </w:rPr>
        <w:t>Tác động về giới:</w:t>
      </w:r>
      <w:r w:rsidRPr="00112D5D">
        <w:rPr>
          <w:rFonts w:ascii="Times New Roman" w:hAnsi="Times New Roman" w:cs="Times New Roman"/>
          <w:sz w:val="28"/>
          <w:szCs w:val="28"/>
        </w:rPr>
        <w:t xml:space="preserve"> Chính sách không tạo ra sự khác biệt về cơ hội, điều kiện tiếp cận và thụ hưởng giữa các giới; đồng thời việc nâng cao hiệu quả tiếp cận chính sách hỗ trợ có thể góp phần tạo điều kiện thuận lợi hơn cho các nhóm yếu thế, trong đó có phụ nữ tham gia khu vực kinh tế tập thể</w:t>
      </w:r>
      <w:r>
        <w:rPr>
          <w:rFonts w:ascii="Times New Roman" w:hAnsi="Times New Roman" w:cs="Times New Roman"/>
          <w:sz w:val="28"/>
          <w:szCs w:val="28"/>
        </w:rPr>
        <w:t>.</w:t>
      </w:r>
    </w:p>
    <w:p w14:paraId="486BB92E" w14:textId="77777777" w:rsidR="005252C9" w:rsidRPr="00E91E50" w:rsidRDefault="005252C9" w:rsidP="005252C9">
      <w:pPr>
        <w:spacing w:before="120" w:after="120" w:line="240" w:lineRule="auto"/>
        <w:ind w:firstLine="720"/>
        <w:jc w:val="both"/>
        <w:rPr>
          <w:rFonts w:ascii="Times New Roman" w:hAnsi="Times New Roman" w:cs="Times New Roman"/>
          <w:sz w:val="28"/>
          <w:szCs w:val="28"/>
          <w:highlight w:val="yellow"/>
        </w:rPr>
      </w:pPr>
      <w:r w:rsidRPr="00E91E50">
        <w:rPr>
          <w:rFonts w:ascii="Times New Roman" w:hAnsi="Times New Roman" w:cs="Times New Roman"/>
          <w:sz w:val="28"/>
          <w:szCs w:val="28"/>
        </w:rPr>
        <w:t xml:space="preserve"> - Tác động về thủ tục hành chính</w:t>
      </w:r>
      <w:r>
        <w:rPr>
          <w:rFonts w:ascii="Times New Roman" w:hAnsi="Times New Roman" w:cs="Times New Roman"/>
          <w:sz w:val="28"/>
          <w:szCs w:val="28"/>
        </w:rPr>
        <w:t>:</w:t>
      </w:r>
      <w:r w:rsidRPr="00E91E50">
        <w:rPr>
          <w:rFonts w:ascii="Times New Roman" w:hAnsi="Times New Roman" w:cs="Times New Roman"/>
          <w:sz w:val="28"/>
          <w:szCs w:val="28"/>
        </w:rPr>
        <w:t xml:space="preserve"> </w:t>
      </w:r>
      <w:r>
        <w:rPr>
          <w:rFonts w:ascii="Times New Roman" w:hAnsi="Times New Roman" w:cs="Times New Roman"/>
          <w:sz w:val="28"/>
          <w:szCs w:val="28"/>
        </w:rPr>
        <w:t>C</w:t>
      </w:r>
      <w:r w:rsidRPr="00E91E50">
        <w:rPr>
          <w:rFonts w:ascii="Times New Roman" w:hAnsi="Times New Roman" w:cs="Times New Roman"/>
          <w:sz w:val="28"/>
          <w:szCs w:val="28"/>
        </w:rPr>
        <w:t>ó thể phát sinh cách hiểu khác nhau (có thể giảm một phần thủ tục) ảnh hưởng đến tính thống nhất trong thực hiện.</w:t>
      </w:r>
      <w:r>
        <w:rPr>
          <w:rFonts w:ascii="Times New Roman" w:hAnsi="Times New Roman" w:cs="Times New Roman"/>
          <w:sz w:val="28"/>
          <w:szCs w:val="28"/>
        </w:rPr>
        <w:t xml:space="preserve"> </w:t>
      </w:r>
    </w:p>
    <w:p w14:paraId="6E4B22B9" w14:textId="1132E846" w:rsidR="00207E20" w:rsidRPr="00277F02" w:rsidRDefault="00207E20" w:rsidP="00CB0679">
      <w:pPr>
        <w:spacing w:before="120" w:after="120" w:line="240" w:lineRule="auto"/>
        <w:ind w:firstLine="720"/>
        <w:jc w:val="both"/>
        <w:rPr>
          <w:rFonts w:ascii="Times New Roman" w:hAnsi="Times New Roman" w:cs="Times New Roman"/>
          <w:sz w:val="28"/>
          <w:szCs w:val="28"/>
        </w:rPr>
      </w:pPr>
      <w:r w:rsidRPr="00277F02">
        <w:rPr>
          <w:rFonts w:ascii="Times New Roman" w:hAnsi="Times New Roman" w:cs="Times New Roman"/>
          <w:sz w:val="28"/>
          <w:szCs w:val="28"/>
        </w:rPr>
        <w:t>2.2. Giải pháp tối ưu được lựa chọn và lý do lựa chọn giải pháp</w:t>
      </w:r>
    </w:p>
    <w:p w14:paraId="73027DC5" w14:textId="304D7DDB" w:rsidR="00277F02" w:rsidRPr="00277F02" w:rsidRDefault="00277F02" w:rsidP="00CB0679">
      <w:pPr>
        <w:spacing w:before="120" w:after="120" w:line="240" w:lineRule="auto"/>
        <w:ind w:firstLine="720"/>
        <w:jc w:val="both"/>
        <w:rPr>
          <w:rFonts w:ascii="Times New Roman" w:hAnsi="Times New Roman" w:cs="Times New Roman"/>
          <w:sz w:val="28"/>
          <w:szCs w:val="28"/>
        </w:rPr>
      </w:pPr>
      <w:r w:rsidRPr="00277F02">
        <w:rPr>
          <w:rFonts w:ascii="Times New Roman" w:hAnsi="Times New Roman" w:cs="Times New Roman"/>
          <w:sz w:val="28"/>
          <w:szCs w:val="28"/>
        </w:rPr>
        <w:t>Lựa chọn Giải pháp 3 do bảo đảm tính phù hợp với quy định của pháp luật về ngân sách nhà nước, thống nhất với chức năng, nhiệm vụ của Bộ Tài chính và yêu cầu quản lý nhà nước đối với lĩnh vực kinh tế tập thể. Việc bổ sung quy định giao Bộ Tài chính chủ trì hướng dẫn cơ chế sử dụng kinh phí ngân sách nhà nước chi thường xuyên nhằm cụ thể hóa cách thức tổ chức thực hiện các chính sách hỗ trợ theo quy định tại Nghị định, qua đó góp phần khắc phục các vướng mắc phát sinh trong thực tiễn triển khai.</w:t>
      </w:r>
    </w:p>
    <w:p w14:paraId="27E21260" w14:textId="3818E457" w:rsidR="00277F02" w:rsidRPr="00277F02" w:rsidRDefault="00277F02" w:rsidP="00CB0679">
      <w:pPr>
        <w:spacing w:before="120" w:after="120" w:line="240" w:lineRule="auto"/>
        <w:ind w:firstLine="720"/>
        <w:jc w:val="both"/>
        <w:rPr>
          <w:rFonts w:ascii="Times New Roman" w:hAnsi="Times New Roman" w:cs="Times New Roman"/>
          <w:sz w:val="28"/>
          <w:szCs w:val="28"/>
        </w:rPr>
      </w:pPr>
      <w:r w:rsidRPr="00277F02">
        <w:rPr>
          <w:rFonts w:ascii="Times New Roman" w:hAnsi="Times New Roman" w:cs="Times New Roman"/>
          <w:sz w:val="28"/>
          <w:szCs w:val="28"/>
        </w:rPr>
        <w:t>Giải pháp này không làm phát sinh chính sách mới, không quy định chế độ, tiêu chuẩn, định mức chi mà chỉ hướng dẫn việc sử dụng kinh phí ngân sách nhà nước phù hợp với các quy định hiện hành, bảo đảm tính linh hoạt trong tổ chức thực hiện và tạo cơ sở để các bộ, ngành, địa phương chủ động triển khai các chính sách hỗ trợ theo khả năng cân đối nguồn lực trong từng thời kỳ.</w:t>
      </w:r>
    </w:p>
    <w:p w14:paraId="66CEAD51" w14:textId="7D4FA1E3" w:rsidR="005976E6" w:rsidRPr="00CC4F95" w:rsidRDefault="005976E6" w:rsidP="00CB0679">
      <w:pPr>
        <w:spacing w:before="120" w:after="120" w:line="240" w:lineRule="auto"/>
        <w:ind w:firstLine="720"/>
        <w:jc w:val="both"/>
        <w:rPr>
          <w:rFonts w:ascii="Times New Roman" w:hAnsi="Times New Roman" w:cs="Times New Roman"/>
          <w:b/>
          <w:sz w:val="28"/>
          <w:szCs w:val="28"/>
        </w:rPr>
      </w:pPr>
      <w:r w:rsidRPr="00CC4F95">
        <w:rPr>
          <w:rFonts w:ascii="Times New Roman" w:hAnsi="Times New Roman" w:cs="Times New Roman"/>
          <w:b/>
          <w:sz w:val="28"/>
          <w:szCs w:val="28"/>
        </w:rPr>
        <w:t xml:space="preserve">3. Chính sách 3: </w:t>
      </w:r>
      <w:r w:rsidR="008B3A59" w:rsidRPr="00CC4F95">
        <w:rPr>
          <w:rFonts w:ascii="Times New Roman" w:hAnsi="Times New Roman" w:cs="Times New Roman"/>
          <w:b/>
          <w:sz w:val="28"/>
          <w:szCs w:val="28"/>
        </w:rPr>
        <w:t>Hoàn thiện quy định liên quan đến đầu tư công</w:t>
      </w:r>
      <w:r w:rsidR="008B3A59" w:rsidRPr="00CC4F95">
        <w:rPr>
          <w:rFonts w:ascii="Times New Roman" w:hAnsi="Times New Roman" w:cs="Times New Roman"/>
          <w:b/>
        </w:rPr>
        <w:t xml:space="preserve"> </w:t>
      </w:r>
      <w:r w:rsidR="008B3A59" w:rsidRPr="00CC4F95">
        <w:rPr>
          <w:rFonts w:ascii="Times New Roman" w:hAnsi="Times New Roman" w:cs="Times New Roman"/>
          <w:b/>
          <w:sz w:val="28"/>
          <w:szCs w:val="28"/>
        </w:rPr>
        <w:t>(</w:t>
      </w:r>
      <w:r w:rsidRPr="00CC4F95">
        <w:rPr>
          <w:rFonts w:ascii="Times New Roman" w:hAnsi="Times New Roman" w:cs="Times New Roman"/>
          <w:b/>
          <w:sz w:val="28"/>
          <w:szCs w:val="28"/>
        </w:rPr>
        <w:t>Sửa đổi, bổ sung quy định về trình tự, thủ tục đầu tư công và bãi bỏ các quy định, phụ lục không còn phù hợp</w:t>
      </w:r>
      <w:r w:rsidR="008B3A59" w:rsidRPr="00CC4F95">
        <w:rPr>
          <w:rFonts w:ascii="Times New Roman" w:hAnsi="Times New Roman" w:cs="Times New Roman"/>
          <w:b/>
          <w:sz w:val="28"/>
          <w:szCs w:val="28"/>
        </w:rPr>
        <w:t>)</w:t>
      </w:r>
    </w:p>
    <w:p w14:paraId="6A52672D" w14:textId="032B1C77" w:rsidR="005976E6" w:rsidRDefault="005976E6" w:rsidP="00CB0679">
      <w:pPr>
        <w:spacing w:before="120" w:after="120" w:line="240" w:lineRule="auto"/>
        <w:ind w:firstLine="720"/>
        <w:jc w:val="both"/>
        <w:rPr>
          <w:rFonts w:ascii="Times New Roman" w:hAnsi="Times New Roman" w:cs="Times New Roman"/>
          <w:sz w:val="28"/>
          <w:szCs w:val="28"/>
        </w:rPr>
      </w:pPr>
      <w:r w:rsidRPr="00CC4F95">
        <w:rPr>
          <w:rFonts w:ascii="Times New Roman" w:hAnsi="Times New Roman" w:cs="Times New Roman"/>
          <w:sz w:val="28"/>
          <w:szCs w:val="28"/>
        </w:rPr>
        <w:t>3.1. Đánh giá tác động</w:t>
      </w:r>
    </w:p>
    <w:p w14:paraId="21C12C3A" w14:textId="2AF11247" w:rsidR="008D4414" w:rsidRDefault="005976E6" w:rsidP="00CB0679">
      <w:pPr>
        <w:spacing w:before="120" w:after="120" w:line="240" w:lineRule="auto"/>
        <w:ind w:firstLine="720"/>
        <w:jc w:val="both"/>
        <w:rPr>
          <w:rFonts w:ascii="Times New Roman" w:hAnsi="Times New Roman" w:cs="Times New Roman"/>
          <w:sz w:val="28"/>
          <w:szCs w:val="28"/>
        </w:rPr>
      </w:pPr>
      <w:r w:rsidRPr="00CC4F95">
        <w:rPr>
          <w:rFonts w:ascii="Times New Roman" w:hAnsi="Times New Roman" w:cs="Times New Roman"/>
          <w:sz w:val="28"/>
          <w:szCs w:val="28"/>
        </w:rPr>
        <w:t xml:space="preserve">a) Giải pháp 1: Giữ nguyên các quy định hiện hành </w:t>
      </w:r>
      <w:r w:rsidR="008D4414" w:rsidRPr="00CC4F95">
        <w:rPr>
          <w:rFonts w:ascii="Times New Roman" w:hAnsi="Times New Roman" w:cs="Times New Roman"/>
          <w:sz w:val="28"/>
          <w:szCs w:val="28"/>
        </w:rPr>
        <w:t xml:space="preserve"> </w:t>
      </w:r>
      <w:r w:rsidR="00A472DF">
        <w:rPr>
          <w:rFonts w:ascii="Times New Roman" w:hAnsi="Times New Roman" w:cs="Times New Roman"/>
          <w:sz w:val="28"/>
          <w:szCs w:val="28"/>
        </w:rPr>
        <w:t>(</w:t>
      </w:r>
      <w:r w:rsidRPr="00CC4F95">
        <w:rPr>
          <w:rFonts w:ascii="Times New Roman" w:hAnsi="Times New Roman" w:cs="Times New Roman"/>
          <w:sz w:val="28"/>
          <w:szCs w:val="28"/>
        </w:rPr>
        <w:t>khoản 6, khoản 7 Điều 13 và Phụ lục kèm theo</w:t>
      </w:r>
      <w:r w:rsidR="00A472DF">
        <w:rPr>
          <w:rFonts w:ascii="Times New Roman" w:hAnsi="Times New Roman" w:cs="Times New Roman"/>
          <w:sz w:val="28"/>
          <w:szCs w:val="28"/>
        </w:rPr>
        <w:t>)</w:t>
      </w:r>
      <w:r w:rsidRPr="00CC4F95">
        <w:rPr>
          <w:rFonts w:ascii="Times New Roman" w:hAnsi="Times New Roman" w:cs="Times New Roman"/>
          <w:sz w:val="28"/>
          <w:szCs w:val="28"/>
        </w:rPr>
        <w:t xml:space="preserve">. Theo giải pháp này, quy trình tổng hợp nhu cầu và biểu mẫu tiếp tục được duy trì. </w:t>
      </w:r>
    </w:p>
    <w:p w14:paraId="050FD0E0" w14:textId="2EBF8748" w:rsidR="005976E6" w:rsidRPr="00CC4F95" w:rsidRDefault="008D4414" w:rsidP="00CB0679">
      <w:pPr>
        <w:spacing w:before="120" w:after="120" w:line="240" w:lineRule="auto"/>
        <w:ind w:firstLine="720"/>
        <w:jc w:val="both"/>
        <w:rPr>
          <w:rFonts w:ascii="Times New Roman" w:hAnsi="Times New Roman" w:cs="Times New Roman"/>
          <w:sz w:val="28"/>
          <w:szCs w:val="28"/>
        </w:rPr>
      </w:pPr>
      <w:r w:rsidRPr="00CC4F95">
        <w:rPr>
          <w:rFonts w:ascii="Times New Roman" w:hAnsi="Times New Roman" w:cs="Times New Roman"/>
          <w:sz w:val="28"/>
          <w:szCs w:val="28"/>
        </w:rPr>
        <w:t xml:space="preserve">- </w:t>
      </w:r>
      <w:r w:rsidR="005976E6" w:rsidRPr="00CC4F95">
        <w:rPr>
          <w:rFonts w:ascii="Times New Roman" w:hAnsi="Times New Roman" w:cs="Times New Roman"/>
          <w:sz w:val="28"/>
          <w:szCs w:val="28"/>
        </w:rPr>
        <w:t>Tác động đối với hệ thống pháp luật</w:t>
      </w:r>
      <w:r w:rsidR="00CC4F95" w:rsidRPr="00CC4F95">
        <w:rPr>
          <w:rFonts w:ascii="Times New Roman" w:hAnsi="Times New Roman" w:cs="Times New Roman"/>
          <w:sz w:val="28"/>
          <w:szCs w:val="28"/>
        </w:rPr>
        <w:t>:</w:t>
      </w:r>
      <w:r w:rsidR="005976E6" w:rsidRPr="00CC4F95">
        <w:rPr>
          <w:rFonts w:ascii="Times New Roman" w:hAnsi="Times New Roman" w:cs="Times New Roman"/>
          <w:sz w:val="28"/>
          <w:szCs w:val="28"/>
        </w:rPr>
        <w:t xml:space="preserve"> </w:t>
      </w:r>
      <w:r w:rsidR="00CC4F95" w:rsidRPr="00CC4F95">
        <w:rPr>
          <w:rFonts w:ascii="Times New Roman" w:hAnsi="Times New Roman" w:cs="Times New Roman"/>
          <w:sz w:val="28"/>
          <w:szCs w:val="28"/>
        </w:rPr>
        <w:t>C</w:t>
      </w:r>
      <w:r w:rsidR="005976E6" w:rsidRPr="00CC4F95">
        <w:rPr>
          <w:rFonts w:ascii="Times New Roman" w:hAnsi="Times New Roman" w:cs="Times New Roman"/>
          <w:sz w:val="28"/>
          <w:szCs w:val="28"/>
        </w:rPr>
        <w:t>hưa bảo đảm sự thống nhất với pháp luật về đầu tư công và mô hình chính quyền địa phương 02 cấp.</w:t>
      </w:r>
      <w:r w:rsidR="00CC4F95" w:rsidRPr="00CC4F95">
        <w:rPr>
          <w:rFonts w:ascii="Times New Roman" w:hAnsi="Times New Roman" w:cs="Times New Roman"/>
          <w:sz w:val="28"/>
          <w:szCs w:val="28"/>
        </w:rPr>
        <w:t xml:space="preserve"> </w:t>
      </w:r>
      <w:r w:rsidR="006F37A2">
        <w:rPr>
          <w:rFonts w:ascii="Times New Roman" w:hAnsi="Times New Roman" w:cs="Times New Roman"/>
          <w:sz w:val="28"/>
          <w:szCs w:val="28"/>
        </w:rPr>
        <w:t>K</w:t>
      </w:r>
      <w:r w:rsidR="00CC4F95" w:rsidRPr="00CC4F95">
        <w:rPr>
          <w:rFonts w:ascii="Times New Roman" w:hAnsi="Times New Roman" w:cs="Times New Roman"/>
          <w:sz w:val="28"/>
          <w:szCs w:val="28"/>
        </w:rPr>
        <w:t xml:space="preserve">hông bảo đảm tính thống nhất với pháp luật về đầu tư công hiện hành, đặc biệt là Luật Đầu tư công năm 2024 (đã được sửa đổi, bổ sung) và các văn bản hướng dẫn như Nghị định số 85/2025/NĐ-CP </w:t>
      </w:r>
      <w:r w:rsidR="00CC4F95">
        <w:rPr>
          <w:rFonts w:ascii="Times New Roman" w:hAnsi="Times New Roman" w:cs="Times New Roman"/>
          <w:sz w:val="28"/>
          <w:szCs w:val="28"/>
        </w:rPr>
        <w:t xml:space="preserve"> ngày 8/4/2025 của Chín phủ quy định chi tiết thi hành một số Điều của Luật Đầu tư công </w:t>
      </w:r>
      <w:r w:rsidR="00CC4F95" w:rsidRPr="00CC4F95">
        <w:rPr>
          <w:rFonts w:ascii="Times New Roman" w:hAnsi="Times New Roman" w:cs="Times New Roman"/>
          <w:sz w:val="28"/>
          <w:szCs w:val="28"/>
        </w:rPr>
        <w:t>và Nghị định số 275/2025/NĐ-CP</w:t>
      </w:r>
      <w:r w:rsidR="00CC4F95">
        <w:rPr>
          <w:rFonts w:ascii="Times New Roman" w:hAnsi="Times New Roman" w:cs="Times New Roman"/>
          <w:sz w:val="28"/>
          <w:szCs w:val="28"/>
        </w:rPr>
        <w:t xml:space="preserve"> về sửa đổi bổ sung một số điều</w:t>
      </w:r>
      <w:r w:rsidR="00CC4F95" w:rsidRPr="00CC4F95">
        <w:rPr>
          <w:rFonts w:ascii="Times New Roman" w:hAnsi="Times New Roman" w:cs="Times New Roman"/>
          <w:sz w:val="28"/>
          <w:szCs w:val="28"/>
        </w:rPr>
        <w:t xml:space="preserve"> Nghị định số 85/2025/NĐ-CP, do tiếp tục duy trì một hệ thống quy trình, biểu mẫu riêng biệt song song với hệ thống pháp luật về đầu tư công, dẫn đến nguy cơ chồng chéo, trùng lặp quy định và khó khăn trong áp dụng.</w:t>
      </w:r>
    </w:p>
    <w:p w14:paraId="1822F7ED" w14:textId="65491206" w:rsidR="008D4414" w:rsidRPr="00131284" w:rsidRDefault="008D4414" w:rsidP="00CB0679">
      <w:pPr>
        <w:spacing w:before="120" w:after="120" w:line="240" w:lineRule="auto"/>
        <w:ind w:firstLine="720"/>
        <w:jc w:val="both"/>
        <w:rPr>
          <w:rFonts w:ascii="Times New Roman" w:hAnsi="Times New Roman" w:cs="Times New Roman"/>
          <w:sz w:val="28"/>
          <w:szCs w:val="28"/>
        </w:rPr>
      </w:pPr>
      <w:r w:rsidRPr="00131284">
        <w:rPr>
          <w:rFonts w:ascii="Times New Roman" w:hAnsi="Times New Roman" w:cs="Times New Roman"/>
          <w:sz w:val="28"/>
          <w:szCs w:val="28"/>
        </w:rPr>
        <w:t>- Tác động</w:t>
      </w:r>
      <w:r w:rsidR="005976E6" w:rsidRPr="00131284">
        <w:rPr>
          <w:rFonts w:ascii="Times New Roman" w:hAnsi="Times New Roman" w:cs="Times New Roman"/>
          <w:sz w:val="28"/>
          <w:szCs w:val="28"/>
        </w:rPr>
        <w:t xml:space="preserve"> </w:t>
      </w:r>
      <w:r w:rsidRPr="00131284">
        <w:rPr>
          <w:rFonts w:ascii="Times New Roman" w:hAnsi="Times New Roman" w:cs="Times New Roman"/>
          <w:sz w:val="28"/>
          <w:szCs w:val="28"/>
        </w:rPr>
        <w:t>v</w:t>
      </w:r>
      <w:r w:rsidR="005976E6" w:rsidRPr="00131284">
        <w:rPr>
          <w:rFonts w:ascii="Times New Roman" w:hAnsi="Times New Roman" w:cs="Times New Roman"/>
          <w:sz w:val="28"/>
          <w:szCs w:val="28"/>
        </w:rPr>
        <w:t>ề kinh tế - xã hội</w:t>
      </w:r>
      <w:r w:rsidR="0034396E" w:rsidRPr="00131284">
        <w:rPr>
          <w:rFonts w:ascii="Times New Roman" w:hAnsi="Times New Roman" w:cs="Times New Roman"/>
          <w:sz w:val="28"/>
          <w:szCs w:val="28"/>
        </w:rPr>
        <w:t>:</w:t>
      </w:r>
      <w:r w:rsidR="005976E6" w:rsidRPr="00131284">
        <w:rPr>
          <w:rFonts w:ascii="Times New Roman" w:hAnsi="Times New Roman" w:cs="Times New Roman"/>
          <w:sz w:val="28"/>
          <w:szCs w:val="28"/>
        </w:rPr>
        <w:t xml:space="preserve"> </w:t>
      </w:r>
      <w:r w:rsidR="00131284" w:rsidRPr="00131284">
        <w:rPr>
          <w:rFonts w:ascii="Times New Roman" w:hAnsi="Times New Roman" w:cs="Times New Roman"/>
          <w:sz w:val="28"/>
          <w:szCs w:val="28"/>
        </w:rPr>
        <w:t xml:space="preserve">Việc duy trì quy trình riêng làm phát sinh chi phí tuân thủ, kéo dài thời gian triển khai dự án, ảnh hưởng đến tiến độ đầu tư, làm giảm hiệu quả sử dụng vốn đầu tư công, từ đó ảnh hưởng gián tiếp đến hoạt động sản xuất kinh doanh của hợp tác xã, hạn chế khả năng tạo việc làm và nâng cao năng suất lao động; đồng thời không bảo đảm tính thống nhất trong phân cấp </w:t>
      </w:r>
      <w:r w:rsidR="00131284" w:rsidRPr="00131284">
        <w:rPr>
          <w:rFonts w:ascii="Times New Roman" w:hAnsi="Times New Roman" w:cs="Times New Roman"/>
          <w:sz w:val="28"/>
          <w:szCs w:val="28"/>
        </w:rPr>
        <w:lastRenderedPageBreak/>
        <w:t>quản lý đầu tư công, có thể dẫn đến chồng chéo trong thực hiện, và chưa tạo điều kiện thuận lợi cho việc số hóa quy trình quản lý đầu tư</w:t>
      </w:r>
      <w:r w:rsidRPr="00131284">
        <w:rPr>
          <w:rFonts w:ascii="Times New Roman" w:hAnsi="Times New Roman" w:cs="Times New Roman"/>
          <w:sz w:val="28"/>
          <w:szCs w:val="28"/>
        </w:rPr>
        <w:t xml:space="preserve">. </w:t>
      </w:r>
    </w:p>
    <w:p w14:paraId="5626E878" w14:textId="3A69FD21" w:rsidR="00112D5D" w:rsidRPr="00112D5D" w:rsidRDefault="00112D5D" w:rsidP="00112D5D">
      <w:pPr>
        <w:spacing w:before="120" w:after="120" w:line="240" w:lineRule="auto"/>
        <w:ind w:firstLine="720"/>
        <w:jc w:val="both"/>
        <w:rPr>
          <w:rFonts w:ascii="Times New Roman" w:hAnsi="Times New Roman" w:cs="Times New Roman"/>
          <w:sz w:val="28"/>
          <w:szCs w:val="28"/>
        </w:rPr>
      </w:pPr>
      <w:r w:rsidRPr="00112D5D">
        <w:rPr>
          <w:rFonts w:ascii="Times New Roman" w:hAnsi="Times New Roman" w:cs="Times New Roman"/>
          <w:sz w:val="28"/>
          <w:szCs w:val="28"/>
        </w:rPr>
        <w:t xml:space="preserve">- </w:t>
      </w:r>
      <w:r w:rsidRPr="00112D5D">
        <w:rPr>
          <w:rStyle w:val="Strong"/>
          <w:rFonts w:ascii="Times New Roman" w:hAnsi="Times New Roman" w:cs="Times New Roman"/>
          <w:b w:val="0"/>
          <w:sz w:val="28"/>
          <w:szCs w:val="28"/>
        </w:rPr>
        <w:t>Tác động về giới:</w:t>
      </w:r>
      <w:r w:rsidRPr="00112D5D">
        <w:rPr>
          <w:rFonts w:ascii="Times New Roman" w:hAnsi="Times New Roman" w:cs="Times New Roman"/>
          <w:sz w:val="28"/>
          <w:szCs w:val="28"/>
        </w:rPr>
        <w:t xml:space="preserve"> Chính sách không tạo ra sự khác biệt về cơ hội, điều kiện tiếp cận và thụ hưởng giữa các giới; đồng thời việc nâng cao hiệu quả tiếp cận chính sách hỗ trợ có thể góp phần tạo điều kiện thuận lợi hơn cho các nhóm yếu thế, trong đó có phụ nữ tham gia khu vực kinh tế tập thể</w:t>
      </w:r>
      <w:r>
        <w:rPr>
          <w:rFonts w:ascii="Times New Roman" w:hAnsi="Times New Roman" w:cs="Times New Roman"/>
          <w:sz w:val="28"/>
          <w:szCs w:val="28"/>
        </w:rPr>
        <w:t>.</w:t>
      </w:r>
    </w:p>
    <w:p w14:paraId="7DCC3065" w14:textId="7C86B050" w:rsidR="005976E6" w:rsidRPr="00CC4F95" w:rsidRDefault="008D4414" w:rsidP="00CB0679">
      <w:pPr>
        <w:spacing w:before="120" w:after="120" w:line="240" w:lineRule="auto"/>
        <w:ind w:firstLine="720"/>
        <w:jc w:val="both"/>
        <w:rPr>
          <w:rFonts w:ascii="Times New Roman" w:hAnsi="Times New Roman" w:cs="Times New Roman"/>
          <w:sz w:val="28"/>
          <w:szCs w:val="28"/>
        </w:rPr>
      </w:pPr>
      <w:r w:rsidRPr="00CC4F95">
        <w:rPr>
          <w:rFonts w:ascii="Times New Roman" w:hAnsi="Times New Roman" w:cs="Times New Roman"/>
          <w:sz w:val="28"/>
          <w:szCs w:val="28"/>
        </w:rPr>
        <w:t>- Tác động v</w:t>
      </w:r>
      <w:r w:rsidR="005976E6" w:rsidRPr="00CC4F95">
        <w:rPr>
          <w:rFonts w:ascii="Times New Roman" w:hAnsi="Times New Roman" w:cs="Times New Roman"/>
          <w:sz w:val="28"/>
          <w:szCs w:val="28"/>
        </w:rPr>
        <w:t>ề thủ tục hành chính</w:t>
      </w:r>
      <w:r w:rsidR="00CC4F95" w:rsidRPr="00CC4F95">
        <w:rPr>
          <w:rFonts w:ascii="Times New Roman" w:hAnsi="Times New Roman" w:cs="Times New Roman"/>
          <w:sz w:val="28"/>
          <w:szCs w:val="28"/>
        </w:rPr>
        <w:t>: Tiếp tục duy trì các biểu mẫu, quy trình riêng làm tăng chi phí tuân thủ, phát sinh hồ sơ trùng lặp so với quy định của pháp luật về đầu tư công, không phù hợp với yêu cầu cải cách thủ tục hành chính</w:t>
      </w:r>
      <w:r w:rsidR="005976E6" w:rsidRPr="00CC4F95">
        <w:rPr>
          <w:rFonts w:ascii="Times New Roman" w:hAnsi="Times New Roman" w:cs="Times New Roman"/>
          <w:sz w:val="28"/>
          <w:szCs w:val="28"/>
        </w:rPr>
        <w:t>.</w:t>
      </w:r>
      <w:r w:rsidRPr="00CC4F95">
        <w:rPr>
          <w:rFonts w:ascii="Times New Roman" w:hAnsi="Times New Roman" w:cs="Times New Roman"/>
          <w:sz w:val="28"/>
          <w:szCs w:val="28"/>
        </w:rPr>
        <w:t xml:space="preserve"> </w:t>
      </w:r>
    </w:p>
    <w:p w14:paraId="062A1666" w14:textId="31C12FE2" w:rsidR="00A472DF" w:rsidRPr="00A472DF" w:rsidRDefault="005976E6" w:rsidP="00A472DF">
      <w:pPr>
        <w:spacing w:before="120" w:after="120" w:line="240" w:lineRule="auto"/>
        <w:ind w:firstLine="720"/>
        <w:jc w:val="both"/>
        <w:rPr>
          <w:rFonts w:ascii="Times New Roman" w:hAnsi="Times New Roman" w:cs="Times New Roman"/>
          <w:sz w:val="28"/>
          <w:szCs w:val="28"/>
        </w:rPr>
      </w:pPr>
      <w:r w:rsidRPr="007F751E">
        <w:rPr>
          <w:rFonts w:ascii="Times New Roman" w:hAnsi="Times New Roman" w:cs="Times New Roman"/>
          <w:sz w:val="28"/>
          <w:szCs w:val="28"/>
        </w:rPr>
        <w:t xml:space="preserve">b) Giải pháp 2: </w:t>
      </w:r>
      <w:r w:rsidR="00A472DF" w:rsidRPr="00A472DF">
        <w:rPr>
          <w:rFonts w:ascii="Times New Roman" w:hAnsi="Times New Roman" w:cs="Times New Roman"/>
          <w:sz w:val="28"/>
          <w:szCs w:val="28"/>
        </w:rPr>
        <w:t>Bãi bỏ quy định riêng, thực hiện thống nhất theo pháp luật về đầu tư công</w:t>
      </w:r>
      <w:r w:rsidR="00A472DF">
        <w:rPr>
          <w:rFonts w:ascii="Times New Roman" w:hAnsi="Times New Roman" w:cs="Times New Roman"/>
          <w:sz w:val="28"/>
          <w:szCs w:val="28"/>
        </w:rPr>
        <w:t xml:space="preserve"> (</w:t>
      </w:r>
      <w:r w:rsidR="00A472DF" w:rsidRPr="007F751E">
        <w:rPr>
          <w:rFonts w:ascii="Times New Roman" w:hAnsi="Times New Roman" w:cs="Times New Roman"/>
          <w:sz w:val="28"/>
          <w:szCs w:val="28"/>
        </w:rPr>
        <w:t>Bãi bỏ khoản 6, khoản 7 Điều 13 và Phụ lụ</w:t>
      </w:r>
      <w:r w:rsidR="00A472DF">
        <w:rPr>
          <w:rFonts w:ascii="Times New Roman" w:hAnsi="Times New Roman" w:cs="Times New Roman"/>
          <w:sz w:val="28"/>
          <w:szCs w:val="28"/>
        </w:rPr>
        <w:t>c kèm theo</w:t>
      </w:r>
      <w:r w:rsidR="00A472DF" w:rsidRPr="00A472DF">
        <w:rPr>
          <w:rFonts w:ascii="Times New Roman" w:hAnsi="Times New Roman" w:cs="Times New Roman"/>
          <w:sz w:val="28"/>
          <w:szCs w:val="28"/>
        </w:rPr>
        <w:t xml:space="preserve"> </w:t>
      </w:r>
      <w:r w:rsidR="00A472DF" w:rsidRPr="007F751E">
        <w:rPr>
          <w:rFonts w:ascii="Times New Roman" w:hAnsi="Times New Roman" w:cs="Times New Roman"/>
          <w:sz w:val="28"/>
          <w:szCs w:val="28"/>
        </w:rPr>
        <w:t>đồng thời</w:t>
      </w:r>
      <w:r w:rsidR="00A472DF">
        <w:rPr>
          <w:rFonts w:ascii="Times New Roman" w:hAnsi="Times New Roman" w:cs="Times New Roman"/>
          <w:sz w:val="28"/>
          <w:szCs w:val="28"/>
        </w:rPr>
        <w:t>,</w:t>
      </w:r>
      <w:r w:rsidR="00A472DF" w:rsidRPr="007F751E">
        <w:rPr>
          <w:rFonts w:ascii="Times New Roman" w:hAnsi="Times New Roman" w:cs="Times New Roman"/>
          <w:sz w:val="28"/>
          <w:szCs w:val="28"/>
        </w:rPr>
        <w:t xml:space="preserve"> sửa đổi, bổ sung khoản 8 Điều 13 theo hướng thực hiện thống nhất theo quy định của pháp luật về đầu tư công</w:t>
      </w:r>
      <w:r w:rsidR="00A472DF">
        <w:rPr>
          <w:rFonts w:ascii="Times New Roman" w:hAnsi="Times New Roman" w:cs="Times New Roman"/>
          <w:sz w:val="28"/>
          <w:szCs w:val="28"/>
        </w:rPr>
        <w:t>).</w:t>
      </w:r>
    </w:p>
    <w:p w14:paraId="3146AA87" w14:textId="3CB17953" w:rsidR="008D4414" w:rsidRPr="007F751E" w:rsidRDefault="005976E6" w:rsidP="00CB0679">
      <w:pPr>
        <w:spacing w:before="120" w:after="120" w:line="240" w:lineRule="auto"/>
        <w:ind w:firstLine="720"/>
        <w:jc w:val="both"/>
        <w:rPr>
          <w:rFonts w:ascii="Times New Roman" w:hAnsi="Times New Roman" w:cs="Times New Roman"/>
          <w:sz w:val="28"/>
          <w:szCs w:val="28"/>
        </w:rPr>
      </w:pPr>
      <w:r w:rsidRPr="007F751E">
        <w:rPr>
          <w:rFonts w:ascii="Times New Roman" w:hAnsi="Times New Roman" w:cs="Times New Roman"/>
          <w:sz w:val="28"/>
          <w:szCs w:val="28"/>
        </w:rPr>
        <w:t>Theo giải pháp này, các nội dung về lập, thẩm định, quyết định chủ trương đầu tư và giao kế hoạch vốn được thực hiện theo quy định của Luật Đầu tư công và các nghị định hướng dẫn</w:t>
      </w:r>
      <w:r w:rsidR="008D4414" w:rsidRPr="007F751E">
        <w:rPr>
          <w:rFonts w:ascii="Times New Roman" w:hAnsi="Times New Roman" w:cs="Times New Roman"/>
          <w:sz w:val="28"/>
          <w:szCs w:val="28"/>
        </w:rPr>
        <w:t xml:space="preserve"> (Nghị định số 85/2025/NĐ-CP và Nghị định số 275/2025/NĐ-CP)</w:t>
      </w:r>
      <w:r w:rsidRPr="007F751E">
        <w:rPr>
          <w:rFonts w:ascii="Times New Roman" w:hAnsi="Times New Roman" w:cs="Times New Roman"/>
          <w:sz w:val="28"/>
          <w:szCs w:val="28"/>
        </w:rPr>
        <w:t xml:space="preserve">. </w:t>
      </w:r>
    </w:p>
    <w:p w14:paraId="3DCD6467" w14:textId="462C9ECD" w:rsidR="008D4414" w:rsidRPr="007F751E" w:rsidRDefault="00F77C12" w:rsidP="00CB0679">
      <w:pPr>
        <w:spacing w:before="120" w:after="120" w:line="240" w:lineRule="auto"/>
        <w:ind w:firstLine="720"/>
        <w:jc w:val="both"/>
        <w:rPr>
          <w:rFonts w:ascii="Times New Roman" w:hAnsi="Times New Roman" w:cs="Times New Roman"/>
          <w:sz w:val="28"/>
          <w:szCs w:val="28"/>
        </w:rPr>
      </w:pPr>
      <w:r w:rsidRPr="007F751E">
        <w:rPr>
          <w:rFonts w:ascii="Times New Roman" w:hAnsi="Times New Roman" w:cs="Times New Roman"/>
          <w:sz w:val="28"/>
          <w:szCs w:val="28"/>
        </w:rPr>
        <w:t xml:space="preserve">- </w:t>
      </w:r>
      <w:r w:rsidR="007F751E" w:rsidRPr="007F751E">
        <w:rPr>
          <w:rStyle w:val="Strong"/>
          <w:rFonts w:ascii="Times New Roman" w:hAnsi="Times New Roman" w:cs="Times New Roman"/>
          <w:b w:val="0"/>
          <w:sz w:val="28"/>
          <w:szCs w:val="28"/>
        </w:rPr>
        <w:t>Tác động đối với hệ thống pháp luật</w:t>
      </w:r>
      <w:r w:rsidR="007F751E" w:rsidRPr="007F751E">
        <w:rPr>
          <w:rStyle w:val="Strong"/>
          <w:rFonts w:ascii="Times New Roman" w:hAnsi="Times New Roman" w:cs="Times New Roman"/>
          <w:sz w:val="28"/>
          <w:szCs w:val="28"/>
        </w:rPr>
        <w:t>:</w:t>
      </w:r>
      <w:r w:rsidR="007F751E" w:rsidRPr="007F751E">
        <w:rPr>
          <w:rFonts w:ascii="Times New Roman" w:hAnsi="Times New Roman" w:cs="Times New Roman"/>
          <w:sz w:val="28"/>
          <w:szCs w:val="28"/>
        </w:rPr>
        <w:t xml:space="preserve"> Giải pháp này bảo đảm tính thống nhất, đồng bộ với Luật Đầu tư công và các văn bản hướng dẫn thi hành; loại bỏ các quy định trùng lặp, chồng chéo; bảo đảm nguyên tắc một hệ thống pháp luật điều chỉnh thống nhất một lĩnh vự</w:t>
      </w:r>
      <w:r w:rsidR="005135AE">
        <w:rPr>
          <w:rFonts w:ascii="Times New Roman" w:hAnsi="Times New Roman" w:cs="Times New Roman"/>
          <w:sz w:val="28"/>
          <w:szCs w:val="28"/>
        </w:rPr>
        <w:t xml:space="preserve">c, </w:t>
      </w:r>
      <w:r w:rsidR="005135AE" w:rsidRPr="005135AE">
        <w:rPr>
          <w:rFonts w:ascii="Times New Roman" w:hAnsi="Times New Roman" w:cs="Times New Roman"/>
          <w:sz w:val="28"/>
          <w:szCs w:val="28"/>
        </w:rPr>
        <w:t>bảo đảm tính hợp hiến, hợp pháp, thống nhất của hệ thống pháp luật</w:t>
      </w:r>
      <w:r w:rsidR="005135AE">
        <w:rPr>
          <w:rFonts w:ascii="Times New Roman" w:hAnsi="Times New Roman" w:cs="Times New Roman"/>
          <w:sz w:val="28"/>
          <w:szCs w:val="28"/>
        </w:rPr>
        <w:t>.</w:t>
      </w:r>
    </w:p>
    <w:p w14:paraId="67E3C2BA" w14:textId="1A088F13" w:rsidR="008D4414" w:rsidRPr="00131284" w:rsidRDefault="00F77C12" w:rsidP="00CB0679">
      <w:pPr>
        <w:spacing w:before="120" w:after="120" w:line="240" w:lineRule="auto"/>
        <w:ind w:firstLine="720"/>
        <w:jc w:val="both"/>
        <w:rPr>
          <w:rFonts w:ascii="Times New Roman" w:hAnsi="Times New Roman" w:cs="Times New Roman"/>
          <w:sz w:val="28"/>
          <w:szCs w:val="28"/>
        </w:rPr>
      </w:pPr>
      <w:r w:rsidRPr="00131284">
        <w:rPr>
          <w:rFonts w:ascii="Times New Roman" w:hAnsi="Times New Roman" w:cs="Times New Roman"/>
          <w:sz w:val="28"/>
          <w:szCs w:val="28"/>
        </w:rPr>
        <w:t xml:space="preserve">- </w:t>
      </w:r>
      <w:r w:rsidR="008D4414" w:rsidRPr="00131284">
        <w:rPr>
          <w:rFonts w:ascii="Times New Roman" w:hAnsi="Times New Roman" w:cs="Times New Roman"/>
          <w:sz w:val="28"/>
          <w:szCs w:val="28"/>
        </w:rPr>
        <w:t>Tác động v</w:t>
      </w:r>
      <w:r w:rsidR="005976E6" w:rsidRPr="00131284">
        <w:rPr>
          <w:rFonts w:ascii="Times New Roman" w:hAnsi="Times New Roman" w:cs="Times New Roman"/>
          <w:sz w:val="28"/>
          <w:szCs w:val="28"/>
        </w:rPr>
        <w:t>ề kinh tế - xã hộ</w:t>
      </w:r>
      <w:r w:rsidR="007F751E" w:rsidRPr="00131284">
        <w:rPr>
          <w:rFonts w:ascii="Times New Roman" w:hAnsi="Times New Roman" w:cs="Times New Roman"/>
          <w:sz w:val="28"/>
          <w:szCs w:val="28"/>
        </w:rPr>
        <w:t>i:</w:t>
      </w:r>
      <w:r w:rsidR="005976E6" w:rsidRPr="00131284">
        <w:rPr>
          <w:rFonts w:ascii="Times New Roman" w:hAnsi="Times New Roman" w:cs="Times New Roman"/>
          <w:sz w:val="28"/>
          <w:szCs w:val="28"/>
        </w:rPr>
        <w:t xml:space="preserve"> </w:t>
      </w:r>
      <w:r w:rsidR="00131284" w:rsidRPr="00131284">
        <w:rPr>
          <w:rFonts w:ascii="Times New Roman" w:hAnsi="Times New Roman" w:cs="Times New Roman"/>
          <w:sz w:val="28"/>
          <w:szCs w:val="28"/>
        </w:rPr>
        <w:t>Giải pháp này góp phần cải thiện môi trường đầu tư, rút ngắn quy trình triển khai dự án, nâng cao hiệu quả sử dụng vốn đầu tư công, từ đó hỗ trợ phát triển sản xuất kinh doanh của hợp tác xã, tạo điều kiện mở rộng việc làm, nâng cao năng suất lao động; đồng thời bảo đảm phân cấp rõ ràng trong quản lý đầu tư công, giảm chồng chéo và tạo điều kiện thuận lợi cho việc ứng dụng công nghệ thông tin trong quản lý, theo dõi dự án đầu tư công</w:t>
      </w:r>
      <w:r w:rsidR="00416CB6" w:rsidRPr="00131284">
        <w:rPr>
          <w:rFonts w:ascii="Times New Roman" w:hAnsi="Times New Roman" w:cs="Times New Roman"/>
          <w:sz w:val="28"/>
          <w:szCs w:val="28"/>
        </w:rPr>
        <w:t>.</w:t>
      </w:r>
    </w:p>
    <w:p w14:paraId="2608BD80" w14:textId="360A5D88" w:rsidR="00112D5D" w:rsidRPr="00112D5D" w:rsidRDefault="00112D5D" w:rsidP="00112D5D">
      <w:pPr>
        <w:spacing w:before="120" w:after="120" w:line="240" w:lineRule="auto"/>
        <w:ind w:firstLine="720"/>
        <w:jc w:val="both"/>
        <w:rPr>
          <w:rFonts w:ascii="Times New Roman" w:hAnsi="Times New Roman" w:cs="Times New Roman"/>
          <w:sz w:val="28"/>
          <w:szCs w:val="28"/>
        </w:rPr>
      </w:pPr>
      <w:r w:rsidRPr="00112D5D">
        <w:rPr>
          <w:rFonts w:ascii="Times New Roman" w:hAnsi="Times New Roman" w:cs="Times New Roman"/>
          <w:sz w:val="28"/>
          <w:szCs w:val="28"/>
        </w:rPr>
        <w:t xml:space="preserve">- </w:t>
      </w:r>
      <w:r w:rsidRPr="00112D5D">
        <w:rPr>
          <w:rStyle w:val="Strong"/>
          <w:rFonts w:ascii="Times New Roman" w:hAnsi="Times New Roman" w:cs="Times New Roman"/>
          <w:b w:val="0"/>
          <w:sz w:val="28"/>
          <w:szCs w:val="28"/>
        </w:rPr>
        <w:t>Tác động về giới:</w:t>
      </w:r>
      <w:r w:rsidRPr="00112D5D">
        <w:rPr>
          <w:rFonts w:ascii="Times New Roman" w:hAnsi="Times New Roman" w:cs="Times New Roman"/>
          <w:sz w:val="28"/>
          <w:szCs w:val="28"/>
        </w:rPr>
        <w:t xml:space="preserve"> Chính sách không tạo ra sự khác biệt về cơ hội, điều kiện tiếp cận và thụ hưởng giữa các giới; đồng thời việc nâng cao hiệu quả tiếp cận chính sách hỗ trợ có thể góp phần tạo điều kiện thuận lợi hơn cho các nhóm yếu thế, trong đó có phụ nữ tham gia khu vực kinh tế tập thể</w:t>
      </w:r>
      <w:r>
        <w:rPr>
          <w:rFonts w:ascii="Times New Roman" w:hAnsi="Times New Roman" w:cs="Times New Roman"/>
          <w:sz w:val="28"/>
          <w:szCs w:val="28"/>
        </w:rPr>
        <w:t>.</w:t>
      </w:r>
    </w:p>
    <w:p w14:paraId="1E6CCD31" w14:textId="5A56D310" w:rsidR="007F751E" w:rsidRPr="00DF5795" w:rsidRDefault="00F77C12" w:rsidP="00DF5795">
      <w:pPr>
        <w:spacing w:before="120" w:after="120" w:line="240" w:lineRule="auto"/>
        <w:ind w:firstLine="720"/>
        <w:jc w:val="both"/>
        <w:rPr>
          <w:rFonts w:ascii="Times New Roman" w:hAnsi="Times New Roman" w:cs="Times New Roman"/>
          <w:sz w:val="28"/>
          <w:szCs w:val="28"/>
        </w:rPr>
      </w:pPr>
      <w:r w:rsidRPr="007F751E">
        <w:rPr>
          <w:rFonts w:ascii="Times New Roman" w:hAnsi="Times New Roman" w:cs="Times New Roman"/>
          <w:sz w:val="28"/>
          <w:szCs w:val="28"/>
        </w:rPr>
        <w:t xml:space="preserve">- </w:t>
      </w:r>
      <w:r w:rsidR="007F751E" w:rsidRPr="007F751E">
        <w:rPr>
          <w:rFonts w:ascii="Times New Roman" w:hAnsi="Times New Roman" w:cs="Times New Roman"/>
          <w:sz w:val="28"/>
          <w:szCs w:val="28"/>
        </w:rPr>
        <w:t>T</w:t>
      </w:r>
      <w:r w:rsidR="007F751E" w:rsidRPr="007F751E">
        <w:rPr>
          <w:rStyle w:val="Strong"/>
          <w:rFonts w:ascii="Times New Roman" w:hAnsi="Times New Roman" w:cs="Times New Roman"/>
          <w:b w:val="0"/>
          <w:sz w:val="28"/>
          <w:szCs w:val="28"/>
        </w:rPr>
        <w:t>ác động của thủ tục hành chính:</w:t>
      </w:r>
      <w:r w:rsidR="007F751E" w:rsidRPr="007F751E">
        <w:rPr>
          <w:rFonts w:ascii="Times New Roman" w:hAnsi="Times New Roman" w:cs="Times New Roman"/>
          <w:sz w:val="28"/>
          <w:szCs w:val="28"/>
        </w:rPr>
        <w:t xml:space="preserve"> Cắt giảm biểu mẫu, giảm hồ sơ trùng lặp, đơn giản hóa quy trình; giảm chi phí tuân thủ cho cơ quan nhà nước và đối tượng thụ hưởng. </w:t>
      </w:r>
      <w:r w:rsidR="00DF5795" w:rsidRPr="007E09DC">
        <w:rPr>
          <w:rFonts w:ascii="Times New Roman" w:hAnsi="Times New Roman" w:cs="Times New Roman"/>
          <w:sz w:val="28"/>
          <w:szCs w:val="28"/>
        </w:rPr>
        <w:t>Các thủ tục hành chính (nếu có) được thiết kế nhằm bảo đảm yêu cầu quản lý nhà nước,</w:t>
      </w:r>
      <w:r w:rsidR="00DF5795" w:rsidRPr="00DF5795">
        <w:t xml:space="preserve"> </w:t>
      </w:r>
      <w:r w:rsidR="00DF5795" w:rsidRPr="00DF5795">
        <w:rPr>
          <w:rFonts w:ascii="Times New Roman" w:hAnsi="Times New Roman" w:cs="Times New Roman"/>
          <w:sz w:val="28"/>
          <w:szCs w:val="28"/>
        </w:rPr>
        <w:t>đồng thời không làm phát sinh thủ tục không cần thiết, phù hợp với yêu cầu cải cách thủ tục hành chính</w:t>
      </w:r>
      <w:r w:rsidR="00DF5795">
        <w:rPr>
          <w:rFonts w:ascii="Times New Roman" w:hAnsi="Times New Roman" w:cs="Times New Roman"/>
          <w:sz w:val="28"/>
          <w:szCs w:val="28"/>
        </w:rPr>
        <w:t>.</w:t>
      </w:r>
    </w:p>
    <w:p w14:paraId="296BA8A7" w14:textId="4D645DBC" w:rsidR="009B7860" w:rsidRPr="00E91E50" w:rsidRDefault="009B7860" w:rsidP="00CB0679">
      <w:pPr>
        <w:spacing w:before="120" w:after="120" w:line="240" w:lineRule="auto"/>
        <w:ind w:firstLine="720"/>
        <w:jc w:val="both"/>
        <w:rPr>
          <w:rFonts w:ascii="Times New Roman" w:hAnsi="Times New Roman" w:cs="Times New Roman"/>
          <w:sz w:val="28"/>
          <w:szCs w:val="28"/>
          <w:highlight w:val="yellow"/>
        </w:rPr>
      </w:pPr>
      <w:r w:rsidRPr="00E91E50">
        <w:rPr>
          <w:rFonts w:ascii="Times New Roman" w:hAnsi="Times New Roman" w:cs="Times New Roman"/>
          <w:sz w:val="28"/>
          <w:szCs w:val="28"/>
        </w:rPr>
        <w:t>3.2. Giải pháp tối ưu được lựa chọn và lý do lựa chọn giải pháp</w:t>
      </w:r>
    </w:p>
    <w:p w14:paraId="2015888C" w14:textId="77777777" w:rsidR="00594FBE" w:rsidRPr="00594FBE" w:rsidRDefault="00594FBE" w:rsidP="00CB0679">
      <w:pPr>
        <w:spacing w:before="120" w:after="120" w:line="240" w:lineRule="auto"/>
        <w:ind w:firstLine="720"/>
        <w:jc w:val="both"/>
        <w:rPr>
          <w:rFonts w:ascii="Times New Roman" w:hAnsi="Times New Roman" w:cs="Times New Roman"/>
          <w:sz w:val="28"/>
          <w:szCs w:val="28"/>
        </w:rPr>
      </w:pPr>
      <w:r w:rsidRPr="00594FBE">
        <w:rPr>
          <w:rFonts w:ascii="Times New Roman" w:hAnsi="Times New Roman" w:cs="Times New Roman"/>
          <w:sz w:val="28"/>
          <w:szCs w:val="28"/>
        </w:rPr>
        <w:lastRenderedPageBreak/>
        <w:t xml:space="preserve">Trên cơ sở phân tích nêu trên, lựa chọn </w:t>
      </w:r>
      <w:r w:rsidRPr="00594FBE">
        <w:rPr>
          <w:rStyle w:val="Strong"/>
          <w:rFonts w:ascii="Times New Roman" w:hAnsi="Times New Roman" w:cs="Times New Roman"/>
          <w:b w:val="0"/>
          <w:sz w:val="28"/>
          <w:szCs w:val="28"/>
        </w:rPr>
        <w:t>Giải pháp 2</w:t>
      </w:r>
      <w:r w:rsidRPr="00594FBE">
        <w:rPr>
          <w:rFonts w:ascii="Times New Roman" w:hAnsi="Times New Roman" w:cs="Times New Roman"/>
          <w:sz w:val="28"/>
          <w:szCs w:val="28"/>
        </w:rPr>
        <w:t xml:space="preserve"> do bảo đảm tính thống nhất với hệ thống pháp luật về đầu tư công; khắc phục tình trạng chồng chéo, trùng lặp; đơn giản hóa thủ tục hành chính; nâng cao hiệu quả sử dụng vốn đầu tư công và phù hợp với yêu cầu cải cách thể chế, cải cách thủ tục hành chính trong giai đoạn hiện nay. </w:t>
      </w:r>
    </w:p>
    <w:p w14:paraId="3B1F13CD" w14:textId="77777777" w:rsidR="009518D3" w:rsidRPr="00A0056A" w:rsidRDefault="009B7860" w:rsidP="00CB0679">
      <w:pPr>
        <w:spacing w:before="120" w:after="120" w:line="240" w:lineRule="auto"/>
        <w:ind w:firstLine="720"/>
        <w:jc w:val="both"/>
        <w:rPr>
          <w:rFonts w:ascii="Times New Roman" w:hAnsi="Times New Roman" w:cs="Times New Roman"/>
          <w:b/>
          <w:sz w:val="28"/>
          <w:szCs w:val="28"/>
        </w:rPr>
      </w:pPr>
      <w:r w:rsidRPr="00A0056A">
        <w:rPr>
          <w:rFonts w:ascii="Times New Roman" w:hAnsi="Times New Roman" w:cs="Times New Roman"/>
          <w:b/>
          <w:sz w:val="28"/>
          <w:szCs w:val="28"/>
        </w:rPr>
        <w:t xml:space="preserve">4. </w:t>
      </w:r>
      <w:r w:rsidR="009518D3" w:rsidRPr="00A0056A">
        <w:rPr>
          <w:rFonts w:ascii="Times New Roman" w:hAnsi="Times New Roman" w:cs="Times New Roman"/>
          <w:b/>
          <w:sz w:val="28"/>
          <w:szCs w:val="28"/>
        </w:rPr>
        <w:t xml:space="preserve">Chính sách 4: Bổ sung các nội dung mới nhằm nâng cao hiệu quả hỗ trợ và phù hợp với bối cảnh phát triển mới </w:t>
      </w:r>
    </w:p>
    <w:p w14:paraId="53D19818" w14:textId="64006BC9" w:rsidR="00A0056A" w:rsidRPr="00A0056A" w:rsidRDefault="00A0056A" w:rsidP="00E91E50">
      <w:pPr>
        <w:spacing w:before="120" w:after="120" w:line="240" w:lineRule="auto"/>
        <w:ind w:firstLine="720"/>
        <w:jc w:val="both"/>
        <w:rPr>
          <w:rFonts w:ascii="Times New Roman" w:hAnsi="Times New Roman" w:cs="Times New Roman"/>
          <w:b/>
          <w:sz w:val="28"/>
          <w:szCs w:val="28"/>
        </w:rPr>
      </w:pPr>
      <w:r w:rsidRPr="00A0056A">
        <w:rPr>
          <w:rFonts w:ascii="Times New Roman" w:hAnsi="Times New Roman" w:cs="Times New Roman"/>
          <w:sz w:val="28"/>
          <w:szCs w:val="28"/>
        </w:rPr>
        <w:t>4.1. Đánh giá tác động</w:t>
      </w:r>
    </w:p>
    <w:p w14:paraId="47BB9E7E" w14:textId="22F19B0D" w:rsidR="002254FF" w:rsidRDefault="00A0056A" w:rsidP="00E91E50">
      <w:pPr>
        <w:spacing w:before="120" w:after="120" w:line="240" w:lineRule="auto"/>
        <w:ind w:firstLine="720"/>
        <w:jc w:val="both"/>
        <w:rPr>
          <w:rFonts w:ascii="Times New Roman" w:hAnsi="Times New Roman" w:cs="Times New Roman"/>
          <w:sz w:val="28"/>
          <w:szCs w:val="28"/>
        </w:rPr>
      </w:pPr>
      <w:r w:rsidRPr="007E63E5">
        <w:rPr>
          <w:rFonts w:ascii="Times New Roman" w:hAnsi="Times New Roman" w:cs="Times New Roman"/>
          <w:sz w:val="28"/>
          <w:szCs w:val="28"/>
        </w:rPr>
        <w:t>a)</w:t>
      </w:r>
      <w:r w:rsidRPr="00A0056A">
        <w:rPr>
          <w:rFonts w:ascii="Times New Roman" w:hAnsi="Times New Roman" w:cs="Times New Roman"/>
          <w:b/>
          <w:sz w:val="28"/>
          <w:szCs w:val="28"/>
        </w:rPr>
        <w:t xml:space="preserve"> </w:t>
      </w:r>
      <w:r w:rsidRPr="00A0056A">
        <w:rPr>
          <w:rStyle w:val="Strong"/>
          <w:rFonts w:ascii="Times New Roman" w:hAnsi="Times New Roman" w:cs="Times New Roman"/>
          <w:b w:val="0"/>
          <w:sz w:val="28"/>
          <w:szCs w:val="28"/>
        </w:rPr>
        <w:t>Giải pháp 1: Không bổ sung chính sách mới</w:t>
      </w:r>
      <w:r w:rsidR="00131284">
        <w:rPr>
          <w:rStyle w:val="Strong"/>
          <w:rFonts w:ascii="Times New Roman" w:hAnsi="Times New Roman" w:cs="Times New Roman"/>
          <w:b w:val="0"/>
          <w:sz w:val="28"/>
          <w:szCs w:val="28"/>
        </w:rPr>
        <w:t xml:space="preserve">. </w:t>
      </w:r>
      <w:r w:rsidRPr="00A0056A">
        <w:rPr>
          <w:rFonts w:ascii="Times New Roman" w:hAnsi="Times New Roman" w:cs="Times New Roman"/>
          <w:sz w:val="28"/>
          <w:szCs w:val="28"/>
        </w:rPr>
        <w:t xml:space="preserve">Giải pháp này giữ nguyên phạm vi điều chỉnh của Nghị định hiện hành. </w:t>
      </w:r>
    </w:p>
    <w:p w14:paraId="7951C3D8" w14:textId="26DA0A67" w:rsidR="002254FF" w:rsidRPr="00131284" w:rsidRDefault="00131284" w:rsidP="00E91E50">
      <w:pPr>
        <w:spacing w:before="120" w:after="120" w:line="240" w:lineRule="auto"/>
        <w:ind w:firstLine="720"/>
        <w:jc w:val="both"/>
        <w:rPr>
          <w:rFonts w:ascii="Times New Roman" w:hAnsi="Times New Roman" w:cs="Times New Roman"/>
          <w:sz w:val="28"/>
          <w:szCs w:val="28"/>
        </w:rPr>
      </w:pPr>
      <w:r w:rsidRPr="00131284">
        <w:rPr>
          <w:rFonts w:ascii="Times New Roman" w:hAnsi="Times New Roman" w:cs="Times New Roman"/>
          <w:sz w:val="28"/>
          <w:szCs w:val="28"/>
        </w:rPr>
        <w:t xml:space="preserve">- </w:t>
      </w:r>
      <w:r w:rsidR="00A0056A" w:rsidRPr="00131284">
        <w:rPr>
          <w:rFonts w:ascii="Times New Roman" w:hAnsi="Times New Roman" w:cs="Times New Roman"/>
          <w:sz w:val="28"/>
          <w:szCs w:val="28"/>
        </w:rPr>
        <w:t xml:space="preserve">Về tác động đối với hệ thống pháp luật, không đáp ứng yêu cầu cập nhật các chủ trương mới của Đảng và Nhà nước. </w:t>
      </w:r>
    </w:p>
    <w:p w14:paraId="73BA5670" w14:textId="31580277" w:rsidR="00131284" w:rsidRDefault="00131284" w:rsidP="00E91E50">
      <w:pPr>
        <w:spacing w:before="120" w:after="120" w:line="240" w:lineRule="auto"/>
        <w:ind w:firstLine="720"/>
        <w:jc w:val="both"/>
        <w:rPr>
          <w:rFonts w:ascii="Times New Roman" w:hAnsi="Times New Roman" w:cs="Times New Roman"/>
          <w:sz w:val="28"/>
          <w:szCs w:val="28"/>
        </w:rPr>
      </w:pPr>
      <w:r w:rsidRPr="00131284">
        <w:rPr>
          <w:rFonts w:ascii="Times New Roman" w:hAnsi="Times New Roman" w:cs="Times New Roman"/>
          <w:sz w:val="28"/>
          <w:szCs w:val="28"/>
        </w:rPr>
        <w:t xml:space="preserve">- </w:t>
      </w:r>
      <w:r w:rsidR="00A0056A" w:rsidRPr="00131284">
        <w:rPr>
          <w:rFonts w:ascii="Times New Roman" w:hAnsi="Times New Roman" w:cs="Times New Roman"/>
          <w:sz w:val="28"/>
          <w:szCs w:val="28"/>
        </w:rPr>
        <w:t xml:space="preserve">Về kinh tế - xã hội, </w:t>
      </w:r>
      <w:r w:rsidRPr="00131284">
        <w:rPr>
          <w:rFonts w:ascii="Times New Roman" w:hAnsi="Times New Roman" w:cs="Times New Roman"/>
          <w:sz w:val="28"/>
          <w:szCs w:val="28"/>
        </w:rPr>
        <w:t>không đáp ứng yêu cầu phát triển mới, hạn chế khả năng nâng cao năng lực sản xuất kinh doanh của hợp tác xã, ảnh hưởng đến khả năng tạo việc làm, không tận dụng được cơ hội từ chuyển đổi số và kinh tế xanh, đồng thời không cải thiện được cơ chế phân cấp và tổ chức thực hiện</w:t>
      </w:r>
      <w:r>
        <w:rPr>
          <w:rFonts w:ascii="Times New Roman" w:hAnsi="Times New Roman" w:cs="Times New Roman"/>
          <w:sz w:val="28"/>
          <w:szCs w:val="28"/>
        </w:rPr>
        <w:t>.</w:t>
      </w:r>
    </w:p>
    <w:p w14:paraId="0A2FBC7D" w14:textId="234AA45E" w:rsidR="00131284" w:rsidRPr="00112D5D" w:rsidRDefault="00131284" w:rsidP="00131284">
      <w:pPr>
        <w:spacing w:before="120" w:after="120" w:line="240" w:lineRule="auto"/>
        <w:ind w:firstLine="720"/>
        <w:jc w:val="both"/>
        <w:rPr>
          <w:rFonts w:ascii="Times New Roman" w:hAnsi="Times New Roman" w:cs="Times New Roman"/>
          <w:sz w:val="28"/>
          <w:szCs w:val="28"/>
        </w:rPr>
      </w:pPr>
      <w:r w:rsidRPr="00112D5D">
        <w:rPr>
          <w:rFonts w:ascii="Times New Roman" w:hAnsi="Times New Roman" w:cs="Times New Roman"/>
          <w:sz w:val="28"/>
          <w:szCs w:val="28"/>
        </w:rPr>
        <w:t xml:space="preserve">- </w:t>
      </w:r>
      <w:r w:rsidRPr="00112D5D">
        <w:rPr>
          <w:rStyle w:val="Strong"/>
          <w:rFonts w:ascii="Times New Roman" w:hAnsi="Times New Roman" w:cs="Times New Roman"/>
          <w:b w:val="0"/>
          <w:sz w:val="28"/>
          <w:szCs w:val="28"/>
        </w:rPr>
        <w:t>Tác động về giới:</w:t>
      </w:r>
      <w:r w:rsidRPr="00112D5D">
        <w:rPr>
          <w:rFonts w:ascii="Times New Roman" w:hAnsi="Times New Roman" w:cs="Times New Roman"/>
          <w:sz w:val="28"/>
          <w:szCs w:val="28"/>
        </w:rPr>
        <w:t xml:space="preserve"> </w:t>
      </w:r>
      <w:r w:rsidR="00112D5D" w:rsidRPr="00112D5D">
        <w:rPr>
          <w:rFonts w:ascii="Times New Roman" w:hAnsi="Times New Roman" w:cs="Times New Roman"/>
          <w:sz w:val="28"/>
          <w:szCs w:val="28"/>
        </w:rPr>
        <w:t>Chính sách không tạo ra sự khác biệt về cơ hội, điều kiện tiếp cận và thụ hưởng giữa các giới; đồng thời việc nâng cao hiệu quả tiếp cận chính sách hỗ trợ có thể góp phần tạo điều kiện thuận lợi hơn cho các nhóm yếu thế, trong đó có phụ nữ tham gia khu vực kinh tế tập thể</w:t>
      </w:r>
      <w:r w:rsidR="00112D5D">
        <w:rPr>
          <w:rFonts w:ascii="Times New Roman" w:hAnsi="Times New Roman" w:cs="Times New Roman"/>
          <w:sz w:val="28"/>
          <w:szCs w:val="28"/>
        </w:rPr>
        <w:t>.</w:t>
      </w:r>
    </w:p>
    <w:p w14:paraId="359886B1" w14:textId="44294DB5" w:rsidR="00A0056A" w:rsidRPr="00112D5D" w:rsidRDefault="00131284" w:rsidP="00E91E50">
      <w:pPr>
        <w:spacing w:before="120" w:after="120" w:line="240" w:lineRule="auto"/>
        <w:ind w:firstLine="720"/>
        <w:jc w:val="both"/>
        <w:rPr>
          <w:rFonts w:ascii="Times New Roman" w:hAnsi="Times New Roman" w:cs="Times New Roman"/>
          <w:sz w:val="28"/>
          <w:szCs w:val="28"/>
        </w:rPr>
      </w:pPr>
      <w:r w:rsidRPr="00112D5D">
        <w:rPr>
          <w:rFonts w:ascii="Times New Roman" w:hAnsi="Times New Roman" w:cs="Times New Roman"/>
          <w:sz w:val="28"/>
          <w:szCs w:val="28"/>
        </w:rPr>
        <w:t xml:space="preserve">- </w:t>
      </w:r>
      <w:r w:rsidR="00A0056A" w:rsidRPr="00112D5D">
        <w:rPr>
          <w:rFonts w:ascii="Times New Roman" w:hAnsi="Times New Roman" w:cs="Times New Roman"/>
          <w:sz w:val="28"/>
          <w:szCs w:val="28"/>
        </w:rPr>
        <w:t>Về thủ tục hành chính, không có cải thiện.</w:t>
      </w:r>
    </w:p>
    <w:p w14:paraId="1AE18603" w14:textId="7A6CD1F3" w:rsidR="00A0056A" w:rsidRPr="00112D5D" w:rsidRDefault="00A0056A" w:rsidP="00E91E50">
      <w:pPr>
        <w:spacing w:before="120" w:after="120" w:line="240" w:lineRule="auto"/>
        <w:ind w:firstLine="720"/>
        <w:jc w:val="both"/>
        <w:rPr>
          <w:rFonts w:ascii="Times New Roman" w:hAnsi="Times New Roman" w:cs="Times New Roman"/>
          <w:sz w:val="28"/>
          <w:szCs w:val="28"/>
        </w:rPr>
      </w:pPr>
      <w:r w:rsidRPr="00112D5D">
        <w:rPr>
          <w:rFonts w:ascii="Times New Roman" w:hAnsi="Times New Roman" w:cs="Times New Roman"/>
          <w:sz w:val="28"/>
          <w:szCs w:val="28"/>
        </w:rPr>
        <w:t>b)</w:t>
      </w:r>
      <w:r w:rsidRPr="00112D5D">
        <w:rPr>
          <w:rFonts w:ascii="Times New Roman" w:hAnsi="Times New Roman" w:cs="Times New Roman"/>
          <w:b/>
          <w:sz w:val="28"/>
          <w:szCs w:val="28"/>
        </w:rPr>
        <w:t xml:space="preserve"> </w:t>
      </w:r>
      <w:r w:rsidRPr="00112D5D">
        <w:rPr>
          <w:rStyle w:val="Strong"/>
          <w:rFonts w:ascii="Times New Roman" w:hAnsi="Times New Roman" w:cs="Times New Roman"/>
          <w:b w:val="0"/>
          <w:sz w:val="28"/>
          <w:szCs w:val="28"/>
        </w:rPr>
        <w:t>Giải pháp 2: Bổ sung các chính sách hỗ trợ mới (thuế, kế toán, kiểm toán, chuyển đổi số, kinh tế xanh, xử lý hợp tác xã ngừng hoạt động)</w:t>
      </w:r>
      <w:r w:rsidR="002254FF" w:rsidRPr="00112D5D">
        <w:rPr>
          <w:rStyle w:val="Strong"/>
          <w:rFonts w:ascii="Times New Roman" w:hAnsi="Times New Roman" w:cs="Times New Roman"/>
          <w:b w:val="0"/>
          <w:sz w:val="28"/>
          <w:szCs w:val="28"/>
        </w:rPr>
        <w:t xml:space="preserve">. </w:t>
      </w:r>
      <w:r w:rsidRPr="00112D5D">
        <w:rPr>
          <w:rFonts w:ascii="Times New Roman" w:hAnsi="Times New Roman" w:cs="Times New Roman"/>
          <w:sz w:val="28"/>
          <w:szCs w:val="28"/>
        </w:rPr>
        <w:t xml:space="preserve">Giải pháp này mở rộng phạm vi điều chỉnh của Nghị định. </w:t>
      </w:r>
    </w:p>
    <w:p w14:paraId="6DE7014C" w14:textId="4B7294BB" w:rsidR="005135AE" w:rsidRPr="005135AE" w:rsidRDefault="00A0056A" w:rsidP="005135AE">
      <w:pPr>
        <w:spacing w:before="120" w:after="120" w:line="240" w:lineRule="auto"/>
        <w:ind w:firstLine="720"/>
        <w:jc w:val="both"/>
        <w:rPr>
          <w:rFonts w:ascii="Times New Roman" w:hAnsi="Times New Roman" w:cs="Times New Roman"/>
          <w:sz w:val="28"/>
          <w:szCs w:val="28"/>
        </w:rPr>
      </w:pPr>
      <w:r w:rsidRPr="00112D5D">
        <w:rPr>
          <w:rFonts w:ascii="Times New Roman" w:hAnsi="Times New Roman" w:cs="Times New Roman"/>
          <w:sz w:val="28"/>
          <w:szCs w:val="28"/>
        </w:rPr>
        <w:t>Về tác động đối với hệ thống pháp luật, bảo đảm phù hợp với các Nghị quyết của Đảng và yêu cầu phát triển mớ</w:t>
      </w:r>
      <w:r w:rsidR="005135AE">
        <w:rPr>
          <w:rFonts w:ascii="Times New Roman" w:hAnsi="Times New Roman" w:cs="Times New Roman"/>
          <w:sz w:val="28"/>
          <w:szCs w:val="28"/>
        </w:rPr>
        <w:t>i,</w:t>
      </w:r>
      <w:r w:rsidRPr="00112D5D">
        <w:rPr>
          <w:rFonts w:ascii="Times New Roman" w:hAnsi="Times New Roman" w:cs="Times New Roman"/>
          <w:sz w:val="28"/>
          <w:szCs w:val="28"/>
        </w:rPr>
        <w:t xml:space="preserve"> </w:t>
      </w:r>
      <w:r w:rsidR="005135AE" w:rsidRPr="005135AE">
        <w:rPr>
          <w:rFonts w:ascii="Times New Roman" w:hAnsi="Times New Roman" w:cs="Times New Roman"/>
          <w:sz w:val="28"/>
          <w:szCs w:val="28"/>
        </w:rPr>
        <w:t>bảo đảm tính hợp hiến, hợp pháp, thống nhất của hệ thống pháp luật</w:t>
      </w:r>
      <w:r w:rsidR="005135AE">
        <w:rPr>
          <w:rFonts w:ascii="Times New Roman" w:hAnsi="Times New Roman" w:cs="Times New Roman"/>
          <w:sz w:val="28"/>
          <w:szCs w:val="28"/>
        </w:rPr>
        <w:t>.</w:t>
      </w:r>
    </w:p>
    <w:p w14:paraId="7EDFF338" w14:textId="2C905231" w:rsidR="002254FF" w:rsidRPr="00112D5D" w:rsidRDefault="00A0056A" w:rsidP="00E91E50">
      <w:pPr>
        <w:spacing w:before="120" w:after="120" w:line="240" w:lineRule="auto"/>
        <w:ind w:firstLine="720"/>
        <w:jc w:val="both"/>
        <w:rPr>
          <w:rFonts w:ascii="Times New Roman" w:hAnsi="Times New Roman" w:cs="Times New Roman"/>
          <w:sz w:val="28"/>
          <w:szCs w:val="28"/>
        </w:rPr>
      </w:pPr>
      <w:r w:rsidRPr="00112D5D">
        <w:rPr>
          <w:rFonts w:ascii="Times New Roman" w:hAnsi="Times New Roman" w:cs="Times New Roman"/>
          <w:sz w:val="28"/>
          <w:szCs w:val="28"/>
        </w:rPr>
        <w:t>Về kinh tế - xã hội</w:t>
      </w:r>
      <w:r w:rsidR="00131284" w:rsidRPr="00112D5D">
        <w:rPr>
          <w:rFonts w:ascii="Times New Roman" w:hAnsi="Times New Roman" w:cs="Times New Roman"/>
          <w:sz w:val="28"/>
          <w:szCs w:val="28"/>
        </w:rPr>
        <w:t>: Giải pháp này góp phần nâng cao năng lực quản trị, cải thiện môi trường sản xuất kinh doanh, nâng cao khả năng cạnh tranh của hợp tác xã; tạo điều kiện duy trì và mở rộng việc làm; đồng thời thúc đẩy ứng dụng khoa học công nghệ, chuyển đổi số, phát triển kinh tế xanh, kinh tế tuần hoàn; đồng thời tăng cường hiệu quả quản lý nhà nước, phù hợp với định hướng phân cấp, phân quyền và yêu cầu phát triển trong giai đoạn mớ</w:t>
      </w:r>
      <w:r w:rsidRPr="00112D5D">
        <w:rPr>
          <w:rFonts w:ascii="Times New Roman" w:hAnsi="Times New Roman" w:cs="Times New Roman"/>
          <w:sz w:val="28"/>
          <w:szCs w:val="28"/>
        </w:rPr>
        <w:t xml:space="preserve"> nâng cao năng lực quản trị, thúc đẩy phát triển bền vững khu vực kinh tế tập thể. </w:t>
      </w:r>
    </w:p>
    <w:p w14:paraId="6B7B2636" w14:textId="6C2D26F5" w:rsidR="00131284" w:rsidRPr="00112D5D" w:rsidRDefault="00131284" w:rsidP="00131284">
      <w:pPr>
        <w:spacing w:before="120" w:after="120" w:line="240" w:lineRule="auto"/>
        <w:ind w:firstLine="720"/>
        <w:jc w:val="both"/>
        <w:rPr>
          <w:rFonts w:ascii="Times New Roman" w:hAnsi="Times New Roman" w:cs="Times New Roman"/>
          <w:sz w:val="28"/>
          <w:szCs w:val="28"/>
        </w:rPr>
      </w:pPr>
      <w:r w:rsidRPr="00112D5D">
        <w:rPr>
          <w:rFonts w:ascii="Times New Roman" w:hAnsi="Times New Roman" w:cs="Times New Roman"/>
          <w:sz w:val="28"/>
          <w:szCs w:val="28"/>
        </w:rPr>
        <w:t xml:space="preserve">- </w:t>
      </w:r>
      <w:r w:rsidRPr="00112D5D">
        <w:rPr>
          <w:rStyle w:val="Strong"/>
          <w:rFonts w:ascii="Times New Roman" w:hAnsi="Times New Roman" w:cs="Times New Roman"/>
          <w:b w:val="0"/>
          <w:sz w:val="28"/>
          <w:szCs w:val="28"/>
        </w:rPr>
        <w:t>Tác động về giới:</w:t>
      </w:r>
      <w:r w:rsidRPr="00112D5D">
        <w:rPr>
          <w:rFonts w:ascii="Times New Roman" w:hAnsi="Times New Roman" w:cs="Times New Roman"/>
          <w:sz w:val="28"/>
          <w:szCs w:val="28"/>
        </w:rPr>
        <w:t xml:space="preserve"> </w:t>
      </w:r>
      <w:r w:rsidR="00112D5D" w:rsidRPr="00112D5D">
        <w:rPr>
          <w:rFonts w:ascii="Times New Roman" w:hAnsi="Times New Roman" w:cs="Times New Roman"/>
          <w:sz w:val="28"/>
          <w:szCs w:val="28"/>
        </w:rPr>
        <w:t>Chính sách không tạo ra sự khác biệt về cơ hội, điều kiện tiếp cận và thụ hưởng giữa các giới; đồng thời việc nâng cao hiệu quả tiếp cận chính sách hỗ trợ có thể góp phần tạo điều kiện thuận lợi hơn cho các nhóm yếu thế, trong đó có phụ nữ tham gia khu vực kinh tế tập thể</w:t>
      </w:r>
      <w:r w:rsidR="00112D5D">
        <w:rPr>
          <w:rFonts w:ascii="Times New Roman" w:hAnsi="Times New Roman" w:cs="Times New Roman"/>
          <w:sz w:val="28"/>
          <w:szCs w:val="28"/>
        </w:rPr>
        <w:t>.</w:t>
      </w:r>
    </w:p>
    <w:p w14:paraId="3BA238EF" w14:textId="77777777" w:rsidR="0055334F" w:rsidRPr="00DF5795" w:rsidRDefault="00131284" w:rsidP="0055334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0056A" w:rsidRPr="00A0056A">
        <w:rPr>
          <w:rFonts w:ascii="Times New Roman" w:hAnsi="Times New Roman" w:cs="Times New Roman"/>
          <w:sz w:val="28"/>
          <w:szCs w:val="28"/>
        </w:rPr>
        <w:t>Về thủ tục hành chính</w:t>
      </w:r>
      <w:r w:rsidR="00123212">
        <w:rPr>
          <w:rFonts w:ascii="Times New Roman" w:hAnsi="Times New Roman" w:cs="Times New Roman"/>
          <w:sz w:val="28"/>
          <w:szCs w:val="28"/>
        </w:rPr>
        <w:t>: C</w:t>
      </w:r>
      <w:r w:rsidR="00A0056A" w:rsidRPr="00A0056A">
        <w:rPr>
          <w:rFonts w:ascii="Times New Roman" w:hAnsi="Times New Roman" w:cs="Times New Roman"/>
          <w:sz w:val="28"/>
          <w:szCs w:val="28"/>
        </w:rPr>
        <w:t>ó thể phát sinh nhưng có thể thiết kế theo hướng đơn giả</w:t>
      </w:r>
      <w:r w:rsidR="008C5D06">
        <w:rPr>
          <w:rFonts w:ascii="Times New Roman" w:hAnsi="Times New Roman" w:cs="Times New Roman"/>
          <w:sz w:val="28"/>
          <w:szCs w:val="28"/>
        </w:rPr>
        <w:t>n và có thể kiểm soát.</w:t>
      </w:r>
      <w:r w:rsidR="0055334F">
        <w:rPr>
          <w:rFonts w:ascii="Times New Roman" w:hAnsi="Times New Roman" w:cs="Times New Roman"/>
          <w:sz w:val="28"/>
          <w:szCs w:val="28"/>
        </w:rPr>
        <w:t xml:space="preserve"> </w:t>
      </w:r>
      <w:r w:rsidR="0055334F" w:rsidRPr="007E09DC">
        <w:rPr>
          <w:rFonts w:ascii="Times New Roman" w:hAnsi="Times New Roman" w:cs="Times New Roman"/>
          <w:sz w:val="28"/>
          <w:szCs w:val="28"/>
        </w:rPr>
        <w:t>Các thủ tục hành chính (nếu có) được thiết kế nhằm bảo đảm yêu cầu quản lý nhà nước,</w:t>
      </w:r>
      <w:r w:rsidR="0055334F" w:rsidRPr="00DF5795">
        <w:t xml:space="preserve"> </w:t>
      </w:r>
      <w:r w:rsidR="0055334F" w:rsidRPr="00DF5795">
        <w:rPr>
          <w:rFonts w:ascii="Times New Roman" w:hAnsi="Times New Roman" w:cs="Times New Roman"/>
          <w:sz w:val="28"/>
          <w:szCs w:val="28"/>
        </w:rPr>
        <w:t>đồng thời không làm phát sinh thủ tục không cần thiết, phù hợp với yêu cầu cải cách thủ tục hành chính</w:t>
      </w:r>
      <w:r w:rsidR="0055334F">
        <w:rPr>
          <w:rFonts w:ascii="Times New Roman" w:hAnsi="Times New Roman" w:cs="Times New Roman"/>
          <w:sz w:val="28"/>
          <w:szCs w:val="28"/>
        </w:rPr>
        <w:t>.</w:t>
      </w:r>
    </w:p>
    <w:p w14:paraId="0966D1F6" w14:textId="6CB0BEF9" w:rsidR="00E91E50" w:rsidRDefault="00CB0679" w:rsidP="00E91E50">
      <w:pPr>
        <w:spacing w:before="120" w:after="120" w:line="240" w:lineRule="auto"/>
        <w:ind w:firstLine="720"/>
        <w:jc w:val="both"/>
        <w:rPr>
          <w:rFonts w:ascii="Times New Roman" w:hAnsi="Times New Roman" w:cs="Times New Roman"/>
          <w:b/>
          <w:sz w:val="28"/>
          <w:szCs w:val="28"/>
        </w:rPr>
      </w:pPr>
      <w:r w:rsidRPr="00E91E50">
        <w:rPr>
          <w:rFonts w:ascii="Times New Roman" w:hAnsi="Times New Roman" w:cs="Times New Roman"/>
          <w:b/>
          <w:sz w:val="28"/>
          <w:szCs w:val="28"/>
        </w:rPr>
        <w:t>III. PHỤ LỤC</w:t>
      </w:r>
      <w:r w:rsidR="00E91E50">
        <w:rPr>
          <w:rFonts w:ascii="Times New Roman" w:hAnsi="Times New Roman" w:cs="Times New Roman"/>
          <w:b/>
          <w:sz w:val="28"/>
          <w:szCs w:val="28"/>
        </w:rPr>
        <w:t xml:space="preserve"> </w:t>
      </w:r>
    </w:p>
    <w:p w14:paraId="5C1231A4" w14:textId="77777777" w:rsidR="0055334F" w:rsidRPr="0055334F" w:rsidRDefault="0055334F" w:rsidP="00E91E50">
      <w:pPr>
        <w:spacing w:before="120" w:after="120" w:line="240" w:lineRule="auto"/>
        <w:ind w:firstLine="720"/>
        <w:jc w:val="both"/>
        <w:rPr>
          <w:rFonts w:ascii="Times New Roman" w:hAnsi="Times New Roman" w:cs="Times New Roman"/>
          <w:sz w:val="28"/>
          <w:szCs w:val="28"/>
        </w:rPr>
      </w:pPr>
      <w:r w:rsidRPr="0055334F">
        <w:rPr>
          <w:rFonts w:ascii="Times New Roman" w:hAnsi="Times New Roman" w:cs="Times New Roman"/>
          <w:sz w:val="28"/>
          <w:szCs w:val="28"/>
        </w:rPr>
        <w:t>Các bảng, biểu tính toán chi phí và lợi ích của các giải pháp (không có do các chính sách đề xuất chủ yếu mang tính hoàn thiện cơ chế, không phát sinh chi phí, lợi ích có thể lượng hóa cụ thể).</w:t>
      </w:r>
    </w:p>
    <w:p w14:paraId="1B67089D" w14:textId="11172688" w:rsidR="00587579" w:rsidRPr="00E91E50" w:rsidRDefault="00E40A88" w:rsidP="00245163">
      <w:pPr>
        <w:ind w:firstLine="720"/>
        <w:jc w:val="both"/>
        <w:rPr>
          <w:rFonts w:ascii="Times New Roman" w:hAnsi="Times New Roman" w:cs="Times New Roman"/>
          <w:sz w:val="28"/>
          <w:szCs w:val="28"/>
        </w:rPr>
      </w:pPr>
      <w:r w:rsidRPr="0055334F">
        <w:rPr>
          <w:rFonts w:ascii="Times New Roman" w:hAnsi="Times New Roman" w:cs="Times New Roman"/>
          <w:sz w:val="28"/>
          <w:szCs w:val="28"/>
        </w:rPr>
        <w:t xml:space="preserve">Bộ Tài chính kính báo Chính phủ kết quả đánh giá tác động của </w:t>
      </w:r>
      <w:r w:rsidR="0055334F" w:rsidRPr="0055334F">
        <w:rPr>
          <w:rFonts w:ascii="Times New Roman" w:hAnsi="Times New Roman" w:cs="Times New Roman"/>
          <w:sz w:val="28"/>
          <w:szCs w:val="28"/>
        </w:rPr>
        <w:t xml:space="preserve">các nhóm chính sách </w:t>
      </w:r>
      <w:r w:rsidR="0055334F">
        <w:rPr>
          <w:rFonts w:ascii="Times New Roman" w:hAnsi="Times New Roman" w:cs="Times New Roman"/>
          <w:sz w:val="28"/>
          <w:szCs w:val="28"/>
        </w:rPr>
        <w:t xml:space="preserve">liên quan đến </w:t>
      </w:r>
      <w:r w:rsidR="0055334F" w:rsidRPr="0055334F">
        <w:rPr>
          <w:rFonts w:ascii="Times New Roman" w:hAnsi="Times New Roman" w:cs="Times New Roman"/>
          <w:sz w:val="28"/>
          <w:szCs w:val="28"/>
        </w:rPr>
        <w:t xml:space="preserve">dự thảo </w:t>
      </w:r>
      <w:r w:rsidR="0055334F" w:rsidRPr="0055334F">
        <w:rPr>
          <w:rFonts w:ascii="Times New Roman" w:eastAsia="Times New Roman" w:hAnsi="Times New Roman" w:cs="Times New Roman"/>
          <w:sz w:val="28"/>
          <w:szCs w:val="28"/>
        </w:rPr>
        <w:t>Nghị định số 113/2024/NĐ-CP ngày 12/9/2024 của Chính phủ</w:t>
      </w:r>
      <w:r w:rsidR="0055334F" w:rsidRPr="0055334F">
        <w:rPr>
          <w:rFonts w:ascii="Times New Roman" w:hAnsi="Times New Roman" w:cs="Times New Roman"/>
          <w:noProof/>
          <w:sz w:val="28"/>
          <w:szCs w:val="28"/>
        </w:rPr>
        <w:t xml:space="preserve"> (sửa đổi, bổ sung)</w:t>
      </w:r>
      <w:r w:rsidR="00CB0679" w:rsidRPr="00E91E50">
        <w:rPr>
          <w:rFonts w:ascii="Times New Roman" w:hAnsi="Times New Roman" w:cs="Times New Roman"/>
          <w:sz w:val="28"/>
          <w:szCs w:val="28"/>
        </w:rPr>
        <w:t>./.</w:t>
      </w:r>
    </w:p>
    <w:tbl>
      <w:tblPr>
        <w:tblW w:w="9356" w:type="dxa"/>
        <w:tblCellSpacing w:w="0" w:type="dxa"/>
        <w:shd w:val="clear" w:color="auto" w:fill="FFFFFF"/>
        <w:tblCellMar>
          <w:left w:w="0" w:type="dxa"/>
          <w:right w:w="0" w:type="dxa"/>
        </w:tblCellMar>
        <w:tblLook w:val="04A0" w:firstRow="1" w:lastRow="0" w:firstColumn="1" w:lastColumn="0" w:noHBand="0" w:noVBand="1"/>
      </w:tblPr>
      <w:tblGrid>
        <w:gridCol w:w="5103"/>
        <w:gridCol w:w="4253"/>
      </w:tblGrid>
      <w:tr w:rsidR="003367F7" w:rsidRPr="00E91E50" w14:paraId="25B79E54" w14:textId="77777777" w:rsidTr="0091584D">
        <w:trPr>
          <w:tblCellSpacing w:w="0" w:type="dxa"/>
        </w:trPr>
        <w:tc>
          <w:tcPr>
            <w:tcW w:w="5103" w:type="dxa"/>
            <w:shd w:val="clear" w:color="auto" w:fill="FFFFFF"/>
            <w:tcMar>
              <w:top w:w="0" w:type="dxa"/>
              <w:left w:w="108" w:type="dxa"/>
              <w:bottom w:w="0" w:type="dxa"/>
              <w:right w:w="108" w:type="dxa"/>
            </w:tcMar>
            <w:hideMark/>
          </w:tcPr>
          <w:p w14:paraId="3A2DDB60" w14:textId="1DB69281" w:rsidR="003367F7" w:rsidRPr="00E91E50" w:rsidRDefault="003367F7" w:rsidP="0091584D">
            <w:pPr>
              <w:spacing w:after="0"/>
              <w:rPr>
                <w:rFonts w:ascii="Times New Roman" w:hAnsi="Times New Roman" w:cs="Times New Roman"/>
                <w:b/>
                <w:bCs/>
                <w:i/>
                <w:iCs/>
                <w:sz w:val="24"/>
                <w:szCs w:val="24"/>
                <w:lang w:val="vi-VN"/>
              </w:rPr>
            </w:pPr>
            <w:r w:rsidRPr="00E91E50">
              <w:rPr>
                <w:rFonts w:ascii="Times New Roman" w:hAnsi="Times New Roman" w:cs="Times New Roman"/>
                <w:b/>
                <w:bCs/>
                <w:i/>
                <w:iCs/>
                <w:sz w:val="24"/>
                <w:szCs w:val="24"/>
                <w:lang w:val="vi-VN"/>
              </w:rPr>
              <w:t>Nơi nhận:</w:t>
            </w:r>
          </w:p>
          <w:p w14:paraId="0C45C86C" w14:textId="4707388A" w:rsidR="003367F7" w:rsidRPr="00E91E50" w:rsidRDefault="003367F7" w:rsidP="0091584D">
            <w:pPr>
              <w:spacing w:after="0"/>
              <w:rPr>
                <w:rFonts w:ascii="Times New Roman" w:hAnsi="Times New Roman" w:cs="Times New Roman"/>
              </w:rPr>
            </w:pPr>
            <w:r w:rsidRPr="00E91E50">
              <w:rPr>
                <w:rFonts w:ascii="Times New Roman" w:hAnsi="Times New Roman" w:cs="Times New Roman"/>
                <w:lang w:val="vi-VN"/>
              </w:rPr>
              <w:t xml:space="preserve">- </w:t>
            </w:r>
            <w:r w:rsidRPr="00E91E50">
              <w:rPr>
                <w:rFonts w:ascii="Times New Roman" w:hAnsi="Times New Roman" w:cs="Times New Roman"/>
              </w:rPr>
              <w:t>Như trên;</w:t>
            </w:r>
          </w:p>
          <w:p w14:paraId="7B10E0DE" w14:textId="1675E4FF" w:rsidR="003367F7" w:rsidRPr="00E91E50" w:rsidRDefault="003367F7" w:rsidP="0091584D">
            <w:pPr>
              <w:spacing w:after="0"/>
              <w:rPr>
                <w:rFonts w:ascii="Times New Roman" w:hAnsi="Times New Roman" w:cs="Times New Roman"/>
              </w:rPr>
            </w:pPr>
            <w:r w:rsidRPr="00E91E50">
              <w:rPr>
                <w:rFonts w:ascii="Times New Roman" w:hAnsi="Times New Roman" w:cs="Times New Roman"/>
              </w:rPr>
              <w:t>- Văn phòng Chính phủ;</w:t>
            </w:r>
          </w:p>
          <w:p w14:paraId="43DEBFB0" w14:textId="2BA42A95" w:rsidR="003367F7" w:rsidRPr="00E91E50" w:rsidRDefault="003367F7" w:rsidP="0091584D">
            <w:pPr>
              <w:spacing w:after="0"/>
              <w:rPr>
                <w:rFonts w:ascii="Times New Roman" w:hAnsi="Times New Roman" w:cs="Times New Roman"/>
              </w:rPr>
            </w:pPr>
            <w:r w:rsidRPr="00E91E50">
              <w:rPr>
                <w:rFonts w:ascii="Times New Roman" w:hAnsi="Times New Roman" w:cs="Times New Roman"/>
              </w:rPr>
              <w:t>- Bộ Tư pháp;</w:t>
            </w:r>
          </w:p>
          <w:p w14:paraId="54027177" w14:textId="5EE7CEBE" w:rsidR="003367F7" w:rsidRPr="00E91E50" w:rsidRDefault="003367F7" w:rsidP="0091584D">
            <w:pPr>
              <w:spacing w:after="0"/>
              <w:rPr>
                <w:rFonts w:ascii="Times New Roman" w:hAnsi="Times New Roman" w:cs="Times New Roman"/>
              </w:rPr>
            </w:pPr>
            <w:r w:rsidRPr="00E91E50">
              <w:rPr>
                <w:rFonts w:ascii="Times New Roman" w:hAnsi="Times New Roman" w:cs="Times New Roman"/>
              </w:rPr>
              <w:t>- Bộ trưởng Ngô Văn Tuấn (để báo cáo);</w:t>
            </w:r>
          </w:p>
          <w:p w14:paraId="769EF2ED" w14:textId="502DA9E6" w:rsidR="00CA73F1" w:rsidRDefault="003367F7" w:rsidP="0091584D">
            <w:pPr>
              <w:spacing w:after="0"/>
              <w:rPr>
                <w:rFonts w:ascii="Times New Roman" w:hAnsi="Times New Roman" w:cs="Times New Roman"/>
              </w:rPr>
            </w:pPr>
            <w:r w:rsidRPr="00E91E50">
              <w:rPr>
                <w:rFonts w:ascii="Times New Roman" w:hAnsi="Times New Roman" w:cs="Times New Roman"/>
                <w:lang w:val="vi-VN"/>
              </w:rPr>
              <w:t xml:space="preserve">- </w:t>
            </w:r>
            <w:r w:rsidR="00E47EDF" w:rsidRPr="00E91E50">
              <w:rPr>
                <w:rFonts w:ascii="Times New Roman" w:hAnsi="Times New Roman" w:cs="Times New Roman"/>
              </w:rPr>
              <w:t>Vụ PC</w:t>
            </w:r>
            <w:r w:rsidR="00CB0679" w:rsidRPr="00E91E50">
              <w:rPr>
                <w:rFonts w:ascii="Times New Roman" w:hAnsi="Times New Roman" w:cs="Times New Roman"/>
              </w:rPr>
              <w:t>,</w:t>
            </w:r>
            <w:r w:rsidR="00CA73F1" w:rsidRPr="00E91E50">
              <w:rPr>
                <w:rFonts w:ascii="Times New Roman" w:hAnsi="Times New Roman" w:cs="Times New Roman"/>
              </w:rPr>
              <w:t xml:space="preserve"> Văn phòng Bộ;</w:t>
            </w:r>
          </w:p>
          <w:p w14:paraId="02DBB8CC" w14:textId="2A83DFC2" w:rsidR="0033444C" w:rsidRPr="00E91E50" w:rsidRDefault="0033444C" w:rsidP="0091584D">
            <w:pPr>
              <w:spacing w:after="0"/>
              <w:rPr>
                <w:rFonts w:ascii="Times New Roman" w:hAnsi="Times New Roman" w:cs="Times New Roman"/>
              </w:rPr>
            </w:pPr>
            <w:r>
              <w:rPr>
                <w:rFonts w:ascii="Times New Roman" w:hAnsi="Times New Roman" w:cs="Times New Roman"/>
              </w:rPr>
              <w:t>- Cuc CNTT&amp;CSĐ;</w:t>
            </w:r>
          </w:p>
          <w:p w14:paraId="1DE00E52" w14:textId="77777777" w:rsidR="003367F7" w:rsidRPr="00E91E50" w:rsidRDefault="003367F7" w:rsidP="0091584D">
            <w:pPr>
              <w:spacing w:after="0"/>
              <w:rPr>
                <w:rFonts w:ascii="Times New Roman" w:hAnsi="Times New Roman" w:cs="Times New Roman"/>
              </w:rPr>
            </w:pPr>
            <w:r w:rsidRPr="00E91E50">
              <w:rPr>
                <w:rFonts w:ascii="Times New Roman" w:hAnsi="Times New Roman" w:cs="Times New Roman"/>
              </w:rPr>
              <w:t>- Lưu: VT, DNTN (….b).</w:t>
            </w:r>
          </w:p>
        </w:tc>
        <w:tc>
          <w:tcPr>
            <w:tcW w:w="4253" w:type="dxa"/>
            <w:shd w:val="clear" w:color="auto" w:fill="FFFFFF"/>
            <w:tcMar>
              <w:top w:w="0" w:type="dxa"/>
              <w:left w:w="108" w:type="dxa"/>
              <w:bottom w:w="0" w:type="dxa"/>
              <w:right w:w="108" w:type="dxa"/>
            </w:tcMar>
            <w:hideMark/>
          </w:tcPr>
          <w:p w14:paraId="37921045" w14:textId="77777777" w:rsidR="003367F7" w:rsidRPr="00E91E50" w:rsidRDefault="003367F7" w:rsidP="0091584D">
            <w:pPr>
              <w:spacing w:after="0"/>
              <w:jc w:val="center"/>
              <w:rPr>
                <w:rFonts w:ascii="Times New Roman" w:hAnsi="Times New Roman" w:cs="Times New Roman"/>
                <w:b/>
                <w:bCs/>
                <w:sz w:val="28"/>
                <w:szCs w:val="28"/>
              </w:rPr>
            </w:pPr>
            <w:r w:rsidRPr="00E91E50">
              <w:rPr>
                <w:rFonts w:ascii="Times New Roman" w:hAnsi="Times New Roman" w:cs="Times New Roman"/>
                <w:b/>
                <w:bCs/>
                <w:sz w:val="28"/>
                <w:szCs w:val="28"/>
              </w:rPr>
              <w:t>KT. BỘ TRƯỞNG</w:t>
            </w:r>
          </w:p>
          <w:p w14:paraId="487A55A3" w14:textId="61628CF4" w:rsidR="003367F7" w:rsidRPr="00E91E50" w:rsidRDefault="003367F7" w:rsidP="00CB0679">
            <w:pPr>
              <w:spacing w:after="0"/>
              <w:jc w:val="center"/>
              <w:rPr>
                <w:rFonts w:ascii="Times New Roman" w:hAnsi="Times New Roman" w:cs="Times New Roman"/>
                <w:b/>
                <w:bCs/>
                <w:sz w:val="28"/>
                <w:szCs w:val="28"/>
              </w:rPr>
            </w:pPr>
            <w:r w:rsidRPr="00E91E50">
              <w:rPr>
                <w:rFonts w:ascii="Times New Roman" w:hAnsi="Times New Roman" w:cs="Times New Roman"/>
                <w:b/>
                <w:bCs/>
                <w:sz w:val="28"/>
                <w:szCs w:val="28"/>
              </w:rPr>
              <w:t>THỨ TRƯỞNG</w:t>
            </w:r>
            <w:r w:rsidRPr="00E91E50">
              <w:rPr>
                <w:rFonts w:ascii="Times New Roman" w:hAnsi="Times New Roman" w:cs="Times New Roman"/>
                <w:sz w:val="28"/>
                <w:szCs w:val="28"/>
              </w:rPr>
              <w:br/>
            </w:r>
            <w:r w:rsidRPr="00E91E50">
              <w:rPr>
                <w:rFonts w:ascii="Times New Roman" w:hAnsi="Times New Roman" w:cs="Times New Roman"/>
                <w:sz w:val="28"/>
                <w:szCs w:val="28"/>
              </w:rPr>
              <w:br/>
            </w:r>
          </w:p>
          <w:p w14:paraId="034FC463" w14:textId="77777777" w:rsidR="00E91E50" w:rsidRPr="00E91E50" w:rsidRDefault="00E91E50" w:rsidP="0091584D">
            <w:pPr>
              <w:jc w:val="center"/>
              <w:rPr>
                <w:rFonts w:ascii="Times New Roman" w:hAnsi="Times New Roman" w:cs="Times New Roman"/>
                <w:b/>
                <w:sz w:val="28"/>
                <w:szCs w:val="28"/>
              </w:rPr>
            </w:pPr>
          </w:p>
          <w:p w14:paraId="25811ED6" w14:textId="77777777" w:rsidR="00E91E50" w:rsidRPr="00E91E50" w:rsidRDefault="00E91E50" w:rsidP="0091584D">
            <w:pPr>
              <w:jc w:val="center"/>
              <w:rPr>
                <w:rFonts w:ascii="Times New Roman" w:hAnsi="Times New Roman" w:cs="Times New Roman"/>
                <w:b/>
                <w:sz w:val="28"/>
                <w:szCs w:val="28"/>
              </w:rPr>
            </w:pPr>
          </w:p>
          <w:p w14:paraId="183433E5" w14:textId="3AA34B00" w:rsidR="003367F7" w:rsidRPr="00E91E50" w:rsidRDefault="003367F7" w:rsidP="0091584D">
            <w:pPr>
              <w:jc w:val="center"/>
              <w:rPr>
                <w:rFonts w:ascii="Times New Roman" w:hAnsi="Times New Roman" w:cs="Times New Roman"/>
                <w:b/>
                <w:sz w:val="28"/>
                <w:szCs w:val="28"/>
              </w:rPr>
            </w:pPr>
            <w:r w:rsidRPr="00E91E50">
              <w:rPr>
                <w:rFonts w:ascii="Times New Roman" w:hAnsi="Times New Roman" w:cs="Times New Roman"/>
                <w:b/>
                <w:sz w:val="28"/>
                <w:szCs w:val="28"/>
              </w:rPr>
              <w:t>Nguyễn Đức Tâm</w:t>
            </w:r>
          </w:p>
        </w:tc>
      </w:tr>
    </w:tbl>
    <w:p w14:paraId="74D61A2D" w14:textId="77777777" w:rsidR="00CB0679" w:rsidRPr="00E91E50" w:rsidRDefault="00CB0679" w:rsidP="009E1928">
      <w:pPr>
        <w:spacing w:before="120" w:after="120" w:line="240" w:lineRule="auto"/>
        <w:ind w:firstLine="720"/>
        <w:jc w:val="both"/>
        <w:rPr>
          <w:rFonts w:ascii="Times New Roman" w:hAnsi="Times New Roman" w:cs="Times New Roman"/>
          <w:b/>
          <w:sz w:val="28"/>
          <w:szCs w:val="28"/>
        </w:rPr>
      </w:pPr>
    </w:p>
    <w:p w14:paraId="3E22C753" w14:textId="77777777" w:rsidR="00E91E50" w:rsidRPr="00E91E50" w:rsidRDefault="00E91E50" w:rsidP="009E1928">
      <w:pPr>
        <w:spacing w:before="120" w:after="120" w:line="240" w:lineRule="auto"/>
        <w:ind w:firstLine="720"/>
        <w:jc w:val="both"/>
        <w:rPr>
          <w:rFonts w:ascii="Times New Roman" w:hAnsi="Times New Roman" w:cs="Times New Roman"/>
          <w:b/>
          <w:sz w:val="28"/>
          <w:szCs w:val="28"/>
        </w:rPr>
      </w:pPr>
    </w:p>
    <w:p w14:paraId="43BB9846" w14:textId="77777777" w:rsidR="00E91E50" w:rsidRPr="00E91E50" w:rsidRDefault="00E91E50" w:rsidP="009E1928">
      <w:pPr>
        <w:spacing w:before="120" w:after="120" w:line="240" w:lineRule="auto"/>
        <w:ind w:firstLine="720"/>
        <w:jc w:val="both"/>
        <w:rPr>
          <w:rFonts w:ascii="Times New Roman" w:hAnsi="Times New Roman" w:cs="Times New Roman"/>
          <w:b/>
          <w:sz w:val="28"/>
          <w:szCs w:val="28"/>
        </w:rPr>
      </w:pPr>
    </w:p>
    <w:p w14:paraId="3CE3BB72" w14:textId="77777777" w:rsidR="00E91E50" w:rsidRPr="00E91E50" w:rsidRDefault="00E91E50" w:rsidP="009E1928">
      <w:pPr>
        <w:spacing w:before="120" w:after="120" w:line="240" w:lineRule="auto"/>
        <w:ind w:firstLine="720"/>
        <w:jc w:val="both"/>
        <w:rPr>
          <w:rFonts w:ascii="Times New Roman" w:hAnsi="Times New Roman" w:cs="Times New Roman"/>
          <w:b/>
          <w:sz w:val="28"/>
          <w:szCs w:val="28"/>
        </w:rPr>
      </w:pPr>
    </w:p>
    <w:p w14:paraId="4CD72CA3" w14:textId="77777777" w:rsidR="00E91E50" w:rsidRPr="00E91E50" w:rsidRDefault="00E91E50" w:rsidP="009E1928">
      <w:pPr>
        <w:spacing w:before="120" w:after="120" w:line="240" w:lineRule="auto"/>
        <w:ind w:firstLine="720"/>
        <w:jc w:val="both"/>
        <w:rPr>
          <w:rFonts w:ascii="Times New Roman" w:hAnsi="Times New Roman" w:cs="Times New Roman"/>
          <w:b/>
          <w:sz w:val="28"/>
          <w:szCs w:val="28"/>
        </w:rPr>
      </w:pPr>
    </w:p>
    <w:p w14:paraId="0848FD2B" w14:textId="58D75359" w:rsidR="00E91E50" w:rsidRDefault="00E91E50" w:rsidP="009E1928">
      <w:pPr>
        <w:spacing w:before="120" w:after="120" w:line="240" w:lineRule="auto"/>
        <w:ind w:firstLine="720"/>
        <w:jc w:val="both"/>
        <w:rPr>
          <w:rFonts w:ascii="Times New Roman" w:hAnsi="Times New Roman" w:cs="Times New Roman"/>
          <w:b/>
          <w:sz w:val="28"/>
          <w:szCs w:val="28"/>
        </w:rPr>
      </w:pPr>
    </w:p>
    <w:p w14:paraId="57A56A80" w14:textId="223C645B" w:rsidR="00C2461F" w:rsidRDefault="00C2461F" w:rsidP="009E1928">
      <w:pPr>
        <w:spacing w:before="120" w:after="120" w:line="240" w:lineRule="auto"/>
        <w:ind w:firstLine="720"/>
        <w:jc w:val="both"/>
        <w:rPr>
          <w:rFonts w:ascii="Times New Roman" w:hAnsi="Times New Roman" w:cs="Times New Roman"/>
          <w:b/>
          <w:sz w:val="28"/>
          <w:szCs w:val="28"/>
        </w:rPr>
      </w:pPr>
    </w:p>
    <w:p w14:paraId="01E2BAB9" w14:textId="77777777" w:rsidR="00C2461F" w:rsidRPr="00E91E50" w:rsidRDefault="00C2461F" w:rsidP="009E1928">
      <w:pPr>
        <w:spacing w:before="120" w:after="120" w:line="240" w:lineRule="auto"/>
        <w:ind w:firstLine="720"/>
        <w:jc w:val="both"/>
        <w:rPr>
          <w:rFonts w:ascii="Times New Roman" w:hAnsi="Times New Roman" w:cs="Times New Roman"/>
          <w:b/>
          <w:sz w:val="28"/>
          <w:szCs w:val="28"/>
        </w:rPr>
      </w:pPr>
    </w:p>
    <w:bookmarkEnd w:id="0"/>
    <w:bookmarkEnd w:id="1"/>
    <w:p w14:paraId="04F4167A" w14:textId="77777777" w:rsidR="00E91E50" w:rsidRPr="00E91E50" w:rsidRDefault="00E91E50" w:rsidP="009E1928">
      <w:pPr>
        <w:spacing w:before="120" w:after="120" w:line="240" w:lineRule="auto"/>
        <w:ind w:firstLine="720"/>
        <w:jc w:val="both"/>
        <w:rPr>
          <w:rFonts w:ascii="Times New Roman" w:hAnsi="Times New Roman" w:cs="Times New Roman"/>
          <w:b/>
          <w:sz w:val="28"/>
          <w:szCs w:val="28"/>
        </w:rPr>
      </w:pPr>
    </w:p>
    <w:sectPr w:rsidR="00E91E50" w:rsidRPr="00E91E50" w:rsidSect="007365EE">
      <w:headerReference w:type="default" r:id="rId8"/>
      <w:pgSz w:w="11906" w:h="16838" w:code="9"/>
      <w:pgMar w:top="1418" w:right="1134"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028CF" w14:textId="77777777" w:rsidR="000E25AE" w:rsidRDefault="000E25AE" w:rsidP="0038454B">
      <w:pPr>
        <w:spacing w:after="0" w:line="240" w:lineRule="auto"/>
      </w:pPr>
      <w:r>
        <w:separator/>
      </w:r>
    </w:p>
  </w:endnote>
  <w:endnote w:type="continuationSeparator" w:id="0">
    <w:p w14:paraId="7D721564" w14:textId="77777777" w:rsidR="000E25AE" w:rsidRDefault="000E25AE" w:rsidP="00384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68AC6" w14:textId="77777777" w:rsidR="000E25AE" w:rsidRDefault="000E25AE" w:rsidP="0038454B">
      <w:pPr>
        <w:spacing w:after="0" w:line="240" w:lineRule="auto"/>
      </w:pPr>
      <w:r>
        <w:separator/>
      </w:r>
    </w:p>
  </w:footnote>
  <w:footnote w:type="continuationSeparator" w:id="0">
    <w:p w14:paraId="48F4ED7D" w14:textId="77777777" w:rsidR="000E25AE" w:rsidRDefault="000E25AE" w:rsidP="0038454B">
      <w:pPr>
        <w:spacing w:after="0" w:line="240" w:lineRule="auto"/>
      </w:pPr>
      <w:r>
        <w:continuationSeparator/>
      </w:r>
    </w:p>
  </w:footnote>
  <w:footnote w:id="1">
    <w:p w14:paraId="049137B8" w14:textId="1E89A2B2" w:rsidR="006D369F" w:rsidRPr="00120799" w:rsidRDefault="006D369F" w:rsidP="006D369F">
      <w:pPr>
        <w:pStyle w:val="FootnoteText"/>
        <w:jc w:val="both"/>
        <w:rPr>
          <w:rFonts w:ascii="Times New Roman" w:hAnsi="Times New Roman"/>
          <w:sz w:val="18"/>
          <w:szCs w:val="18"/>
        </w:rPr>
      </w:pPr>
      <w:r w:rsidRPr="007C4836">
        <w:rPr>
          <w:rStyle w:val="FootnoteReference"/>
          <w:rFonts w:ascii="Times New Roman" w:hAnsi="Times New Roman"/>
          <w:sz w:val="24"/>
          <w:szCs w:val="24"/>
        </w:rPr>
        <w:footnoteRef/>
      </w:r>
      <w:r>
        <w:t xml:space="preserve"> </w:t>
      </w:r>
      <w:r w:rsidR="009514BC" w:rsidRPr="009514BC">
        <w:rPr>
          <w:rFonts w:ascii="Times New Roman" w:hAnsi="Times New Roman"/>
          <w:sz w:val="18"/>
          <w:szCs w:val="18"/>
        </w:rPr>
        <w:t>Hội nông dân Việt Nam (báo cáo 294-BC-HNDTW ngày 09/4/2026)</w:t>
      </w:r>
      <w:r w:rsidR="009514BC">
        <w:rPr>
          <w:rFonts w:ascii="Times New Roman" w:hAnsi="Times New Roman"/>
          <w:sz w:val="18"/>
          <w:szCs w:val="18"/>
        </w:rPr>
        <w:t>; LM HTX Việt Nam (571/LMHTXVM-KTCS ngày 17/4/2026);</w:t>
      </w:r>
      <w:r w:rsidR="009514BC" w:rsidRPr="009514BC">
        <w:rPr>
          <w:rFonts w:ascii="Times New Roman" w:hAnsi="Times New Roman"/>
          <w:sz w:val="18"/>
          <w:szCs w:val="18"/>
        </w:rPr>
        <w:t xml:space="preserve"> </w:t>
      </w:r>
      <w:r w:rsidR="00FA2AD1">
        <w:rPr>
          <w:rFonts w:ascii="Times New Roman" w:hAnsi="Times New Roman"/>
          <w:sz w:val="18"/>
          <w:szCs w:val="18"/>
        </w:rPr>
        <w:t xml:space="preserve">3074/STC-QLDN ngày 10/4/2026; </w:t>
      </w:r>
      <w:r w:rsidRPr="009514BC">
        <w:rPr>
          <w:rFonts w:ascii="Times New Roman" w:hAnsi="Times New Roman"/>
          <w:sz w:val="18"/>
          <w:szCs w:val="18"/>
        </w:rPr>
        <w:t>Hà Nội (báo</w:t>
      </w:r>
      <w:r w:rsidRPr="00120799">
        <w:rPr>
          <w:rFonts w:ascii="Times New Roman" w:hAnsi="Times New Roman"/>
          <w:sz w:val="18"/>
          <w:szCs w:val="18"/>
        </w:rPr>
        <w:t xml:space="preserve"> cáo số 20/BC-UBND ngày 26/1/2026 và công văn số 3726/UBND-KT 26/6/2025); Bộ Nông nghiệp và Môi trường (công văn số 2760/BNNMT-KTHT 04/6/2025); Hưng Yên (công văn số 354/STC-ĐKKD ngày 30/5/2025); Liên minh HTX Việt Nam (công văn số 566/CQLMHTXVN-KHHT 21/5/2025); Liên hiệp Hội Phụ nữ Việt Nam (560/BC-ĐCT 13/5/2025); Vĩnh Phúc (công văn số 156/BC-UBND 27/6/2025); Bình Định (công văn 195/BC-STC 14/5/2025); Cà Mau (công văn số 185/BC-UBND 22/5/2025); Cao Bằng (công văn số 1482/BC-UBND 20/5/2025); Hậu Giang (công văn số1160/STC-ĐKKD 14/4/2025); Hòa Bình (công văn số 286/BC-STC 14/5/2025); Lâm Đồng (1371/STC-ĐKKD 16/5/2025); Sóc Trăng (báo cáo số 185/BC-UBND ngày 225/5/2025); Bạc Liêu (2039/UBND-KT ngày 11/6/2025).</w:t>
      </w:r>
    </w:p>
    <w:p w14:paraId="52133C86" w14:textId="77777777" w:rsidR="006D369F" w:rsidRDefault="006D369F" w:rsidP="006D369F">
      <w:pPr>
        <w:pStyle w:val="FootnoteText"/>
      </w:pPr>
    </w:p>
    <w:p w14:paraId="4705C0BD" w14:textId="77777777" w:rsidR="006D369F" w:rsidRDefault="006D369F" w:rsidP="006D369F">
      <w:pPr>
        <w:pStyle w:val="FootnoteText"/>
      </w:pPr>
    </w:p>
    <w:p w14:paraId="42BFE741" w14:textId="77777777" w:rsidR="006D369F" w:rsidRDefault="006D369F" w:rsidP="006D369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228914201"/>
      <w:docPartObj>
        <w:docPartGallery w:val="Page Numbers (Top of Page)"/>
        <w:docPartUnique/>
      </w:docPartObj>
    </w:sdtPr>
    <w:sdtEndPr>
      <w:rPr>
        <w:noProof/>
      </w:rPr>
    </w:sdtEndPr>
    <w:sdtContent>
      <w:p w14:paraId="6E230D6E" w14:textId="2E4EA4D5" w:rsidR="0091584D" w:rsidRPr="00CB0679" w:rsidRDefault="0091584D">
        <w:pPr>
          <w:pStyle w:val="Header"/>
          <w:jc w:val="center"/>
          <w:rPr>
            <w:rFonts w:ascii="Times New Roman" w:hAnsi="Times New Roman" w:cs="Times New Roman"/>
          </w:rPr>
        </w:pPr>
        <w:r w:rsidRPr="00CB0679">
          <w:rPr>
            <w:rFonts w:ascii="Times New Roman" w:hAnsi="Times New Roman" w:cs="Times New Roman"/>
          </w:rPr>
          <w:fldChar w:fldCharType="begin"/>
        </w:r>
        <w:r w:rsidRPr="00CB0679">
          <w:rPr>
            <w:rFonts w:ascii="Times New Roman" w:hAnsi="Times New Roman" w:cs="Times New Roman"/>
          </w:rPr>
          <w:instrText xml:space="preserve"> PAGE   \* MERGEFORMAT </w:instrText>
        </w:r>
        <w:r w:rsidRPr="00CB0679">
          <w:rPr>
            <w:rFonts w:ascii="Times New Roman" w:hAnsi="Times New Roman" w:cs="Times New Roman"/>
          </w:rPr>
          <w:fldChar w:fldCharType="separate"/>
        </w:r>
        <w:r w:rsidR="00277F02">
          <w:rPr>
            <w:rFonts w:ascii="Times New Roman" w:hAnsi="Times New Roman" w:cs="Times New Roman"/>
            <w:noProof/>
          </w:rPr>
          <w:t>14</w:t>
        </w:r>
        <w:r w:rsidRPr="00CB0679">
          <w:rPr>
            <w:rFonts w:ascii="Times New Roman" w:hAnsi="Times New Roman" w:cs="Times New Roman"/>
            <w:noProof/>
          </w:rPr>
          <w:fldChar w:fldCharType="end"/>
        </w:r>
      </w:p>
    </w:sdtContent>
  </w:sdt>
  <w:p w14:paraId="30A3D7C3" w14:textId="77777777" w:rsidR="0091584D" w:rsidRDefault="00915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C6551"/>
    <w:multiLevelType w:val="hybridMultilevel"/>
    <w:tmpl w:val="8D1E63A0"/>
    <w:lvl w:ilvl="0" w:tplc="092E969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06486D"/>
    <w:multiLevelType w:val="hybridMultilevel"/>
    <w:tmpl w:val="B1A2F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60756B"/>
    <w:multiLevelType w:val="hybridMultilevel"/>
    <w:tmpl w:val="474EF3EC"/>
    <w:lvl w:ilvl="0" w:tplc="B176875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F0710CD"/>
    <w:multiLevelType w:val="hybridMultilevel"/>
    <w:tmpl w:val="57023A46"/>
    <w:lvl w:ilvl="0" w:tplc="D932D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510868"/>
    <w:multiLevelType w:val="multilevel"/>
    <w:tmpl w:val="7F68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951A5F"/>
    <w:multiLevelType w:val="hybridMultilevel"/>
    <w:tmpl w:val="9A38BB5E"/>
    <w:lvl w:ilvl="0" w:tplc="9238F10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1755090">
    <w:abstractNumId w:val="5"/>
  </w:num>
  <w:num w:numId="2" w16cid:durableId="1972317942">
    <w:abstractNumId w:val="4"/>
  </w:num>
  <w:num w:numId="3" w16cid:durableId="1304120435">
    <w:abstractNumId w:val="3"/>
  </w:num>
  <w:num w:numId="4" w16cid:durableId="674696841">
    <w:abstractNumId w:val="1"/>
  </w:num>
  <w:num w:numId="5" w16cid:durableId="1786077360">
    <w:abstractNumId w:val="2"/>
  </w:num>
  <w:num w:numId="6" w16cid:durableId="970209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hideSpellingErrors/>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485"/>
    <w:rsid w:val="000067F1"/>
    <w:rsid w:val="00015837"/>
    <w:rsid w:val="000230F3"/>
    <w:rsid w:val="000306B3"/>
    <w:rsid w:val="00046565"/>
    <w:rsid w:val="00047884"/>
    <w:rsid w:val="00064704"/>
    <w:rsid w:val="00072B6B"/>
    <w:rsid w:val="0007443E"/>
    <w:rsid w:val="00084F04"/>
    <w:rsid w:val="000A21DC"/>
    <w:rsid w:val="000E25AE"/>
    <w:rsid w:val="000F6FE9"/>
    <w:rsid w:val="00105152"/>
    <w:rsid w:val="00106504"/>
    <w:rsid w:val="00112D5D"/>
    <w:rsid w:val="00115274"/>
    <w:rsid w:val="00123212"/>
    <w:rsid w:val="00130C6B"/>
    <w:rsid w:val="00131284"/>
    <w:rsid w:val="00160B99"/>
    <w:rsid w:val="00186809"/>
    <w:rsid w:val="00186F55"/>
    <w:rsid w:val="00187B73"/>
    <w:rsid w:val="00194360"/>
    <w:rsid w:val="001A5213"/>
    <w:rsid w:val="001B2A49"/>
    <w:rsid w:val="001C6AE5"/>
    <w:rsid w:val="001E1864"/>
    <w:rsid w:val="001E2E9A"/>
    <w:rsid w:val="001F0ABE"/>
    <w:rsid w:val="00204DAE"/>
    <w:rsid w:val="00207E20"/>
    <w:rsid w:val="002212E5"/>
    <w:rsid w:val="002254FF"/>
    <w:rsid w:val="002378A8"/>
    <w:rsid w:val="00245163"/>
    <w:rsid w:val="00252D60"/>
    <w:rsid w:val="00253296"/>
    <w:rsid w:val="00266ECF"/>
    <w:rsid w:val="00273FE5"/>
    <w:rsid w:val="00277F02"/>
    <w:rsid w:val="0028664B"/>
    <w:rsid w:val="002A1B3E"/>
    <w:rsid w:val="002C643B"/>
    <w:rsid w:val="002C65CA"/>
    <w:rsid w:val="003075BF"/>
    <w:rsid w:val="0033444C"/>
    <w:rsid w:val="003367F7"/>
    <w:rsid w:val="00342087"/>
    <w:rsid w:val="0034396E"/>
    <w:rsid w:val="00347472"/>
    <w:rsid w:val="00361A3D"/>
    <w:rsid w:val="00373F53"/>
    <w:rsid w:val="0038454B"/>
    <w:rsid w:val="003A3070"/>
    <w:rsid w:val="003D4C8F"/>
    <w:rsid w:val="003E6059"/>
    <w:rsid w:val="003F3594"/>
    <w:rsid w:val="003F4CD2"/>
    <w:rsid w:val="004161E7"/>
    <w:rsid w:val="00416CB6"/>
    <w:rsid w:val="004603F7"/>
    <w:rsid w:val="00467C94"/>
    <w:rsid w:val="00474577"/>
    <w:rsid w:val="00474C49"/>
    <w:rsid w:val="004762AF"/>
    <w:rsid w:val="00494B65"/>
    <w:rsid w:val="004B4592"/>
    <w:rsid w:val="004C657D"/>
    <w:rsid w:val="004D0729"/>
    <w:rsid w:val="005071A8"/>
    <w:rsid w:val="005074C1"/>
    <w:rsid w:val="005135AE"/>
    <w:rsid w:val="005252C9"/>
    <w:rsid w:val="00550E5B"/>
    <w:rsid w:val="0055334F"/>
    <w:rsid w:val="005603D0"/>
    <w:rsid w:val="00563D98"/>
    <w:rsid w:val="00581A98"/>
    <w:rsid w:val="00587579"/>
    <w:rsid w:val="00594FBE"/>
    <w:rsid w:val="005976E6"/>
    <w:rsid w:val="005C4380"/>
    <w:rsid w:val="005D18F0"/>
    <w:rsid w:val="005E2D48"/>
    <w:rsid w:val="005F171B"/>
    <w:rsid w:val="005F1ED7"/>
    <w:rsid w:val="005F209A"/>
    <w:rsid w:val="00602E90"/>
    <w:rsid w:val="0060331F"/>
    <w:rsid w:val="006549AA"/>
    <w:rsid w:val="00655970"/>
    <w:rsid w:val="0066392D"/>
    <w:rsid w:val="00677170"/>
    <w:rsid w:val="00677A8D"/>
    <w:rsid w:val="00683A04"/>
    <w:rsid w:val="006A29CB"/>
    <w:rsid w:val="006B5C2D"/>
    <w:rsid w:val="006D369F"/>
    <w:rsid w:val="006E04B1"/>
    <w:rsid w:val="006E4AF3"/>
    <w:rsid w:val="006F37A2"/>
    <w:rsid w:val="006F751C"/>
    <w:rsid w:val="007111ED"/>
    <w:rsid w:val="00715024"/>
    <w:rsid w:val="00725FC9"/>
    <w:rsid w:val="007365EE"/>
    <w:rsid w:val="0076279C"/>
    <w:rsid w:val="0076676A"/>
    <w:rsid w:val="00771A77"/>
    <w:rsid w:val="00793F87"/>
    <w:rsid w:val="007B0811"/>
    <w:rsid w:val="007B47A1"/>
    <w:rsid w:val="007E09DC"/>
    <w:rsid w:val="007E42B2"/>
    <w:rsid w:val="007E63E5"/>
    <w:rsid w:val="007F5409"/>
    <w:rsid w:val="007F66E0"/>
    <w:rsid w:val="007F6EAB"/>
    <w:rsid w:val="007F751E"/>
    <w:rsid w:val="00810489"/>
    <w:rsid w:val="0084545E"/>
    <w:rsid w:val="008615AE"/>
    <w:rsid w:val="00865AE6"/>
    <w:rsid w:val="00876623"/>
    <w:rsid w:val="00881829"/>
    <w:rsid w:val="00885CEC"/>
    <w:rsid w:val="008B3A59"/>
    <w:rsid w:val="008C5D06"/>
    <w:rsid w:val="008C5D8F"/>
    <w:rsid w:val="008C6A8A"/>
    <w:rsid w:val="008D03F6"/>
    <w:rsid w:val="008D4414"/>
    <w:rsid w:val="008E22CB"/>
    <w:rsid w:val="008F40CE"/>
    <w:rsid w:val="0091584D"/>
    <w:rsid w:val="00934AEA"/>
    <w:rsid w:val="00943612"/>
    <w:rsid w:val="009514BC"/>
    <w:rsid w:val="009518D3"/>
    <w:rsid w:val="00954392"/>
    <w:rsid w:val="00982EDE"/>
    <w:rsid w:val="009841D6"/>
    <w:rsid w:val="00987D97"/>
    <w:rsid w:val="009A2790"/>
    <w:rsid w:val="009B7860"/>
    <w:rsid w:val="009C062E"/>
    <w:rsid w:val="009E1928"/>
    <w:rsid w:val="009E60D0"/>
    <w:rsid w:val="009F3D7E"/>
    <w:rsid w:val="00A0056A"/>
    <w:rsid w:val="00A039FC"/>
    <w:rsid w:val="00A35290"/>
    <w:rsid w:val="00A472DF"/>
    <w:rsid w:val="00A52485"/>
    <w:rsid w:val="00A61268"/>
    <w:rsid w:val="00A95D1D"/>
    <w:rsid w:val="00AA0FAB"/>
    <w:rsid w:val="00AA70A7"/>
    <w:rsid w:val="00AB159F"/>
    <w:rsid w:val="00AE2F92"/>
    <w:rsid w:val="00B03BF9"/>
    <w:rsid w:val="00B070A5"/>
    <w:rsid w:val="00B377B2"/>
    <w:rsid w:val="00B42B18"/>
    <w:rsid w:val="00B433A8"/>
    <w:rsid w:val="00B545C0"/>
    <w:rsid w:val="00B577D1"/>
    <w:rsid w:val="00B77CFE"/>
    <w:rsid w:val="00B80559"/>
    <w:rsid w:val="00BA01A4"/>
    <w:rsid w:val="00BB3376"/>
    <w:rsid w:val="00BC27E1"/>
    <w:rsid w:val="00BF7212"/>
    <w:rsid w:val="00C11E02"/>
    <w:rsid w:val="00C2461F"/>
    <w:rsid w:val="00C34A87"/>
    <w:rsid w:val="00C41CE5"/>
    <w:rsid w:val="00C47C6F"/>
    <w:rsid w:val="00C549F3"/>
    <w:rsid w:val="00C54DAA"/>
    <w:rsid w:val="00C66E27"/>
    <w:rsid w:val="00C759DF"/>
    <w:rsid w:val="00C801B1"/>
    <w:rsid w:val="00C935FE"/>
    <w:rsid w:val="00CA73F1"/>
    <w:rsid w:val="00CB0679"/>
    <w:rsid w:val="00CC4F95"/>
    <w:rsid w:val="00CE03F9"/>
    <w:rsid w:val="00CE05E9"/>
    <w:rsid w:val="00CE196D"/>
    <w:rsid w:val="00CF28AA"/>
    <w:rsid w:val="00CF5230"/>
    <w:rsid w:val="00D03997"/>
    <w:rsid w:val="00D04DE0"/>
    <w:rsid w:val="00D11186"/>
    <w:rsid w:val="00D1730D"/>
    <w:rsid w:val="00D279CC"/>
    <w:rsid w:val="00D3413C"/>
    <w:rsid w:val="00D35426"/>
    <w:rsid w:val="00D60929"/>
    <w:rsid w:val="00D61220"/>
    <w:rsid w:val="00DB4330"/>
    <w:rsid w:val="00DE423F"/>
    <w:rsid w:val="00DF3EE9"/>
    <w:rsid w:val="00DF45CB"/>
    <w:rsid w:val="00DF5795"/>
    <w:rsid w:val="00E11E96"/>
    <w:rsid w:val="00E27C55"/>
    <w:rsid w:val="00E37741"/>
    <w:rsid w:val="00E40A88"/>
    <w:rsid w:val="00E47EDF"/>
    <w:rsid w:val="00E609FF"/>
    <w:rsid w:val="00E71582"/>
    <w:rsid w:val="00E72B4D"/>
    <w:rsid w:val="00E80640"/>
    <w:rsid w:val="00E842A2"/>
    <w:rsid w:val="00E86C14"/>
    <w:rsid w:val="00E91E50"/>
    <w:rsid w:val="00E960D4"/>
    <w:rsid w:val="00EC2242"/>
    <w:rsid w:val="00ED6EC6"/>
    <w:rsid w:val="00ED7FD6"/>
    <w:rsid w:val="00EE557B"/>
    <w:rsid w:val="00EF3E3D"/>
    <w:rsid w:val="00F04FA4"/>
    <w:rsid w:val="00F050D0"/>
    <w:rsid w:val="00F307F7"/>
    <w:rsid w:val="00F559C3"/>
    <w:rsid w:val="00F55C1E"/>
    <w:rsid w:val="00F65FCE"/>
    <w:rsid w:val="00F767AC"/>
    <w:rsid w:val="00F77C12"/>
    <w:rsid w:val="00F93439"/>
    <w:rsid w:val="00FA2AD1"/>
    <w:rsid w:val="00FA5449"/>
    <w:rsid w:val="00FE09E9"/>
    <w:rsid w:val="00FE5B72"/>
    <w:rsid w:val="00FF6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D20584"/>
  <w15:chartTrackingRefBased/>
  <w15:docId w15:val="{FD36961C-015E-4A16-900F-5BA88BE3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E55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24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6392D"/>
    <w:rPr>
      <w:color w:val="0000FF"/>
      <w:u w:val="single"/>
    </w:rPr>
  </w:style>
  <w:style w:type="paragraph" w:styleId="ListParagraph">
    <w:name w:val="List Paragraph"/>
    <w:basedOn w:val="Normal"/>
    <w:uiPriority w:val="34"/>
    <w:qFormat/>
    <w:rsid w:val="005D18F0"/>
    <w:pPr>
      <w:ind w:left="720"/>
      <w:contextualSpacing/>
    </w:pPr>
  </w:style>
  <w:style w:type="character" w:styleId="Strong">
    <w:name w:val="Strong"/>
    <w:basedOn w:val="DefaultParagraphFont"/>
    <w:uiPriority w:val="22"/>
    <w:qFormat/>
    <w:rsid w:val="00EE557B"/>
    <w:rPr>
      <w:b/>
      <w:bCs/>
    </w:rPr>
  </w:style>
  <w:style w:type="character" w:customStyle="1" w:styleId="Heading2Char">
    <w:name w:val="Heading 2 Char"/>
    <w:basedOn w:val="DefaultParagraphFont"/>
    <w:link w:val="Heading2"/>
    <w:uiPriority w:val="9"/>
    <w:rsid w:val="00EE557B"/>
    <w:rPr>
      <w:rFonts w:ascii="Times New Roman" w:eastAsia="Times New Roman" w:hAnsi="Times New Roman" w:cs="Times New Roman"/>
      <w:b/>
      <w:bCs/>
      <w:sz w:val="36"/>
      <w:szCs w:val="36"/>
    </w:rPr>
  </w:style>
  <w:style w:type="table" w:styleId="TableGrid">
    <w:name w:val="Table Grid"/>
    <w:basedOn w:val="TableNormal"/>
    <w:uiPriority w:val="39"/>
    <w:rsid w:val="00476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4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54B"/>
  </w:style>
  <w:style w:type="paragraph" w:styleId="Footer">
    <w:name w:val="footer"/>
    <w:basedOn w:val="Normal"/>
    <w:link w:val="FooterChar"/>
    <w:uiPriority w:val="99"/>
    <w:unhideWhenUsed/>
    <w:rsid w:val="00384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54B"/>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
    <w:basedOn w:val="Normal"/>
    <w:link w:val="FootnoteTextChar"/>
    <w:uiPriority w:val="99"/>
    <w:unhideWhenUsed/>
    <w:qFormat/>
    <w:rsid w:val="006D369F"/>
    <w:pPr>
      <w:spacing w:after="0" w:line="240" w:lineRule="auto"/>
    </w:pPr>
    <w:rPr>
      <w:rFonts w:ascii="Calibri" w:eastAsia="Calibri" w:hAnsi="Calibri"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6D369F"/>
    <w:rPr>
      <w:rFonts w:ascii="Calibri" w:eastAsia="Calibri" w:hAnsi="Calibri" w:cs="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BVI fnr,(NECG) Footnote Reference, BVI fnr,footnote ref,de nota al p,SUPERS,R"/>
    <w:basedOn w:val="DefaultParagraphFont"/>
    <w:link w:val="CharChar1CharCharCharChar1CharCharCharCharCharCharCharChar"/>
    <w:uiPriority w:val="99"/>
    <w:unhideWhenUsed/>
    <w:qFormat/>
    <w:rsid w:val="006D369F"/>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6D369F"/>
    <w:pPr>
      <w:spacing w:before="120" w:line="240" w:lineRule="exact"/>
      <w:jc w:val="both"/>
    </w:pPr>
    <w:rPr>
      <w:vertAlign w:val="superscript"/>
    </w:rPr>
  </w:style>
  <w:style w:type="paragraph" w:styleId="BalloonText">
    <w:name w:val="Balloon Text"/>
    <w:basedOn w:val="Normal"/>
    <w:link w:val="BalloonTextChar"/>
    <w:uiPriority w:val="99"/>
    <w:semiHidden/>
    <w:unhideWhenUsed/>
    <w:rsid w:val="009514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4BC"/>
    <w:rPr>
      <w:rFonts w:ascii="Segoe UI" w:hAnsi="Segoe UI" w:cs="Segoe UI"/>
      <w:sz w:val="18"/>
      <w:szCs w:val="18"/>
    </w:rPr>
  </w:style>
  <w:style w:type="paragraph" w:customStyle="1" w:styleId="isselectedend">
    <w:name w:val="isselectedend"/>
    <w:basedOn w:val="Normal"/>
    <w:rsid w:val="005252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72388">
      <w:bodyDiv w:val="1"/>
      <w:marLeft w:val="0"/>
      <w:marRight w:val="0"/>
      <w:marTop w:val="0"/>
      <w:marBottom w:val="0"/>
      <w:divBdr>
        <w:top w:val="none" w:sz="0" w:space="0" w:color="auto"/>
        <w:left w:val="none" w:sz="0" w:space="0" w:color="auto"/>
        <w:bottom w:val="none" w:sz="0" w:space="0" w:color="auto"/>
        <w:right w:val="none" w:sz="0" w:space="0" w:color="auto"/>
      </w:divBdr>
    </w:div>
    <w:div w:id="150370951">
      <w:bodyDiv w:val="1"/>
      <w:marLeft w:val="0"/>
      <w:marRight w:val="0"/>
      <w:marTop w:val="0"/>
      <w:marBottom w:val="0"/>
      <w:divBdr>
        <w:top w:val="none" w:sz="0" w:space="0" w:color="auto"/>
        <w:left w:val="none" w:sz="0" w:space="0" w:color="auto"/>
        <w:bottom w:val="none" w:sz="0" w:space="0" w:color="auto"/>
        <w:right w:val="none" w:sz="0" w:space="0" w:color="auto"/>
      </w:divBdr>
    </w:div>
    <w:div w:id="391663124">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
    <w:div w:id="549803485">
      <w:bodyDiv w:val="1"/>
      <w:marLeft w:val="0"/>
      <w:marRight w:val="0"/>
      <w:marTop w:val="0"/>
      <w:marBottom w:val="0"/>
      <w:divBdr>
        <w:top w:val="none" w:sz="0" w:space="0" w:color="auto"/>
        <w:left w:val="none" w:sz="0" w:space="0" w:color="auto"/>
        <w:bottom w:val="none" w:sz="0" w:space="0" w:color="auto"/>
        <w:right w:val="none" w:sz="0" w:space="0" w:color="auto"/>
      </w:divBdr>
    </w:div>
    <w:div w:id="561410249">
      <w:bodyDiv w:val="1"/>
      <w:marLeft w:val="0"/>
      <w:marRight w:val="0"/>
      <w:marTop w:val="0"/>
      <w:marBottom w:val="0"/>
      <w:divBdr>
        <w:top w:val="none" w:sz="0" w:space="0" w:color="auto"/>
        <w:left w:val="none" w:sz="0" w:space="0" w:color="auto"/>
        <w:bottom w:val="none" w:sz="0" w:space="0" w:color="auto"/>
        <w:right w:val="none" w:sz="0" w:space="0" w:color="auto"/>
      </w:divBdr>
    </w:div>
    <w:div w:id="707333832">
      <w:bodyDiv w:val="1"/>
      <w:marLeft w:val="0"/>
      <w:marRight w:val="0"/>
      <w:marTop w:val="0"/>
      <w:marBottom w:val="0"/>
      <w:divBdr>
        <w:top w:val="none" w:sz="0" w:space="0" w:color="auto"/>
        <w:left w:val="none" w:sz="0" w:space="0" w:color="auto"/>
        <w:bottom w:val="none" w:sz="0" w:space="0" w:color="auto"/>
        <w:right w:val="none" w:sz="0" w:space="0" w:color="auto"/>
      </w:divBdr>
    </w:div>
    <w:div w:id="806169224">
      <w:bodyDiv w:val="1"/>
      <w:marLeft w:val="0"/>
      <w:marRight w:val="0"/>
      <w:marTop w:val="0"/>
      <w:marBottom w:val="0"/>
      <w:divBdr>
        <w:top w:val="none" w:sz="0" w:space="0" w:color="auto"/>
        <w:left w:val="none" w:sz="0" w:space="0" w:color="auto"/>
        <w:bottom w:val="none" w:sz="0" w:space="0" w:color="auto"/>
        <w:right w:val="none" w:sz="0" w:space="0" w:color="auto"/>
      </w:divBdr>
    </w:div>
    <w:div w:id="1106660908">
      <w:bodyDiv w:val="1"/>
      <w:marLeft w:val="0"/>
      <w:marRight w:val="0"/>
      <w:marTop w:val="0"/>
      <w:marBottom w:val="0"/>
      <w:divBdr>
        <w:top w:val="none" w:sz="0" w:space="0" w:color="auto"/>
        <w:left w:val="none" w:sz="0" w:space="0" w:color="auto"/>
        <w:bottom w:val="none" w:sz="0" w:space="0" w:color="auto"/>
        <w:right w:val="none" w:sz="0" w:space="0" w:color="auto"/>
      </w:divBdr>
    </w:div>
    <w:div w:id="1160923972">
      <w:bodyDiv w:val="1"/>
      <w:marLeft w:val="0"/>
      <w:marRight w:val="0"/>
      <w:marTop w:val="0"/>
      <w:marBottom w:val="0"/>
      <w:divBdr>
        <w:top w:val="none" w:sz="0" w:space="0" w:color="auto"/>
        <w:left w:val="none" w:sz="0" w:space="0" w:color="auto"/>
        <w:bottom w:val="none" w:sz="0" w:space="0" w:color="auto"/>
        <w:right w:val="none" w:sz="0" w:space="0" w:color="auto"/>
      </w:divBdr>
    </w:div>
    <w:div w:id="1254390706">
      <w:bodyDiv w:val="1"/>
      <w:marLeft w:val="0"/>
      <w:marRight w:val="0"/>
      <w:marTop w:val="0"/>
      <w:marBottom w:val="0"/>
      <w:divBdr>
        <w:top w:val="none" w:sz="0" w:space="0" w:color="auto"/>
        <w:left w:val="none" w:sz="0" w:space="0" w:color="auto"/>
        <w:bottom w:val="none" w:sz="0" w:space="0" w:color="auto"/>
        <w:right w:val="none" w:sz="0" w:space="0" w:color="auto"/>
      </w:divBdr>
    </w:div>
    <w:div w:id="1493645412">
      <w:bodyDiv w:val="1"/>
      <w:marLeft w:val="0"/>
      <w:marRight w:val="0"/>
      <w:marTop w:val="0"/>
      <w:marBottom w:val="0"/>
      <w:divBdr>
        <w:top w:val="none" w:sz="0" w:space="0" w:color="auto"/>
        <w:left w:val="none" w:sz="0" w:space="0" w:color="auto"/>
        <w:bottom w:val="none" w:sz="0" w:space="0" w:color="auto"/>
        <w:right w:val="none" w:sz="0" w:space="0" w:color="auto"/>
      </w:divBdr>
    </w:div>
    <w:div w:id="1525362572">
      <w:bodyDiv w:val="1"/>
      <w:marLeft w:val="0"/>
      <w:marRight w:val="0"/>
      <w:marTop w:val="0"/>
      <w:marBottom w:val="0"/>
      <w:divBdr>
        <w:top w:val="none" w:sz="0" w:space="0" w:color="auto"/>
        <w:left w:val="none" w:sz="0" w:space="0" w:color="auto"/>
        <w:bottom w:val="none" w:sz="0" w:space="0" w:color="auto"/>
        <w:right w:val="none" w:sz="0" w:space="0" w:color="auto"/>
      </w:divBdr>
    </w:div>
    <w:div w:id="1532454963">
      <w:bodyDiv w:val="1"/>
      <w:marLeft w:val="0"/>
      <w:marRight w:val="0"/>
      <w:marTop w:val="0"/>
      <w:marBottom w:val="0"/>
      <w:divBdr>
        <w:top w:val="none" w:sz="0" w:space="0" w:color="auto"/>
        <w:left w:val="none" w:sz="0" w:space="0" w:color="auto"/>
        <w:bottom w:val="none" w:sz="0" w:space="0" w:color="auto"/>
        <w:right w:val="none" w:sz="0" w:space="0" w:color="auto"/>
      </w:divBdr>
    </w:div>
    <w:div w:id="1597206604">
      <w:bodyDiv w:val="1"/>
      <w:marLeft w:val="0"/>
      <w:marRight w:val="0"/>
      <w:marTop w:val="0"/>
      <w:marBottom w:val="0"/>
      <w:divBdr>
        <w:top w:val="none" w:sz="0" w:space="0" w:color="auto"/>
        <w:left w:val="none" w:sz="0" w:space="0" w:color="auto"/>
        <w:bottom w:val="none" w:sz="0" w:space="0" w:color="auto"/>
        <w:right w:val="none" w:sz="0" w:space="0" w:color="auto"/>
      </w:divBdr>
    </w:div>
    <w:div w:id="1694648586">
      <w:bodyDiv w:val="1"/>
      <w:marLeft w:val="0"/>
      <w:marRight w:val="0"/>
      <w:marTop w:val="0"/>
      <w:marBottom w:val="0"/>
      <w:divBdr>
        <w:top w:val="none" w:sz="0" w:space="0" w:color="auto"/>
        <w:left w:val="none" w:sz="0" w:space="0" w:color="auto"/>
        <w:bottom w:val="none" w:sz="0" w:space="0" w:color="auto"/>
        <w:right w:val="none" w:sz="0" w:space="0" w:color="auto"/>
      </w:divBdr>
    </w:div>
    <w:div w:id="211871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1E148-ADE0-4847-9F35-5A9310614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5028</Words>
  <Characters>28663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 Nguyen Tien</dc:creator>
  <cp:keywords/>
  <dc:description/>
  <cp:lastModifiedBy>Linh Hoang</cp:lastModifiedBy>
  <cp:revision>5</cp:revision>
  <cp:lastPrinted>2026-05-07T10:32:00Z</cp:lastPrinted>
  <dcterms:created xsi:type="dcterms:W3CDTF">2026-05-07T10:17:00Z</dcterms:created>
  <dcterms:modified xsi:type="dcterms:W3CDTF">2026-05-07T10:32:00Z</dcterms:modified>
</cp:coreProperties>
</file>