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173C3" w14:textId="3376F2F1" w:rsidR="005F0ACB" w:rsidRDefault="005F0ACB" w:rsidP="005F0ACB">
      <w:pPr>
        <w:autoSpaceDE w:val="0"/>
        <w:autoSpaceDN w:val="0"/>
        <w:adjustRightInd w:val="0"/>
        <w:spacing w:before="120"/>
        <w:jc w:val="center"/>
        <w:rPr>
          <w:rFonts w:ascii="Times New Roman" w:hAnsi="Times New Roman" w:cs="Times New Roman"/>
          <w:b/>
          <w:bCs/>
          <w:sz w:val="28"/>
          <w:szCs w:val="28"/>
          <w:lang w:val="en"/>
        </w:rPr>
      </w:pPr>
      <w:r w:rsidRPr="00027EB3">
        <w:rPr>
          <w:rFonts w:ascii="Times New Roman" w:hAnsi="Times New Roman" w:cs="Times New Roman"/>
          <w:b/>
          <w:bCs/>
          <w:sz w:val="28"/>
          <w:szCs w:val="28"/>
          <w:lang w:val="en"/>
        </w:rPr>
        <w:t xml:space="preserve">Phụ lục </w:t>
      </w:r>
    </w:p>
    <w:p w14:paraId="1523AE34" w14:textId="492A2DFA" w:rsidR="001F687C" w:rsidRDefault="001F687C" w:rsidP="005F0ACB">
      <w:pPr>
        <w:autoSpaceDE w:val="0"/>
        <w:autoSpaceDN w:val="0"/>
        <w:adjustRightInd w:val="0"/>
        <w:spacing w:before="120"/>
        <w:jc w:val="center"/>
        <w:rPr>
          <w:rFonts w:ascii="Times New Roman" w:hAnsi="Times New Roman" w:cs="Times New Roman"/>
          <w:b/>
          <w:bCs/>
          <w:sz w:val="28"/>
          <w:szCs w:val="28"/>
          <w:lang w:val="en"/>
        </w:rPr>
      </w:pPr>
      <w:r>
        <w:rPr>
          <w:rFonts w:ascii="Times New Roman" w:hAnsi="Times New Roman" w:cs="Times New Roman"/>
          <w:b/>
          <w:bCs/>
          <w:sz w:val="28"/>
          <w:szCs w:val="28"/>
          <w:lang w:val="en"/>
        </w:rPr>
        <w:t>BÁO CÁO RÀ SOÁT CÁC</w:t>
      </w:r>
      <w:r w:rsidR="008C0B00">
        <w:rPr>
          <w:rFonts w:ascii="Times New Roman" w:hAnsi="Times New Roman" w:cs="Times New Roman"/>
          <w:b/>
          <w:bCs/>
          <w:sz w:val="28"/>
          <w:szCs w:val="28"/>
          <w:lang w:val="en"/>
        </w:rPr>
        <w:t xml:space="preserve"> CHỦ TRƯƠNG, ĐƯỜNG LỐI CỦA ĐẢNG, VĂN BẢN PHÁP LUẬT, ĐIỀU ƯỚC QUỐC TẾ CÓ LIÊN QUAN</w:t>
      </w:r>
    </w:p>
    <w:p w14:paraId="1FA027AB" w14:textId="7542A230" w:rsidR="008C0B00" w:rsidRDefault="00FA30FB" w:rsidP="005F0ACB">
      <w:pPr>
        <w:autoSpaceDE w:val="0"/>
        <w:autoSpaceDN w:val="0"/>
        <w:adjustRightInd w:val="0"/>
        <w:spacing w:before="120"/>
        <w:jc w:val="center"/>
        <w:rPr>
          <w:rFonts w:ascii="Times New Roman" w:hAnsi="Times New Roman" w:cs="Times New Roman"/>
          <w:i/>
          <w:iCs/>
          <w:spacing w:val="-6"/>
          <w:sz w:val="28"/>
          <w:szCs w:val="28"/>
          <w:lang w:val="en"/>
        </w:rPr>
      </w:pPr>
      <w:r w:rsidRPr="00644100">
        <w:rPr>
          <w:rFonts w:ascii="Times New Roman" w:hAnsi="Times New Roman" w:cs="Times New Roman"/>
          <w:i/>
          <w:iCs/>
          <w:spacing w:val="-6"/>
          <w:sz w:val="28"/>
          <w:szCs w:val="28"/>
          <w:lang w:val="en"/>
        </w:rPr>
        <w:t>(Kèm theo</w:t>
      </w:r>
      <w:r w:rsidR="00CE6A46" w:rsidRPr="00644100">
        <w:rPr>
          <w:rFonts w:ascii="Times New Roman" w:hAnsi="Times New Roman" w:cs="Times New Roman"/>
          <w:i/>
          <w:iCs/>
          <w:spacing w:val="-6"/>
          <w:sz w:val="28"/>
          <w:szCs w:val="28"/>
          <w:lang w:val="en"/>
        </w:rPr>
        <w:t xml:space="preserve"> Báo cáo số       /BC-DNTN ngày       tháng     năm 2026</w:t>
      </w:r>
      <w:r w:rsidR="001E5996" w:rsidRPr="00644100">
        <w:rPr>
          <w:rFonts w:ascii="Times New Roman" w:hAnsi="Times New Roman" w:cs="Times New Roman"/>
          <w:i/>
          <w:iCs/>
          <w:spacing w:val="-6"/>
          <w:sz w:val="28"/>
          <w:szCs w:val="28"/>
          <w:lang w:val="en"/>
        </w:rPr>
        <w:t xml:space="preserve"> của Bộ Tài chính)</w:t>
      </w:r>
    </w:p>
    <w:p w14:paraId="55956929" w14:textId="77777777" w:rsidR="00644100" w:rsidRPr="00644100" w:rsidRDefault="00644100" w:rsidP="005F0ACB">
      <w:pPr>
        <w:autoSpaceDE w:val="0"/>
        <w:autoSpaceDN w:val="0"/>
        <w:adjustRightInd w:val="0"/>
        <w:spacing w:before="120"/>
        <w:jc w:val="center"/>
        <w:rPr>
          <w:rFonts w:ascii="Times New Roman" w:hAnsi="Times New Roman" w:cs="Times New Roman"/>
          <w:i/>
          <w:iCs/>
          <w:spacing w:val="-6"/>
          <w:sz w:val="28"/>
          <w:szCs w:val="28"/>
          <w:lang w:val="en"/>
        </w:rPr>
      </w:pPr>
    </w:p>
    <w:p w14:paraId="60485D90" w14:textId="30AB75C2" w:rsidR="007B4BE3" w:rsidRPr="00027EB3" w:rsidRDefault="007B4BE3" w:rsidP="007B4BE3">
      <w:pPr>
        <w:autoSpaceDE w:val="0"/>
        <w:autoSpaceDN w:val="0"/>
        <w:adjustRightInd w:val="0"/>
        <w:spacing w:before="120"/>
        <w:rPr>
          <w:rFonts w:ascii="Times New Roman" w:hAnsi="Times New Roman" w:cs="Times New Roman"/>
          <w:b/>
          <w:bCs/>
          <w:sz w:val="28"/>
          <w:szCs w:val="28"/>
        </w:rPr>
      </w:pPr>
      <w:r w:rsidRPr="00027EB3">
        <w:rPr>
          <w:rFonts w:ascii="Times New Roman" w:hAnsi="Times New Roman" w:cs="Times New Roman"/>
          <w:b/>
          <w:bCs/>
          <w:sz w:val="28"/>
          <w:szCs w:val="28"/>
          <w:lang w:val="en"/>
        </w:rPr>
        <w:t>1. Ch</w:t>
      </w:r>
      <w:r w:rsidRPr="00027EB3">
        <w:rPr>
          <w:rFonts w:ascii="Times New Roman" w:hAnsi="Times New Roman" w:cs="Times New Roman"/>
          <w:b/>
          <w:bCs/>
          <w:sz w:val="28"/>
          <w:szCs w:val="28"/>
        </w:rPr>
        <w:t>ủ trương, đường lối của Đảng c</w:t>
      </w:r>
      <w:r w:rsidRPr="00027EB3">
        <w:rPr>
          <w:rFonts w:ascii="Times New Roman" w:hAnsi="Times New Roman" w:cs="Times New Roman"/>
          <w:b/>
          <w:bCs/>
          <w:sz w:val="28"/>
          <w:szCs w:val="28"/>
          <w:lang w:val="en-US"/>
        </w:rPr>
        <w:t>ó liên quan đ</w:t>
      </w:r>
      <w:r w:rsidRPr="00027EB3">
        <w:rPr>
          <w:rFonts w:ascii="Times New Roman" w:hAnsi="Times New Roman" w:cs="Times New Roman"/>
          <w:b/>
          <w:bCs/>
          <w:sz w:val="28"/>
          <w:szCs w:val="28"/>
        </w:rPr>
        <w:t>ến ch</w:t>
      </w:r>
      <w:r w:rsidRPr="00027EB3">
        <w:rPr>
          <w:rFonts w:ascii="Times New Roman" w:hAnsi="Times New Roman" w:cs="Times New Roman"/>
          <w:b/>
          <w:bCs/>
          <w:sz w:val="28"/>
          <w:szCs w:val="28"/>
          <w:lang w:val="en-US"/>
        </w:rPr>
        <w:t>ính sách/d</w:t>
      </w:r>
      <w:r w:rsidRPr="00027EB3">
        <w:rPr>
          <w:rFonts w:ascii="Times New Roman" w:hAnsi="Times New Roman" w:cs="Times New Roman"/>
          <w:b/>
          <w:bCs/>
          <w:sz w:val="28"/>
          <w:szCs w:val="28"/>
        </w:rPr>
        <w:t>ự thảo</w:t>
      </w:r>
    </w:p>
    <w:p w14:paraId="2050ECD5" w14:textId="20E29CF0" w:rsidR="00F173E8" w:rsidRPr="00027EB3" w:rsidRDefault="00F173E8" w:rsidP="00F173E8">
      <w:pPr>
        <w:autoSpaceDE w:val="0"/>
        <w:autoSpaceDN w:val="0"/>
        <w:adjustRightInd w:val="0"/>
        <w:spacing w:before="120"/>
        <w:jc w:val="both"/>
        <w:rPr>
          <w:rFonts w:ascii="Times New Roman" w:hAnsi="Times New Roman" w:cs="Times New Roman"/>
          <w:sz w:val="18"/>
          <w:szCs w:val="18"/>
        </w:rPr>
      </w:pPr>
    </w:p>
    <w:tbl>
      <w:tblPr>
        <w:tblW w:w="5386" w:type="pct"/>
        <w:tblInd w:w="-454" w:type="dxa"/>
        <w:tblCellMar>
          <w:left w:w="0" w:type="dxa"/>
          <w:right w:w="0" w:type="dxa"/>
        </w:tblCellMar>
        <w:tblLook w:val="0000" w:firstRow="0" w:lastRow="0" w:firstColumn="0" w:lastColumn="0" w:noHBand="0" w:noVBand="0"/>
      </w:tblPr>
      <w:tblGrid>
        <w:gridCol w:w="3711"/>
        <w:gridCol w:w="4208"/>
        <w:gridCol w:w="3925"/>
        <w:gridCol w:w="3844"/>
      </w:tblGrid>
      <w:tr w:rsidR="009E3A84" w:rsidRPr="00027EB3" w14:paraId="69AD698A" w14:textId="77777777" w:rsidTr="008328D6">
        <w:tc>
          <w:tcPr>
            <w:tcW w:w="1183" w:type="pct"/>
            <w:tcBorders>
              <w:top w:val="single" w:sz="3" w:space="0" w:color="000000"/>
              <w:left w:val="single" w:sz="3" w:space="0" w:color="000000"/>
              <w:bottom w:val="nil"/>
              <w:right w:val="nil"/>
            </w:tcBorders>
            <w:shd w:val="clear" w:color="auto" w:fill="FFFFFF"/>
            <w:vAlign w:val="center"/>
          </w:tcPr>
          <w:p w14:paraId="533A4503" w14:textId="77777777" w:rsidR="007B4BE3" w:rsidRPr="00027EB3" w:rsidRDefault="007B4BE3" w:rsidP="008328D6">
            <w:pPr>
              <w:autoSpaceDE w:val="0"/>
              <w:autoSpaceDN w:val="0"/>
              <w:adjustRightInd w:val="0"/>
              <w:spacing w:before="120" w:line="276" w:lineRule="auto"/>
              <w:jc w:val="center"/>
              <w:rPr>
                <w:rFonts w:ascii="Times New Roman" w:hAnsi="Times New Roman" w:cs="Times New Roman"/>
                <w:sz w:val="24"/>
                <w:szCs w:val="24"/>
                <w:lang w:val="en"/>
              </w:rPr>
            </w:pPr>
            <w:r w:rsidRPr="00027EB3">
              <w:rPr>
                <w:rFonts w:ascii="Times New Roman" w:hAnsi="Times New Roman" w:cs="Times New Roman"/>
                <w:b/>
                <w:bCs/>
                <w:sz w:val="24"/>
                <w:szCs w:val="24"/>
                <w:lang w:val="en"/>
              </w:rPr>
              <w:t>CHÍNH SÁCH/ QUY Đ</w:t>
            </w:r>
            <w:r w:rsidRPr="00027EB3">
              <w:rPr>
                <w:rFonts w:ascii="Times New Roman" w:hAnsi="Times New Roman" w:cs="Times New Roman"/>
                <w:b/>
                <w:bCs/>
                <w:sz w:val="24"/>
                <w:szCs w:val="24"/>
              </w:rPr>
              <w:t>ỊNH CỦA DỰ THẢO</w:t>
            </w:r>
          </w:p>
        </w:tc>
        <w:tc>
          <w:tcPr>
            <w:tcW w:w="1341" w:type="pct"/>
            <w:tcBorders>
              <w:top w:val="single" w:sz="3" w:space="0" w:color="000000"/>
              <w:left w:val="single" w:sz="3" w:space="0" w:color="000000"/>
              <w:bottom w:val="nil"/>
              <w:right w:val="nil"/>
            </w:tcBorders>
            <w:shd w:val="clear" w:color="auto" w:fill="FFFFFF"/>
            <w:vAlign w:val="center"/>
          </w:tcPr>
          <w:p w14:paraId="7D766CE9" w14:textId="77777777" w:rsidR="007B4BE3" w:rsidRPr="00027EB3" w:rsidRDefault="007B4BE3" w:rsidP="008328D6">
            <w:pPr>
              <w:autoSpaceDE w:val="0"/>
              <w:autoSpaceDN w:val="0"/>
              <w:adjustRightInd w:val="0"/>
              <w:spacing w:before="120" w:line="276" w:lineRule="auto"/>
              <w:jc w:val="center"/>
              <w:rPr>
                <w:rFonts w:ascii="Times New Roman" w:hAnsi="Times New Roman" w:cs="Times New Roman"/>
                <w:sz w:val="24"/>
                <w:szCs w:val="24"/>
                <w:lang w:val="en"/>
              </w:rPr>
            </w:pPr>
            <w:r w:rsidRPr="00027EB3">
              <w:rPr>
                <w:rFonts w:ascii="Times New Roman" w:hAnsi="Times New Roman" w:cs="Times New Roman"/>
                <w:b/>
                <w:bCs/>
                <w:sz w:val="24"/>
                <w:szCs w:val="24"/>
                <w:lang w:val="en"/>
              </w:rPr>
              <w:t>CH</w:t>
            </w:r>
            <w:r w:rsidRPr="00027EB3">
              <w:rPr>
                <w:rFonts w:ascii="Times New Roman" w:hAnsi="Times New Roman" w:cs="Times New Roman"/>
                <w:b/>
                <w:bCs/>
                <w:sz w:val="24"/>
                <w:szCs w:val="24"/>
              </w:rPr>
              <w:t>Ủ TRƯƠNG, ĐƯỜNG LỐI CỦA ĐẢNG</w:t>
            </w:r>
          </w:p>
        </w:tc>
        <w:tc>
          <w:tcPr>
            <w:tcW w:w="1251" w:type="pct"/>
            <w:tcBorders>
              <w:top w:val="single" w:sz="3" w:space="0" w:color="000000"/>
              <w:left w:val="single" w:sz="3" w:space="0" w:color="000000"/>
              <w:bottom w:val="nil"/>
              <w:right w:val="nil"/>
            </w:tcBorders>
            <w:shd w:val="clear" w:color="auto" w:fill="FFFFFF"/>
            <w:vAlign w:val="center"/>
          </w:tcPr>
          <w:p w14:paraId="433D2B45" w14:textId="0B640959" w:rsidR="007B4BE3" w:rsidRPr="00027EB3" w:rsidRDefault="007B4BE3" w:rsidP="008328D6">
            <w:pPr>
              <w:autoSpaceDE w:val="0"/>
              <w:autoSpaceDN w:val="0"/>
              <w:adjustRightInd w:val="0"/>
              <w:spacing w:before="120" w:line="276" w:lineRule="auto"/>
              <w:jc w:val="center"/>
              <w:rPr>
                <w:rFonts w:ascii="Times New Roman" w:hAnsi="Times New Roman" w:cs="Times New Roman"/>
                <w:sz w:val="24"/>
                <w:szCs w:val="24"/>
                <w:lang w:val="en"/>
              </w:rPr>
            </w:pPr>
            <w:r w:rsidRPr="00027EB3">
              <w:rPr>
                <w:rFonts w:ascii="Times New Roman" w:hAnsi="Times New Roman" w:cs="Times New Roman"/>
                <w:b/>
                <w:bCs/>
                <w:sz w:val="24"/>
                <w:szCs w:val="24"/>
                <w:lang w:val="en"/>
              </w:rPr>
              <w:t xml:space="preserve">ĐÁNH GIÁ </w:t>
            </w:r>
            <w:r w:rsidRPr="00027EB3">
              <w:rPr>
                <w:rFonts w:ascii="Times New Roman" w:hAnsi="Times New Roman" w:cs="Times New Roman"/>
                <w:b/>
                <w:bCs/>
                <w:sz w:val="24"/>
                <w:szCs w:val="24"/>
                <w:lang w:val="en"/>
              </w:rPr>
              <w:br/>
              <w:t>(Đã th</w:t>
            </w:r>
            <w:r w:rsidRPr="00027EB3">
              <w:rPr>
                <w:rFonts w:ascii="Times New Roman" w:hAnsi="Times New Roman" w:cs="Times New Roman"/>
                <w:b/>
                <w:bCs/>
                <w:sz w:val="24"/>
                <w:szCs w:val="24"/>
              </w:rPr>
              <w:t>ể chế đầy đủ hoặc một phần</w:t>
            </w:r>
            <w:r w:rsidR="004A28FB" w:rsidRPr="00027EB3">
              <w:rPr>
                <w:rFonts w:ascii="Times New Roman" w:hAnsi="Times New Roman" w:cs="Times New Roman"/>
                <w:b/>
                <w:bCs/>
                <w:sz w:val="24"/>
                <w:szCs w:val="24"/>
                <w:lang w:val="en-US"/>
              </w:rPr>
              <w:t>/phù hợp với chủ trương đường lối Đảng</w:t>
            </w:r>
            <w:r w:rsidRPr="00027EB3">
              <w:rPr>
                <w:rFonts w:ascii="Times New Roman" w:hAnsi="Times New Roman" w:cs="Times New Roman"/>
                <w:b/>
                <w:bCs/>
                <w:sz w:val="24"/>
                <w:szCs w:val="24"/>
              </w:rPr>
              <w:t>)</w:t>
            </w:r>
          </w:p>
        </w:tc>
        <w:tc>
          <w:tcPr>
            <w:tcW w:w="1226" w:type="pct"/>
            <w:tcBorders>
              <w:top w:val="single" w:sz="3" w:space="0" w:color="000000"/>
              <w:left w:val="single" w:sz="3" w:space="0" w:color="000000"/>
              <w:bottom w:val="nil"/>
              <w:right w:val="single" w:sz="3" w:space="0" w:color="000000"/>
            </w:tcBorders>
            <w:shd w:val="clear" w:color="auto" w:fill="FFFFFF"/>
            <w:vAlign w:val="center"/>
          </w:tcPr>
          <w:p w14:paraId="1CB1BD07" w14:textId="77777777" w:rsidR="007B4BE3" w:rsidRPr="00027EB3" w:rsidRDefault="007B4BE3" w:rsidP="008328D6">
            <w:pPr>
              <w:autoSpaceDE w:val="0"/>
              <w:autoSpaceDN w:val="0"/>
              <w:adjustRightInd w:val="0"/>
              <w:spacing w:before="120" w:line="276" w:lineRule="auto"/>
              <w:jc w:val="center"/>
              <w:rPr>
                <w:rFonts w:ascii="Times New Roman" w:hAnsi="Times New Roman" w:cs="Times New Roman"/>
                <w:sz w:val="24"/>
                <w:szCs w:val="24"/>
                <w:lang w:val="en"/>
              </w:rPr>
            </w:pPr>
            <w:r w:rsidRPr="00027EB3">
              <w:rPr>
                <w:rFonts w:ascii="Times New Roman" w:hAnsi="Times New Roman" w:cs="Times New Roman"/>
                <w:b/>
                <w:bCs/>
                <w:sz w:val="24"/>
                <w:szCs w:val="24"/>
                <w:lang w:val="en"/>
              </w:rPr>
              <w:t>Đ</w:t>
            </w:r>
            <w:r w:rsidRPr="00027EB3">
              <w:rPr>
                <w:rFonts w:ascii="Times New Roman" w:hAnsi="Times New Roman" w:cs="Times New Roman"/>
                <w:b/>
                <w:bCs/>
                <w:sz w:val="24"/>
                <w:szCs w:val="24"/>
              </w:rPr>
              <w:t>Ề XUẤT XỬ L</w:t>
            </w:r>
            <w:r w:rsidRPr="00027EB3">
              <w:rPr>
                <w:rFonts w:ascii="Times New Roman" w:hAnsi="Times New Roman" w:cs="Times New Roman"/>
                <w:b/>
                <w:bCs/>
                <w:sz w:val="24"/>
                <w:szCs w:val="24"/>
                <w:lang w:val="en-US"/>
              </w:rPr>
              <w:t>Ý</w:t>
            </w:r>
          </w:p>
        </w:tc>
      </w:tr>
      <w:tr w:rsidR="009E3A84" w:rsidRPr="00027EB3" w14:paraId="7A23D98D" w14:textId="77777777" w:rsidTr="008328D6">
        <w:tc>
          <w:tcPr>
            <w:tcW w:w="1183" w:type="pct"/>
            <w:tcBorders>
              <w:top w:val="single" w:sz="3" w:space="0" w:color="000000"/>
              <w:left w:val="single" w:sz="3" w:space="0" w:color="000000"/>
              <w:bottom w:val="single" w:sz="3" w:space="0" w:color="000000"/>
              <w:right w:val="nil"/>
            </w:tcBorders>
            <w:shd w:val="clear" w:color="auto" w:fill="FFFFFF"/>
          </w:tcPr>
          <w:p w14:paraId="32BC061D" w14:textId="77777777" w:rsidR="00EC0CF6" w:rsidRPr="00732FC8" w:rsidRDefault="00EC0CF6" w:rsidP="00CB3742">
            <w:pPr>
              <w:tabs>
                <w:tab w:val="left" w:pos="309"/>
              </w:tabs>
              <w:autoSpaceDE w:val="0"/>
              <w:autoSpaceDN w:val="0"/>
              <w:adjustRightInd w:val="0"/>
              <w:spacing w:before="120" w:line="276" w:lineRule="auto"/>
              <w:ind w:left="167" w:right="137" w:firstLine="167"/>
              <w:jc w:val="both"/>
              <w:rPr>
                <w:rFonts w:ascii="Times New Roman" w:hAnsi="Times New Roman" w:cs="Times New Roman"/>
                <w:b/>
                <w:lang w:val="en-US"/>
              </w:rPr>
            </w:pPr>
            <w:r w:rsidRPr="00732FC8">
              <w:rPr>
                <w:rFonts w:ascii="Times New Roman" w:hAnsi="Times New Roman" w:cs="Times New Roman"/>
                <w:b/>
              </w:rPr>
              <w:t>Chính sách 1: Hoàn thiện quy định về phân cấp, phân quyền trong tổ chức thực hiện chính sách hỗ trợ tổ hợp tác, hợp tác xã, liên hiệp hợp tác xã phù hợp với mô hình tổ chức chính quyền địa phương 02 cấp</w:t>
            </w:r>
            <w:r w:rsidRPr="00732FC8">
              <w:rPr>
                <w:rFonts w:ascii="Times New Roman" w:hAnsi="Times New Roman" w:cs="Times New Roman"/>
                <w:b/>
                <w:lang w:val="en-US"/>
              </w:rPr>
              <w:t xml:space="preserve"> </w:t>
            </w:r>
          </w:p>
          <w:p w14:paraId="08D4DA72" w14:textId="77777777" w:rsidR="00EC0CF6" w:rsidRPr="00732FC8" w:rsidRDefault="00EC0CF6"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p>
        </w:tc>
        <w:tc>
          <w:tcPr>
            <w:tcW w:w="1341" w:type="pct"/>
            <w:tcBorders>
              <w:top w:val="single" w:sz="3" w:space="0" w:color="000000"/>
              <w:left w:val="single" w:sz="3" w:space="0" w:color="000000"/>
              <w:bottom w:val="single" w:sz="3" w:space="0" w:color="000000"/>
              <w:right w:val="nil"/>
            </w:tcBorders>
            <w:shd w:val="clear" w:color="auto" w:fill="FFFFFF"/>
          </w:tcPr>
          <w:p w14:paraId="72435A87" w14:textId="53AE0E11" w:rsidR="00EC0CF6" w:rsidRPr="00732FC8" w:rsidRDefault="00732FC8" w:rsidP="00CB3742">
            <w:pPr>
              <w:tabs>
                <w:tab w:val="left" w:pos="309"/>
              </w:tabs>
              <w:autoSpaceDE w:val="0"/>
              <w:autoSpaceDN w:val="0"/>
              <w:adjustRightInd w:val="0"/>
              <w:spacing w:before="120" w:line="276" w:lineRule="auto"/>
              <w:ind w:left="167" w:right="137"/>
              <w:jc w:val="both"/>
              <w:rPr>
                <w:rFonts w:ascii="Times New Roman" w:hAnsi="Times New Roman" w:cs="Times New Roman"/>
                <w:bCs/>
                <w:u w:val="single"/>
              </w:rPr>
            </w:pPr>
            <w:r w:rsidRPr="00732FC8">
              <w:rPr>
                <w:rFonts w:ascii="Times New Roman" w:hAnsi="Times New Roman" w:cs="Times New Roman"/>
                <w:lang w:val="en-US"/>
              </w:rPr>
              <w:t xml:space="preserve">- </w:t>
            </w:r>
            <w:r w:rsidR="00EC0CF6" w:rsidRPr="00732FC8">
              <w:rPr>
                <w:rFonts w:ascii="Times New Roman" w:hAnsi="Times New Roman" w:cs="Times New Roman"/>
              </w:rPr>
              <w:t>Nghị quyết số 18-NQ/TW ngày 25 tháng 10 năm 2017 về tiếp tục đổi mới, sắp xếp tổ chức bộ máy của hệ thống chính trị tinh gọn, hoạt động hiệu lực, hiệu quả của Ban Chấp hành Trung ương</w:t>
            </w:r>
            <w:r w:rsidRPr="00732FC8">
              <w:rPr>
                <w:rFonts w:ascii="Times New Roman" w:hAnsi="Times New Roman" w:cs="Times New Roman"/>
                <w:lang w:val="en-US"/>
              </w:rPr>
              <w:t>.</w:t>
            </w:r>
            <w:r w:rsidR="00EC0CF6" w:rsidRPr="00732FC8">
              <w:rPr>
                <w:rFonts w:ascii="Times New Roman" w:hAnsi="Times New Roman" w:cs="Times New Roman"/>
              </w:rPr>
              <w:t xml:space="preserve"> </w:t>
            </w:r>
            <w:r w:rsidRPr="00732FC8">
              <w:rPr>
                <w:rFonts w:ascii="Times New Roman" w:hAnsi="Times New Roman" w:cs="Times New Roman"/>
                <w:lang w:val="en-US"/>
              </w:rPr>
              <w:t xml:space="preserve">           - </w:t>
            </w:r>
            <w:r w:rsidR="00EC0CF6" w:rsidRPr="00732FC8">
              <w:rPr>
                <w:rFonts w:ascii="Times New Roman" w:hAnsi="Times New Roman" w:cs="Times New Roman"/>
              </w:rPr>
              <w:t>Kết luận số 121-KL/TW ngày 24/01/2025 của Ban Chấp hành Trung ương khóa XIII về tiếp tục sắp xếp tổ chức bộ máy, xây dựng mô hình chính quyền địa phương 02 cấp, đẩy mạnh phân cấp, phân quyền và cải cách thủ tục hành chính</w:t>
            </w:r>
            <w:r w:rsidR="00EC0CF6" w:rsidRPr="00732FC8">
              <w:rPr>
                <w:rFonts w:ascii="Times New Roman" w:hAnsi="Times New Roman" w:cs="Times New Roman"/>
                <w:bCs/>
              </w:rPr>
              <w:t xml:space="preserve">: </w:t>
            </w:r>
            <w:r w:rsidR="00EC0CF6" w:rsidRPr="00732FC8">
              <w:rPr>
                <w:rFonts w:ascii="Times New Roman" w:hAnsi="Times New Roman" w:cs="Times New Roman"/>
                <w:bCs/>
                <w:i/>
                <w:iCs/>
                <w:u w:val="single"/>
              </w:rPr>
              <w:t>“Rà soát, sửa đổi, bổ sung các văn bản còn chồng chéo, bất cập cản trở sự phát triển, khơi thông các điểm nghẽn, tạo ra động lực mới cho phát triển”</w:t>
            </w:r>
            <w:r w:rsidR="00EC0CF6" w:rsidRPr="00732FC8">
              <w:rPr>
                <w:rFonts w:ascii="Times New Roman" w:hAnsi="Times New Roman" w:cs="Times New Roman"/>
                <w:bCs/>
                <w:u w:val="single"/>
              </w:rPr>
              <w:t>.</w:t>
            </w:r>
          </w:p>
          <w:p w14:paraId="68CCFDA9" w14:textId="5FF9296A" w:rsidR="00EC0CF6" w:rsidRPr="00732FC8" w:rsidRDefault="00732FC8"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732FC8">
              <w:rPr>
                <w:rFonts w:ascii="Times New Roman" w:hAnsi="Times New Roman" w:cs="Times New Roman"/>
                <w:bCs/>
                <w:lang w:val="en-US"/>
              </w:rPr>
              <w:t xml:space="preserve">- </w:t>
            </w:r>
            <w:r w:rsidR="00EC0CF6" w:rsidRPr="00732FC8">
              <w:rPr>
                <w:rFonts w:ascii="Times New Roman" w:hAnsi="Times New Roman" w:cs="Times New Roman"/>
                <w:bCs/>
              </w:rPr>
              <w:t xml:space="preserve">Nghị quyết số 27-NQ/TW ngày 09/11/2022 của Hội nghị lần thứ sáu Ban Chấp hành Trung ương Đảng khóa XIII về tiếp tục xây dựng và hoàn thiện Nhà nước pháp quyền xã hội chủ nghĩa Việt </w:t>
            </w:r>
            <w:r w:rsidR="00EC0CF6" w:rsidRPr="00732FC8">
              <w:rPr>
                <w:rFonts w:ascii="Times New Roman" w:hAnsi="Times New Roman" w:cs="Times New Roman"/>
                <w:bCs/>
              </w:rPr>
              <w:lastRenderedPageBreak/>
              <w:t xml:space="preserve">Nam trong giai đoạn mới đặt ra nhiệm vụ </w:t>
            </w:r>
            <w:r w:rsidR="00EC0CF6" w:rsidRPr="00732FC8">
              <w:rPr>
                <w:rFonts w:ascii="Times New Roman" w:hAnsi="Times New Roman" w:cs="Times New Roman"/>
                <w:bCs/>
                <w:i/>
                <w:iCs/>
              </w:rPr>
              <w:t>“tiếp tục hoàn thiện hệ thống pháp luật và cơ chế tổ chức thực hiện pháp luật nghiêm minh, hiệu quả, bảo đảm yêu cầu phát triển đất nước nhanh và bền vững</w:t>
            </w:r>
          </w:p>
        </w:tc>
        <w:tc>
          <w:tcPr>
            <w:tcW w:w="1251" w:type="pct"/>
            <w:tcBorders>
              <w:top w:val="single" w:sz="3" w:space="0" w:color="000000"/>
              <w:left w:val="single" w:sz="3" w:space="0" w:color="000000"/>
              <w:bottom w:val="single" w:sz="3" w:space="0" w:color="000000"/>
              <w:right w:val="nil"/>
            </w:tcBorders>
            <w:shd w:val="clear" w:color="auto" w:fill="FFFFFF"/>
          </w:tcPr>
          <w:p w14:paraId="1B2C29B8" w14:textId="20CAFEA8" w:rsidR="00EB5E9A" w:rsidRPr="00EB5E9A" w:rsidRDefault="00EB5E9A" w:rsidP="00CB3742">
            <w:pPr>
              <w:tabs>
                <w:tab w:val="left" w:pos="309"/>
              </w:tabs>
              <w:autoSpaceDE w:val="0"/>
              <w:autoSpaceDN w:val="0"/>
              <w:adjustRightInd w:val="0"/>
              <w:spacing w:before="120" w:line="276" w:lineRule="auto"/>
              <w:ind w:left="167" w:right="137" w:firstLine="192"/>
              <w:jc w:val="both"/>
              <w:rPr>
                <w:rFonts w:ascii="Times New Roman" w:hAnsi="Times New Roman" w:cs="Times New Roman"/>
              </w:rPr>
            </w:pPr>
            <w:r w:rsidRPr="00EB5E9A">
              <w:rPr>
                <w:rFonts w:ascii="Times New Roman" w:hAnsi="Times New Roman" w:cs="Times New Roman"/>
              </w:rPr>
              <w:lastRenderedPageBreak/>
              <w:t xml:space="preserve">Nghị định số 113/2024/NĐ-CP hiện hành mới thể chế một phần các chủ trương nêu trên do vẫn được xây dựng theo mô hình chính quyền địa phương 03 cấp, còn duy trì vai trò của Ủy ban nhân dân cấp huyện trong nhiều khâu tổ chức thực hiện chính sách hỗ trợ. Thực tiễn triển khai theo báo cáo tổng kết thi hành và ý kiến địa phương cho thấy việc tồn tại cấp trung gian làm kéo dài quy trình, phát sinh thủ tục hành chính, giảm tính chủ động của cấp tỉnh và cấp xã. Việc sửa đổi theo hướng bỏ cấp huyện, phân định lại rõ thẩm quyền giữa cấp tỉnh và cấp xã, đồng thời điều chỉnh lại trách nhiệm của cơ quan trung ương theo cơ cấu tổ chức mới của Chính phủ là cần thiết để thể chế hóa đầy đủ hơn chủ trương </w:t>
            </w:r>
            <w:r w:rsidRPr="00EB5E9A">
              <w:rPr>
                <w:rFonts w:ascii="Times New Roman" w:hAnsi="Times New Roman" w:cs="Times New Roman"/>
              </w:rPr>
              <w:lastRenderedPageBreak/>
              <w:t>tinh gọn bộ máy, phân cấp, phân quyền và nâng cao hiệu quả quản lý nhà nước</w:t>
            </w:r>
          </w:p>
        </w:tc>
        <w:tc>
          <w:tcPr>
            <w:tcW w:w="1226" w:type="pct"/>
            <w:tcBorders>
              <w:top w:val="single" w:sz="3" w:space="0" w:color="000000"/>
              <w:left w:val="single" w:sz="3" w:space="0" w:color="000000"/>
              <w:bottom w:val="single" w:sz="3" w:space="0" w:color="000000"/>
              <w:right w:val="single" w:sz="3" w:space="0" w:color="000000"/>
            </w:tcBorders>
            <w:shd w:val="clear" w:color="auto" w:fill="FFFFFF"/>
          </w:tcPr>
          <w:p w14:paraId="08492BD9" w14:textId="634C0535" w:rsidR="00EB5E9A" w:rsidRPr="00EB5E9A" w:rsidRDefault="00EB5E9A"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EB5E9A">
              <w:rPr>
                <w:rFonts w:ascii="Times New Roman" w:hAnsi="Times New Roman" w:cs="Times New Roman"/>
              </w:rPr>
              <w:lastRenderedPageBreak/>
              <w:t>Rà soát toàn bộ các điều, khoản còn giao hoặc dẫn chiếu thẩm quyền của cấp huyện; sửa đổi theo hướng cấp tỉnh quyết định, phê duyệt các nội dung thuộc thẩm quyền quản lý nhà nước; cấp xã tổ chức thực hiện hoặc xác nhận theo phân cấp; đồng thời bỏ toàn bộ các khâu trung gian không còn phù hợp, bảo đảm phù hợp với mô hình tổ chức chính quyền địa phương 02 cấp</w:t>
            </w:r>
          </w:p>
        </w:tc>
      </w:tr>
      <w:tr w:rsidR="009E3A84" w:rsidRPr="00027EB3" w14:paraId="5D1BA98A" w14:textId="77777777" w:rsidTr="008328D6">
        <w:tc>
          <w:tcPr>
            <w:tcW w:w="1183" w:type="pct"/>
            <w:tcBorders>
              <w:top w:val="single" w:sz="3" w:space="0" w:color="000000"/>
              <w:left w:val="single" w:sz="3" w:space="0" w:color="000000"/>
              <w:bottom w:val="single" w:sz="3" w:space="0" w:color="000000"/>
              <w:right w:val="nil"/>
            </w:tcBorders>
            <w:shd w:val="clear" w:color="auto" w:fill="FFFFFF"/>
            <w:vAlign w:val="center"/>
          </w:tcPr>
          <w:p w14:paraId="325544CC" w14:textId="7B53E329" w:rsidR="00713064" w:rsidRPr="00713064" w:rsidRDefault="00713064" w:rsidP="00CB3742">
            <w:pPr>
              <w:tabs>
                <w:tab w:val="left" w:pos="309"/>
              </w:tabs>
              <w:autoSpaceDE w:val="0"/>
              <w:autoSpaceDN w:val="0"/>
              <w:adjustRightInd w:val="0"/>
              <w:spacing w:before="120" w:line="276" w:lineRule="auto"/>
              <w:ind w:left="167" w:right="137"/>
              <w:jc w:val="both"/>
              <w:rPr>
                <w:rFonts w:ascii="Times New Roman" w:hAnsi="Times New Roman" w:cs="Times New Roman"/>
                <w:b/>
              </w:rPr>
            </w:pPr>
            <w:r w:rsidRPr="00713064">
              <w:rPr>
                <w:rFonts w:ascii="Times New Roman" w:hAnsi="Times New Roman" w:cs="Times New Roman"/>
                <w:b/>
              </w:rPr>
              <w:t>Chính sách 2: Hoàn thiện quy định về quản lý, sử dụng kinh phí hỗ trợ tổ hợp tác, hợp tác xã, liên hiệp hợp tác xã theo quy định của pháp luật về ngân sách nhà nước</w:t>
            </w:r>
          </w:p>
        </w:tc>
        <w:tc>
          <w:tcPr>
            <w:tcW w:w="1341" w:type="pct"/>
            <w:tcBorders>
              <w:top w:val="single" w:sz="3" w:space="0" w:color="000000"/>
              <w:left w:val="single" w:sz="3" w:space="0" w:color="000000"/>
              <w:bottom w:val="single" w:sz="3" w:space="0" w:color="000000"/>
              <w:right w:val="nil"/>
            </w:tcBorders>
            <w:shd w:val="clear" w:color="auto" w:fill="FFFFFF"/>
            <w:vAlign w:val="center"/>
          </w:tcPr>
          <w:p w14:paraId="6A1FA232" w14:textId="3AC56430" w:rsidR="00732FC8" w:rsidRPr="00E36493" w:rsidRDefault="00732FC8"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E36493">
              <w:rPr>
                <w:rFonts w:ascii="Times New Roman" w:hAnsi="Times New Roman" w:cs="Times New Roman"/>
                <w:bCs/>
                <w:lang w:val="en-US"/>
              </w:rPr>
              <w:t xml:space="preserve">- </w:t>
            </w:r>
            <w:r w:rsidR="00715186" w:rsidRPr="00E36493">
              <w:rPr>
                <w:rFonts w:ascii="Times New Roman" w:hAnsi="Times New Roman" w:cs="Times New Roman"/>
                <w:bCs/>
              </w:rPr>
              <w:t xml:space="preserve">Nghị quyết số Nghị quyết số 20-NQ/TW ngày 16/6/2022, Hội nghị lần thứ năm, Ban Chấp hành Trung ương Đảng Khóa XIII về tiếp tục đổi mới, phát triển và nâng cao hiệu quả kinh tế tập thể trong giai đoạn mới đã đề ra 05 nhóm nhiệm vụ và giải pháp chủ yếu để thúc đẩy phát triển khu vực kinh tế tập thể, trong đó có nhiệm vụ </w:t>
            </w:r>
            <w:r w:rsidR="00715186" w:rsidRPr="00E36493">
              <w:rPr>
                <w:rFonts w:ascii="Times New Roman" w:hAnsi="Times New Roman" w:cs="Times New Roman"/>
                <w:bCs/>
                <w:i/>
                <w:iCs/>
              </w:rPr>
              <w:t>“Tiếp tục đổi mới, hoàn thiện cơ chế, chính sách khuyến khích, hỗ trợ phát triển kinh tế tập thể</w:t>
            </w:r>
            <w:r w:rsidR="0092273D" w:rsidRPr="00E36493">
              <w:rPr>
                <w:rFonts w:ascii="Times New Roman" w:hAnsi="Times New Roman" w:cs="Times New Roman"/>
              </w:rPr>
              <w:t xml:space="preserve">; </w:t>
            </w:r>
            <w:r w:rsidR="00EB5E9A" w:rsidRPr="00EB5E9A">
              <w:rPr>
                <w:rFonts w:ascii="Times New Roman" w:hAnsi="Times New Roman" w:cs="Times New Roman"/>
              </w:rPr>
              <w:t>Nghị quyết số 09/NQ-CP của Chính phủ về triển khai Nghị quyết số 20-NQ/TW yêu cầu cụ thể hóa các cơ chế hỗ trợ</w:t>
            </w:r>
            <w:r w:rsidRPr="00E36493">
              <w:rPr>
                <w:rFonts w:ascii="Times New Roman" w:hAnsi="Times New Roman" w:cs="Times New Roman"/>
                <w:lang w:val="en-US"/>
              </w:rPr>
              <w:t xml:space="preserve">.    </w:t>
            </w:r>
            <w:r w:rsidR="00EB5E9A">
              <w:rPr>
                <w:rFonts w:ascii="Times New Roman" w:hAnsi="Times New Roman" w:cs="Times New Roman"/>
                <w:lang w:val="en-US"/>
              </w:rPr>
              <w:t xml:space="preserve">               </w:t>
            </w:r>
            <w:r w:rsidRPr="00E36493">
              <w:rPr>
                <w:rFonts w:ascii="Times New Roman" w:hAnsi="Times New Roman" w:cs="Times New Roman"/>
                <w:lang w:val="en-US"/>
              </w:rPr>
              <w:t xml:space="preserve">- </w:t>
            </w:r>
            <w:r w:rsidRPr="00E36493">
              <w:rPr>
                <w:rFonts w:ascii="Times New Roman" w:hAnsi="Times New Roman" w:cs="Times New Roman"/>
              </w:rPr>
              <w:t>Nghị quyết số 66-NQ/TW ngày 30 tháng 4 năm 2025 của Bộ Chính trị về đổi mới công tác xây dựng và thi hành pháp luật đáp ứng yêu cầu phát triển đất nước trong kỷ nguyên mới;</w:t>
            </w:r>
          </w:p>
          <w:p w14:paraId="0C3D04AE" w14:textId="3EC34898" w:rsidR="00D15205" w:rsidRPr="0066081F" w:rsidRDefault="00D15205" w:rsidP="00CB3742">
            <w:pPr>
              <w:tabs>
                <w:tab w:val="left" w:pos="309"/>
              </w:tabs>
              <w:spacing w:before="120" w:after="120" w:line="276" w:lineRule="auto"/>
              <w:ind w:left="167" w:right="137"/>
              <w:jc w:val="both"/>
              <w:rPr>
                <w:rFonts w:ascii="Times New Roman" w:hAnsi="Times New Roman" w:cs="Times New Roman"/>
                <w:lang w:val="en-US"/>
              </w:rPr>
            </w:pPr>
            <w:r w:rsidRPr="00E36493">
              <w:rPr>
                <w:rFonts w:ascii="Times New Roman" w:hAnsi="Times New Roman" w:cs="Times New Roman"/>
                <w:bCs/>
                <w:lang w:val="en-US"/>
              </w:rPr>
              <w:t xml:space="preserve">- </w:t>
            </w:r>
            <w:r w:rsidRPr="00E36493">
              <w:rPr>
                <w:rFonts w:ascii="Times New Roman" w:hAnsi="Times New Roman" w:cs="Times New Roman"/>
                <w:bCs/>
              </w:rPr>
              <w:t>Tiểu mục b Khoản</w:t>
            </w:r>
            <w:r w:rsidRPr="0066081F">
              <w:rPr>
                <w:rFonts w:ascii="Times New Roman" w:hAnsi="Times New Roman" w:cs="Times New Roman"/>
                <w:bCs/>
              </w:rPr>
              <w:t xml:space="preserve"> 1 Mục II Chương trình hành động của Ban Chấp hành Trung ương Đảng thực hiện Nghị quyết Đại hội đại biểu toàn quốc lần thứ XIV của Đảng xác định nhiệm vụ </w:t>
            </w:r>
            <w:r w:rsidRPr="0066081F">
              <w:rPr>
                <w:rFonts w:ascii="Times New Roman" w:hAnsi="Times New Roman" w:cs="Times New Roman"/>
                <w:bCs/>
                <w:i/>
                <w:iCs/>
              </w:rPr>
              <w:t>“</w:t>
            </w:r>
            <w:r w:rsidRPr="0066081F">
              <w:rPr>
                <w:rFonts w:ascii="Times New Roman" w:hAnsi="Times New Roman" w:cs="Times New Roman"/>
                <w:i/>
              </w:rPr>
              <w:t>Tiếp tục thực hiện phân cấp, phân quyền rõ ràng, đồng bộ trong các lĩnh vực tài chính, đầu tư, xây dựng, đất đai và các lĩnh vực khác</w:t>
            </w:r>
            <w:r w:rsidRPr="0066081F">
              <w:rPr>
                <w:rFonts w:ascii="Times New Roman" w:hAnsi="Times New Roman" w:cs="Times New Roman"/>
                <w:bCs/>
                <w:i/>
                <w:iCs/>
              </w:rPr>
              <w:t>”</w:t>
            </w:r>
            <w:r w:rsidRPr="0066081F">
              <w:rPr>
                <w:rFonts w:ascii="Times New Roman" w:hAnsi="Times New Roman" w:cs="Times New Roman"/>
                <w:bCs/>
                <w:i/>
              </w:rPr>
              <w:t>.</w:t>
            </w:r>
          </w:p>
        </w:tc>
        <w:tc>
          <w:tcPr>
            <w:tcW w:w="1251" w:type="pct"/>
            <w:tcBorders>
              <w:top w:val="single" w:sz="3" w:space="0" w:color="000000"/>
              <w:left w:val="single" w:sz="3" w:space="0" w:color="000000"/>
              <w:bottom w:val="single" w:sz="3" w:space="0" w:color="000000"/>
              <w:right w:val="nil"/>
            </w:tcBorders>
            <w:shd w:val="clear" w:color="auto" w:fill="FFFFFF"/>
            <w:vAlign w:val="center"/>
          </w:tcPr>
          <w:p w14:paraId="03297866" w14:textId="63ECB8EF" w:rsidR="0092273D"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Fonts w:ascii="Times New Roman" w:hAnsi="Times New Roman" w:cs="Times New Roman"/>
              </w:rPr>
              <w:t xml:space="preserve">Quy định hiện hành chưa thể chế đầy đủ yêu cầu </w:t>
            </w:r>
            <w:r w:rsidR="00B85F0C" w:rsidRPr="00B85F0C">
              <w:rPr>
                <w:rFonts w:ascii="Times New Roman" w:hAnsi="Times New Roman" w:cs="Times New Roman"/>
              </w:rPr>
              <w:t>hoàn thiện việc quản lý, sử dụng kinh phí theo quy định của pháp luật về ngân sách nhà nước</w:t>
            </w:r>
            <w:r w:rsidRPr="00027EB3">
              <w:rPr>
                <w:rFonts w:ascii="Times New Roman" w:hAnsi="Times New Roman" w:cs="Times New Roman"/>
              </w:rPr>
              <w:t>, còn tồn tại khoảng trống pháp lý giữa khâu phân bổ và khâu tổ chức thực hiện kinh phí; chưa bảo đảm tính đồng bộ của chu trình ngân sách nhà nước</w:t>
            </w:r>
          </w:p>
          <w:p w14:paraId="1BE92E07" w14:textId="1465097B" w:rsidR="00390A58" w:rsidRPr="00027EB3" w:rsidRDefault="00390A58"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p>
        </w:tc>
        <w:tc>
          <w:tcPr>
            <w:tcW w:w="122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7A2502A3" w14:textId="77777777" w:rsidR="0092273D"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Fonts w:ascii="Times New Roman" w:hAnsi="Times New Roman" w:cs="Times New Roman"/>
              </w:rPr>
              <w:t>Bổ sung quy định giao Bộ Tài chính chủ trì hướng dẫn việc lập dự toán, quản lý, sử dụng và quyết toán kinh phí theo đúng quy định của pháp luật về ngân sách nhà nước</w:t>
            </w:r>
          </w:p>
          <w:p w14:paraId="5B977977" w14:textId="68BEC8AA" w:rsidR="00713064" w:rsidRPr="00027EB3" w:rsidRDefault="00713064"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p>
        </w:tc>
      </w:tr>
      <w:tr w:rsidR="009E3A84" w:rsidRPr="00027EB3" w14:paraId="452701C9" w14:textId="77777777" w:rsidTr="008328D6">
        <w:tc>
          <w:tcPr>
            <w:tcW w:w="1183" w:type="pct"/>
            <w:tcBorders>
              <w:top w:val="single" w:sz="3" w:space="0" w:color="000000"/>
              <w:left w:val="single" w:sz="3" w:space="0" w:color="000000"/>
              <w:bottom w:val="single" w:sz="3" w:space="0" w:color="000000"/>
              <w:right w:val="nil"/>
            </w:tcBorders>
            <w:shd w:val="clear" w:color="auto" w:fill="FFFFFF"/>
            <w:vAlign w:val="center"/>
          </w:tcPr>
          <w:p w14:paraId="6B7FA542" w14:textId="3B7BCB19" w:rsidR="0092273D" w:rsidRPr="00027EB3"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Style w:val="Strong"/>
                <w:rFonts w:ascii="Times New Roman" w:eastAsiaTheme="majorEastAsia" w:hAnsi="Times New Roman" w:cs="Times New Roman"/>
              </w:rPr>
              <w:t>Chính sách 3: Hoàn thiện quy định về hỗ trợ đầu tư phát triển theo hướng thống nhất với pháp luật về đầu tư công</w:t>
            </w:r>
          </w:p>
        </w:tc>
        <w:tc>
          <w:tcPr>
            <w:tcW w:w="1341" w:type="pct"/>
            <w:tcBorders>
              <w:top w:val="single" w:sz="3" w:space="0" w:color="000000"/>
              <w:left w:val="single" w:sz="3" w:space="0" w:color="000000"/>
              <w:bottom w:val="single" w:sz="3" w:space="0" w:color="000000"/>
              <w:right w:val="nil"/>
            </w:tcBorders>
            <w:shd w:val="clear" w:color="auto" w:fill="FFFFFF"/>
            <w:vAlign w:val="center"/>
          </w:tcPr>
          <w:p w14:paraId="1AF3CA3E" w14:textId="0A525A76" w:rsidR="0092273D" w:rsidRPr="00390A58" w:rsidRDefault="000E28FD" w:rsidP="00CB3742">
            <w:pPr>
              <w:tabs>
                <w:tab w:val="left" w:pos="309"/>
              </w:tabs>
              <w:autoSpaceDE w:val="0"/>
              <w:autoSpaceDN w:val="0"/>
              <w:adjustRightInd w:val="0"/>
              <w:spacing w:before="120" w:line="276" w:lineRule="auto"/>
              <w:ind w:left="167" w:right="137"/>
              <w:jc w:val="both"/>
              <w:rPr>
                <w:rFonts w:ascii="Times New Roman" w:hAnsi="Times New Roman" w:cs="Times New Roman"/>
                <w:lang w:val="en-US"/>
              </w:rPr>
            </w:pPr>
            <w:r>
              <w:rPr>
                <w:rFonts w:ascii="Times New Roman" w:hAnsi="Times New Roman" w:cs="Times New Roman"/>
                <w:bCs/>
                <w:lang w:val="en-US"/>
              </w:rPr>
              <w:t xml:space="preserve">- </w:t>
            </w:r>
            <w:r w:rsidRPr="0064799F">
              <w:rPr>
                <w:rFonts w:ascii="Times New Roman" w:hAnsi="Times New Roman" w:cs="Times New Roman"/>
                <w:bCs/>
              </w:rPr>
              <w:t xml:space="preserve">Nghị quyết số 27-NQ/TW ngày 09/11/2022 của Hội nghị lần thứ sáu Ban Chấp hành Trung ương Đảng khóa XIII về tiếp tục xây dựng và hoàn thiện Nhà nước pháp quyền xã hội chủ nghĩa Việt </w:t>
            </w:r>
            <w:r w:rsidRPr="0064799F">
              <w:rPr>
                <w:rFonts w:ascii="Times New Roman" w:hAnsi="Times New Roman" w:cs="Times New Roman"/>
                <w:bCs/>
              </w:rPr>
              <w:lastRenderedPageBreak/>
              <w:t xml:space="preserve">Nam trong giai đoạn mới đặt ra nhiệm vụ </w:t>
            </w:r>
            <w:r w:rsidRPr="0064799F">
              <w:rPr>
                <w:rFonts w:ascii="Times New Roman" w:hAnsi="Times New Roman" w:cs="Times New Roman"/>
                <w:bCs/>
                <w:i/>
                <w:iCs/>
              </w:rPr>
              <w:t>“tiếp tục hoàn thiện hệ thống pháp luật và cơ chế tổ chức thực hiện pháp luật nghiêm minh, hiệu quả, bảo đảm yêu cầu phát triển đất nước nhanh và bền vững</w:t>
            </w:r>
            <w:r w:rsidR="0092273D" w:rsidRPr="00027EB3">
              <w:rPr>
                <w:rFonts w:ascii="Times New Roman" w:hAnsi="Times New Roman" w:cs="Times New Roman"/>
              </w:rPr>
              <w:t xml:space="preserve">; </w:t>
            </w:r>
            <w:r>
              <w:rPr>
                <w:rFonts w:ascii="Times New Roman" w:hAnsi="Times New Roman" w:cs="Times New Roman"/>
                <w:lang w:val="en-US"/>
              </w:rPr>
              <w:t xml:space="preserve">- </w:t>
            </w:r>
            <w:r w:rsidRPr="000E28FD">
              <w:rPr>
                <w:rFonts w:ascii="Times New Roman" w:hAnsi="Times New Roman" w:cs="Times New Roman"/>
              </w:rPr>
              <w:t>Nghị quyết số 66-NQ/TW về đổi mới công tác xây dựng và thi hành pháp luật, trong đó nhấn mạnh việc hoàn thiện hệ thống pháp luật theo hướng đồng bộ, thống nhất, nâng cao chất lượng và tính khả thi của văn bản quy phạm pháp luật; qua đó góp phần khắc phục tình trạng chồng chéo, mâu thuẫn và tạo điều kiện thuận lợi cho phát triển kinh tế - xã hội</w:t>
            </w:r>
            <w:r w:rsidR="00390A58">
              <w:rPr>
                <w:rFonts w:ascii="Times New Roman" w:hAnsi="Times New Roman" w:cs="Times New Roman"/>
                <w:lang w:val="en-US"/>
              </w:rPr>
              <w:t>.</w:t>
            </w:r>
          </w:p>
        </w:tc>
        <w:tc>
          <w:tcPr>
            <w:tcW w:w="1251" w:type="pct"/>
            <w:tcBorders>
              <w:top w:val="single" w:sz="3" w:space="0" w:color="000000"/>
              <w:left w:val="single" w:sz="3" w:space="0" w:color="000000"/>
              <w:bottom w:val="single" w:sz="3" w:space="0" w:color="000000"/>
              <w:right w:val="nil"/>
            </w:tcBorders>
            <w:shd w:val="clear" w:color="auto" w:fill="FFFFFF"/>
            <w:vAlign w:val="center"/>
          </w:tcPr>
          <w:p w14:paraId="15A26A58" w14:textId="3EB38492" w:rsidR="0092273D" w:rsidRPr="000E28FD" w:rsidRDefault="000E28FD" w:rsidP="00CB3742">
            <w:pPr>
              <w:tabs>
                <w:tab w:val="left" w:pos="309"/>
              </w:tabs>
              <w:autoSpaceDE w:val="0"/>
              <w:autoSpaceDN w:val="0"/>
              <w:adjustRightInd w:val="0"/>
              <w:spacing w:before="120" w:line="276" w:lineRule="auto"/>
              <w:ind w:left="167" w:right="137"/>
              <w:jc w:val="both"/>
              <w:rPr>
                <w:rFonts w:ascii="Times New Roman" w:hAnsi="Times New Roman" w:cs="Times New Roman"/>
                <w:lang w:val="en-US"/>
              </w:rPr>
            </w:pPr>
            <w:r w:rsidRPr="00F13E0A">
              <w:rPr>
                <w:rFonts w:ascii="Times New Roman" w:hAnsi="Times New Roman" w:cs="Times New Roman"/>
              </w:rPr>
              <w:lastRenderedPageBreak/>
              <w:t xml:space="preserve">Quy định hiện hành tại Nghị định số 113/2024/NĐ-CP chưa thể chế đầy đủ yêu cầu khắc phục chồng chéo, đơn giản hóa thủ tục hành chính vì vẫn duy trì một quy trình và </w:t>
            </w:r>
            <w:r w:rsidRPr="00F13E0A">
              <w:rPr>
                <w:rFonts w:ascii="Times New Roman" w:hAnsi="Times New Roman" w:cs="Times New Roman"/>
              </w:rPr>
              <w:lastRenderedPageBreak/>
              <w:t>phụ lục riêng song song với pháp luật về đầu tư công. Việc sửa đổi theo hướng bãi bỏ các quy định trùng lặp và dẫn chiếu hệ thống pháp luật chung là phù hợp với chủ trương của Đảng về hoàn thiện thể chế và cải cách thủ tục.</w:t>
            </w:r>
          </w:p>
        </w:tc>
        <w:tc>
          <w:tcPr>
            <w:tcW w:w="122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12D65FD4" w14:textId="20023536" w:rsidR="0092273D" w:rsidRPr="00027EB3"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Fonts w:ascii="Times New Roman" w:hAnsi="Times New Roman" w:cs="Times New Roman"/>
              </w:rPr>
              <w:lastRenderedPageBreak/>
              <w:t>Bãi bỏ các quy định, phụ lục trùng lặp; sửa đổi theo hướng dẫn chiếu áp dụng thống nhất pháp luật về đầu tư công</w:t>
            </w:r>
          </w:p>
        </w:tc>
      </w:tr>
      <w:tr w:rsidR="009E3A84" w:rsidRPr="00027EB3" w14:paraId="524ED29E" w14:textId="77777777" w:rsidTr="008328D6">
        <w:tc>
          <w:tcPr>
            <w:tcW w:w="1183" w:type="pct"/>
            <w:tcBorders>
              <w:top w:val="single" w:sz="3" w:space="0" w:color="000000"/>
              <w:left w:val="single" w:sz="3" w:space="0" w:color="000000"/>
              <w:bottom w:val="single" w:sz="3" w:space="0" w:color="000000"/>
              <w:right w:val="nil"/>
            </w:tcBorders>
            <w:shd w:val="clear" w:color="auto" w:fill="FFFFFF"/>
            <w:vAlign w:val="center"/>
          </w:tcPr>
          <w:p w14:paraId="6E66048B" w14:textId="0FC010E4" w:rsidR="0092273D" w:rsidRPr="00027EB3"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Style w:val="Strong"/>
                <w:rFonts w:ascii="Times New Roman" w:eastAsiaTheme="majorEastAsia" w:hAnsi="Times New Roman" w:cs="Times New Roman"/>
              </w:rPr>
              <w:t>Chính sách 4: Bổ sung một số cơ chế hỗ trợ phát triển tổ hợp tác, hợp tác xã, liên hiệp hợp tác xã phù hợp với bối cảnh phát triển mới</w:t>
            </w:r>
          </w:p>
        </w:tc>
        <w:tc>
          <w:tcPr>
            <w:tcW w:w="1341" w:type="pct"/>
            <w:tcBorders>
              <w:top w:val="single" w:sz="3" w:space="0" w:color="000000"/>
              <w:left w:val="single" w:sz="3" w:space="0" w:color="000000"/>
              <w:bottom w:val="single" w:sz="3" w:space="0" w:color="000000"/>
              <w:right w:val="nil"/>
            </w:tcBorders>
            <w:shd w:val="clear" w:color="auto" w:fill="FFFFFF"/>
            <w:vAlign w:val="center"/>
          </w:tcPr>
          <w:p w14:paraId="034732A6" w14:textId="36F76280" w:rsidR="00D15205" w:rsidRPr="0066081F" w:rsidRDefault="00D15205" w:rsidP="00CB3742">
            <w:pPr>
              <w:tabs>
                <w:tab w:val="left" w:pos="309"/>
              </w:tabs>
              <w:spacing w:before="120" w:after="120" w:line="276" w:lineRule="auto"/>
              <w:ind w:left="167" w:right="137"/>
              <w:jc w:val="both"/>
              <w:rPr>
                <w:rFonts w:ascii="Times New Roman" w:hAnsi="Times New Roman" w:cs="Times New Roman"/>
                <w:bCs/>
                <w:lang w:val="en-US"/>
              </w:rPr>
            </w:pPr>
            <w:r>
              <w:rPr>
                <w:rFonts w:ascii="Times New Roman" w:hAnsi="Times New Roman" w:cs="Times New Roman"/>
                <w:bCs/>
                <w:lang w:val="en-US"/>
              </w:rPr>
              <w:t xml:space="preserve">- </w:t>
            </w:r>
            <w:r w:rsidRPr="00D15205">
              <w:rPr>
                <w:rFonts w:ascii="Times New Roman" w:hAnsi="Times New Roman" w:cs="Times New Roman"/>
                <w:bCs/>
              </w:rPr>
              <w:t xml:space="preserve">Tiểu mục b Khoản 1 Mục II Chương trình hành động của Ban Chấp hành Trung ương Đảng thực hiện Nghị quyết Đại hội đại biểu toàn quốc lần thứ XIV của Đảng xác định nhiệm vụ </w:t>
            </w:r>
            <w:r w:rsidRPr="00D15205">
              <w:rPr>
                <w:rFonts w:ascii="Times New Roman" w:hAnsi="Times New Roman" w:cs="Times New Roman"/>
                <w:bCs/>
                <w:i/>
                <w:iCs/>
              </w:rPr>
              <w:t>“Xây dựng cơ chế, chính sách hỗ trợ, thu hút nguồn lực, ứng dụng khoa học công nghệ, chuyển đổi số, mở rộng thị trường cho kinh tế tập thể, hợp tác xã”</w:t>
            </w:r>
            <w:r w:rsidRPr="00D15205">
              <w:rPr>
                <w:rFonts w:ascii="Times New Roman" w:hAnsi="Times New Roman" w:cs="Times New Roman"/>
                <w:bCs/>
              </w:rPr>
              <w:t>.</w:t>
            </w:r>
            <w:r w:rsidR="0066081F">
              <w:rPr>
                <w:rFonts w:ascii="Times New Roman" w:hAnsi="Times New Roman" w:cs="Times New Roman"/>
                <w:bCs/>
                <w:lang w:val="en-US"/>
              </w:rPr>
              <w:t xml:space="preserve"> </w:t>
            </w:r>
          </w:p>
          <w:p w14:paraId="52030EBD" w14:textId="2724FBD2" w:rsidR="0074492E" w:rsidRDefault="007D0AB4" w:rsidP="00CB3742">
            <w:pPr>
              <w:tabs>
                <w:tab w:val="left" w:pos="309"/>
              </w:tabs>
              <w:autoSpaceDE w:val="0"/>
              <w:autoSpaceDN w:val="0"/>
              <w:adjustRightInd w:val="0"/>
              <w:spacing w:before="120" w:line="276" w:lineRule="auto"/>
              <w:ind w:left="167" w:right="137"/>
              <w:jc w:val="both"/>
              <w:rPr>
                <w:rFonts w:ascii="Times New Roman" w:hAnsi="Times New Roman" w:cs="Times New Roman"/>
                <w:lang w:val="en-US"/>
              </w:rPr>
            </w:pPr>
            <w:r>
              <w:rPr>
                <w:rFonts w:ascii="Times New Roman" w:hAnsi="Times New Roman" w:cs="Times New Roman"/>
                <w:lang w:val="en-US"/>
              </w:rPr>
              <w:t xml:space="preserve">- </w:t>
            </w:r>
            <w:r w:rsidR="0092273D" w:rsidRPr="00027EB3">
              <w:rPr>
                <w:rFonts w:ascii="Times New Roman" w:hAnsi="Times New Roman" w:cs="Times New Roman"/>
              </w:rPr>
              <w:t>Nghị quyết số 20-NQ/TW ngày 16 tháng 6 năm 2022; Nghị quyết số 68-NQ/TW ngày 04 tháng 5 năm 2025 của Bộ Chính trị về phát triển kinh tế tư nhân; Nghị quyết số 57-NQ/TW của Bộ Chính trị về đột phá phát triển khoa học, công nghệ, đổi mới sáng tạo và chuyển đổi số quốc gia</w:t>
            </w:r>
            <w:r w:rsidR="0074492E">
              <w:rPr>
                <w:rFonts w:ascii="Times New Roman" w:hAnsi="Times New Roman" w:cs="Times New Roman"/>
                <w:lang w:val="en-US"/>
              </w:rPr>
              <w:t>.</w:t>
            </w:r>
          </w:p>
          <w:p w14:paraId="5AC9324B" w14:textId="2FC01E7F" w:rsidR="00390A58" w:rsidRPr="008328D6" w:rsidRDefault="0074492E" w:rsidP="00CB3742">
            <w:pPr>
              <w:tabs>
                <w:tab w:val="left" w:pos="309"/>
              </w:tabs>
              <w:autoSpaceDE w:val="0"/>
              <w:autoSpaceDN w:val="0"/>
              <w:adjustRightInd w:val="0"/>
              <w:spacing w:before="120" w:line="276" w:lineRule="auto"/>
              <w:ind w:left="167" w:right="137"/>
              <w:jc w:val="both"/>
              <w:rPr>
                <w:rFonts w:ascii="Times New Roman" w:hAnsi="Times New Roman" w:cs="Times New Roman"/>
                <w:spacing w:val="-2"/>
              </w:rPr>
            </w:pPr>
            <w:r w:rsidRPr="008328D6">
              <w:rPr>
                <w:rFonts w:ascii="Times New Roman" w:hAnsi="Times New Roman" w:cs="Times New Roman"/>
                <w:spacing w:val="-2"/>
                <w:lang w:val="en-US"/>
              </w:rPr>
              <w:t xml:space="preserve">- </w:t>
            </w:r>
            <w:r w:rsidR="00390A58" w:rsidRPr="008328D6">
              <w:rPr>
                <w:rFonts w:ascii="Times New Roman" w:hAnsi="Times New Roman" w:cs="Times New Roman"/>
                <w:spacing w:val="-2"/>
              </w:rPr>
              <w:t xml:space="preserve">Nghị quyết số 66-NQ/TW ngày 30 tháng 4 năm 2025 của Bộ Chính trị về đổi mới công tác xây dựng và thi hành pháp luật đã đặt ra yêu cầu cải cách toàn diện quy trình xây dựng, ban hành và tổ chức thực thi pháp luật theo hướng đồng bộ, minh bạch, khả thi và hiệu quả, đáp ứng yêu cầu phát triển nhanh và bền vững của đất nước trong giai </w:t>
            </w:r>
            <w:r w:rsidR="00390A58" w:rsidRPr="008328D6">
              <w:rPr>
                <w:rFonts w:ascii="Times New Roman" w:hAnsi="Times New Roman" w:cs="Times New Roman"/>
                <w:spacing w:val="-2"/>
              </w:rPr>
              <w:lastRenderedPageBreak/>
              <w:t>đoạn mới. Nghị quyết nhấn mạnh việc hoàn thiện hệ thống pháp luật theo hướng ổn định, dễ tiếp cận, giảm chồng chéo, mâu thuẫn; đồng thời tăng cường kỷ luật, kỷ cương trong tổ chức thi hành pháp luật, gắn trách nhiệm của cơ quan, tổ chức và người đứng đầu trong quá trình thực thi.</w:t>
            </w:r>
          </w:p>
        </w:tc>
        <w:tc>
          <w:tcPr>
            <w:tcW w:w="1251" w:type="pct"/>
            <w:tcBorders>
              <w:top w:val="single" w:sz="3" w:space="0" w:color="000000"/>
              <w:left w:val="single" w:sz="3" w:space="0" w:color="000000"/>
              <w:bottom w:val="single" w:sz="3" w:space="0" w:color="000000"/>
              <w:right w:val="nil"/>
            </w:tcBorders>
            <w:shd w:val="clear" w:color="auto" w:fill="FFFFFF"/>
            <w:vAlign w:val="center"/>
          </w:tcPr>
          <w:p w14:paraId="739B535D" w14:textId="0C0E3CB9" w:rsidR="0092273D" w:rsidRPr="00027EB3"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Fonts w:ascii="Times New Roman" w:hAnsi="Times New Roman" w:cs="Times New Roman"/>
              </w:rPr>
              <w:lastRenderedPageBreak/>
              <w:t>Các nội dung hỗ trợ mới như chuyển đổi số, nâng cao năng lực quản trị, hỗ trợ tư vấn... phù hợp với định hướng phát triển kinh tế tập thể, tuy nhiên chưa được thể chế đầy đủ trong Nghị định hiện hành</w:t>
            </w:r>
          </w:p>
        </w:tc>
        <w:tc>
          <w:tcPr>
            <w:tcW w:w="1226"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8DA1B1C" w14:textId="193C450C" w:rsidR="0092273D" w:rsidRPr="00027EB3" w:rsidRDefault="0092273D" w:rsidP="00CB3742">
            <w:pPr>
              <w:tabs>
                <w:tab w:val="left" w:pos="309"/>
              </w:tabs>
              <w:autoSpaceDE w:val="0"/>
              <w:autoSpaceDN w:val="0"/>
              <w:adjustRightInd w:val="0"/>
              <w:spacing w:before="120" w:line="276" w:lineRule="auto"/>
              <w:ind w:left="167" w:right="137"/>
              <w:jc w:val="both"/>
              <w:rPr>
                <w:rFonts w:ascii="Times New Roman" w:hAnsi="Times New Roman" w:cs="Times New Roman"/>
              </w:rPr>
            </w:pPr>
            <w:r w:rsidRPr="00027EB3">
              <w:rPr>
                <w:rFonts w:ascii="Times New Roman" w:hAnsi="Times New Roman" w:cs="Times New Roman"/>
              </w:rPr>
              <w:t>Bổ sung các quy định hỗ trợ phù hợp với phạm vi điều chỉnh của Nghị định, bảo đảm không vượt thẩm quyền và có căn cứ pháp lý rõ ràng</w:t>
            </w:r>
          </w:p>
        </w:tc>
      </w:tr>
    </w:tbl>
    <w:p w14:paraId="7496511E" w14:textId="57E9416A" w:rsidR="007B4BE3" w:rsidRDefault="007B4BE3" w:rsidP="007B4BE3">
      <w:pPr>
        <w:autoSpaceDE w:val="0"/>
        <w:autoSpaceDN w:val="0"/>
        <w:adjustRightInd w:val="0"/>
        <w:spacing w:before="120"/>
        <w:rPr>
          <w:rFonts w:ascii="Times New Roman" w:hAnsi="Times New Roman" w:cs="Times New Roman"/>
          <w:b/>
          <w:bCs/>
          <w:sz w:val="28"/>
          <w:szCs w:val="28"/>
        </w:rPr>
      </w:pPr>
      <w:r w:rsidRPr="00027EB3">
        <w:rPr>
          <w:rFonts w:ascii="Times New Roman" w:hAnsi="Times New Roman" w:cs="Times New Roman"/>
          <w:b/>
          <w:bCs/>
          <w:sz w:val="28"/>
          <w:szCs w:val="28"/>
          <w:lang w:val="en"/>
        </w:rPr>
        <w:t>2. Văn b</w:t>
      </w:r>
      <w:r w:rsidRPr="00027EB3">
        <w:rPr>
          <w:rFonts w:ascii="Times New Roman" w:hAnsi="Times New Roman" w:cs="Times New Roman"/>
          <w:b/>
          <w:bCs/>
          <w:sz w:val="28"/>
          <w:szCs w:val="28"/>
        </w:rPr>
        <w:t>ản quy phạm ph</w:t>
      </w:r>
      <w:r w:rsidRPr="00027EB3">
        <w:rPr>
          <w:rFonts w:ascii="Times New Roman" w:hAnsi="Times New Roman" w:cs="Times New Roman"/>
          <w:b/>
          <w:bCs/>
          <w:sz w:val="28"/>
          <w:szCs w:val="28"/>
          <w:lang w:val="en-US"/>
        </w:rPr>
        <w:t>áp lu</w:t>
      </w:r>
      <w:r w:rsidRPr="00027EB3">
        <w:rPr>
          <w:rFonts w:ascii="Times New Roman" w:hAnsi="Times New Roman" w:cs="Times New Roman"/>
          <w:b/>
          <w:bCs/>
          <w:sz w:val="28"/>
          <w:szCs w:val="28"/>
        </w:rPr>
        <w:t>ật c</w:t>
      </w:r>
      <w:r w:rsidRPr="00027EB3">
        <w:rPr>
          <w:rFonts w:ascii="Times New Roman" w:hAnsi="Times New Roman" w:cs="Times New Roman"/>
          <w:b/>
          <w:bCs/>
          <w:sz w:val="28"/>
          <w:szCs w:val="28"/>
          <w:lang w:val="en-US"/>
        </w:rPr>
        <w:t>ó liên quan đ</w:t>
      </w:r>
      <w:r w:rsidRPr="00027EB3">
        <w:rPr>
          <w:rFonts w:ascii="Times New Roman" w:hAnsi="Times New Roman" w:cs="Times New Roman"/>
          <w:b/>
          <w:bCs/>
          <w:sz w:val="28"/>
          <w:szCs w:val="28"/>
        </w:rPr>
        <w:t>ến ch</w:t>
      </w:r>
      <w:r w:rsidRPr="00027EB3">
        <w:rPr>
          <w:rFonts w:ascii="Times New Roman" w:hAnsi="Times New Roman" w:cs="Times New Roman"/>
          <w:b/>
          <w:bCs/>
          <w:sz w:val="28"/>
          <w:szCs w:val="28"/>
          <w:lang w:val="en-US"/>
        </w:rPr>
        <w:t>ính sách/d</w:t>
      </w:r>
      <w:r w:rsidRPr="00027EB3">
        <w:rPr>
          <w:rFonts w:ascii="Times New Roman" w:hAnsi="Times New Roman" w:cs="Times New Roman"/>
          <w:b/>
          <w:bCs/>
          <w:sz w:val="28"/>
          <w:szCs w:val="28"/>
        </w:rPr>
        <w:t>ự thảo</w:t>
      </w:r>
    </w:p>
    <w:tbl>
      <w:tblPr>
        <w:tblW w:w="5402" w:type="pct"/>
        <w:tblInd w:w="-430" w:type="dxa"/>
        <w:tblCellMar>
          <w:left w:w="0" w:type="dxa"/>
          <w:right w:w="0" w:type="dxa"/>
        </w:tblCellMar>
        <w:tblLook w:val="0000" w:firstRow="0" w:lastRow="0" w:firstColumn="0" w:lastColumn="0" w:noHBand="0" w:noVBand="0"/>
      </w:tblPr>
      <w:tblGrid>
        <w:gridCol w:w="3689"/>
        <w:gridCol w:w="4796"/>
        <w:gridCol w:w="3688"/>
        <w:gridCol w:w="3562"/>
      </w:tblGrid>
      <w:tr w:rsidR="009E3A84" w:rsidRPr="00027EB3" w14:paraId="323CFB79" w14:textId="77777777" w:rsidTr="00860C96">
        <w:trPr>
          <w:trHeight w:val="957"/>
        </w:trPr>
        <w:tc>
          <w:tcPr>
            <w:tcW w:w="1172" w:type="pct"/>
            <w:tcBorders>
              <w:top w:val="single" w:sz="3" w:space="0" w:color="000000"/>
              <w:left w:val="single" w:sz="3" w:space="0" w:color="000000"/>
              <w:bottom w:val="nil"/>
              <w:right w:val="nil"/>
            </w:tcBorders>
            <w:shd w:val="clear" w:color="auto" w:fill="FFFFFF"/>
            <w:vAlign w:val="center"/>
          </w:tcPr>
          <w:p w14:paraId="1C35D577" w14:textId="7B9A1D08" w:rsidR="00715186" w:rsidRPr="00027EB3" w:rsidRDefault="00715186" w:rsidP="00A67E94">
            <w:pPr>
              <w:autoSpaceDE w:val="0"/>
              <w:autoSpaceDN w:val="0"/>
              <w:adjustRightInd w:val="0"/>
              <w:spacing w:before="120"/>
              <w:jc w:val="center"/>
              <w:rPr>
                <w:rFonts w:ascii="Times New Roman" w:hAnsi="Times New Roman" w:cs="Times New Roman"/>
              </w:rPr>
            </w:pPr>
            <w:r w:rsidRPr="00027EB3">
              <w:rPr>
                <w:rFonts w:ascii="Times New Roman" w:hAnsi="Times New Roman" w:cs="Times New Roman"/>
                <w:b/>
                <w:bCs/>
              </w:rPr>
              <w:t>CHÍNH SÁCH/QUY ĐỊNH CỦA DỰ THẢO VĂN BẢN</w:t>
            </w:r>
          </w:p>
        </w:tc>
        <w:tc>
          <w:tcPr>
            <w:tcW w:w="1524" w:type="pct"/>
            <w:tcBorders>
              <w:top w:val="single" w:sz="3" w:space="0" w:color="000000"/>
              <w:left w:val="single" w:sz="3" w:space="0" w:color="000000"/>
              <w:bottom w:val="nil"/>
              <w:right w:val="nil"/>
            </w:tcBorders>
            <w:shd w:val="clear" w:color="auto" w:fill="FFFFFF"/>
            <w:vAlign w:val="center"/>
          </w:tcPr>
          <w:p w14:paraId="584AF83E" w14:textId="6258AD7F" w:rsidR="00715186" w:rsidRPr="00027EB3" w:rsidRDefault="00715186" w:rsidP="00A67E94">
            <w:pPr>
              <w:autoSpaceDE w:val="0"/>
              <w:autoSpaceDN w:val="0"/>
              <w:adjustRightInd w:val="0"/>
              <w:spacing w:before="120"/>
              <w:jc w:val="center"/>
              <w:rPr>
                <w:rFonts w:ascii="Times New Roman" w:hAnsi="Times New Roman" w:cs="Times New Roman"/>
                <w:bCs/>
                <w:sz w:val="22"/>
                <w:szCs w:val="22"/>
              </w:rPr>
            </w:pPr>
            <w:r w:rsidRPr="00027EB3">
              <w:rPr>
                <w:rFonts w:ascii="Times New Roman" w:hAnsi="Times New Roman" w:cs="Times New Roman"/>
                <w:b/>
                <w:bCs/>
              </w:rPr>
              <w:t>QUY ĐỊNH CỦA PHÁP LUẬT HIỆN HÀNH CÓ LIÊN QUAN</w:t>
            </w:r>
          </w:p>
        </w:tc>
        <w:tc>
          <w:tcPr>
            <w:tcW w:w="1172" w:type="pct"/>
            <w:tcBorders>
              <w:top w:val="single" w:sz="3" w:space="0" w:color="000000"/>
              <w:left w:val="single" w:sz="3" w:space="0" w:color="000000"/>
              <w:bottom w:val="nil"/>
              <w:right w:val="nil"/>
            </w:tcBorders>
            <w:shd w:val="clear" w:color="auto" w:fill="FFFFFF"/>
            <w:vAlign w:val="center"/>
          </w:tcPr>
          <w:p w14:paraId="4F223D56" w14:textId="7F04C90F" w:rsidR="00715186" w:rsidRPr="00027EB3" w:rsidRDefault="00715186" w:rsidP="00A67E94">
            <w:pPr>
              <w:autoSpaceDE w:val="0"/>
              <w:autoSpaceDN w:val="0"/>
              <w:adjustRightInd w:val="0"/>
              <w:spacing w:before="120"/>
              <w:jc w:val="center"/>
              <w:rPr>
                <w:rFonts w:ascii="Times New Roman" w:hAnsi="Times New Roman" w:cs="Times New Roman"/>
              </w:rPr>
            </w:pPr>
            <w:r w:rsidRPr="00027EB3">
              <w:rPr>
                <w:rFonts w:ascii="Times New Roman" w:hAnsi="Times New Roman" w:cs="Times New Roman"/>
                <w:b/>
                <w:bCs/>
              </w:rPr>
              <w:t>ĐÁNH GIÁ (tính hợp hiến, tính hợp pháp, tính thống nhất)</w:t>
            </w:r>
          </w:p>
        </w:tc>
        <w:tc>
          <w:tcPr>
            <w:tcW w:w="1132" w:type="pct"/>
            <w:tcBorders>
              <w:top w:val="single" w:sz="3" w:space="0" w:color="000000"/>
              <w:left w:val="single" w:sz="3" w:space="0" w:color="000000"/>
              <w:bottom w:val="nil"/>
              <w:right w:val="single" w:sz="3" w:space="0" w:color="000000"/>
            </w:tcBorders>
            <w:shd w:val="clear" w:color="auto" w:fill="FFFFFF"/>
            <w:vAlign w:val="center"/>
          </w:tcPr>
          <w:p w14:paraId="6F97EBC6" w14:textId="75A2422D" w:rsidR="00715186" w:rsidRPr="00027EB3" w:rsidRDefault="00715186" w:rsidP="00A67E94">
            <w:pPr>
              <w:autoSpaceDE w:val="0"/>
              <w:autoSpaceDN w:val="0"/>
              <w:adjustRightInd w:val="0"/>
              <w:spacing w:before="120"/>
              <w:jc w:val="center"/>
              <w:rPr>
                <w:rFonts w:ascii="Times New Roman" w:hAnsi="Times New Roman" w:cs="Times New Roman"/>
              </w:rPr>
            </w:pPr>
            <w:r w:rsidRPr="00027EB3">
              <w:rPr>
                <w:rFonts w:ascii="Times New Roman" w:hAnsi="Times New Roman" w:cs="Times New Roman"/>
                <w:b/>
                <w:bCs/>
              </w:rPr>
              <w:t>ĐỀ XUẤT XỬ LÝ</w:t>
            </w:r>
          </w:p>
        </w:tc>
      </w:tr>
      <w:tr w:rsidR="009E3A84" w:rsidRPr="00027EB3" w14:paraId="7DDB2110" w14:textId="77777777" w:rsidTr="00860C96">
        <w:tc>
          <w:tcPr>
            <w:tcW w:w="1172" w:type="pct"/>
            <w:tcBorders>
              <w:top w:val="single" w:sz="3" w:space="0" w:color="000000"/>
              <w:left w:val="single" w:sz="3" w:space="0" w:color="000000"/>
              <w:bottom w:val="nil"/>
              <w:right w:val="nil"/>
            </w:tcBorders>
            <w:shd w:val="clear" w:color="auto" w:fill="FFFFFF"/>
            <w:vAlign w:val="center"/>
          </w:tcPr>
          <w:p w14:paraId="7F8B4104" w14:textId="6CD1B0C1" w:rsidR="00715186" w:rsidRPr="00027EB3" w:rsidRDefault="00715186" w:rsidP="00CB3742">
            <w:pPr>
              <w:autoSpaceDE w:val="0"/>
              <w:autoSpaceDN w:val="0"/>
              <w:adjustRightInd w:val="0"/>
              <w:spacing w:before="120"/>
              <w:ind w:left="142" w:right="137"/>
              <w:jc w:val="both"/>
              <w:rPr>
                <w:rFonts w:ascii="Times New Roman" w:hAnsi="Times New Roman" w:cs="Times New Roman"/>
              </w:rPr>
            </w:pPr>
            <w:r w:rsidRPr="00027EB3">
              <w:rPr>
                <w:rStyle w:val="Strong"/>
                <w:rFonts w:ascii="Times New Roman" w:eastAsiaTheme="majorEastAsia" w:hAnsi="Times New Roman" w:cs="Times New Roman"/>
              </w:rPr>
              <w:t>Chính sách 1: Hoàn thiện quy định về phân cấp, phân quyền trong tổ chức thực hiện chính sách hỗ trợ tổ hợp tác, hợp tác xã, liên hiệp hợp tác xã phù hợp với mô hình tổ chức chính quyền địa phương 02 cấp</w:t>
            </w:r>
          </w:p>
        </w:tc>
        <w:tc>
          <w:tcPr>
            <w:tcW w:w="1524" w:type="pct"/>
            <w:tcBorders>
              <w:top w:val="single" w:sz="3" w:space="0" w:color="000000"/>
              <w:left w:val="single" w:sz="3" w:space="0" w:color="000000"/>
              <w:bottom w:val="nil"/>
              <w:right w:val="nil"/>
            </w:tcBorders>
            <w:shd w:val="clear" w:color="auto" w:fill="FFFFFF"/>
            <w:vAlign w:val="center"/>
          </w:tcPr>
          <w:p w14:paraId="45AFF1B5" w14:textId="77777777" w:rsidR="00715186" w:rsidRDefault="00715186" w:rsidP="00CB3742">
            <w:pPr>
              <w:autoSpaceDE w:val="0"/>
              <w:autoSpaceDN w:val="0"/>
              <w:adjustRightInd w:val="0"/>
              <w:spacing w:before="120"/>
              <w:ind w:left="142" w:right="137"/>
              <w:jc w:val="both"/>
              <w:rPr>
                <w:rFonts w:ascii="Times New Roman" w:hAnsi="Times New Roman" w:cs="Times New Roman"/>
              </w:rPr>
            </w:pPr>
            <w:r w:rsidRPr="00027EB3">
              <w:rPr>
                <w:rFonts w:ascii="Times New Roman" w:hAnsi="Times New Roman" w:cs="Times New Roman"/>
              </w:rPr>
              <w:t>Luật Tổ chức chính quyền địa phương năm 2025; Nghị định số 113/2024/NĐ-CP ngày 12 tháng 9 năm 2024 của Chính phủ; Nghị định số 125/2025/NĐ-CP ngày 11 tháng 6 năm 2025 của Chính phủ về phân định nhiệm vụ, quyền hạn của chính quyền địa phương theo mô hình tổ chức chính quyền địa phương 02 cấp</w:t>
            </w:r>
          </w:p>
          <w:p w14:paraId="4FDEC75A" w14:textId="77777777" w:rsidR="00B04FA1" w:rsidRDefault="00B04FA1" w:rsidP="00CB3742">
            <w:pPr>
              <w:autoSpaceDE w:val="0"/>
              <w:autoSpaceDN w:val="0"/>
              <w:adjustRightInd w:val="0"/>
              <w:spacing w:before="120"/>
              <w:ind w:left="142" w:right="137"/>
              <w:jc w:val="both"/>
              <w:rPr>
                <w:rFonts w:ascii="Times New Roman" w:hAnsi="Times New Roman" w:cs="Times New Roman"/>
              </w:rPr>
            </w:pPr>
          </w:p>
          <w:p w14:paraId="1C4A208E" w14:textId="09D873CA" w:rsidR="00B04FA1" w:rsidRPr="00027EB3" w:rsidRDefault="00B04FA1" w:rsidP="00CB3742">
            <w:pPr>
              <w:autoSpaceDE w:val="0"/>
              <w:autoSpaceDN w:val="0"/>
              <w:adjustRightInd w:val="0"/>
              <w:spacing w:before="120"/>
              <w:ind w:left="142" w:right="137"/>
              <w:jc w:val="both"/>
              <w:rPr>
                <w:rFonts w:ascii="Times New Roman" w:hAnsi="Times New Roman" w:cs="Times New Roman"/>
                <w:bCs/>
                <w:sz w:val="22"/>
                <w:szCs w:val="22"/>
              </w:rPr>
            </w:pPr>
          </w:p>
        </w:tc>
        <w:tc>
          <w:tcPr>
            <w:tcW w:w="1172" w:type="pct"/>
            <w:tcBorders>
              <w:top w:val="single" w:sz="3" w:space="0" w:color="000000"/>
              <w:left w:val="single" w:sz="3" w:space="0" w:color="000000"/>
              <w:bottom w:val="nil"/>
              <w:right w:val="nil"/>
            </w:tcBorders>
            <w:shd w:val="clear" w:color="auto" w:fill="FFFFFF"/>
            <w:vAlign w:val="center"/>
          </w:tcPr>
          <w:p w14:paraId="62CFA2DA" w14:textId="786EA902" w:rsidR="00B04FA1" w:rsidRPr="008328D6" w:rsidRDefault="00B04FA1" w:rsidP="00CB3742">
            <w:pPr>
              <w:autoSpaceDE w:val="0"/>
              <w:autoSpaceDN w:val="0"/>
              <w:adjustRightInd w:val="0"/>
              <w:spacing w:before="120"/>
              <w:ind w:left="142" w:right="137"/>
              <w:jc w:val="both"/>
              <w:rPr>
                <w:rFonts w:ascii="Times New Roman" w:hAnsi="Times New Roman" w:cs="Times New Roman"/>
                <w:spacing w:val="-2"/>
              </w:rPr>
            </w:pPr>
            <w:r w:rsidRPr="008328D6">
              <w:rPr>
                <w:rFonts w:ascii="Times New Roman" w:hAnsi="Times New Roman" w:cs="Times New Roman"/>
                <w:spacing w:val="-2"/>
              </w:rPr>
              <w:t>Nghị định số 113/2024/NĐ-CP được xây dựng trên cơ sở mô hình chính quyền địa phương 03 cấp, trong đó vẫn còn nhiều quy định giao nhiệm vụ, thẩm quyền cho Ủy ban nhân dân cấp huyện. Trong khi đó, hệ thống pháp luật hiện hành, đặc biệt là Luật Tổ chức chính quyền địa phương năm 2025 và Nghị định số 125/2025/NĐ-CP đã xác lập mô hình chính quyền địa phương 02 cấp, yêu cầu phân định rõ thẩm quyền giữa cấp tỉnh và cấp xã. Nếu giữ nguyên quy định hiện hành sẽ dẫn đến mâu thuẫn, không bảo đảm tính thống nhất của hệ thống pháp luật, đồng thời gây khó khăn trong tổ chức thực hiện. Do đó, việc sửa đổi là cần thiết để bảo đảm tính hợp hiến, hợp pháp và phù hợp với tổ chức bộ máy nhà nước hiện hành</w:t>
            </w:r>
          </w:p>
        </w:tc>
        <w:tc>
          <w:tcPr>
            <w:tcW w:w="1132" w:type="pct"/>
            <w:tcBorders>
              <w:top w:val="single" w:sz="3" w:space="0" w:color="000000"/>
              <w:left w:val="single" w:sz="3" w:space="0" w:color="000000"/>
              <w:bottom w:val="nil"/>
              <w:right w:val="single" w:sz="3" w:space="0" w:color="000000"/>
            </w:tcBorders>
            <w:shd w:val="clear" w:color="auto" w:fill="FFFFFF"/>
            <w:vAlign w:val="center"/>
          </w:tcPr>
          <w:p w14:paraId="07F3E851" w14:textId="16D953BF" w:rsidR="00715186" w:rsidRPr="00150B90" w:rsidRDefault="00715186" w:rsidP="00CB3742">
            <w:pPr>
              <w:autoSpaceDE w:val="0"/>
              <w:autoSpaceDN w:val="0"/>
              <w:adjustRightInd w:val="0"/>
              <w:spacing w:before="120"/>
              <w:ind w:left="142" w:right="137"/>
              <w:jc w:val="both"/>
              <w:rPr>
                <w:rFonts w:ascii="Times New Roman" w:hAnsi="Times New Roman" w:cs="Times New Roman"/>
                <w:lang w:val="en-US"/>
              </w:rPr>
            </w:pPr>
            <w:r w:rsidRPr="00150B90">
              <w:rPr>
                <w:rFonts w:ascii="Times New Roman" w:hAnsi="Times New Roman" w:cs="Times New Roman"/>
              </w:rPr>
              <w:t>Rà soát, sửa đổi toàn bộ các điều, khoản còn quy định thẩm quyền của cấp huyện; phân định lại rõ thẩm quyền giữa cấp tỉnh và cấp xã; bảo đảm phù hợp với mô hình tổ chức chính quyền địa phương 02 cấp</w:t>
            </w:r>
            <w:r w:rsidR="00150B90" w:rsidRPr="00150B90">
              <w:rPr>
                <w:rFonts w:ascii="Times New Roman" w:hAnsi="Times New Roman" w:cs="Times New Roman"/>
                <w:lang w:val="en-US"/>
              </w:rPr>
              <w:t xml:space="preserve">, </w:t>
            </w:r>
            <w:r w:rsidR="00150B90" w:rsidRPr="00150B90">
              <w:rPr>
                <w:rFonts w:ascii="Times New Roman" w:hAnsi="Times New Roman" w:cs="Times New Roman"/>
              </w:rPr>
              <w:t xml:space="preserve">thống nhất với Luật Tổ chức chính quyền địa phương </w:t>
            </w:r>
            <w:r w:rsidR="00150B90" w:rsidRPr="00150B90">
              <w:rPr>
                <w:rFonts w:ascii="Times New Roman" w:hAnsi="Times New Roman" w:cs="Times New Roman"/>
                <w:lang w:val="en-US"/>
              </w:rPr>
              <w:t xml:space="preserve">2025 </w:t>
            </w:r>
            <w:r w:rsidR="00150B90" w:rsidRPr="00150B90">
              <w:rPr>
                <w:rFonts w:ascii="Times New Roman" w:hAnsi="Times New Roman" w:cs="Times New Roman"/>
              </w:rPr>
              <w:t>và các văn bản có liên quan</w:t>
            </w:r>
            <w:r w:rsidR="00150B90" w:rsidRPr="00150B90">
              <w:rPr>
                <w:rFonts w:ascii="Times New Roman" w:hAnsi="Times New Roman" w:cs="Times New Roman"/>
                <w:lang w:val="en-US"/>
              </w:rPr>
              <w:t>.</w:t>
            </w:r>
          </w:p>
          <w:p w14:paraId="52A77909" w14:textId="2151BD4D" w:rsidR="00150B90" w:rsidRPr="00150B90" w:rsidRDefault="00150B90" w:rsidP="00CB3742">
            <w:pPr>
              <w:autoSpaceDE w:val="0"/>
              <w:autoSpaceDN w:val="0"/>
              <w:adjustRightInd w:val="0"/>
              <w:spacing w:before="120"/>
              <w:ind w:left="142" w:right="137"/>
              <w:jc w:val="both"/>
              <w:rPr>
                <w:rFonts w:ascii="Times New Roman" w:hAnsi="Times New Roman" w:cs="Times New Roman"/>
                <w:lang w:val="en-US"/>
              </w:rPr>
            </w:pPr>
          </w:p>
        </w:tc>
      </w:tr>
      <w:tr w:rsidR="009E3A84" w:rsidRPr="00027EB3" w14:paraId="57B06A66" w14:textId="77777777" w:rsidTr="00860C96">
        <w:tc>
          <w:tcPr>
            <w:tcW w:w="1172" w:type="pct"/>
            <w:tcBorders>
              <w:top w:val="single" w:sz="3" w:space="0" w:color="000000"/>
              <w:left w:val="single" w:sz="3" w:space="0" w:color="000000"/>
              <w:bottom w:val="nil"/>
              <w:right w:val="nil"/>
            </w:tcBorders>
            <w:shd w:val="clear" w:color="auto" w:fill="FFFFFF"/>
            <w:vAlign w:val="center"/>
          </w:tcPr>
          <w:p w14:paraId="04A77845" w14:textId="2927F088" w:rsidR="00715186" w:rsidRPr="00027EB3" w:rsidRDefault="00715186" w:rsidP="00CB3742">
            <w:pPr>
              <w:autoSpaceDE w:val="0"/>
              <w:autoSpaceDN w:val="0"/>
              <w:adjustRightInd w:val="0"/>
              <w:spacing w:before="120"/>
              <w:ind w:left="142" w:right="137"/>
              <w:jc w:val="both"/>
              <w:rPr>
                <w:rFonts w:ascii="Times New Roman" w:hAnsi="Times New Roman" w:cs="Times New Roman"/>
              </w:rPr>
            </w:pPr>
            <w:r w:rsidRPr="00027EB3">
              <w:rPr>
                <w:rStyle w:val="Strong"/>
                <w:rFonts w:ascii="Times New Roman" w:eastAsiaTheme="majorEastAsia" w:hAnsi="Times New Roman" w:cs="Times New Roman"/>
              </w:rPr>
              <w:t>Chính sách 2: Hoàn thiện cơ chế quản lý, sử dụng kinh phí hỗ trợ tổ hợp tác, hợp tác xã, liên hiệp hợp tác xã theo quy định của pháp luật về ngân sách nhà nước</w:t>
            </w:r>
          </w:p>
        </w:tc>
        <w:tc>
          <w:tcPr>
            <w:tcW w:w="1524" w:type="pct"/>
            <w:tcBorders>
              <w:top w:val="single" w:sz="3" w:space="0" w:color="000000"/>
              <w:left w:val="single" w:sz="3" w:space="0" w:color="000000"/>
              <w:bottom w:val="nil"/>
              <w:right w:val="nil"/>
            </w:tcBorders>
            <w:shd w:val="clear" w:color="auto" w:fill="FFFFFF"/>
            <w:vAlign w:val="center"/>
          </w:tcPr>
          <w:p w14:paraId="27BD9488" w14:textId="1EEAA9C5" w:rsidR="00FD6A55" w:rsidRPr="00027EB3" w:rsidRDefault="00715186" w:rsidP="00CB3742">
            <w:pPr>
              <w:autoSpaceDE w:val="0"/>
              <w:autoSpaceDN w:val="0"/>
              <w:adjustRightInd w:val="0"/>
              <w:spacing w:before="120"/>
              <w:ind w:left="142" w:right="137"/>
              <w:jc w:val="both"/>
              <w:rPr>
                <w:rFonts w:ascii="Times New Roman" w:hAnsi="Times New Roman" w:cs="Times New Roman"/>
                <w:bCs/>
                <w:sz w:val="22"/>
                <w:szCs w:val="22"/>
              </w:rPr>
            </w:pPr>
            <w:r w:rsidRPr="00027EB3">
              <w:rPr>
                <w:rFonts w:ascii="Times New Roman" w:hAnsi="Times New Roman" w:cs="Times New Roman"/>
              </w:rPr>
              <w:t>Luật Ngân sách nhà nước năm 20</w:t>
            </w:r>
            <w:r w:rsidR="00C8144D">
              <w:rPr>
                <w:rFonts w:ascii="Times New Roman" w:hAnsi="Times New Roman" w:cs="Times New Roman"/>
                <w:lang w:val="en-US"/>
              </w:rPr>
              <w:t>25</w:t>
            </w:r>
            <w:r w:rsidRPr="00027EB3">
              <w:rPr>
                <w:rFonts w:ascii="Times New Roman" w:hAnsi="Times New Roman" w:cs="Times New Roman"/>
              </w:rPr>
              <w:t xml:space="preserve"> (đã được sửa đổi, bổ sung); Nghị định số 113/2024/NĐ-CP ngày 12 tháng 9 năm 2024 của Chính phủ; các văn bản hướng dẫn thi hành có liên quan</w:t>
            </w:r>
            <w:r w:rsidR="00FD6A55" w:rsidRPr="00027EB3">
              <w:rPr>
                <w:rFonts w:ascii="Times New Roman" w:hAnsi="Times New Roman" w:cs="Times New Roman"/>
                <w:lang w:val="en-US"/>
              </w:rPr>
              <w:t xml:space="preserve">; </w:t>
            </w:r>
            <w:r w:rsidR="00FD6A55" w:rsidRPr="00027EB3">
              <w:rPr>
                <w:rFonts w:ascii="Times New Roman" w:hAnsi="Times New Roman" w:cs="Times New Roman"/>
              </w:rPr>
              <w:t>Nghị quyết số 176/2025/QH15 ngày 18/02/2025 của Quốc hội; Nghị định số 29/2025/NĐ-CP ngày 24/02/2025 của Chính phủ quy định chức năng, nhiệm vụ, quyền hạn và cơ cấu tổ chức của Bộ Tài chính</w:t>
            </w:r>
          </w:p>
        </w:tc>
        <w:tc>
          <w:tcPr>
            <w:tcW w:w="1172" w:type="pct"/>
            <w:tcBorders>
              <w:top w:val="single" w:sz="3" w:space="0" w:color="000000"/>
              <w:left w:val="single" w:sz="3" w:space="0" w:color="000000"/>
              <w:bottom w:val="nil"/>
              <w:right w:val="nil"/>
            </w:tcBorders>
            <w:shd w:val="clear" w:color="auto" w:fill="FFFFFF"/>
            <w:vAlign w:val="center"/>
          </w:tcPr>
          <w:p w14:paraId="2EF7F85A" w14:textId="3E1AA83A" w:rsidR="00715186" w:rsidRPr="008328D6" w:rsidRDefault="00715186" w:rsidP="00CB3742">
            <w:pPr>
              <w:autoSpaceDE w:val="0"/>
              <w:autoSpaceDN w:val="0"/>
              <w:adjustRightInd w:val="0"/>
              <w:spacing w:before="120"/>
              <w:ind w:left="142" w:right="137"/>
              <w:jc w:val="both"/>
              <w:rPr>
                <w:rFonts w:ascii="Times New Roman" w:hAnsi="Times New Roman" w:cs="Times New Roman"/>
                <w:spacing w:val="-2"/>
              </w:rPr>
            </w:pPr>
            <w:r w:rsidRPr="008328D6">
              <w:rPr>
                <w:rFonts w:ascii="Times New Roman" w:hAnsi="Times New Roman" w:cs="Times New Roman"/>
                <w:spacing w:val="-2"/>
              </w:rPr>
              <w:t xml:space="preserve">Nghị định số 113/2024/NĐ-CP hiện hành chủ yếu quy định về nội dung và đối tượng hỗ trợ, chưa quy định đầy đủ về cơ chế quản lý, sử dụng và quyết toán kinh phí; dẫn đến khoảng trống pháp lý giữa khâu phân bổ và tổ chức thực hiện kinh phí; việc bổ sung quy định là cần thiết và phù hợp với pháp luật về </w:t>
            </w:r>
            <w:r w:rsidRPr="008328D6">
              <w:rPr>
                <w:rFonts w:ascii="Times New Roman" w:hAnsi="Times New Roman" w:cs="Times New Roman"/>
                <w:spacing w:val="-2"/>
              </w:rPr>
              <w:lastRenderedPageBreak/>
              <w:t>ngân sách nhà nước, không làm phát sinh chính sách mới</w:t>
            </w:r>
          </w:p>
        </w:tc>
        <w:tc>
          <w:tcPr>
            <w:tcW w:w="1132" w:type="pct"/>
            <w:tcBorders>
              <w:top w:val="single" w:sz="3" w:space="0" w:color="000000"/>
              <w:left w:val="single" w:sz="3" w:space="0" w:color="000000"/>
              <w:bottom w:val="nil"/>
              <w:right w:val="single" w:sz="3" w:space="0" w:color="000000"/>
            </w:tcBorders>
            <w:shd w:val="clear" w:color="auto" w:fill="FFFFFF"/>
            <w:vAlign w:val="center"/>
          </w:tcPr>
          <w:p w14:paraId="79FF7174" w14:textId="1FB4971C" w:rsidR="00715186" w:rsidRPr="00027EB3" w:rsidRDefault="00715186" w:rsidP="00CB3742">
            <w:pPr>
              <w:autoSpaceDE w:val="0"/>
              <w:autoSpaceDN w:val="0"/>
              <w:adjustRightInd w:val="0"/>
              <w:spacing w:before="120"/>
              <w:ind w:left="142" w:right="137"/>
              <w:jc w:val="both"/>
              <w:rPr>
                <w:rFonts w:ascii="Times New Roman" w:hAnsi="Times New Roman" w:cs="Times New Roman"/>
              </w:rPr>
            </w:pPr>
            <w:r w:rsidRPr="00027EB3">
              <w:rPr>
                <w:rFonts w:ascii="Times New Roman" w:hAnsi="Times New Roman" w:cs="Times New Roman"/>
              </w:rPr>
              <w:lastRenderedPageBreak/>
              <w:t>Bổ sung quy định giao Bộ Tài chính chủ trì hướng dẫn việc lập dự toán, quản lý, sử dụng và quyết toán kinh phí thực hiện chính sách theo quy định của pháp luật về ngân sách nhà nước</w:t>
            </w:r>
          </w:p>
        </w:tc>
      </w:tr>
      <w:tr w:rsidR="009E3A84" w:rsidRPr="00027EB3" w14:paraId="0822C3F2" w14:textId="77777777" w:rsidTr="00860C96">
        <w:tc>
          <w:tcPr>
            <w:tcW w:w="1172" w:type="pct"/>
            <w:tcBorders>
              <w:top w:val="single" w:sz="3" w:space="0" w:color="000000"/>
              <w:left w:val="single" w:sz="3" w:space="0" w:color="000000"/>
              <w:bottom w:val="single" w:sz="4" w:space="0" w:color="auto"/>
              <w:right w:val="nil"/>
            </w:tcBorders>
            <w:shd w:val="clear" w:color="auto" w:fill="FFFFFF"/>
            <w:vAlign w:val="center"/>
          </w:tcPr>
          <w:p w14:paraId="1B501B45" w14:textId="6E15BF12" w:rsidR="00715186" w:rsidRPr="00027EB3" w:rsidRDefault="00715186" w:rsidP="00CB3742">
            <w:pPr>
              <w:autoSpaceDE w:val="0"/>
              <w:autoSpaceDN w:val="0"/>
              <w:adjustRightInd w:val="0"/>
              <w:spacing w:before="120"/>
              <w:ind w:left="142" w:right="137"/>
              <w:jc w:val="both"/>
              <w:rPr>
                <w:rFonts w:ascii="Times New Roman" w:hAnsi="Times New Roman" w:cs="Times New Roman"/>
              </w:rPr>
            </w:pPr>
            <w:r w:rsidRPr="00027EB3">
              <w:rPr>
                <w:rStyle w:val="Strong"/>
                <w:rFonts w:ascii="Times New Roman" w:eastAsiaTheme="majorEastAsia" w:hAnsi="Times New Roman" w:cs="Times New Roman"/>
              </w:rPr>
              <w:t>Chính sách 3: Hoàn thiện quy định về hỗ trợ đầu tư phát triển theo hướng thống nhất với pháp luật về đầu tư công</w:t>
            </w:r>
          </w:p>
        </w:tc>
        <w:tc>
          <w:tcPr>
            <w:tcW w:w="1524" w:type="pct"/>
            <w:tcBorders>
              <w:top w:val="single" w:sz="3" w:space="0" w:color="000000"/>
              <w:left w:val="single" w:sz="3" w:space="0" w:color="000000"/>
              <w:bottom w:val="single" w:sz="4" w:space="0" w:color="auto"/>
              <w:right w:val="nil"/>
            </w:tcBorders>
            <w:shd w:val="clear" w:color="auto" w:fill="FFFFFF"/>
            <w:vAlign w:val="center"/>
          </w:tcPr>
          <w:p w14:paraId="6B32DFAF" w14:textId="62F9CD73" w:rsidR="00715186" w:rsidRPr="00027EB3" w:rsidRDefault="00715186" w:rsidP="00CB3742">
            <w:pPr>
              <w:autoSpaceDE w:val="0"/>
              <w:autoSpaceDN w:val="0"/>
              <w:adjustRightInd w:val="0"/>
              <w:spacing w:before="120"/>
              <w:ind w:left="142" w:right="137" w:firstLine="222"/>
              <w:jc w:val="both"/>
              <w:rPr>
                <w:rFonts w:ascii="Times New Roman" w:hAnsi="Times New Roman" w:cs="Times New Roman"/>
                <w:bCs/>
                <w:sz w:val="22"/>
                <w:szCs w:val="22"/>
              </w:rPr>
            </w:pPr>
            <w:r w:rsidRPr="00027EB3">
              <w:rPr>
                <w:rFonts w:ascii="Times New Roman" w:hAnsi="Times New Roman" w:cs="Times New Roman"/>
              </w:rPr>
              <w:t>Luật Đầu tư công năm 20</w:t>
            </w:r>
            <w:r w:rsidR="00FD6A55" w:rsidRPr="00027EB3">
              <w:rPr>
                <w:rFonts w:ascii="Times New Roman" w:hAnsi="Times New Roman" w:cs="Times New Roman"/>
                <w:lang w:val="en-US"/>
              </w:rPr>
              <w:t>24</w:t>
            </w:r>
            <w:r w:rsidRPr="00027EB3">
              <w:rPr>
                <w:rFonts w:ascii="Times New Roman" w:hAnsi="Times New Roman" w:cs="Times New Roman"/>
              </w:rPr>
              <w:t>; Nghị định số 85/2025/NĐ-CP ngày 08 tháng 4 năm 2025 của Chính phủ; Nghị định số 275/2025/NĐ-CP của Chính phủ sửa đổi, bổ sung Nghị định số 85/2025/NĐ-CP; Nghị định số 113/2024/NĐ-CP ngày 12 tháng 9 năm 2024 của Chính phủ</w:t>
            </w:r>
          </w:p>
        </w:tc>
        <w:tc>
          <w:tcPr>
            <w:tcW w:w="1172" w:type="pct"/>
            <w:tcBorders>
              <w:top w:val="single" w:sz="3" w:space="0" w:color="000000"/>
              <w:left w:val="single" w:sz="3" w:space="0" w:color="000000"/>
              <w:bottom w:val="single" w:sz="4" w:space="0" w:color="auto"/>
              <w:right w:val="nil"/>
            </w:tcBorders>
            <w:shd w:val="clear" w:color="auto" w:fill="FFFFFF"/>
            <w:vAlign w:val="center"/>
          </w:tcPr>
          <w:p w14:paraId="19BC3091" w14:textId="18C23570" w:rsidR="00B04FA1" w:rsidRPr="008328D6" w:rsidRDefault="00715186" w:rsidP="00CB3742">
            <w:pPr>
              <w:autoSpaceDE w:val="0"/>
              <w:autoSpaceDN w:val="0"/>
              <w:adjustRightInd w:val="0"/>
              <w:spacing w:before="120"/>
              <w:ind w:left="142" w:right="137" w:firstLine="159"/>
              <w:jc w:val="both"/>
              <w:rPr>
                <w:rFonts w:ascii="Times New Roman" w:hAnsi="Times New Roman" w:cs="Times New Roman"/>
                <w:lang w:val="en-US"/>
              </w:rPr>
            </w:pPr>
            <w:r w:rsidRPr="00027EB3">
              <w:rPr>
                <w:rFonts w:ascii="Times New Roman" w:hAnsi="Times New Roman" w:cs="Times New Roman"/>
              </w:rPr>
              <w:t>Quy định hiện hành tại Nghị định số 113/2024/NĐ-CP còn tồn tại hệ thống quy trình, biểu mẫu riêng về đầu tư phát triển, dẫn đến nguy cơ trùng lặp, chồng chéo với pháp luật về đầu tư công; chưa bảo đảm tính thống nhất của hệ thống pháp luật; phương án sửa đổi là phù hợp, bảo đảm tính hợp hiến, hợp pháp và tính thống nhất</w:t>
            </w:r>
            <w:r w:rsidR="00FD6A55" w:rsidRPr="00027EB3">
              <w:rPr>
                <w:rFonts w:ascii="Times New Roman" w:hAnsi="Times New Roman" w:cs="Times New Roman"/>
                <w:lang w:val="en-US"/>
              </w:rPr>
              <w:t xml:space="preserve">. </w:t>
            </w:r>
          </w:p>
        </w:tc>
        <w:tc>
          <w:tcPr>
            <w:tcW w:w="1132" w:type="pct"/>
            <w:tcBorders>
              <w:top w:val="single" w:sz="3" w:space="0" w:color="000000"/>
              <w:left w:val="single" w:sz="3" w:space="0" w:color="000000"/>
              <w:bottom w:val="single" w:sz="4" w:space="0" w:color="auto"/>
              <w:right w:val="single" w:sz="3" w:space="0" w:color="000000"/>
            </w:tcBorders>
            <w:shd w:val="clear" w:color="auto" w:fill="FFFFFF"/>
            <w:vAlign w:val="center"/>
          </w:tcPr>
          <w:p w14:paraId="639FE50B" w14:textId="3BCBCB10" w:rsidR="00715186" w:rsidRPr="00027EB3" w:rsidRDefault="00052749" w:rsidP="00CB3742">
            <w:pPr>
              <w:autoSpaceDE w:val="0"/>
              <w:autoSpaceDN w:val="0"/>
              <w:adjustRightInd w:val="0"/>
              <w:spacing w:before="120"/>
              <w:ind w:left="142" w:right="137"/>
              <w:jc w:val="both"/>
              <w:rPr>
                <w:rFonts w:ascii="Times New Roman" w:hAnsi="Times New Roman" w:cs="Times New Roman"/>
              </w:rPr>
            </w:pPr>
            <w:r w:rsidRPr="00027EB3">
              <w:rPr>
                <w:rFonts w:ascii="Times New Roman" w:hAnsi="Times New Roman" w:cs="Times New Roman"/>
              </w:rPr>
              <w:t>Việc Nghị định số 113/2024/NĐ-CP duy trì một quy trình riêng và các biểu mẫu riêng về tổng hợp nhu cầu, lập và giao kế hoạch vốn khiến hệ thống quy định có nguy cơ trùng lặp, chồng chéo với pháp luật chung về đầu tư công. Phương án bãi bỏ và dẫn chiếu áp dụng pháp luật về đầu tư công bảo đảm hơn tính hợp pháp, tính thống nhất và tính khả thi trong tổ chức thực hiện</w:t>
            </w:r>
            <w:r w:rsidRPr="00027EB3">
              <w:rPr>
                <w:rFonts w:ascii="Times New Roman" w:hAnsi="Times New Roman" w:cs="Times New Roman"/>
                <w:lang w:val="en-US"/>
              </w:rPr>
              <w:t xml:space="preserve">. </w:t>
            </w:r>
            <w:r w:rsidR="00715186" w:rsidRPr="00027EB3">
              <w:rPr>
                <w:rFonts w:ascii="Times New Roman" w:hAnsi="Times New Roman" w:cs="Times New Roman"/>
              </w:rPr>
              <w:t>Bãi bỏ các quy định, phụ lục trùng lặp tại Nghị định số 113/2024/NĐ-CP; sửa đổi theo hướng dẫn chiếu áp dụng thống nhất pháp luật về đầu tư công</w:t>
            </w:r>
          </w:p>
        </w:tc>
      </w:tr>
      <w:tr w:rsidR="009E3A84" w:rsidRPr="00027EB3" w14:paraId="394EFA25" w14:textId="77777777" w:rsidTr="00860C96">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14:paraId="4F8AD23C" w14:textId="1B6E1F5E" w:rsidR="00715186" w:rsidRPr="00732FC8" w:rsidRDefault="00715186" w:rsidP="00CB3742">
            <w:pPr>
              <w:autoSpaceDE w:val="0"/>
              <w:autoSpaceDN w:val="0"/>
              <w:adjustRightInd w:val="0"/>
              <w:spacing w:before="120"/>
              <w:ind w:left="142" w:right="137"/>
              <w:jc w:val="both"/>
              <w:rPr>
                <w:rFonts w:ascii="Times New Roman" w:hAnsi="Times New Roman" w:cs="Times New Roman"/>
              </w:rPr>
            </w:pPr>
            <w:r w:rsidRPr="00732FC8">
              <w:rPr>
                <w:rStyle w:val="Strong"/>
                <w:rFonts w:ascii="Times New Roman" w:eastAsiaTheme="majorEastAsia" w:hAnsi="Times New Roman" w:cs="Times New Roman"/>
              </w:rPr>
              <w:t>Chính sách 4: Bổ sung một số cơ chế hỗ trợ phát triển tổ hợp tác, hợp tác xã, liên hiệp hợp tác xã phù hợp với bối cảnh phát triển mới</w:t>
            </w:r>
          </w:p>
        </w:tc>
        <w:tc>
          <w:tcPr>
            <w:tcW w:w="1524" w:type="pct"/>
            <w:tcBorders>
              <w:top w:val="single" w:sz="4" w:space="0" w:color="auto"/>
              <w:left w:val="single" w:sz="4" w:space="0" w:color="auto"/>
              <w:bottom w:val="single" w:sz="4" w:space="0" w:color="auto"/>
              <w:right w:val="single" w:sz="4" w:space="0" w:color="auto"/>
            </w:tcBorders>
            <w:shd w:val="clear" w:color="auto" w:fill="FFFFFF"/>
            <w:vAlign w:val="center"/>
          </w:tcPr>
          <w:p w14:paraId="1BB01B1F" w14:textId="5FB8FB32" w:rsidR="00715186" w:rsidRPr="00B04FA1" w:rsidRDefault="00FD6A55" w:rsidP="00CB3742">
            <w:pPr>
              <w:pStyle w:val="Heading4"/>
              <w:shd w:val="clear" w:color="auto" w:fill="FFFFFF"/>
              <w:spacing w:before="0" w:after="360" w:line="315" w:lineRule="atLeast"/>
              <w:ind w:left="142" w:right="137"/>
              <w:jc w:val="both"/>
              <w:rPr>
                <w:rFonts w:ascii="Times New Roman" w:hAnsi="Times New Roman" w:cs="Times New Roman"/>
                <w:bCs/>
                <w:color w:val="auto"/>
                <w:sz w:val="20"/>
                <w:szCs w:val="20"/>
              </w:rPr>
            </w:pPr>
            <w:r w:rsidRPr="00B04FA1">
              <w:rPr>
                <w:rFonts w:ascii="Times New Roman" w:hAnsi="Times New Roman" w:cs="Times New Roman"/>
                <w:i w:val="0"/>
                <w:color w:val="auto"/>
                <w:sz w:val="20"/>
                <w:szCs w:val="20"/>
              </w:rPr>
              <w:t xml:space="preserve">Luật số 56/2024/QH15 của Quốc hội: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w:t>
            </w:r>
            <w:r w:rsidR="00715186" w:rsidRPr="00B04FA1">
              <w:rPr>
                <w:rFonts w:ascii="Times New Roman" w:hAnsi="Times New Roman" w:cs="Times New Roman"/>
                <w:i w:val="0"/>
                <w:color w:val="auto"/>
                <w:sz w:val="20"/>
                <w:szCs w:val="20"/>
              </w:rPr>
              <w:t>Luật Hợp tác xã năm 2023;</w:t>
            </w:r>
            <w:r w:rsidR="00B04FA1" w:rsidRPr="00B04FA1">
              <w:rPr>
                <w:rFonts w:ascii="Times New Roman" w:hAnsi="Times New Roman" w:cs="Times New Roman"/>
                <w:i w:val="0"/>
                <w:color w:val="auto"/>
              </w:rPr>
              <w:t xml:space="preserve"> </w:t>
            </w:r>
            <w:r w:rsidR="00715186" w:rsidRPr="00B04FA1">
              <w:rPr>
                <w:rFonts w:ascii="Times New Roman" w:hAnsi="Times New Roman" w:cs="Times New Roman"/>
                <w:i w:val="0"/>
                <w:color w:val="auto"/>
                <w:sz w:val="20"/>
                <w:szCs w:val="20"/>
              </w:rPr>
              <w:t>Nghị định số 113/2024/NĐ-CP ngày 12 tháng 9 năm 2024 của Chính phủ; các quy định pháp luật có liên quan đến thuế, kế toán, hỗ trợ doanh nghiệp, chuyển đổi số</w:t>
            </w:r>
          </w:p>
        </w:tc>
        <w:tc>
          <w:tcPr>
            <w:tcW w:w="1172" w:type="pct"/>
            <w:tcBorders>
              <w:top w:val="single" w:sz="4" w:space="0" w:color="auto"/>
              <w:left w:val="single" w:sz="4" w:space="0" w:color="auto"/>
              <w:bottom w:val="single" w:sz="4" w:space="0" w:color="auto"/>
              <w:right w:val="single" w:sz="4" w:space="0" w:color="auto"/>
            </w:tcBorders>
            <w:shd w:val="clear" w:color="auto" w:fill="FFFFFF"/>
            <w:vAlign w:val="center"/>
          </w:tcPr>
          <w:p w14:paraId="4E0D2723" w14:textId="48EE959F" w:rsidR="00B04FA1" w:rsidRPr="008328D6" w:rsidRDefault="00B04FA1" w:rsidP="00CB3742">
            <w:pPr>
              <w:autoSpaceDE w:val="0"/>
              <w:autoSpaceDN w:val="0"/>
              <w:adjustRightInd w:val="0"/>
              <w:spacing w:before="120"/>
              <w:ind w:left="142" w:right="137"/>
              <w:jc w:val="both"/>
              <w:rPr>
                <w:rFonts w:ascii="Times New Roman" w:hAnsi="Times New Roman" w:cs="Times New Roman"/>
                <w:spacing w:val="-2"/>
                <w:lang w:val="en-US"/>
              </w:rPr>
            </w:pPr>
            <w:r w:rsidRPr="008328D6">
              <w:rPr>
                <w:rFonts w:ascii="Times New Roman" w:hAnsi="Times New Roman" w:cs="Times New Roman"/>
                <w:spacing w:val="-2"/>
              </w:rPr>
              <w:t xml:space="preserve">Các nội dung bổ sung như hỗ trợ tư vấn, nâng cao năng lực quản trị, hỗ trợ chuyển đổi số là phù hợp với định hướng của Luật Hợp tác xã năm 2023 và yêu cầu thực tiễn. Tuy nhiên, đối với một số nội dung mới như phát triển kinh tế xanh, kinh tế tuần hoàn hoặc cơ chế xử lý hợp tác xã ngừng hoạt động kéo dài, hồ sơ hiện chưa có quy định cụ thể hoặc chưa làm rõ căn cứ pháp lý để quy định chi tiết ở cấp Nghị định. Do đó, nếu đưa vào quy định chính thức </w:t>
            </w:r>
            <w:r w:rsidR="00B85F0C" w:rsidRPr="008328D6">
              <w:rPr>
                <w:rFonts w:ascii="Times New Roman" w:hAnsi="Times New Roman" w:cs="Times New Roman"/>
                <w:spacing w:val="-2"/>
                <w:lang w:val="en-US"/>
              </w:rPr>
              <w:t xml:space="preserve">có thể tiềm ẩn rủi ro về vượt thẩm quyền hoặc chưa đủ căn cứ pháp lý để quy định chi tiết ở cấp Nghị định, do đó cần rà soát, lựa chọn các nội dung bảo đảm thuộc phạm vi được giao quy định và có tính khả thi trong tổ chức thực hiện </w:t>
            </w:r>
            <w:r w:rsidRPr="008328D6">
              <w:rPr>
                <w:rFonts w:ascii="Times New Roman" w:hAnsi="Times New Roman" w:cs="Times New Roman"/>
                <w:spacing w:val="-2"/>
                <w:lang w:val="en-US"/>
              </w:rPr>
              <w:t>(</w:t>
            </w:r>
            <w:r w:rsidRPr="008328D6">
              <w:rPr>
                <w:rFonts w:ascii="Times New Roman" w:hAnsi="Times New Roman" w:cs="Times New Roman"/>
                <w:spacing w:val="-2"/>
              </w:rPr>
              <w:t>cần bảo đảm các nội dung này nằm trong phạm vi được giao quy định chi tiết tại Nghị định</w:t>
            </w:r>
            <w:r w:rsidR="00B85F0C" w:rsidRPr="008328D6">
              <w:rPr>
                <w:rFonts w:ascii="Times New Roman" w:hAnsi="Times New Roman" w:cs="Times New Roman"/>
                <w:spacing w:val="-2"/>
                <w:lang w:val="en-US"/>
              </w:rPr>
              <w:t>)</w:t>
            </w:r>
            <w:r w:rsidRPr="008328D6">
              <w:rPr>
                <w:rFonts w:ascii="Times New Roman" w:hAnsi="Times New Roman" w:cs="Times New Roman"/>
                <w:spacing w:val="-2"/>
              </w:rPr>
              <w:t>. Việc đánh giá cần phân biệt rõ giữa nội dung đã đủ điều kiện quy phạm hóa và nội dung mới ở mức định hướng chính sách</w:t>
            </w:r>
            <w:r w:rsidRPr="008328D6">
              <w:rPr>
                <w:rFonts w:ascii="Times New Roman" w:hAnsi="Times New Roman" w:cs="Times New Roman"/>
                <w:spacing w:val="-2"/>
                <w:lang w:val="en-US"/>
              </w:rPr>
              <w:t xml:space="preserve"> và </w:t>
            </w:r>
            <w:r w:rsidRPr="008328D6">
              <w:rPr>
                <w:rFonts w:ascii="Times New Roman" w:hAnsi="Times New Roman" w:cs="Times New Roman"/>
                <w:spacing w:val="-2"/>
              </w:rPr>
              <w:t xml:space="preserve">không làm phát sinh </w:t>
            </w:r>
            <w:r w:rsidRPr="008328D6">
              <w:rPr>
                <w:rFonts w:ascii="Times New Roman" w:hAnsi="Times New Roman" w:cs="Times New Roman"/>
                <w:spacing w:val="-2"/>
              </w:rPr>
              <w:lastRenderedPageBreak/>
              <w:t>chính sách vượt thẩm quyền hoặc mâu thuẫn với pháp luật có liên quan</w:t>
            </w:r>
            <w:r w:rsidRPr="008328D6">
              <w:rPr>
                <w:rFonts w:ascii="Times New Roman" w:hAnsi="Times New Roman" w:cs="Times New Roman"/>
                <w:spacing w:val="-2"/>
                <w:lang w:val="en-US"/>
              </w:rPr>
              <w:t>.</w:t>
            </w:r>
            <w:r w:rsidR="00B85F0C" w:rsidRPr="008328D6">
              <w:rPr>
                <w:rFonts w:ascii="Times New Roman" w:hAnsi="Times New Roman" w:cs="Times New Roman"/>
                <w:spacing w:val="-2"/>
                <w:lang w:val="en-US"/>
              </w:rPr>
              <w:t xml:space="preserve">  </w:t>
            </w:r>
          </w:p>
        </w:tc>
        <w:tc>
          <w:tcPr>
            <w:tcW w:w="1132" w:type="pct"/>
            <w:tcBorders>
              <w:top w:val="single" w:sz="4" w:space="0" w:color="auto"/>
              <w:left w:val="single" w:sz="4" w:space="0" w:color="auto"/>
              <w:bottom w:val="single" w:sz="4" w:space="0" w:color="auto"/>
              <w:right w:val="single" w:sz="4" w:space="0" w:color="auto"/>
            </w:tcBorders>
            <w:shd w:val="clear" w:color="auto" w:fill="FFFFFF"/>
            <w:vAlign w:val="center"/>
          </w:tcPr>
          <w:p w14:paraId="69A3505D" w14:textId="2149488C" w:rsidR="00715186" w:rsidRPr="00732FC8" w:rsidRDefault="00715186" w:rsidP="00CB3742">
            <w:pPr>
              <w:autoSpaceDE w:val="0"/>
              <w:autoSpaceDN w:val="0"/>
              <w:adjustRightInd w:val="0"/>
              <w:spacing w:before="120"/>
              <w:ind w:left="142" w:right="137"/>
              <w:jc w:val="both"/>
              <w:rPr>
                <w:rFonts w:ascii="Times New Roman" w:hAnsi="Times New Roman" w:cs="Times New Roman"/>
              </w:rPr>
            </w:pPr>
            <w:r w:rsidRPr="00732FC8">
              <w:rPr>
                <w:rFonts w:ascii="Times New Roman" w:hAnsi="Times New Roman" w:cs="Times New Roman"/>
              </w:rPr>
              <w:lastRenderedPageBreak/>
              <w:t>Bổ sung các quy định cụ thể trong dự thảo Nghị định; đồng thời rà soát bảo đảm không chồng chéo với các chính sách hiện hành và không làm phát sinh thủ tục hành chính không cần thiết</w:t>
            </w:r>
          </w:p>
        </w:tc>
      </w:tr>
    </w:tbl>
    <w:p w14:paraId="7AE24652" w14:textId="497E23E0" w:rsidR="007B4BE3" w:rsidRPr="00027EB3" w:rsidRDefault="007B4BE3" w:rsidP="007B4BE3">
      <w:pPr>
        <w:autoSpaceDE w:val="0"/>
        <w:autoSpaceDN w:val="0"/>
        <w:adjustRightInd w:val="0"/>
        <w:spacing w:before="120"/>
        <w:rPr>
          <w:rFonts w:ascii="Times New Roman" w:hAnsi="Times New Roman" w:cs="Times New Roman"/>
          <w:b/>
          <w:bCs/>
          <w:sz w:val="28"/>
          <w:szCs w:val="28"/>
        </w:rPr>
      </w:pPr>
      <w:r w:rsidRPr="00027EB3">
        <w:rPr>
          <w:rFonts w:ascii="Times New Roman" w:hAnsi="Times New Roman" w:cs="Times New Roman"/>
          <w:b/>
          <w:bCs/>
          <w:sz w:val="28"/>
          <w:szCs w:val="28"/>
          <w:lang w:val="en"/>
        </w:rPr>
        <w:t>3. Điều</w:t>
      </w:r>
      <w:r w:rsidRPr="00027EB3">
        <w:rPr>
          <w:rFonts w:ascii="Times New Roman" w:hAnsi="Times New Roman" w:cs="Times New Roman"/>
          <w:b/>
          <w:bCs/>
          <w:sz w:val="28"/>
          <w:szCs w:val="28"/>
        </w:rPr>
        <w:t xml:space="preserve"> ước quốc tế c</w:t>
      </w:r>
      <w:r w:rsidRPr="00027EB3">
        <w:rPr>
          <w:rFonts w:ascii="Times New Roman" w:hAnsi="Times New Roman" w:cs="Times New Roman"/>
          <w:b/>
          <w:bCs/>
          <w:sz w:val="28"/>
          <w:szCs w:val="28"/>
          <w:lang w:val="en-US"/>
        </w:rPr>
        <w:t>ó liên quan đ</w:t>
      </w:r>
      <w:r w:rsidRPr="00027EB3">
        <w:rPr>
          <w:rFonts w:ascii="Times New Roman" w:hAnsi="Times New Roman" w:cs="Times New Roman"/>
          <w:b/>
          <w:bCs/>
          <w:sz w:val="28"/>
          <w:szCs w:val="28"/>
        </w:rPr>
        <w:t>ến ch</w:t>
      </w:r>
      <w:r w:rsidRPr="00027EB3">
        <w:rPr>
          <w:rFonts w:ascii="Times New Roman" w:hAnsi="Times New Roman" w:cs="Times New Roman"/>
          <w:b/>
          <w:bCs/>
          <w:sz w:val="28"/>
          <w:szCs w:val="28"/>
          <w:lang w:val="en-US"/>
        </w:rPr>
        <w:t>ính sách/d</w:t>
      </w:r>
      <w:r w:rsidRPr="00027EB3">
        <w:rPr>
          <w:rFonts w:ascii="Times New Roman" w:hAnsi="Times New Roman" w:cs="Times New Roman"/>
          <w:b/>
          <w:bCs/>
          <w:sz w:val="28"/>
          <w:szCs w:val="28"/>
        </w:rPr>
        <w:t>ự thảo</w:t>
      </w:r>
    </w:p>
    <w:tbl>
      <w:tblPr>
        <w:tblW w:w="5402" w:type="pct"/>
        <w:tblInd w:w="-430" w:type="dxa"/>
        <w:tblCellMar>
          <w:left w:w="0" w:type="dxa"/>
          <w:right w:w="0" w:type="dxa"/>
        </w:tblCellMar>
        <w:tblLook w:val="0000" w:firstRow="0" w:lastRow="0" w:firstColumn="0" w:lastColumn="0" w:noHBand="0" w:noVBand="0"/>
      </w:tblPr>
      <w:tblGrid>
        <w:gridCol w:w="3688"/>
        <w:gridCol w:w="4409"/>
        <w:gridCol w:w="3673"/>
        <w:gridCol w:w="3965"/>
      </w:tblGrid>
      <w:tr w:rsidR="009E3A84" w:rsidRPr="00027EB3" w14:paraId="09F06C46" w14:textId="77777777" w:rsidTr="00860C96">
        <w:tc>
          <w:tcPr>
            <w:tcW w:w="1172" w:type="pct"/>
            <w:tcBorders>
              <w:top w:val="single" w:sz="3" w:space="0" w:color="000000"/>
              <w:left w:val="single" w:sz="3" w:space="0" w:color="000000"/>
              <w:bottom w:val="nil"/>
              <w:right w:val="nil"/>
            </w:tcBorders>
            <w:shd w:val="clear" w:color="auto" w:fill="FFFFFF"/>
            <w:vAlign w:val="center"/>
          </w:tcPr>
          <w:p w14:paraId="61DFE328" w14:textId="322D86F2" w:rsidR="0092635A" w:rsidRPr="00027EB3" w:rsidRDefault="0092635A" w:rsidP="001E5996">
            <w:pPr>
              <w:autoSpaceDE w:val="0"/>
              <w:autoSpaceDN w:val="0"/>
              <w:adjustRightInd w:val="0"/>
              <w:spacing w:before="120"/>
              <w:jc w:val="center"/>
              <w:rPr>
                <w:rFonts w:ascii="Times New Roman" w:hAnsi="Times New Roman" w:cs="Times New Roman"/>
                <w:lang w:val="en"/>
              </w:rPr>
            </w:pPr>
            <w:r w:rsidRPr="00027EB3">
              <w:rPr>
                <w:rFonts w:ascii="Times New Roman" w:hAnsi="Times New Roman" w:cs="Times New Roman"/>
                <w:b/>
                <w:bCs/>
              </w:rPr>
              <w:t>CHÍNH SÁCH/QUY ĐỊNH CỦA DỰ THẢO VĂN BẢN</w:t>
            </w:r>
          </w:p>
        </w:tc>
        <w:tc>
          <w:tcPr>
            <w:tcW w:w="1401" w:type="pct"/>
            <w:tcBorders>
              <w:top w:val="single" w:sz="3" w:space="0" w:color="000000"/>
              <w:left w:val="single" w:sz="3" w:space="0" w:color="000000"/>
              <w:bottom w:val="nil"/>
              <w:right w:val="nil"/>
            </w:tcBorders>
            <w:shd w:val="clear" w:color="auto" w:fill="FFFFFF"/>
            <w:vAlign w:val="center"/>
          </w:tcPr>
          <w:p w14:paraId="651A6579" w14:textId="426E779D" w:rsidR="0092635A" w:rsidRPr="00027EB3" w:rsidRDefault="0092635A" w:rsidP="001E5996">
            <w:pPr>
              <w:autoSpaceDE w:val="0"/>
              <w:autoSpaceDN w:val="0"/>
              <w:adjustRightInd w:val="0"/>
              <w:spacing w:before="120"/>
              <w:jc w:val="center"/>
              <w:rPr>
                <w:rFonts w:ascii="Times New Roman" w:hAnsi="Times New Roman" w:cs="Times New Roman"/>
                <w:lang w:val="en"/>
              </w:rPr>
            </w:pPr>
            <w:r w:rsidRPr="00027EB3">
              <w:rPr>
                <w:rFonts w:ascii="Times New Roman" w:hAnsi="Times New Roman" w:cs="Times New Roman"/>
                <w:b/>
                <w:bCs/>
              </w:rPr>
              <w:t>QUY ĐỊNH CỦA ĐIỀU ƯỚC QUỐC TẾ CÓ LIÊN QUAN</w:t>
            </w:r>
          </w:p>
        </w:tc>
        <w:tc>
          <w:tcPr>
            <w:tcW w:w="1167" w:type="pct"/>
            <w:tcBorders>
              <w:top w:val="single" w:sz="3" w:space="0" w:color="000000"/>
              <w:left w:val="single" w:sz="3" w:space="0" w:color="000000"/>
              <w:bottom w:val="nil"/>
              <w:right w:val="nil"/>
            </w:tcBorders>
            <w:shd w:val="clear" w:color="auto" w:fill="FFFFFF"/>
            <w:vAlign w:val="center"/>
          </w:tcPr>
          <w:p w14:paraId="40B3BB08" w14:textId="5B75867B" w:rsidR="0092635A" w:rsidRPr="00027EB3" w:rsidRDefault="0092635A" w:rsidP="001E5996">
            <w:pPr>
              <w:autoSpaceDE w:val="0"/>
              <w:autoSpaceDN w:val="0"/>
              <w:adjustRightInd w:val="0"/>
              <w:spacing w:before="120"/>
              <w:jc w:val="center"/>
              <w:rPr>
                <w:rFonts w:ascii="Times New Roman" w:hAnsi="Times New Roman" w:cs="Times New Roman"/>
                <w:lang w:val="en"/>
              </w:rPr>
            </w:pPr>
            <w:r w:rsidRPr="00027EB3">
              <w:rPr>
                <w:rFonts w:ascii="Times New Roman" w:hAnsi="Times New Roman" w:cs="Times New Roman"/>
                <w:b/>
                <w:bCs/>
              </w:rPr>
              <w:t>ĐÁNH GIÁ (chính sách/dự thảo văn bản tương thích với điều ước quốc tế)</w:t>
            </w:r>
          </w:p>
        </w:tc>
        <w:tc>
          <w:tcPr>
            <w:tcW w:w="1260" w:type="pct"/>
            <w:tcBorders>
              <w:top w:val="single" w:sz="3" w:space="0" w:color="000000"/>
              <w:left w:val="single" w:sz="3" w:space="0" w:color="000000"/>
              <w:bottom w:val="nil"/>
              <w:right w:val="single" w:sz="3" w:space="0" w:color="000000"/>
            </w:tcBorders>
            <w:shd w:val="clear" w:color="auto" w:fill="FFFFFF"/>
            <w:vAlign w:val="center"/>
          </w:tcPr>
          <w:p w14:paraId="4A1B0736" w14:textId="2728C6F1" w:rsidR="0092635A" w:rsidRPr="00027EB3" w:rsidRDefault="0092635A" w:rsidP="001E5996">
            <w:pPr>
              <w:autoSpaceDE w:val="0"/>
              <w:autoSpaceDN w:val="0"/>
              <w:adjustRightInd w:val="0"/>
              <w:spacing w:before="120"/>
              <w:jc w:val="center"/>
              <w:rPr>
                <w:rFonts w:ascii="Times New Roman" w:hAnsi="Times New Roman" w:cs="Times New Roman"/>
                <w:lang w:val="en"/>
              </w:rPr>
            </w:pPr>
            <w:r w:rsidRPr="00027EB3">
              <w:rPr>
                <w:rFonts w:ascii="Times New Roman" w:hAnsi="Times New Roman" w:cs="Times New Roman"/>
                <w:b/>
                <w:bCs/>
              </w:rPr>
              <w:t>ĐỀ XUẤT XỬ LÝ</w:t>
            </w:r>
          </w:p>
        </w:tc>
      </w:tr>
      <w:tr w:rsidR="009E3A84" w:rsidRPr="00027EB3" w14:paraId="62A2A587" w14:textId="77777777" w:rsidTr="00860C96">
        <w:tc>
          <w:tcPr>
            <w:tcW w:w="1172" w:type="pct"/>
            <w:tcBorders>
              <w:top w:val="single" w:sz="3" w:space="0" w:color="000000"/>
              <w:left w:val="single" w:sz="3" w:space="0" w:color="000000"/>
              <w:bottom w:val="single" w:sz="3" w:space="0" w:color="000000"/>
              <w:right w:val="nil"/>
            </w:tcBorders>
            <w:shd w:val="clear" w:color="auto" w:fill="FFFFFF"/>
            <w:vAlign w:val="center"/>
          </w:tcPr>
          <w:p w14:paraId="6776821C" w14:textId="48C954BC" w:rsidR="00170619" w:rsidRPr="00027EB3" w:rsidRDefault="00170619" w:rsidP="00CB3742">
            <w:pPr>
              <w:autoSpaceDE w:val="0"/>
              <w:autoSpaceDN w:val="0"/>
              <w:adjustRightInd w:val="0"/>
              <w:spacing w:before="120"/>
              <w:ind w:left="142" w:right="113"/>
              <w:jc w:val="both"/>
              <w:rPr>
                <w:rFonts w:ascii="Times New Roman" w:hAnsi="Times New Roman" w:cs="Times New Roman"/>
                <w:lang w:val="en"/>
              </w:rPr>
            </w:pPr>
            <w:r w:rsidRPr="00027EB3">
              <w:rPr>
                <w:rFonts w:ascii="Times New Roman" w:hAnsi="Times New Roman" w:cs="Times New Roman"/>
              </w:rPr>
              <w:t>Các chính sách quy định tại dự thảo Nghị định sửa đổi, bổ sung Nghị định số 113/2024/NĐ-CP</w:t>
            </w:r>
          </w:p>
        </w:tc>
        <w:tc>
          <w:tcPr>
            <w:tcW w:w="1401" w:type="pct"/>
            <w:tcBorders>
              <w:top w:val="single" w:sz="3" w:space="0" w:color="000000"/>
              <w:left w:val="single" w:sz="3" w:space="0" w:color="000000"/>
              <w:bottom w:val="single" w:sz="3" w:space="0" w:color="000000"/>
              <w:right w:val="nil"/>
            </w:tcBorders>
            <w:shd w:val="clear" w:color="auto" w:fill="FFFFFF"/>
            <w:vAlign w:val="center"/>
          </w:tcPr>
          <w:p w14:paraId="486A4D5B" w14:textId="62FCBC1C" w:rsidR="000E28FD" w:rsidRPr="00B04FA1" w:rsidRDefault="000E28FD" w:rsidP="00CB3742">
            <w:pPr>
              <w:autoSpaceDE w:val="0"/>
              <w:autoSpaceDN w:val="0"/>
              <w:adjustRightInd w:val="0"/>
              <w:spacing w:before="120"/>
              <w:ind w:left="142" w:right="113"/>
              <w:jc w:val="both"/>
              <w:rPr>
                <w:rFonts w:ascii="Times New Roman" w:hAnsi="Times New Roman" w:cs="Times New Roman"/>
                <w:lang w:val="en"/>
              </w:rPr>
            </w:pPr>
            <w:r w:rsidRPr="00B04FA1">
              <w:rPr>
                <w:rFonts w:ascii="Times New Roman" w:hAnsi="Times New Roman" w:cs="Times New Roman"/>
              </w:rPr>
              <w:t>Các điều ước quốc tế mà Việt Nam là thành viên trong lĩnh vực thương mại, đầu tư, phát triển bền vững, bao gồm các cam kết trong khuôn khổ Tổ chức Thương mại Thế giới và các hiệp định thương mại tự do thế hệ mới</w:t>
            </w:r>
          </w:p>
        </w:tc>
        <w:tc>
          <w:tcPr>
            <w:tcW w:w="1167" w:type="pct"/>
            <w:tcBorders>
              <w:top w:val="single" w:sz="3" w:space="0" w:color="000000"/>
              <w:left w:val="single" w:sz="3" w:space="0" w:color="000000"/>
              <w:bottom w:val="single" w:sz="3" w:space="0" w:color="000000"/>
              <w:right w:val="nil"/>
            </w:tcBorders>
            <w:shd w:val="clear" w:color="auto" w:fill="FFFFFF"/>
            <w:vAlign w:val="center"/>
          </w:tcPr>
          <w:p w14:paraId="31266617" w14:textId="7C8B9DB5" w:rsidR="00B85F0C" w:rsidRPr="000E28FD" w:rsidRDefault="000E28FD" w:rsidP="00CB3742">
            <w:pPr>
              <w:autoSpaceDE w:val="0"/>
              <w:autoSpaceDN w:val="0"/>
              <w:adjustRightInd w:val="0"/>
              <w:spacing w:before="120"/>
              <w:ind w:left="142" w:right="113"/>
              <w:jc w:val="both"/>
              <w:rPr>
                <w:rFonts w:ascii="Times New Roman" w:hAnsi="Times New Roman" w:cs="Times New Roman"/>
                <w:lang w:val="en"/>
              </w:rPr>
            </w:pPr>
            <w:r w:rsidRPr="000E28FD">
              <w:rPr>
                <w:rFonts w:ascii="Times New Roman" w:hAnsi="Times New Roman" w:cs="Times New Roman"/>
              </w:rPr>
              <w:t>Qua rà soát, các chính sách trong dự thảo Nghị định chủ yếu điều chỉnh cơ chế hỗ trợ từ ngân sách nhà nước đối với khu vực kinh tế tập thể trong nước, không quy định các biện pháp hạn chế thương mại, không đặt ra điều kiện kinh doanh mang tính phân biệt đối xử giữa các chủ thể trong nước và nước ngoài, cũng không làm phát sinh các nghĩa vụ trái với các cam kết quốc tế mà Việt Nam là thành viên. Do đó, các chính sách đề xuất bảo đảm tính tương thích với các điều ước quốc tế có liên quan</w:t>
            </w:r>
            <w:r w:rsidR="00B85F0C">
              <w:rPr>
                <w:rFonts w:ascii="Times New Roman" w:hAnsi="Times New Roman" w:cs="Times New Roman"/>
                <w:lang w:val="en-US"/>
              </w:rPr>
              <w:t xml:space="preserve">, </w:t>
            </w:r>
            <w:r w:rsidR="00B85F0C" w:rsidRPr="00B85F0C">
              <w:rPr>
                <w:rFonts w:ascii="Times New Roman" w:hAnsi="Times New Roman" w:cs="Times New Roman"/>
                <w:lang w:val="en-US"/>
              </w:rPr>
              <w:t>đồng thời không tạo ra rào cản kỹ thuật hoặc điều kiện kinh doanh mới đối với các chủ thể tham gia thị trường</w:t>
            </w:r>
            <w:r w:rsidR="00B85F0C">
              <w:rPr>
                <w:rFonts w:ascii="Times New Roman" w:hAnsi="Times New Roman" w:cs="Times New Roman"/>
                <w:lang w:val="en-US"/>
              </w:rPr>
              <w:t>.</w:t>
            </w:r>
          </w:p>
        </w:tc>
        <w:tc>
          <w:tcPr>
            <w:tcW w:w="1260" w:type="pct"/>
            <w:tcBorders>
              <w:top w:val="single" w:sz="3" w:space="0" w:color="000000"/>
              <w:left w:val="single" w:sz="3" w:space="0" w:color="000000"/>
              <w:bottom w:val="single" w:sz="3" w:space="0" w:color="000000"/>
              <w:right w:val="single" w:sz="3" w:space="0" w:color="000000"/>
            </w:tcBorders>
            <w:shd w:val="clear" w:color="auto" w:fill="FFFFFF"/>
            <w:vAlign w:val="center"/>
          </w:tcPr>
          <w:p w14:paraId="29274584" w14:textId="27E6395D" w:rsidR="00170619" w:rsidRPr="00027EB3" w:rsidRDefault="00170619" w:rsidP="00CB3742">
            <w:pPr>
              <w:autoSpaceDE w:val="0"/>
              <w:autoSpaceDN w:val="0"/>
              <w:adjustRightInd w:val="0"/>
              <w:spacing w:before="120"/>
              <w:ind w:left="142" w:right="113"/>
              <w:jc w:val="both"/>
              <w:rPr>
                <w:rFonts w:ascii="Times New Roman" w:hAnsi="Times New Roman" w:cs="Times New Roman"/>
                <w:lang w:val="en"/>
              </w:rPr>
            </w:pPr>
            <w:r w:rsidRPr="00027EB3">
              <w:rPr>
                <w:rFonts w:ascii="Times New Roman" w:hAnsi="Times New Roman" w:cs="Times New Roman"/>
              </w:rPr>
              <w:t>Không đặt ra yêu cầu xử lý</w:t>
            </w:r>
          </w:p>
        </w:tc>
      </w:tr>
    </w:tbl>
    <w:p w14:paraId="381DD7E3" w14:textId="77777777" w:rsidR="008A0018" w:rsidRPr="00027EB3" w:rsidRDefault="008A0018" w:rsidP="00CB3742">
      <w:pPr>
        <w:ind w:left="142" w:right="113"/>
        <w:rPr>
          <w:rFonts w:ascii="Times New Roman" w:hAnsi="Times New Roman" w:cs="Times New Roman"/>
        </w:rPr>
      </w:pPr>
    </w:p>
    <w:sectPr w:rsidR="008A0018" w:rsidRPr="00027EB3" w:rsidSect="00100A69">
      <w:headerReference w:type="default" r:id="rId6"/>
      <w:pgSz w:w="16840" w:h="11907" w:orient="landscape" w:code="9"/>
      <w:pgMar w:top="1134" w:right="1134" w:bottom="170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52DCF" w14:textId="77777777" w:rsidR="00100A69" w:rsidRDefault="00100A69" w:rsidP="00100A69">
      <w:r>
        <w:separator/>
      </w:r>
    </w:p>
  </w:endnote>
  <w:endnote w:type="continuationSeparator" w:id="0">
    <w:p w14:paraId="6383B190" w14:textId="77777777" w:rsidR="00100A69" w:rsidRDefault="00100A69" w:rsidP="0010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238FB" w14:textId="77777777" w:rsidR="00100A69" w:rsidRDefault="00100A69" w:rsidP="00100A69">
      <w:r>
        <w:separator/>
      </w:r>
    </w:p>
  </w:footnote>
  <w:footnote w:type="continuationSeparator" w:id="0">
    <w:p w14:paraId="28F333C5" w14:textId="77777777" w:rsidR="00100A69" w:rsidRDefault="00100A69" w:rsidP="00100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578459"/>
      <w:docPartObj>
        <w:docPartGallery w:val="Page Numbers (Top of Page)"/>
        <w:docPartUnique/>
      </w:docPartObj>
    </w:sdtPr>
    <w:sdtEndPr>
      <w:rPr>
        <w:rFonts w:ascii="Times New Roman" w:hAnsi="Times New Roman" w:cs="Times New Roman"/>
        <w:noProof/>
      </w:rPr>
    </w:sdtEndPr>
    <w:sdtContent>
      <w:p w14:paraId="706D38CD" w14:textId="25A88316" w:rsidR="00100A69" w:rsidRPr="00100A69" w:rsidRDefault="00100A69">
        <w:pPr>
          <w:pStyle w:val="Header"/>
          <w:jc w:val="center"/>
          <w:rPr>
            <w:rFonts w:ascii="Times New Roman" w:hAnsi="Times New Roman" w:cs="Times New Roman"/>
          </w:rPr>
        </w:pPr>
        <w:r w:rsidRPr="00100A69">
          <w:rPr>
            <w:rFonts w:ascii="Times New Roman" w:hAnsi="Times New Roman" w:cs="Times New Roman"/>
          </w:rPr>
          <w:fldChar w:fldCharType="begin"/>
        </w:r>
        <w:r w:rsidRPr="00100A69">
          <w:rPr>
            <w:rFonts w:ascii="Times New Roman" w:hAnsi="Times New Roman" w:cs="Times New Roman"/>
          </w:rPr>
          <w:instrText xml:space="preserve"> PAGE   \* MERGEFORMAT </w:instrText>
        </w:r>
        <w:r w:rsidRPr="00100A69">
          <w:rPr>
            <w:rFonts w:ascii="Times New Roman" w:hAnsi="Times New Roman" w:cs="Times New Roman"/>
          </w:rPr>
          <w:fldChar w:fldCharType="separate"/>
        </w:r>
        <w:r w:rsidRPr="00100A69">
          <w:rPr>
            <w:rFonts w:ascii="Times New Roman" w:hAnsi="Times New Roman" w:cs="Times New Roman"/>
            <w:noProof/>
          </w:rPr>
          <w:t>2</w:t>
        </w:r>
        <w:r w:rsidRPr="00100A69">
          <w:rPr>
            <w:rFonts w:ascii="Times New Roman" w:hAnsi="Times New Roman" w:cs="Times New Roman"/>
            <w:noProof/>
          </w:rPr>
          <w:fldChar w:fldCharType="end"/>
        </w:r>
      </w:p>
    </w:sdtContent>
  </w:sdt>
  <w:p w14:paraId="79DA6E12" w14:textId="77777777" w:rsidR="00100A69" w:rsidRDefault="00100A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BE3"/>
    <w:rsid w:val="00027EB3"/>
    <w:rsid w:val="00052749"/>
    <w:rsid w:val="00053420"/>
    <w:rsid w:val="00057253"/>
    <w:rsid w:val="000E28FD"/>
    <w:rsid w:val="00100A69"/>
    <w:rsid w:val="001435EA"/>
    <w:rsid w:val="00150B90"/>
    <w:rsid w:val="00170619"/>
    <w:rsid w:val="001751A8"/>
    <w:rsid w:val="001D4C35"/>
    <w:rsid w:val="001E5996"/>
    <w:rsid w:val="001F687C"/>
    <w:rsid w:val="00206CA9"/>
    <w:rsid w:val="002620F7"/>
    <w:rsid w:val="00265BAF"/>
    <w:rsid w:val="002F7723"/>
    <w:rsid w:val="00390A58"/>
    <w:rsid w:val="003B2982"/>
    <w:rsid w:val="003C74FD"/>
    <w:rsid w:val="003D5790"/>
    <w:rsid w:val="004132F8"/>
    <w:rsid w:val="00460479"/>
    <w:rsid w:val="004A28FB"/>
    <w:rsid w:val="004F15B6"/>
    <w:rsid w:val="00595567"/>
    <w:rsid w:val="005F0ACB"/>
    <w:rsid w:val="00644100"/>
    <w:rsid w:val="0064799F"/>
    <w:rsid w:val="0066081F"/>
    <w:rsid w:val="00713064"/>
    <w:rsid w:val="00715186"/>
    <w:rsid w:val="00732FC8"/>
    <w:rsid w:val="0074492E"/>
    <w:rsid w:val="007A0B96"/>
    <w:rsid w:val="007B4BE3"/>
    <w:rsid w:val="007D0AB4"/>
    <w:rsid w:val="008328D6"/>
    <w:rsid w:val="00850C87"/>
    <w:rsid w:val="00860C96"/>
    <w:rsid w:val="008A0018"/>
    <w:rsid w:val="008C0B00"/>
    <w:rsid w:val="008F6145"/>
    <w:rsid w:val="0092273D"/>
    <w:rsid w:val="0092635A"/>
    <w:rsid w:val="00995CD2"/>
    <w:rsid w:val="00996CD7"/>
    <w:rsid w:val="009A52CD"/>
    <w:rsid w:val="009E3A84"/>
    <w:rsid w:val="009E462A"/>
    <w:rsid w:val="00A67E94"/>
    <w:rsid w:val="00B04FA1"/>
    <w:rsid w:val="00B77082"/>
    <w:rsid w:val="00B85F0C"/>
    <w:rsid w:val="00BB30AD"/>
    <w:rsid w:val="00C8144D"/>
    <w:rsid w:val="00CA1534"/>
    <w:rsid w:val="00CB3742"/>
    <w:rsid w:val="00CB5E6E"/>
    <w:rsid w:val="00CC220F"/>
    <w:rsid w:val="00CE6A46"/>
    <w:rsid w:val="00D15205"/>
    <w:rsid w:val="00D4551D"/>
    <w:rsid w:val="00D8197E"/>
    <w:rsid w:val="00E35773"/>
    <w:rsid w:val="00E36493"/>
    <w:rsid w:val="00EB30D7"/>
    <w:rsid w:val="00EB5E9A"/>
    <w:rsid w:val="00EC0CF6"/>
    <w:rsid w:val="00F00280"/>
    <w:rsid w:val="00F13E0A"/>
    <w:rsid w:val="00F173E8"/>
    <w:rsid w:val="00FA30FB"/>
    <w:rsid w:val="00FD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EE12"/>
  <w15:chartTrackingRefBased/>
  <w15:docId w15:val="{7B20C1C4-BD03-49F1-BC31-2911D5BB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E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7B4BE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7B4BE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B4BE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7B4BE3"/>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B4BE3"/>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B4BE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B4BE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B4BE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B4BE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B4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B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B4B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B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BE3"/>
    <w:rPr>
      <w:rFonts w:eastAsiaTheme="majorEastAsia" w:cstheme="majorBidi"/>
      <w:color w:val="272727" w:themeColor="text1" w:themeTint="D8"/>
    </w:rPr>
  </w:style>
  <w:style w:type="paragraph" w:styleId="Title">
    <w:name w:val="Title"/>
    <w:basedOn w:val="Normal"/>
    <w:next w:val="Normal"/>
    <w:link w:val="TitleChar"/>
    <w:uiPriority w:val="10"/>
    <w:qFormat/>
    <w:rsid w:val="007B4BE3"/>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B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B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B4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BE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B4BE3"/>
    <w:rPr>
      <w:i/>
      <w:iCs/>
      <w:color w:val="404040" w:themeColor="text1" w:themeTint="BF"/>
    </w:rPr>
  </w:style>
  <w:style w:type="paragraph" w:styleId="ListParagraph">
    <w:name w:val="List Paragraph"/>
    <w:basedOn w:val="Normal"/>
    <w:uiPriority w:val="34"/>
    <w:qFormat/>
    <w:rsid w:val="007B4BE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7B4BE3"/>
    <w:rPr>
      <w:i/>
      <w:iCs/>
      <w:color w:val="2F5496" w:themeColor="accent1" w:themeShade="BF"/>
    </w:rPr>
  </w:style>
  <w:style w:type="paragraph" w:styleId="IntenseQuote">
    <w:name w:val="Intense Quote"/>
    <w:basedOn w:val="Normal"/>
    <w:next w:val="Normal"/>
    <w:link w:val="IntenseQuoteChar"/>
    <w:uiPriority w:val="30"/>
    <w:qFormat/>
    <w:rsid w:val="007B4B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B4BE3"/>
    <w:rPr>
      <w:i/>
      <w:iCs/>
      <w:color w:val="2F5496" w:themeColor="accent1" w:themeShade="BF"/>
    </w:rPr>
  </w:style>
  <w:style w:type="character" w:styleId="IntenseReference">
    <w:name w:val="Intense Reference"/>
    <w:basedOn w:val="DefaultParagraphFont"/>
    <w:uiPriority w:val="32"/>
    <w:qFormat/>
    <w:rsid w:val="007B4BE3"/>
    <w:rPr>
      <w:b/>
      <w:bCs/>
      <w:smallCaps/>
      <w:color w:val="2F5496" w:themeColor="accent1" w:themeShade="BF"/>
      <w:spacing w:val="5"/>
    </w:rPr>
  </w:style>
  <w:style w:type="paragraph" w:customStyle="1" w:styleId="Char">
    <w:name w:val="Char"/>
    <w:basedOn w:val="Normal"/>
    <w:autoRedefine/>
    <w:rsid w:val="007B4BE3"/>
    <w:pPr>
      <w:spacing w:after="160" w:line="240" w:lineRule="exact"/>
    </w:pPr>
    <w:rPr>
      <w:rFonts w:ascii="Verdana" w:hAnsi="Verdana" w:cs="Verdana"/>
      <w:lang w:val="en-US"/>
    </w:rPr>
  </w:style>
  <w:style w:type="paragraph" w:styleId="NormalWeb">
    <w:name w:val="Normal (Web)"/>
    <w:basedOn w:val="Normal"/>
    <w:uiPriority w:val="99"/>
    <w:unhideWhenUsed/>
    <w:rsid w:val="00057253"/>
    <w:pPr>
      <w:spacing w:before="100" w:beforeAutospacing="1" w:after="100" w:afterAutospacing="1"/>
    </w:pPr>
    <w:rPr>
      <w:rFonts w:ascii="Times New Roman" w:hAnsi="Times New Roman" w:cs="Times New Roman"/>
      <w:sz w:val="24"/>
      <w:szCs w:val="24"/>
      <w:lang w:val="en-US"/>
    </w:rPr>
  </w:style>
  <w:style w:type="paragraph" w:customStyle="1" w:styleId="text-token-text-primary">
    <w:name w:val="text-token-text-primary"/>
    <w:basedOn w:val="Normal"/>
    <w:rsid w:val="009A52CD"/>
    <w:pPr>
      <w:spacing w:before="100" w:beforeAutospacing="1" w:after="100" w:afterAutospacing="1"/>
    </w:pPr>
    <w:rPr>
      <w:rFonts w:ascii="Times New Roman" w:hAnsi="Times New Roman" w:cs="Times New Roman"/>
      <w:sz w:val="24"/>
      <w:szCs w:val="24"/>
      <w:lang w:val="en-US"/>
    </w:rPr>
  </w:style>
  <w:style w:type="table" w:styleId="TableGrid">
    <w:name w:val="Table Grid"/>
    <w:basedOn w:val="TableNormal"/>
    <w:uiPriority w:val="39"/>
    <w:rsid w:val="00143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273D"/>
    <w:rPr>
      <w:b/>
      <w:bCs/>
    </w:rPr>
  </w:style>
  <w:style w:type="paragraph" w:styleId="Header">
    <w:name w:val="header"/>
    <w:basedOn w:val="Normal"/>
    <w:link w:val="HeaderChar"/>
    <w:uiPriority w:val="99"/>
    <w:unhideWhenUsed/>
    <w:rsid w:val="00100A69"/>
    <w:pPr>
      <w:tabs>
        <w:tab w:val="center" w:pos="4680"/>
        <w:tab w:val="right" w:pos="9360"/>
      </w:tabs>
    </w:pPr>
  </w:style>
  <w:style w:type="character" w:customStyle="1" w:styleId="HeaderChar">
    <w:name w:val="Header Char"/>
    <w:basedOn w:val="DefaultParagraphFont"/>
    <w:link w:val="Header"/>
    <w:uiPriority w:val="99"/>
    <w:rsid w:val="00100A69"/>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100A69"/>
    <w:pPr>
      <w:tabs>
        <w:tab w:val="center" w:pos="4680"/>
        <w:tab w:val="right" w:pos="9360"/>
      </w:tabs>
    </w:pPr>
  </w:style>
  <w:style w:type="character" w:customStyle="1" w:styleId="FooterChar">
    <w:name w:val="Footer Char"/>
    <w:basedOn w:val="DefaultParagraphFont"/>
    <w:link w:val="Footer"/>
    <w:uiPriority w:val="99"/>
    <w:rsid w:val="00100A69"/>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767031">
      <w:bodyDiv w:val="1"/>
      <w:marLeft w:val="0"/>
      <w:marRight w:val="0"/>
      <w:marTop w:val="0"/>
      <w:marBottom w:val="0"/>
      <w:divBdr>
        <w:top w:val="none" w:sz="0" w:space="0" w:color="auto"/>
        <w:left w:val="none" w:sz="0" w:space="0" w:color="auto"/>
        <w:bottom w:val="none" w:sz="0" w:space="0" w:color="auto"/>
        <w:right w:val="none" w:sz="0" w:space="0" w:color="auto"/>
      </w:divBdr>
    </w:div>
    <w:div w:id="1011252868">
      <w:bodyDiv w:val="1"/>
      <w:marLeft w:val="0"/>
      <w:marRight w:val="0"/>
      <w:marTop w:val="0"/>
      <w:marBottom w:val="0"/>
      <w:divBdr>
        <w:top w:val="none" w:sz="0" w:space="0" w:color="auto"/>
        <w:left w:val="none" w:sz="0" w:space="0" w:color="auto"/>
        <w:bottom w:val="none" w:sz="0" w:space="0" w:color="auto"/>
        <w:right w:val="none" w:sz="0" w:space="0" w:color="auto"/>
      </w:divBdr>
    </w:div>
    <w:div w:id="1582058621">
      <w:bodyDiv w:val="1"/>
      <w:marLeft w:val="0"/>
      <w:marRight w:val="0"/>
      <w:marTop w:val="0"/>
      <w:marBottom w:val="0"/>
      <w:divBdr>
        <w:top w:val="none" w:sz="0" w:space="0" w:color="auto"/>
        <w:left w:val="none" w:sz="0" w:space="0" w:color="auto"/>
        <w:bottom w:val="none" w:sz="0" w:space="0" w:color="auto"/>
        <w:right w:val="none" w:sz="0" w:space="0" w:color="auto"/>
      </w:divBdr>
    </w:div>
    <w:div w:id="1743942604">
      <w:bodyDiv w:val="1"/>
      <w:marLeft w:val="0"/>
      <w:marRight w:val="0"/>
      <w:marTop w:val="0"/>
      <w:marBottom w:val="0"/>
      <w:divBdr>
        <w:top w:val="none" w:sz="0" w:space="0" w:color="auto"/>
        <w:left w:val="none" w:sz="0" w:space="0" w:color="auto"/>
        <w:bottom w:val="none" w:sz="0" w:space="0" w:color="auto"/>
        <w:right w:val="none" w:sz="0" w:space="0" w:color="auto"/>
      </w:divBdr>
    </w:div>
    <w:div w:id="177709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Hoang Van</dc:creator>
  <cp:keywords/>
  <dc:description/>
  <cp:lastModifiedBy>Linh Hoang</cp:lastModifiedBy>
  <cp:revision>3</cp:revision>
  <cp:lastPrinted>2026-05-07T10:26:00Z</cp:lastPrinted>
  <dcterms:created xsi:type="dcterms:W3CDTF">2026-05-07T10:17:00Z</dcterms:created>
  <dcterms:modified xsi:type="dcterms:W3CDTF">2026-05-07T10:27:00Z</dcterms:modified>
</cp:coreProperties>
</file>