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jc w:val="center"/>
        <w:tblLook w:val="04A0" w:firstRow="1" w:lastRow="0" w:firstColumn="1" w:lastColumn="0" w:noHBand="0" w:noVBand="1"/>
      </w:tblPr>
      <w:tblGrid>
        <w:gridCol w:w="4868"/>
        <w:gridCol w:w="5759"/>
      </w:tblGrid>
      <w:tr w:rsidR="009371E6" w14:paraId="43FEFEEC" w14:textId="77777777">
        <w:trPr>
          <w:trHeight w:val="699"/>
          <w:jc w:val="center"/>
        </w:trPr>
        <w:tc>
          <w:tcPr>
            <w:tcW w:w="4868" w:type="dxa"/>
          </w:tcPr>
          <w:p w14:paraId="43FEFEE8" w14:textId="77777777" w:rsidR="009371E6" w:rsidRDefault="009C4C07">
            <w:pPr>
              <w:widowControl w:val="0"/>
              <w:jc w:val="center"/>
              <w:rPr>
                <w:rFonts w:ascii="Times New Roman" w:hAnsi="Times New Roman" w:cs="Times New Roman"/>
                <w:b/>
                <w:sz w:val="26"/>
                <w:szCs w:val="26"/>
              </w:rPr>
            </w:pPr>
            <w:r>
              <w:rPr>
                <w:rFonts w:ascii="Times New Roman" w:hAnsi="Times New Roman" w:cs="Times New Roman"/>
                <w:b/>
                <w:sz w:val="26"/>
                <w:szCs w:val="26"/>
              </w:rPr>
              <w:t xml:space="preserve">BỘ </w:t>
            </w:r>
            <w:r w:rsidR="008352F8">
              <w:rPr>
                <w:rFonts w:ascii="Times New Roman" w:hAnsi="Times New Roman" w:cs="Times New Roman"/>
                <w:b/>
                <w:sz w:val="26"/>
                <w:szCs w:val="26"/>
              </w:rPr>
              <w:t>TÀI CHÍNH</w:t>
            </w:r>
          </w:p>
          <w:p w14:paraId="43FEFEE9" w14:textId="1921121F" w:rsidR="009371E6" w:rsidRDefault="002173A5">
            <w:pPr>
              <w:widowControl w:val="0"/>
              <w:jc w:val="center"/>
              <w:rPr>
                <w:rFonts w:ascii="Times New Roman" w:hAnsi="Times New Roman" w:cs="Times New Roman"/>
                <w:b/>
                <w:bCs/>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43FEFF5D" wp14:editId="409116B6">
                      <wp:simplePos x="0" y="0"/>
                      <wp:positionH relativeFrom="column">
                        <wp:posOffset>975995</wp:posOffset>
                      </wp:positionH>
                      <wp:positionV relativeFrom="paragraph">
                        <wp:posOffset>70484</wp:posOffset>
                      </wp:positionV>
                      <wp:extent cx="936625" cy="0"/>
                      <wp:effectExtent l="0" t="0" r="0" b="0"/>
                      <wp:wrapNone/>
                      <wp:docPr id="3650482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662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B388DAE"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6.85pt,5.55pt" to="150.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"/>
                  </w:pict>
                </mc:Fallback>
              </mc:AlternateContent>
            </w:r>
          </w:p>
        </w:tc>
        <w:tc>
          <w:tcPr>
            <w:tcW w:w="5759" w:type="dxa"/>
          </w:tcPr>
          <w:p w14:paraId="43FEFEEA" w14:textId="77777777" w:rsidR="009371E6" w:rsidRDefault="009C4C07">
            <w:pPr>
              <w:widowControl w:val="0"/>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14:paraId="43FEFEEB" w14:textId="470166B2" w:rsidR="009371E6" w:rsidRDefault="002173A5">
            <w:pPr>
              <w:widowControl w:val="0"/>
              <w:jc w:val="center"/>
              <w:rPr>
                <w:rFonts w:ascii="Times New Roman" w:hAnsi="Times New Roman" w:cs="Times New Roman"/>
                <w:b/>
                <w:bCs/>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43FEFF5E" wp14:editId="531425F7">
                      <wp:simplePos x="0" y="0"/>
                      <wp:positionH relativeFrom="column">
                        <wp:posOffset>612140</wp:posOffset>
                      </wp:positionH>
                      <wp:positionV relativeFrom="paragraph">
                        <wp:posOffset>245109</wp:posOffset>
                      </wp:positionV>
                      <wp:extent cx="22860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931AF0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2pt,19.3pt" to="228.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"/>
                  </w:pict>
                </mc:Fallback>
              </mc:AlternateContent>
            </w:r>
            <w:r w:rsidR="009C4C07">
              <w:rPr>
                <w:rFonts w:ascii="Times New Roman" w:hAnsi="Times New Roman" w:cs="Times New Roman"/>
                <w:b/>
                <w:bCs/>
                <w:sz w:val="28"/>
                <w:szCs w:val="28"/>
              </w:rPr>
              <w:t>Độc lập – Tự do – Hạnh phúc</w:t>
            </w:r>
          </w:p>
        </w:tc>
      </w:tr>
      <w:tr w:rsidR="009371E6" w14:paraId="43FEFEF1" w14:textId="77777777">
        <w:trPr>
          <w:jc w:val="center"/>
        </w:trPr>
        <w:tc>
          <w:tcPr>
            <w:tcW w:w="4868" w:type="dxa"/>
          </w:tcPr>
          <w:p w14:paraId="43FEFEED" w14:textId="77777777" w:rsidR="009371E6" w:rsidRDefault="009C4C07">
            <w:pPr>
              <w:widowControl w:val="0"/>
              <w:jc w:val="center"/>
              <w:rPr>
                <w:rFonts w:ascii="Times New Roman" w:hAnsi="Times New Roman" w:cs="Times New Roman"/>
                <w:sz w:val="28"/>
                <w:szCs w:val="28"/>
              </w:rPr>
            </w:pPr>
            <w:r>
              <w:rPr>
                <w:rFonts w:ascii="Times New Roman" w:hAnsi="Times New Roman" w:cs="Times New Roman"/>
                <w:sz w:val="28"/>
                <w:szCs w:val="28"/>
              </w:rPr>
              <w:t>Số:         /B</w:t>
            </w:r>
            <w:r w:rsidR="00B56834">
              <w:rPr>
                <w:rFonts w:ascii="Times New Roman" w:hAnsi="Times New Roman" w:cs="Times New Roman"/>
                <w:sz w:val="28"/>
                <w:szCs w:val="28"/>
              </w:rPr>
              <w:t>C</w:t>
            </w:r>
            <w:r>
              <w:rPr>
                <w:rFonts w:ascii="Times New Roman" w:hAnsi="Times New Roman" w:cs="Times New Roman"/>
                <w:sz w:val="28"/>
                <w:szCs w:val="28"/>
              </w:rPr>
              <w:t>-</w:t>
            </w:r>
            <w:r w:rsidR="00B56834">
              <w:rPr>
                <w:rFonts w:ascii="Times New Roman" w:hAnsi="Times New Roman" w:cs="Times New Roman"/>
                <w:sz w:val="28"/>
                <w:szCs w:val="28"/>
              </w:rPr>
              <w:t>DNTN</w:t>
            </w:r>
          </w:p>
          <w:p w14:paraId="43FEFEEE" w14:textId="77777777" w:rsidR="009371E6" w:rsidRDefault="009C4C07">
            <w:pPr>
              <w:jc w:val="center"/>
              <w:rPr>
                <w:rFonts w:ascii="Times New Roman" w:hAnsi="Times New Roman" w:cs="Times New Roman"/>
                <w:sz w:val="24"/>
                <w:szCs w:val="24"/>
              </w:rPr>
            </w:pPr>
            <w:r>
              <w:rPr>
                <w:rFonts w:ascii="Times New Roman" w:hAnsi="Times New Roman" w:cs="Times New Roman"/>
                <w:sz w:val="24"/>
                <w:szCs w:val="24"/>
              </w:rPr>
              <w:t>V/v báo cáo tổng kết Nghị định</w:t>
            </w:r>
          </w:p>
          <w:p w14:paraId="43FEFEEF" w14:textId="77777777" w:rsidR="009371E6" w:rsidRDefault="009C4C07" w:rsidP="00B56834">
            <w:pPr>
              <w:jc w:val="center"/>
              <w:rPr>
                <w:rFonts w:ascii="Times New Roman" w:hAnsi="Times New Roman" w:cs="Times New Roman"/>
                <w:sz w:val="28"/>
                <w:szCs w:val="28"/>
              </w:rPr>
            </w:pPr>
            <w:r>
              <w:rPr>
                <w:rFonts w:ascii="Times New Roman" w:hAnsi="Times New Roman" w:cs="Times New Roman"/>
                <w:sz w:val="24"/>
                <w:szCs w:val="24"/>
              </w:rPr>
              <w:t>số 113/2024/NĐ-CP của Chính phủ</w:t>
            </w:r>
          </w:p>
        </w:tc>
        <w:tc>
          <w:tcPr>
            <w:tcW w:w="5759" w:type="dxa"/>
          </w:tcPr>
          <w:p w14:paraId="43FEFEF0" w14:textId="38020332" w:rsidR="009371E6" w:rsidRDefault="009C4C07">
            <w:pPr>
              <w:widowControl w:val="0"/>
              <w:spacing w:before="240"/>
              <w:jc w:val="center"/>
              <w:rPr>
                <w:rFonts w:ascii="Times New Roman" w:hAnsi="Times New Roman" w:cs="Times New Roman"/>
                <w:b/>
                <w:bCs/>
                <w:sz w:val="28"/>
                <w:szCs w:val="28"/>
              </w:rPr>
            </w:pPr>
            <w:r>
              <w:rPr>
                <w:rFonts w:ascii="Times New Roman" w:hAnsi="Times New Roman" w:cs="Times New Roman"/>
                <w:i/>
                <w:iCs/>
                <w:sz w:val="28"/>
                <w:szCs w:val="28"/>
              </w:rPr>
              <w:t xml:space="preserve">Hà Nội, ngày        tháng </w:t>
            </w:r>
            <w:r w:rsidR="00C41EA9">
              <w:rPr>
                <w:rFonts w:ascii="Times New Roman" w:hAnsi="Times New Roman" w:cs="Times New Roman"/>
                <w:i/>
                <w:iCs/>
                <w:sz w:val="28"/>
                <w:szCs w:val="28"/>
              </w:rPr>
              <w:t xml:space="preserve">     </w:t>
            </w:r>
            <w:r>
              <w:rPr>
                <w:rFonts w:ascii="Times New Roman" w:hAnsi="Times New Roman" w:cs="Times New Roman"/>
                <w:i/>
                <w:iCs/>
                <w:sz w:val="28"/>
                <w:szCs w:val="28"/>
              </w:rPr>
              <w:t xml:space="preserve"> năm 2026</w:t>
            </w:r>
          </w:p>
        </w:tc>
      </w:tr>
    </w:tbl>
    <w:p w14:paraId="43FEFEF2" w14:textId="162180EB" w:rsidR="00A0242D" w:rsidRDefault="002173A5" w:rsidP="003E4472">
      <w:pPr>
        <w:autoSpaceDE w:val="0"/>
        <w:autoSpaceDN w:val="0"/>
        <w:adjustRightInd w:val="0"/>
        <w:spacing w:before="120"/>
        <w:jc w:val="center"/>
        <w:rPr>
          <w:rFonts w:ascii="Times New Roman" w:hAnsi="Times New Roman" w:cs="Times New Roman"/>
          <w:b/>
          <w:bCs/>
          <w:sz w:val="28"/>
          <w:szCs w:val="28"/>
        </w:rPr>
      </w:pPr>
      <w:r>
        <w:rPr>
          <w:noProof/>
          <w:sz w:val="26"/>
        </w:rPr>
        <mc:AlternateContent>
          <mc:Choice Requires="wps">
            <w:drawing>
              <wp:anchor distT="45720" distB="45720" distL="114300" distR="114300" simplePos="0" relativeHeight="251666432" behindDoc="0" locked="0" layoutInCell="1" allowOverlap="1" wp14:anchorId="43FEFF60" wp14:editId="7F55B584">
                <wp:simplePos x="0" y="0"/>
                <wp:positionH relativeFrom="column">
                  <wp:posOffset>-15240</wp:posOffset>
                </wp:positionH>
                <wp:positionV relativeFrom="paragraph">
                  <wp:posOffset>286385</wp:posOffset>
                </wp:positionV>
                <wp:extent cx="950595" cy="299720"/>
                <wp:effectExtent l="0" t="0" r="1905" b="5080"/>
                <wp:wrapNone/>
                <wp:docPr id="3326195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299720"/>
                        </a:xfrm>
                        <a:prstGeom prst="rect">
                          <a:avLst/>
                        </a:prstGeom>
                        <a:solidFill>
                          <a:srgbClr val="FFFFFF"/>
                        </a:solidFill>
                        <a:ln w="9525">
                          <a:solidFill>
                            <a:srgbClr val="000000"/>
                          </a:solidFill>
                          <a:miter lim="800000"/>
                          <a:headEnd/>
                          <a:tailEnd/>
                        </a:ln>
                      </wps:spPr>
                      <wps:txbx>
                        <w:txbxContent>
                          <w:p w14:paraId="43FEFF71" w14:textId="77777777" w:rsidR="00D87B4A" w:rsidRPr="009C40F2" w:rsidRDefault="00D87B4A" w:rsidP="009C40F2">
                            <w:pPr>
                              <w:jc w:val="center"/>
                              <w:rPr>
                                <w:rFonts w:ascii="Times New Roman" w:hAnsi="Times New Roman" w:cs="Times New Roman"/>
                                <w:b/>
                                <w:bCs/>
                                <w:sz w:val="24"/>
                                <w:szCs w:val="18"/>
                              </w:rPr>
                            </w:pPr>
                            <w:r w:rsidRPr="009C40F2">
                              <w:rPr>
                                <w:rFonts w:ascii="Times New Roman" w:hAnsi="Times New Roman" w:cs="Times New Roman"/>
                                <w:b/>
                                <w:bCs/>
                                <w:sz w:val="24"/>
                                <w:szCs w:val="1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EFF60" id="_x0000_t202" coordsize="21600,21600" o:spt="202" path="m,l,21600r21600,l21600,xe">
                <v:stroke joinstyle="miter"/>
                <v:path gradientshapeok="t" o:connecttype="rect"/>
              </v:shapetype>
              <v:shape id="Text Box 1" o:spid="_x0000_s1026" type="#_x0000_t202" style="position:absolute;left:0;text-align:left;margin-left:-1.2pt;margin-top:22.55pt;width:74.85pt;height:23.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">
                <v:textbox>
                  <w:txbxContent>
                    <w:p w14:paraId="43FEFF71" w14:textId="77777777" w:rsidR="00D87B4A" w:rsidRPr="009C40F2" w:rsidRDefault="00D87B4A" w:rsidP="009C40F2">
                      <w:pPr>
                        <w:jc w:val="center"/>
                        <w:rPr>
                          <w:rFonts w:ascii="Times New Roman" w:hAnsi="Times New Roman" w:cs="Times New Roman"/>
                          <w:b/>
                          <w:bCs/>
                          <w:sz w:val="24"/>
                          <w:szCs w:val="18"/>
                        </w:rPr>
                      </w:pPr>
                      <w:r w:rsidRPr="009C40F2">
                        <w:rPr>
                          <w:rFonts w:ascii="Times New Roman" w:hAnsi="Times New Roman" w:cs="Times New Roman"/>
                          <w:b/>
                          <w:bCs/>
                          <w:sz w:val="24"/>
                          <w:szCs w:val="18"/>
                        </w:rPr>
                        <w:t>DỰ THẢO</w:t>
                      </w:r>
                    </w:p>
                  </w:txbxContent>
                </v:textbox>
              </v:shape>
            </w:pict>
          </mc:Fallback>
        </mc:AlternateContent>
      </w:r>
    </w:p>
    <w:p w14:paraId="43FEFEF3" w14:textId="77777777" w:rsidR="00A0242D" w:rsidRDefault="00A0242D" w:rsidP="003E4472">
      <w:pPr>
        <w:autoSpaceDE w:val="0"/>
        <w:autoSpaceDN w:val="0"/>
        <w:adjustRightInd w:val="0"/>
        <w:spacing w:before="120"/>
        <w:jc w:val="center"/>
        <w:rPr>
          <w:rFonts w:ascii="Times New Roman" w:hAnsi="Times New Roman" w:cs="Times New Roman"/>
          <w:b/>
          <w:bCs/>
          <w:sz w:val="28"/>
          <w:szCs w:val="28"/>
        </w:rPr>
      </w:pPr>
    </w:p>
    <w:p w14:paraId="43FEFEF4" w14:textId="77777777" w:rsidR="003E4472" w:rsidRPr="007B4BE3" w:rsidRDefault="003E4472" w:rsidP="003E4472">
      <w:pPr>
        <w:autoSpaceDE w:val="0"/>
        <w:autoSpaceDN w:val="0"/>
        <w:adjustRightInd w:val="0"/>
        <w:spacing w:before="120"/>
        <w:jc w:val="center"/>
        <w:rPr>
          <w:rFonts w:ascii="Times New Roman" w:hAnsi="Times New Roman" w:cs="Times New Roman"/>
          <w:sz w:val="28"/>
          <w:szCs w:val="28"/>
        </w:rPr>
      </w:pPr>
      <w:r w:rsidRPr="007B4BE3">
        <w:rPr>
          <w:rFonts w:ascii="Times New Roman" w:hAnsi="Times New Roman" w:cs="Times New Roman"/>
          <w:b/>
          <w:bCs/>
          <w:sz w:val="28"/>
          <w:szCs w:val="28"/>
        </w:rPr>
        <w:t>BÁO CÁO</w:t>
      </w:r>
    </w:p>
    <w:p w14:paraId="43FEFEF5" w14:textId="77777777" w:rsidR="00D706D6" w:rsidRDefault="003E4472" w:rsidP="00D706D6">
      <w:pPr>
        <w:jc w:val="center"/>
        <w:rPr>
          <w:rFonts w:ascii="Times New Roman" w:hAnsi="Times New Roman" w:cs="Times New Roman"/>
          <w:b/>
          <w:bCs/>
          <w:sz w:val="28"/>
          <w:szCs w:val="28"/>
        </w:rPr>
      </w:pPr>
      <w:r w:rsidRPr="007B4BE3">
        <w:rPr>
          <w:rFonts w:ascii="Times New Roman" w:hAnsi="Times New Roman" w:cs="Times New Roman"/>
          <w:b/>
          <w:bCs/>
          <w:sz w:val="28"/>
          <w:szCs w:val="28"/>
        </w:rPr>
        <w:t>Tổng kết việc thi hành</w:t>
      </w:r>
      <w:r w:rsidR="00D706D6">
        <w:rPr>
          <w:rFonts w:ascii="Times New Roman" w:hAnsi="Times New Roman" w:cs="Times New Roman"/>
          <w:b/>
          <w:bCs/>
          <w:sz w:val="28"/>
          <w:szCs w:val="28"/>
        </w:rPr>
        <w:t xml:space="preserve"> </w:t>
      </w:r>
      <w:r w:rsidR="00D706D6" w:rsidRPr="00D706D6">
        <w:rPr>
          <w:rFonts w:ascii="Times New Roman" w:hAnsi="Times New Roman" w:cs="Times New Roman"/>
          <w:b/>
          <w:bCs/>
          <w:sz w:val="28"/>
          <w:szCs w:val="28"/>
        </w:rPr>
        <w:t>Nghị định</w:t>
      </w:r>
      <w:r w:rsidR="00D706D6">
        <w:rPr>
          <w:rFonts w:ascii="Times New Roman" w:hAnsi="Times New Roman" w:cs="Times New Roman"/>
          <w:b/>
          <w:bCs/>
          <w:sz w:val="28"/>
          <w:szCs w:val="28"/>
        </w:rPr>
        <w:t xml:space="preserve"> </w:t>
      </w:r>
      <w:r w:rsidR="00D706D6" w:rsidRPr="00D706D6">
        <w:rPr>
          <w:rFonts w:ascii="Times New Roman" w:hAnsi="Times New Roman" w:cs="Times New Roman"/>
          <w:b/>
          <w:bCs/>
          <w:sz w:val="28"/>
          <w:szCs w:val="28"/>
        </w:rPr>
        <w:t xml:space="preserve">số 113/2024/NĐ-CP </w:t>
      </w:r>
      <w:r w:rsidR="003A7A09">
        <w:rPr>
          <w:rFonts w:ascii="Times New Roman" w:hAnsi="Times New Roman" w:cs="Times New Roman"/>
          <w:b/>
          <w:bCs/>
          <w:sz w:val="28"/>
          <w:szCs w:val="28"/>
        </w:rPr>
        <w:t>ngày 12/9/2024</w:t>
      </w:r>
    </w:p>
    <w:p w14:paraId="43FEFEF6" w14:textId="77777777" w:rsidR="003E4472" w:rsidRPr="007B4BE3" w:rsidRDefault="00D706D6" w:rsidP="00D706D6">
      <w:pPr>
        <w:jc w:val="center"/>
        <w:rPr>
          <w:rFonts w:ascii="Times New Roman" w:hAnsi="Times New Roman" w:cs="Times New Roman"/>
          <w:b/>
          <w:bCs/>
          <w:sz w:val="28"/>
          <w:szCs w:val="28"/>
        </w:rPr>
      </w:pPr>
      <w:r w:rsidRPr="00D706D6">
        <w:rPr>
          <w:rFonts w:ascii="Times New Roman" w:hAnsi="Times New Roman" w:cs="Times New Roman"/>
          <w:b/>
          <w:bCs/>
          <w:sz w:val="28"/>
          <w:szCs w:val="28"/>
        </w:rPr>
        <w:t>của Chính phủ</w:t>
      </w:r>
      <w:r w:rsidR="009C3199">
        <w:rPr>
          <w:rFonts w:ascii="Times New Roman" w:hAnsi="Times New Roman" w:cs="Times New Roman"/>
          <w:b/>
          <w:bCs/>
          <w:sz w:val="28"/>
          <w:szCs w:val="28"/>
        </w:rPr>
        <w:t xml:space="preserve"> quy định chi tiết một số điều của Luật Hợp tác xã</w:t>
      </w:r>
    </w:p>
    <w:p w14:paraId="43FEFEF7" w14:textId="77777777" w:rsidR="009C3199" w:rsidRDefault="009C3199" w:rsidP="003E4472">
      <w:pPr>
        <w:autoSpaceDE w:val="0"/>
        <w:autoSpaceDN w:val="0"/>
        <w:adjustRightInd w:val="0"/>
        <w:spacing w:before="120"/>
        <w:rPr>
          <w:rFonts w:ascii="Times New Roman" w:hAnsi="Times New Roman" w:cs="Times New Roman"/>
          <w:sz w:val="28"/>
          <w:szCs w:val="28"/>
        </w:rPr>
      </w:pPr>
    </w:p>
    <w:p w14:paraId="43FEFEF8" w14:textId="77777777" w:rsidR="00A400E3" w:rsidRPr="00424720" w:rsidRDefault="00A400E3" w:rsidP="00CB2709">
      <w:pPr>
        <w:spacing w:before="120" w:after="120" w:line="288" w:lineRule="auto"/>
        <w:ind w:firstLine="720"/>
        <w:jc w:val="both"/>
        <w:rPr>
          <w:rFonts w:ascii="Times New Roman" w:hAnsi="Times New Roman" w:cs="Times New Roman"/>
          <w:spacing w:val="-6"/>
          <w:sz w:val="28"/>
          <w:szCs w:val="28"/>
        </w:rPr>
      </w:pPr>
      <w:r w:rsidRPr="00424720">
        <w:rPr>
          <w:rFonts w:ascii="Times New Roman" w:hAnsi="Times New Roman" w:cs="Times New Roman"/>
          <w:spacing w:val="-6"/>
          <w:sz w:val="28"/>
          <w:szCs w:val="28"/>
        </w:rPr>
        <w:t xml:space="preserve">Thực hiện Luật Ban hành văn bản quy phạm pháp luật số 64/2025/QH15; Chương trình công tác năm 2026 của Chính phủ, Thủ tướng Chính phủ; Bộ </w:t>
      </w:r>
      <w:r w:rsidR="001205F8" w:rsidRPr="00424720">
        <w:rPr>
          <w:rFonts w:ascii="Times New Roman" w:hAnsi="Times New Roman" w:cs="Times New Roman"/>
          <w:spacing w:val="-6"/>
          <w:sz w:val="28"/>
          <w:szCs w:val="28"/>
        </w:rPr>
        <w:t>Tài chính</w:t>
      </w:r>
      <w:r w:rsidRPr="00424720">
        <w:rPr>
          <w:rFonts w:ascii="Times New Roman" w:hAnsi="Times New Roman" w:cs="Times New Roman"/>
          <w:spacing w:val="-6"/>
          <w:sz w:val="28"/>
          <w:szCs w:val="28"/>
        </w:rPr>
        <w:t xml:space="preserve"> tổng kết việc thi hành</w:t>
      </w:r>
      <w:r w:rsidR="005D2378" w:rsidRPr="00424720">
        <w:rPr>
          <w:rFonts w:ascii="Times New Roman" w:hAnsi="Times New Roman" w:cs="Times New Roman"/>
          <w:spacing w:val="-6"/>
          <w:sz w:val="28"/>
          <w:szCs w:val="28"/>
        </w:rPr>
        <w:t xml:space="preserve"> </w:t>
      </w:r>
      <w:r w:rsidR="005653C9" w:rsidRPr="00424720">
        <w:rPr>
          <w:rFonts w:ascii="Times New Roman" w:hAnsi="Times New Roman" w:cs="Times New Roman"/>
          <w:spacing w:val="-6"/>
          <w:sz w:val="28"/>
          <w:szCs w:val="28"/>
        </w:rPr>
        <w:t xml:space="preserve">Nghị định </w:t>
      </w:r>
      <w:r w:rsidR="005D2378" w:rsidRPr="00424720">
        <w:rPr>
          <w:rFonts w:ascii="Times New Roman" w:hAnsi="Times New Roman" w:cs="Times New Roman"/>
          <w:spacing w:val="-6"/>
          <w:sz w:val="28"/>
          <w:szCs w:val="28"/>
        </w:rPr>
        <w:t>số 113/2024/NĐ-CP</w:t>
      </w:r>
      <w:r w:rsidRPr="00424720">
        <w:rPr>
          <w:rFonts w:ascii="Times New Roman" w:hAnsi="Times New Roman" w:cs="Times New Roman"/>
          <w:spacing w:val="-6"/>
          <w:sz w:val="28"/>
          <w:szCs w:val="28"/>
        </w:rPr>
        <w:t xml:space="preserve"> ngày </w:t>
      </w:r>
      <w:r w:rsidR="005D2378" w:rsidRPr="00424720">
        <w:rPr>
          <w:rFonts w:ascii="Times New Roman" w:hAnsi="Times New Roman" w:cs="Times New Roman"/>
          <w:spacing w:val="-6"/>
          <w:sz w:val="28"/>
          <w:szCs w:val="28"/>
        </w:rPr>
        <w:t>12</w:t>
      </w:r>
      <w:r w:rsidRPr="00424720">
        <w:rPr>
          <w:rFonts w:ascii="Times New Roman" w:hAnsi="Times New Roman" w:cs="Times New Roman"/>
          <w:spacing w:val="-6"/>
          <w:sz w:val="28"/>
          <w:szCs w:val="28"/>
        </w:rPr>
        <w:t xml:space="preserve"> tháng </w:t>
      </w:r>
      <w:r w:rsidR="005D2378" w:rsidRPr="00424720">
        <w:rPr>
          <w:rFonts w:ascii="Times New Roman" w:hAnsi="Times New Roman" w:cs="Times New Roman"/>
          <w:spacing w:val="-6"/>
          <w:sz w:val="28"/>
          <w:szCs w:val="28"/>
        </w:rPr>
        <w:t>9</w:t>
      </w:r>
      <w:r w:rsidRPr="00424720">
        <w:rPr>
          <w:rFonts w:ascii="Times New Roman" w:hAnsi="Times New Roman" w:cs="Times New Roman"/>
          <w:spacing w:val="-6"/>
          <w:sz w:val="28"/>
          <w:szCs w:val="28"/>
        </w:rPr>
        <w:t xml:space="preserve"> năm 20</w:t>
      </w:r>
      <w:r w:rsidR="005D2378" w:rsidRPr="00424720">
        <w:rPr>
          <w:rFonts w:ascii="Times New Roman" w:hAnsi="Times New Roman" w:cs="Times New Roman"/>
          <w:spacing w:val="-6"/>
          <w:sz w:val="28"/>
          <w:szCs w:val="28"/>
        </w:rPr>
        <w:t>24</w:t>
      </w:r>
      <w:r w:rsidRPr="00424720">
        <w:rPr>
          <w:rFonts w:ascii="Times New Roman" w:hAnsi="Times New Roman" w:cs="Times New Roman"/>
          <w:spacing w:val="-6"/>
          <w:sz w:val="28"/>
          <w:szCs w:val="28"/>
        </w:rPr>
        <w:t xml:space="preserve"> của Chính phủ </w:t>
      </w:r>
      <w:r w:rsidR="003A7A09" w:rsidRPr="00424720">
        <w:rPr>
          <w:rFonts w:ascii="Times New Roman" w:hAnsi="Times New Roman" w:cs="Times New Roman"/>
          <w:spacing w:val="-6"/>
          <w:sz w:val="28"/>
          <w:szCs w:val="28"/>
        </w:rPr>
        <w:t xml:space="preserve">quy định chi tiết một số điều của Luật </w:t>
      </w:r>
      <w:r w:rsidR="001A7D17" w:rsidRPr="00424720">
        <w:rPr>
          <w:rFonts w:ascii="Times New Roman" w:hAnsi="Times New Roman" w:cs="Times New Roman"/>
          <w:spacing w:val="-6"/>
          <w:sz w:val="28"/>
          <w:szCs w:val="28"/>
        </w:rPr>
        <w:t xml:space="preserve">Hợp tác xã </w:t>
      </w:r>
      <w:r w:rsidR="003A7A09" w:rsidRPr="00424720">
        <w:rPr>
          <w:rFonts w:ascii="Times New Roman" w:hAnsi="Times New Roman" w:cs="Times New Roman"/>
          <w:spacing w:val="-6"/>
          <w:sz w:val="28"/>
          <w:szCs w:val="28"/>
        </w:rPr>
        <w:t>(HTX</w:t>
      </w:r>
      <w:r w:rsidR="00CB2709" w:rsidRPr="00424720">
        <w:rPr>
          <w:rFonts w:ascii="Times New Roman" w:hAnsi="Times New Roman" w:cs="Times New Roman"/>
          <w:spacing w:val="-6"/>
          <w:sz w:val="28"/>
          <w:szCs w:val="28"/>
        </w:rPr>
        <w:t>)</w:t>
      </w:r>
      <w:r w:rsidR="00AF7FEB" w:rsidRPr="00424720">
        <w:rPr>
          <w:rFonts w:ascii="Times New Roman" w:hAnsi="Times New Roman" w:cs="Times New Roman"/>
          <w:spacing w:val="-6"/>
          <w:sz w:val="28"/>
          <w:szCs w:val="28"/>
        </w:rPr>
        <w:t xml:space="preserve"> như sau:</w:t>
      </w:r>
    </w:p>
    <w:p w14:paraId="43FEFEF9" w14:textId="77777777" w:rsidR="003E4472" w:rsidRPr="007B4BE3" w:rsidRDefault="003E4472" w:rsidP="00CB2709">
      <w:pPr>
        <w:autoSpaceDE w:val="0"/>
        <w:autoSpaceDN w:val="0"/>
        <w:adjustRightInd w:val="0"/>
        <w:spacing w:before="120" w:after="120" w:line="288" w:lineRule="auto"/>
        <w:ind w:firstLine="720"/>
        <w:rPr>
          <w:rFonts w:ascii="Times New Roman" w:hAnsi="Times New Roman" w:cs="Times New Roman"/>
          <w:sz w:val="28"/>
          <w:szCs w:val="28"/>
        </w:rPr>
      </w:pPr>
      <w:r w:rsidRPr="007B4BE3">
        <w:rPr>
          <w:rFonts w:ascii="Times New Roman" w:hAnsi="Times New Roman" w:cs="Times New Roman"/>
          <w:b/>
          <w:bCs/>
          <w:sz w:val="28"/>
          <w:szCs w:val="28"/>
        </w:rPr>
        <w:t>I. BỐI CẢNH THỰC HIỆN TỔNG KẾT</w:t>
      </w:r>
    </w:p>
    <w:p w14:paraId="43FEFEFA" w14:textId="77777777" w:rsidR="003E4472" w:rsidRDefault="003E4472" w:rsidP="00CB2709">
      <w:pPr>
        <w:autoSpaceDE w:val="0"/>
        <w:autoSpaceDN w:val="0"/>
        <w:adjustRightInd w:val="0"/>
        <w:spacing w:before="120" w:after="120" w:line="288" w:lineRule="auto"/>
        <w:ind w:firstLine="720"/>
        <w:rPr>
          <w:rFonts w:ascii="Times New Roman" w:hAnsi="Times New Roman" w:cs="Times New Roman"/>
          <w:b/>
          <w:bCs/>
          <w:sz w:val="28"/>
          <w:szCs w:val="28"/>
        </w:rPr>
      </w:pPr>
      <w:r w:rsidRPr="007B4BE3">
        <w:rPr>
          <w:rFonts w:ascii="Times New Roman" w:hAnsi="Times New Roman" w:cs="Times New Roman"/>
          <w:b/>
          <w:bCs/>
          <w:sz w:val="28"/>
          <w:szCs w:val="28"/>
        </w:rPr>
        <w:t xml:space="preserve">1. Bối cảnh trong nước và quốc tế </w:t>
      </w:r>
    </w:p>
    <w:p w14:paraId="43FEFEFB" w14:textId="77777777" w:rsidR="00CB2709" w:rsidRPr="00424720" w:rsidRDefault="00EB64AF" w:rsidP="00CB2709">
      <w:pPr>
        <w:spacing w:before="120" w:after="120" w:line="288" w:lineRule="auto"/>
        <w:ind w:firstLine="720"/>
        <w:jc w:val="both"/>
        <w:rPr>
          <w:rFonts w:ascii="Times New Roman" w:hAnsi="Times New Roman" w:cs="Times New Roman"/>
          <w:spacing w:val="-4"/>
          <w:sz w:val="28"/>
          <w:szCs w:val="28"/>
        </w:rPr>
      </w:pPr>
      <w:r w:rsidRPr="00424720">
        <w:rPr>
          <w:rFonts w:ascii="Times New Roman" w:hAnsi="Times New Roman" w:cs="Times New Roman"/>
          <w:spacing w:val="-4"/>
          <w:sz w:val="28"/>
          <w:szCs w:val="28"/>
        </w:rPr>
        <w:t xml:space="preserve">Luật </w:t>
      </w:r>
      <w:r w:rsidR="001A7D17" w:rsidRPr="00424720">
        <w:rPr>
          <w:rFonts w:ascii="Times New Roman" w:hAnsi="Times New Roman" w:cs="Times New Roman"/>
          <w:spacing w:val="-4"/>
          <w:sz w:val="28"/>
          <w:szCs w:val="28"/>
        </w:rPr>
        <w:t>HTX</w:t>
      </w:r>
      <w:r w:rsidR="00CB2709" w:rsidRPr="00424720">
        <w:rPr>
          <w:rFonts w:ascii="Times New Roman" w:hAnsi="Times New Roman" w:cs="Times New Roman"/>
          <w:spacing w:val="-4"/>
          <w:sz w:val="28"/>
          <w:szCs w:val="28"/>
        </w:rPr>
        <w:t xml:space="preserve"> </w:t>
      </w:r>
      <w:r w:rsidRPr="00424720">
        <w:rPr>
          <w:rFonts w:ascii="Times New Roman" w:hAnsi="Times New Roman" w:cs="Times New Roman"/>
          <w:spacing w:val="-4"/>
          <w:sz w:val="28"/>
          <w:szCs w:val="28"/>
        </w:rPr>
        <w:t>năm 2023 có hiệu lực từ ngày 01/7/2024 đã tạo ra hành lang pháp lý mới, thúc đẩy khu vực kinh tế tập thể</w:t>
      </w:r>
      <w:r w:rsidR="001329BC" w:rsidRPr="00424720">
        <w:rPr>
          <w:rFonts w:ascii="Times New Roman" w:hAnsi="Times New Roman" w:cs="Times New Roman"/>
          <w:spacing w:val="-4"/>
          <w:sz w:val="28"/>
          <w:szCs w:val="28"/>
        </w:rPr>
        <w:t xml:space="preserve"> (KTTT)</w:t>
      </w:r>
      <w:r w:rsidRPr="00424720">
        <w:rPr>
          <w:rFonts w:ascii="Times New Roman" w:hAnsi="Times New Roman" w:cs="Times New Roman"/>
          <w:spacing w:val="-4"/>
          <w:sz w:val="28"/>
          <w:szCs w:val="28"/>
        </w:rPr>
        <w:t xml:space="preserve"> phát triển theo hướng minh bạch, năng động.</w:t>
      </w:r>
      <w:r w:rsidR="00CB2709" w:rsidRPr="00424720">
        <w:rPr>
          <w:rFonts w:ascii="Times New Roman" w:hAnsi="Times New Roman" w:cs="Times New Roman"/>
          <w:spacing w:val="-4"/>
          <w:sz w:val="28"/>
          <w:szCs w:val="28"/>
        </w:rPr>
        <w:t xml:space="preserve"> Tính đến 31/12/2025, cả nước có hơn 35 nghìn HTX với gần 6 triệu thành viên tham gia; có 216 liên hiệp HTX với hơn 1 nghìn HTX thành viên; gần 66 nghìn tổ hợp tác với hơn 1 triệu thành viên; đồng thời có khoảng 1 triệu doanh nghiệp đang hoạt động (tăng 20% so với năm 2020); đã có khoảng 4,7 nghìn HTX tham gia liên kết chuỗi giá trị và 2,6 nghìn HTX ứng dụng công nghệ cao.</w:t>
      </w:r>
    </w:p>
    <w:p w14:paraId="43FEFEFC" w14:textId="77777777" w:rsidR="00CB2709" w:rsidRPr="00B424D0" w:rsidRDefault="00CB2709" w:rsidP="00B424D0">
      <w:pPr>
        <w:spacing w:before="120" w:after="120" w:line="288" w:lineRule="auto"/>
        <w:ind w:firstLine="720"/>
        <w:jc w:val="both"/>
        <w:rPr>
          <w:rFonts w:ascii="Times New Roman" w:hAnsi="Times New Roman" w:cs="Times New Roman"/>
          <w:sz w:val="28"/>
          <w:szCs w:val="28"/>
        </w:rPr>
      </w:pPr>
      <w:r w:rsidRPr="00B424D0">
        <w:rPr>
          <w:rFonts w:ascii="Times New Roman" w:hAnsi="Times New Roman" w:cs="Times New Roman"/>
          <w:sz w:val="28"/>
          <w:szCs w:val="28"/>
        </w:rPr>
        <w:t>Việt Nam đang đứng trước một bước ngoặt lịch sử: kỷ nguyên mới của hội nhập quốc tế toàn diện, phát triển bền vững và khát vọng trở thành quốc gia phát triển, thu nhập cao vào giữa thế kỷ XXI. Trong bối cảnh đó, Bộ Chính trị đã ban hành đồng thời 4 Nghị quyết chiến lược – Nghị quyết số 20-NQ/TW về phát triển kinh tế tập thể, Nghị quyết số 57-NQ/TW về khoa học, công nghệ và đổi mới sáng tạo, Nghị quyết số 59-NQ/TW về hội nhập quốc tế trong tình hình mới và Nghị quyết số 68-NQ/TW về phát triển kinh tế tư nhân. Đây là “bộ tứ trụ cột” trong cải cách thể chế phát triển, tạo ra khung khổ tư duy mới để “giải phóng năng lực quốc gia” trong kỷ nguyên toàn cầu hóa 4.0.  Trong bối cảnh ấy, kinh tế tập thể – thành phần có lịch sử lâu đời, thể hiện tinh thần cộng đồng, đoàn kết và bình đẳng – cần được tiếp cận lại từ một tầm nhìn chiến lược, thoát khỏi định kiến cũ, được khơi dậ</w:t>
      </w:r>
      <w:r w:rsidR="00B424D0" w:rsidRPr="00B424D0">
        <w:rPr>
          <w:rFonts w:ascii="Times New Roman" w:hAnsi="Times New Roman" w:cs="Times New Roman"/>
          <w:sz w:val="28"/>
          <w:szCs w:val="28"/>
        </w:rPr>
        <w:t xml:space="preserve">y </w:t>
      </w:r>
      <w:r w:rsidRPr="00B424D0">
        <w:rPr>
          <w:rFonts w:ascii="Times New Roman" w:hAnsi="Times New Roman" w:cs="Times New Roman"/>
          <w:sz w:val="28"/>
          <w:szCs w:val="28"/>
        </w:rPr>
        <w:t>để trở thành lực lượng tổ chức lại sản xuất, nâng cao sức cạnh tranh, và giữ vai trò trụ cột trong nền kinh tế.</w:t>
      </w:r>
    </w:p>
    <w:p w14:paraId="43FEFEFD" w14:textId="77777777" w:rsidR="00CB2709" w:rsidRDefault="00CB2709" w:rsidP="00CB2709">
      <w:pPr>
        <w:spacing w:before="120" w:after="120" w:line="288" w:lineRule="auto"/>
        <w:ind w:firstLine="720"/>
        <w:jc w:val="both"/>
        <w:rPr>
          <w:rFonts w:ascii="Times New Roman" w:hAnsi="Times New Roman" w:cs="Times New Roman"/>
          <w:sz w:val="28"/>
          <w:szCs w:val="28"/>
        </w:rPr>
      </w:pPr>
      <w:r w:rsidRPr="006462D3">
        <w:rPr>
          <w:rFonts w:ascii="Times New Roman" w:hAnsi="Times New Roman" w:cs="Times New Roman"/>
          <w:sz w:val="28"/>
          <w:szCs w:val="28"/>
        </w:rPr>
        <w:lastRenderedPageBreak/>
        <w:t xml:space="preserve">Nghị quyết số 68-NQ/TW ngày 04 tháng 5 năm 2025 của Bộ Chính trị về phát triển kinh tế tư nhân đặt ra yêu cầu tạo môi trường thuận lợi, hoàn thiện cơ chế, chính sách để phát triển doanh nghiệp, trong đó thúc đẩy liên kết với các thành phần kinh tế bao gồm KTTT vừa là yêu cầu thực tiễn khách quan, vừa là giải pháp mang tính chiến lược để phát triển kinh tế - xã hội. </w:t>
      </w:r>
    </w:p>
    <w:p w14:paraId="43FEFEFE" w14:textId="77777777" w:rsidR="00CB2709" w:rsidRPr="006462D3" w:rsidRDefault="00CB2709" w:rsidP="00CB2709">
      <w:pPr>
        <w:spacing w:before="120" w:after="120" w:line="288" w:lineRule="auto"/>
        <w:ind w:firstLine="720"/>
        <w:jc w:val="both"/>
        <w:rPr>
          <w:rFonts w:ascii="Times New Roman" w:hAnsi="Times New Roman" w:cs="Times New Roman"/>
          <w:sz w:val="28"/>
          <w:szCs w:val="28"/>
        </w:rPr>
      </w:pPr>
      <w:r w:rsidRPr="006462D3">
        <w:rPr>
          <w:rFonts w:ascii="Times New Roman" w:hAnsi="Times New Roman" w:cs="Times New Roman"/>
          <w:sz w:val="28"/>
          <w:szCs w:val="28"/>
        </w:rPr>
        <w:t xml:space="preserve">Nghị quyết số 57-NQ/TW ngày 22 tháng 12 năm 2024 của Bộ Chính trị về đột phá phát triển khoa học, công nghệ, đổi mới sáng tạo và chuyển đổi số quốc gia đã tạo ra định hướng chiến lược có tác động sâu rộng đến toàn bộ nền kinh tế, trong đó khu vực kinh tế tập thể, </w:t>
      </w:r>
      <w:r>
        <w:rPr>
          <w:rFonts w:ascii="Times New Roman" w:hAnsi="Times New Roman" w:cs="Times New Roman"/>
          <w:sz w:val="28"/>
          <w:szCs w:val="28"/>
        </w:rPr>
        <w:t>HTX</w:t>
      </w:r>
      <w:r w:rsidR="00B424D0">
        <w:rPr>
          <w:rFonts w:ascii="Times New Roman" w:hAnsi="Times New Roman" w:cs="Times New Roman"/>
          <w:sz w:val="28"/>
          <w:szCs w:val="28"/>
        </w:rPr>
        <w:t xml:space="preserve"> </w:t>
      </w:r>
      <w:r w:rsidRPr="006462D3">
        <w:rPr>
          <w:rFonts w:ascii="Times New Roman" w:hAnsi="Times New Roman" w:cs="Times New Roman"/>
          <w:sz w:val="28"/>
          <w:szCs w:val="28"/>
        </w:rPr>
        <w:t xml:space="preserve">là một trong những đối tượng chịu ảnh hưởng trực tiếp. Nghị quyết xác định khoa học, công nghệ, đổi mới sáng tạo và chuyển đổi số là động lực chủ yếu thúc đẩy tăng trưởng, nâng cao năng suất, chất lượng và năng lực cạnh tranh của nền kinh tế. Trong bối cảnh đó, khu vực </w:t>
      </w:r>
      <w:r>
        <w:rPr>
          <w:rFonts w:ascii="Times New Roman" w:hAnsi="Times New Roman" w:cs="Times New Roman"/>
          <w:sz w:val="28"/>
          <w:szCs w:val="28"/>
        </w:rPr>
        <w:t>HTX</w:t>
      </w:r>
      <w:r w:rsidR="00B424D0">
        <w:rPr>
          <w:rFonts w:ascii="Times New Roman" w:hAnsi="Times New Roman" w:cs="Times New Roman"/>
          <w:sz w:val="28"/>
          <w:szCs w:val="28"/>
        </w:rPr>
        <w:t xml:space="preserve"> </w:t>
      </w:r>
      <w:r w:rsidRPr="006462D3">
        <w:rPr>
          <w:rFonts w:ascii="Times New Roman" w:hAnsi="Times New Roman" w:cs="Times New Roman"/>
          <w:sz w:val="28"/>
          <w:szCs w:val="28"/>
        </w:rPr>
        <w:t xml:space="preserve">đứng trước yêu cầu cấp thiết phải chuyển đổi mô hình hoạt động theo hướng hiện đại, ứng dụng công nghệ số trong quản trị, sản xuất và tiêu thụ sản phẩm, từng bước hình thành mô hình </w:t>
      </w:r>
      <w:r>
        <w:rPr>
          <w:rFonts w:ascii="Times New Roman" w:hAnsi="Times New Roman" w:cs="Times New Roman"/>
          <w:sz w:val="28"/>
          <w:szCs w:val="28"/>
        </w:rPr>
        <w:t>HTX</w:t>
      </w:r>
      <w:r w:rsidR="00B424D0">
        <w:rPr>
          <w:rFonts w:ascii="Times New Roman" w:hAnsi="Times New Roman" w:cs="Times New Roman"/>
          <w:sz w:val="28"/>
          <w:szCs w:val="28"/>
        </w:rPr>
        <w:t xml:space="preserve"> </w:t>
      </w:r>
      <w:r w:rsidRPr="006462D3">
        <w:rPr>
          <w:rFonts w:ascii="Times New Roman" w:hAnsi="Times New Roman" w:cs="Times New Roman"/>
          <w:sz w:val="28"/>
          <w:szCs w:val="28"/>
        </w:rPr>
        <w:t>số, nâng cao tính minh bạch, hiệu quả và khả năng tham gia vào chuỗi giá trị.</w:t>
      </w:r>
    </w:p>
    <w:p w14:paraId="43FEFEFF" w14:textId="77777777" w:rsidR="00CB2709" w:rsidRPr="00B13F03" w:rsidRDefault="00CB2709" w:rsidP="00CB2709">
      <w:pPr>
        <w:spacing w:before="120" w:after="120" w:line="288" w:lineRule="auto"/>
        <w:ind w:firstLine="720"/>
        <w:jc w:val="both"/>
        <w:rPr>
          <w:rFonts w:ascii="Times New Roman" w:hAnsi="Times New Roman" w:cs="Times New Roman"/>
          <w:sz w:val="28"/>
          <w:szCs w:val="28"/>
        </w:rPr>
      </w:pPr>
      <w:r w:rsidRPr="00B13F03">
        <w:rPr>
          <w:rFonts w:ascii="Times New Roman" w:hAnsi="Times New Roman" w:cs="Times New Roman"/>
          <w:sz w:val="28"/>
          <w:szCs w:val="28"/>
        </w:rPr>
        <w:t>Nghị quyết số 66-NQ/TW ngày 30 tháng 4 năm 2025 của Bộ Chính trị về đổi mới công tác xây dựng và thi hành pháp luật đã đặt ra yêu cầu cải cách toàn diện quy trình xây dựng, ban hành và tổ chức thực thi pháp luật theo hướng đồng bộ, minh bạch, khả thi và hiệu quả, đáp ứng yêu cầu phát triển nhanh và bền vững của đất nước trong giai đoạn mới. Nghị quyết nhấn mạnh việc hoàn thiện hệ thống pháp luật theo hướng ổn định, dễ tiếp cận, giảm chồng chéo, mâu thuẫn; đồng thời tăng cường kỷ luật, kỷ cương trong tổ chức thi hành pháp luật, gắn trách nhiệm của cơ quan, tổ chức và người đứng đầu trong quá trình thực thi.</w:t>
      </w:r>
      <w:r w:rsidR="00B424D0">
        <w:rPr>
          <w:rFonts w:ascii="Times New Roman" w:hAnsi="Times New Roman" w:cs="Times New Roman"/>
          <w:sz w:val="28"/>
          <w:szCs w:val="28"/>
        </w:rPr>
        <w:t xml:space="preserve"> Do đó, chính sách phát triển KTTT, HTX cũng phải cải cách, đổi mới.</w:t>
      </w:r>
    </w:p>
    <w:p w14:paraId="43FEFF00" w14:textId="77777777" w:rsidR="00CB2709" w:rsidRPr="00B13F03" w:rsidRDefault="00CB2709" w:rsidP="00CB2709">
      <w:pPr>
        <w:spacing w:before="120" w:after="120" w:line="288" w:lineRule="auto"/>
        <w:ind w:firstLine="720"/>
        <w:jc w:val="both"/>
        <w:rPr>
          <w:rFonts w:ascii="Times New Roman" w:hAnsi="Times New Roman" w:cs="Times New Roman"/>
          <w:sz w:val="28"/>
          <w:szCs w:val="28"/>
        </w:rPr>
      </w:pPr>
      <w:r w:rsidRPr="00B13F03">
        <w:rPr>
          <w:rFonts w:ascii="Times New Roman" w:hAnsi="Times New Roman" w:cs="Times New Roman"/>
          <w:sz w:val="28"/>
          <w:szCs w:val="28"/>
        </w:rPr>
        <w:t>Trong thực tiễn thi hành Nghị định số 113/2024/NĐ-CP, các định hướng của Nghị quyết số 66-NQ/TW đặt ra yêu cầu cần tiếp tục rà soát, đánh giá toàn diện các quy định hiện hành để kịp thời phát hiện những nội dung còn chồng chéo, bất cập hoặc chưa phù hợp với thực tiễn phát triển của hợp tác xã. Đồng thời, cần chú trọng hơn đến việc đơn giản hóa thủ tục hành chính, tăng cường phân cấp, phân quyền gắn với kiểm tra, giám sát, bảo đảm tính linh hoạt trong tổ chức thực hiện tại địa phương. Bên cạnh đó, việc nâng cao chất lượng đội ngũ cán bộ thực thi, đẩy mạnh ứng dụng công nghệ thông tin trong quản lý và tổ chức thi hành pháp luật cũng là những yêu cầu cấp thiết nhằm nâng cao hiệu lực, hiệu quả quản lý nhà nước đối với khu vực kinh tế tập thể.</w:t>
      </w:r>
    </w:p>
    <w:p w14:paraId="43FEFF01" w14:textId="77777777" w:rsidR="00CB2709" w:rsidRPr="00B424D0" w:rsidRDefault="00CB2709" w:rsidP="00B424D0">
      <w:pPr>
        <w:spacing w:before="120" w:after="120" w:line="288" w:lineRule="auto"/>
        <w:ind w:firstLine="720"/>
        <w:jc w:val="both"/>
        <w:rPr>
          <w:rFonts w:ascii="Times New Roman" w:hAnsi="Times New Roman" w:cs="Times New Roman"/>
          <w:sz w:val="28"/>
          <w:szCs w:val="28"/>
        </w:rPr>
      </w:pPr>
      <w:r w:rsidRPr="00B424D0">
        <w:rPr>
          <w:rFonts w:ascii="Times New Roman" w:hAnsi="Times New Roman" w:cs="Times New Roman"/>
          <w:sz w:val="28"/>
          <w:szCs w:val="28"/>
        </w:rPr>
        <w:lastRenderedPageBreak/>
        <w:t>Bên cạnh các thuận lợi từ việc tiếp tục hoàn thiện thể chế, chính sách, sự hỗ trợ từ các cơ quan quản lý nhà nước và đối  tác quốc tế, các HTX sẽ phải đối mặt với những thách thức lớn như sức ép cạnh tranh ngày càng gia tăng, yêu cầu đổi mới liên tục về công nghệ, nâng cao năng lực quản trị và khả năng thích ứng với các biến động khó lường từ thị trường thế giới. Vì vậy, việc chủ động chuẩn bị các điều kiện về năng lực, tăng cường sự phối hợp, hỗ trợ từ các cấp, các ngành là yếu tố quyết định để khu vực KTTT, HTX vượt qua những thách thức và tận dụng hiệu quả các cơ hội phát triển trong thời gian tới.</w:t>
      </w:r>
    </w:p>
    <w:p w14:paraId="43FEFF02" w14:textId="77777777" w:rsidR="00EB64AF" w:rsidRDefault="00EB64AF" w:rsidP="00CB2709">
      <w:pPr>
        <w:spacing w:before="120" w:after="120" w:line="288" w:lineRule="auto"/>
        <w:ind w:firstLine="720"/>
        <w:jc w:val="both"/>
        <w:rPr>
          <w:rFonts w:ascii="Times New Roman" w:hAnsi="Times New Roman" w:cs="Times New Roman"/>
          <w:sz w:val="28"/>
          <w:szCs w:val="28"/>
        </w:rPr>
      </w:pPr>
      <w:r w:rsidRPr="00472439">
        <w:rPr>
          <w:rFonts w:ascii="Times New Roman" w:hAnsi="Times New Roman" w:cs="Times New Roman"/>
          <w:sz w:val="28"/>
          <w:szCs w:val="28"/>
        </w:rPr>
        <w:t xml:space="preserve">Đặc biệt, giai đoạn </w:t>
      </w:r>
      <w:r w:rsidR="00CB2709">
        <w:rPr>
          <w:rFonts w:ascii="Times New Roman" w:hAnsi="Times New Roman" w:cs="Times New Roman"/>
          <w:sz w:val="28"/>
          <w:szCs w:val="28"/>
        </w:rPr>
        <w:t>hiện nay</w:t>
      </w:r>
      <w:r w:rsidR="00B424D0">
        <w:rPr>
          <w:rFonts w:ascii="Times New Roman" w:hAnsi="Times New Roman" w:cs="Times New Roman"/>
          <w:sz w:val="28"/>
          <w:szCs w:val="28"/>
        </w:rPr>
        <w:t xml:space="preserve">, đất nước ta đang thực hiện cuộc cách mạng về sắp xếp và tinh gọn bộ máy của hệ thống chính trị, bao gồm </w:t>
      </w:r>
      <w:r w:rsidRPr="00472439">
        <w:rPr>
          <w:rFonts w:ascii="Times New Roman" w:hAnsi="Times New Roman" w:cs="Times New Roman"/>
          <w:sz w:val="28"/>
          <w:szCs w:val="28"/>
        </w:rPr>
        <w:t>việc sáp nhập đơn vị hành chính cấp tỉnh và triển khai mô hình chính quyền địa phương 02 cấ</w:t>
      </w:r>
      <w:r w:rsidR="00B424D0">
        <w:rPr>
          <w:rFonts w:ascii="Times New Roman" w:hAnsi="Times New Roman" w:cs="Times New Roman"/>
          <w:sz w:val="28"/>
          <w:szCs w:val="28"/>
        </w:rPr>
        <w:t>p đặt ra những yêu cầu phải điều chỉnh thể chế, chính sách cho phù hợp.</w:t>
      </w:r>
    </w:p>
    <w:p w14:paraId="43FEFF03" w14:textId="77777777" w:rsidR="00B424D0" w:rsidRPr="00AB3178" w:rsidRDefault="00B424D0" w:rsidP="00B424D0">
      <w:pPr>
        <w:spacing w:before="120" w:after="120" w:line="288" w:lineRule="auto"/>
        <w:ind w:firstLine="720"/>
        <w:jc w:val="both"/>
        <w:rPr>
          <w:rFonts w:ascii="Times New Roman" w:hAnsi="Times New Roman" w:cs="Times New Roman"/>
          <w:sz w:val="28"/>
          <w:szCs w:val="28"/>
        </w:rPr>
      </w:pPr>
      <w:r w:rsidRPr="00B424D0">
        <w:rPr>
          <w:rFonts w:ascii="Times New Roman" w:hAnsi="Times New Roman" w:cs="Times New Roman"/>
          <w:sz w:val="28"/>
          <w:szCs w:val="28"/>
        </w:rPr>
        <w:t xml:space="preserve">Dự báo giai đoạn </w:t>
      </w:r>
      <w:r>
        <w:rPr>
          <w:rFonts w:ascii="Times New Roman" w:hAnsi="Times New Roman" w:cs="Times New Roman"/>
          <w:sz w:val="28"/>
          <w:szCs w:val="28"/>
        </w:rPr>
        <w:t>sắp tới</w:t>
      </w:r>
      <w:r w:rsidRPr="00B424D0">
        <w:rPr>
          <w:rFonts w:ascii="Times New Roman" w:hAnsi="Times New Roman" w:cs="Times New Roman"/>
          <w:sz w:val="28"/>
          <w:szCs w:val="28"/>
        </w:rPr>
        <w:t xml:space="preserve">, tình hình thế giới tiếp tục có nhiều bất ổn, nhưng cũng mở ra các cơ hội mới nhờ hội nhập quốc tế sâu rộng, Cách mạng công nghiệp lần thứ 4, nhu cầu gia tăng về nông sản chất lượng cao và sản xuất theo chuỗi giá trị. </w:t>
      </w:r>
      <w:r w:rsidRPr="00AB3178">
        <w:rPr>
          <w:rFonts w:ascii="Times New Roman" w:hAnsi="Times New Roman" w:cs="Times New Roman"/>
          <w:sz w:val="28"/>
          <w:szCs w:val="28"/>
        </w:rPr>
        <w:t xml:space="preserve">Trong </w:t>
      </w:r>
      <w:r>
        <w:rPr>
          <w:rFonts w:ascii="Times New Roman" w:hAnsi="Times New Roman" w:cs="Times New Roman"/>
          <w:sz w:val="28"/>
          <w:szCs w:val="28"/>
        </w:rPr>
        <w:t>nước</w:t>
      </w:r>
      <w:r w:rsidRPr="00AB3178">
        <w:rPr>
          <w:rFonts w:ascii="Times New Roman" w:hAnsi="Times New Roman" w:cs="Times New Roman"/>
          <w:sz w:val="28"/>
          <w:szCs w:val="28"/>
        </w:rPr>
        <w:t>, cả nước đang nỗ lực để hoàn thành thắng lợi</w:t>
      </w:r>
      <w:r>
        <w:rPr>
          <w:rFonts w:ascii="Times New Roman" w:hAnsi="Times New Roman" w:cs="Times New Roman"/>
          <w:sz w:val="28"/>
          <w:szCs w:val="28"/>
        </w:rPr>
        <w:t xml:space="preserve"> hai</w:t>
      </w:r>
      <w:r w:rsidRPr="006462D3">
        <w:rPr>
          <w:rFonts w:ascii="Times New Roman" w:hAnsi="Times New Roman" w:cs="Times New Roman"/>
          <w:sz w:val="28"/>
          <w:szCs w:val="28"/>
        </w:rPr>
        <w:t xml:space="preserve"> </w:t>
      </w:r>
      <w:r w:rsidRPr="00AB3178">
        <w:rPr>
          <w:rFonts w:ascii="Times New Roman" w:hAnsi="Times New Roman" w:cs="Times New Roman"/>
          <w:sz w:val="28"/>
          <w:szCs w:val="28"/>
        </w:rPr>
        <w:t>mục tiêu 100 năm</w:t>
      </w:r>
      <w:r>
        <w:rPr>
          <w:rFonts w:ascii="Times New Roman" w:hAnsi="Times New Roman" w:cs="Times New Roman"/>
          <w:sz w:val="28"/>
          <w:szCs w:val="28"/>
        </w:rPr>
        <w:t xml:space="preserve"> của đất nước</w:t>
      </w:r>
      <w:r w:rsidRPr="00AB3178">
        <w:rPr>
          <w:rFonts w:ascii="Times New Roman" w:hAnsi="Times New Roman" w:cs="Times New Roman"/>
          <w:sz w:val="28"/>
          <w:szCs w:val="28"/>
        </w:rPr>
        <w:t>, phấn đấu tăng trưởng hai con số trong những năm tiếp theo; vượt qua bẫy thu nhập trung bình, sớm đạt mục tiêu trở thành nước phát triển có thu nhập cao vào năm 2045.</w:t>
      </w:r>
    </w:p>
    <w:p w14:paraId="43FEFF04" w14:textId="77777777" w:rsidR="00AB3178" w:rsidRPr="00AB3178" w:rsidRDefault="00B424D0" w:rsidP="001C3DD5">
      <w:pPr>
        <w:spacing w:before="120" w:after="120" w:line="288" w:lineRule="auto"/>
        <w:ind w:firstLine="720"/>
        <w:jc w:val="both"/>
        <w:rPr>
          <w:rFonts w:ascii="Times New Roman" w:hAnsi="Times New Roman" w:cs="Times New Roman"/>
          <w:sz w:val="28"/>
          <w:szCs w:val="28"/>
        </w:rPr>
      </w:pPr>
      <w:r w:rsidRPr="00B424D0">
        <w:rPr>
          <w:rFonts w:ascii="Times New Roman" w:hAnsi="Times New Roman" w:cs="Times New Roman"/>
          <w:sz w:val="28"/>
          <w:szCs w:val="28"/>
        </w:rPr>
        <w:t>Xu hướng phát triển KTTT, HTX Việt Nam sẽ tiếp tục diễn ra trong bối cảnh hội nhập quốc tế sâu rộng và phát triển bền vững, đòi hỏi các HTX phải nâng cao chất lượng sản phẩm, đáp ứng tốt hơn các tiêu chuẩn quốc tế, thúc đẩy chuyển đổi số, tăng cường năng lực quản trị và xây dựng các mô hình sản xuất kinh doanh chuyên nghiệp, hiện đạ</w:t>
      </w:r>
      <w:r>
        <w:rPr>
          <w:rFonts w:ascii="Times New Roman" w:hAnsi="Times New Roman" w:cs="Times New Roman"/>
          <w:sz w:val="28"/>
          <w:szCs w:val="28"/>
        </w:rPr>
        <w:t xml:space="preserve">i </w:t>
      </w:r>
      <w:r w:rsidR="001C3DD5">
        <w:rPr>
          <w:rFonts w:ascii="Times New Roman" w:hAnsi="Times New Roman" w:cs="Times New Roman"/>
          <w:sz w:val="28"/>
          <w:szCs w:val="28"/>
        </w:rPr>
        <w:t>để</w:t>
      </w:r>
      <w:r w:rsidR="0080098F" w:rsidRPr="00472439">
        <w:rPr>
          <w:rFonts w:ascii="Times New Roman" w:hAnsi="Times New Roman" w:cs="Times New Roman"/>
          <w:sz w:val="28"/>
          <w:szCs w:val="28"/>
        </w:rPr>
        <w:t xml:space="preserve"> nâng cao năng lực cạnh tranh và khả năng thích ứng</w:t>
      </w:r>
      <w:r w:rsidR="00C96D5A" w:rsidRPr="006462D3">
        <w:rPr>
          <w:rFonts w:ascii="Times New Roman" w:hAnsi="Times New Roman" w:cs="Times New Roman"/>
          <w:sz w:val="28"/>
          <w:szCs w:val="28"/>
        </w:rPr>
        <w:t>.</w:t>
      </w:r>
      <w:r w:rsidR="00AB3178" w:rsidRPr="00AB3178">
        <w:rPr>
          <w:rFonts w:ascii="Times New Roman" w:hAnsi="Times New Roman" w:cs="Times New Roman"/>
          <w:sz w:val="28"/>
          <w:szCs w:val="28"/>
        </w:rPr>
        <w:t xml:space="preserve"> </w:t>
      </w:r>
    </w:p>
    <w:p w14:paraId="43FEFF05" w14:textId="77777777" w:rsidR="003E4472" w:rsidRPr="006462D3" w:rsidRDefault="003E4472" w:rsidP="00CB2709">
      <w:pPr>
        <w:autoSpaceDE w:val="0"/>
        <w:autoSpaceDN w:val="0"/>
        <w:adjustRightInd w:val="0"/>
        <w:spacing w:before="120" w:after="120" w:line="288" w:lineRule="auto"/>
        <w:ind w:firstLine="720"/>
        <w:rPr>
          <w:rFonts w:ascii="Times New Roman" w:hAnsi="Times New Roman" w:cs="Times New Roman"/>
          <w:b/>
          <w:bCs/>
          <w:sz w:val="28"/>
          <w:szCs w:val="28"/>
        </w:rPr>
      </w:pPr>
      <w:r w:rsidRPr="006462D3">
        <w:rPr>
          <w:rFonts w:ascii="Times New Roman" w:hAnsi="Times New Roman" w:cs="Times New Roman"/>
          <w:b/>
          <w:bCs/>
          <w:sz w:val="28"/>
          <w:szCs w:val="28"/>
        </w:rPr>
        <w:t>2. Quá trình thực hiện tổng kết</w:t>
      </w:r>
    </w:p>
    <w:p w14:paraId="43FEFF06" w14:textId="77777777" w:rsidR="00450B88" w:rsidRPr="006462D3" w:rsidRDefault="007D6D3C" w:rsidP="00CB2709">
      <w:pPr>
        <w:spacing w:before="120" w:after="120" w:line="288" w:lineRule="auto"/>
        <w:ind w:firstLine="720"/>
        <w:jc w:val="both"/>
        <w:rPr>
          <w:rFonts w:ascii="Times New Roman" w:hAnsi="Times New Roman" w:cs="Times New Roman"/>
          <w:sz w:val="28"/>
          <w:szCs w:val="28"/>
        </w:rPr>
      </w:pPr>
      <w:r w:rsidRPr="006462D3">
        <w:rPr>
          <w:rFonts w:ascii="Times New Roman" w:hAnsi="Times New Roman" w:cs="Times New Roman"/>
          <w:sz w:val="28"/>
          <w:szCs w:val="28"/>
        </w:rPr>
        <w:t xml:space="preserve">Để phục vụ việc xây dựng </w:t>
      </w:r>
      <w:r w:rsidR="00C12006" w:rsidRPr="006462D3">
        <w:rPr>
          <w:rFonts w:ascii="Times New Roman" w:hAnsi="Times New Roman" w:cs="Times New Roman"/>
          <w:sz w:val="28"/>
          <w:szCs w:val="28"/>
        </w:rPr>
        <w:t xml:space="preserve">Nghị định sửa đổi, bổ sung một số điều của Nghị định số 113/2024/NĐ- CP ngày 12 tháng 9 năm 2024 của Chính phủ quy định chi tiết một số điều của Luật </w:t>
      </w:r>
      <w:r w:rsidR="002873EE">
        <w:rPr>
          <w:rFonts w:ascii="Times New Roman" w:hAnsi="Times New Roman" w:cs="Times New Roman"/>
          <w:sz w:val="28"/>
          <w:szCs w:val="28"/>
        </w:rPr>
        <w:t>HTX</w:t>
      </w:r>
      <w:r w:rsidRPr="006462D3">
        <w:rPr>
          <w:rFonts w:ascii="Times New Roman" w:hAnsi="Times New Roman" w:cs="Times New Roman"/>
          <w:sz w:val="28"/>
          <w:szCs w:val="28"/>
        </w:rPr>
        <w:t xml:space="preserve">, Bộ </w:t>
      </w:r>
      <w:r w:rsidR="00DE4ACA" w:rsidRPr="006462D3">
        <w:rPr>
          <w:rFonts w:ascii="Times New Roman" w:hAnsi="Times New Roman" w:cs="Times New Roman"/>
          <w:sz w:val="28"/>
          <w:szCs w:val="28"/>
        </w:rPr>
        <w:t>Tài chính</w:t>
      </w:r>
      <w:r w:rsidRPr="006462D3">
        <w:rPr>
          <w:rFonts w:ascii="Times New Roman" w:hAnsi="Times New Roman" w:cs="Times New Roman"/>
          <w:sz w:val="28"/>
          <w:szCs w:val="28"/>
        </w:rPr>
        <w:t xml:space="preserve"> đã tổ chức rà soát, tổng kết tình hình thi hành Nghị định; </w:t>
      </w:r>
      <w:r w:rsidR="00450B88" w:rsidRPr="00472439">
        <w:rPr>
          <w:rFonts w:ascii="Times New Roman" w:hAnsi="Times New Roman" w:cs="Times New Roman"/>
          <w:sz w:val="28"/>
          <w:szCs w:val="28"/>
        </w:rPr>
        <w:t>ban hành Công văn số 3474/BTC-DNTN ngày 23/3/2026 gửi các bộ, ngành và địa phương đề nghị báo cáo tình hình thi hành Nghị định</w:t>
      </w:r>
      <w:r w:rsidR="00450B88" w:rsidRPr="006462D3">
        <w:rPr>
          <w:rFonts w:ascii="Times New Roman" w:hAnsi="Times New Roman" w:cs="Times New Roman"/>
          <w:sz w:val="28"/>
          <w:szCs w:val="28"/>
        </w:rPr>
        <w:t>.</w:t>
      </w:r>
    </w:p>
    <w:p w14:paraId="43FEFF07" w14:textId="77777777" w:rsidR="0037514F" w:rsidRPr="006462D3" w:rsidRDefault="0037514F" w:rsidP="00CB2709">
      <w:pPr>
        <w:spacing w:before="120" w:after="120" w:line="288" w:lineRule="auto"/>
        <w:ind w:firstLine="720"/>
        <w:jc w:val="both"/>
        <w:rPr>
          <w:rFonts w:ascii="Times New Roman" w:hAnsi="Times New Roman" w:cs="Times New Roman"/>
          <w:sz w:val="28"/>
          <w:szCs w:val="28"/>
        </w:rPr>
      </w:pPr>
      <w:r w:rsidRPr="00472439">
        <w:rPr>
          <w:rFonts w:ascii="Times New Roman" w:hAnsi="Times New Roman" w:cs="Times New Roman"/>
          <w:sz w:val="28"/>
          <w:szCs w:val="28"/>
        </w:rPr>
        <w:t xml:space="preserve">Quá trình tổng kết được thực hiện nghiêm túc, thu thập ý kiến từ các Bộ </w:t>
      </w:r>
      <w:r w:rsidRPr="006462D3">
        <w:rPr>
          <w:rFonts w:ascii="Times New Roman" w:hAnsi="Times New Roman" w:cs="Times New Roman"/>
          <w:sz w:val="28"/>
          <w:szCs w:val="28"/>
        </w:rPr>
        <w:t>ban, ngành</w:t>
      </w:r>
      <w:r w:rsidRPr="00472439">
        <w:rPr>
          <w:rFonts w:ascii="Times New Roman" w:hAnsi="Times New Roman" w:cs="Times New Roman"/>
          <w:sz w:val="28"/>
          <w:szCs w:val="28"/>
        </w:rPr>
        <w:t xml:space="preserve"> và UBND các tỉnh, thành phố trên phạm vi toàn quốc.</w:t>
      </w:r>
    </w:p>
    <w:p w14:paraId="43FEFF08" w14:textId="4A2E64CD" w:rsidR="007D6D3C" w:rsidRPr="006462D3" w:rsidRDefault="007D6D3C" w:rsidP="00CB2709">
      <w:pPr>
        <w:spacing w:before="120" w:after="120" w:line="288" w:lineRule="auto"/>
        <w:ind w:firstLine="720"/>
        <w:jc w:val="both"/>
        <w:rPr>
          <w:rFonts w:ascii="Times New Roman" w:hAnsi="Times New Roman" w:cs="Times New Roman"/>
          <w:sz w:val="28"/>
          <w:szCs w:val="28"/>
        </w:rPr>
      </w:pPr>
      <w:r w:rsidRPr="006462D3">
        <w:rPr>
          <w:rFonts w:ascii="Times New Roman" w:hAnsi="Times New Roman" w:cs="Times New Roman"/>
          <w:sz w:val="28"/>
          <w:szCs w:val="28"/>
        </w:rPr>
        <w:t xml:space="preserve">Trên cơ sở báo cáo của các Bộ, ngành, địa phương, kết quả Hội nghị </w:t>
      </w:r>
      <w:r w:rsidR="00CC76F5" w:rsidRPr="006462D3">
        <w:rPr>
          <w:rFonts w:ascii="Times New Roman" w:hAnsi="Times New Roman" w:cs="Times New Roman"/>
          <w:sz w:val="28"/>
          <w:szCs w:val="28"/>
        </w:rPr>
        <w:t>………</w:t>
      </w:r>
      <w:r w:rsidRPr="006462D3">
        <w:rPr>
          <w:rFonts w:ascii="Times New Roman" w:hAnsi="Times New Roman" w:cs="Times New Roman"/>
          <w:sz w:val="28"/>
          <w:szCs w:val="28"/>
        </w:rPr>
        <w:t xml:space="preserve"> và kết quả rà soát hệ thống pháp luật có liên quan, Bộ </w:t>
      </w:r>
      <w:r w:rsidR="00CC76F5" w:rsidRPr="006462D3">
        <w:rPr>
          <w:rFonts w:ascii="Times New Roman" w:hAnsi="Times New Roman" w:cs="Times New Roman"/>
          <w:sz w:val="28"/>
          <w:szCs w:val="28"/>
        </w:rPr>
        <w:t>Tài chính</w:t>
      </w:r>
      <w:r w:rsidRPr="006462D3">
        <w:rPr>
          <w:rFonts w:ascii="Times New Roman" w:hAnsi="Times New Roman" w:cs="Times New Roman"/>
          <w:sz w:val="28"/>
          <w:szCs w:val="28"/>
        </w:rPr>
        <w:t xml:space="preserve"> đã nghiên cứu, đánh giá thực trạng thi hành </w:t>
      </w:r>
      <w:r w:rsidR="006C5EE4">
        <w:rPr>
          <w:rFonts w:ascii="Times New Roman" w:hAnsi="Times New Roman" w:cs="Times New Roman"/>
          <w:sz w:val="28"/>
          <w:szCs w:val="28"/>
        </w:rPr>
        <w:t xml:space="preserve">Nghị định </w:t>
      </w:r>
      <w:r w:rsidR="006C5EE4" w:rsidRPr="006462D3">
        <w:rPr>
          <w:rFonts w:ascii="Times New Roman" w:hAnsi="Times New Roman" w:cs="Times New Roman"/>
          <w:sz w:val="28"/>
          <w:szCs w:val="28"/>
        </w:rPr>
        <w:t xml:space="preserve">số 113/2024/NĐ- CP ngày 12 tháng 9 năm </w:t>
      </w:r>
      <w:r w:rsidR="006C5EE4" w:rsidRPr="006462D3">
        <w:rPr>
          <w:rFonts w:ascii="Times New Roman" w:hAnsi="Times New Roman" w:cs="Times New Roman"/>
          <w:sz w:val="28"/>
          <w:szCs w:val="28"/>
        </w:rPr>
        <w:lastRenderedPageBreak/>
        <w:t>2024 của Chính phủ</w:t>
      </w:r>
      <w:r w:rsidRPr="006462D3">
        <w:rPr>
          <w:rFonts w:ascii="Times New Roman" w:hAnsi="Times New Roman" w:cs="Times New Roman"/>
          <w:sz w:val="28"/>
          <w:szCs w:val="28"/>
        </w:rPr>
        <w:t>; bước đầu xây dựng dự thảo Nghị định thay thế, dự thảo Tờ trình Chính phủ và các tài liệu liên quan.</w:t>
      </w:r>
    </w:p>
    <w:p w14:paraId="43FEFF09" w14:textId="77777777" w:rsidR="003E4472" w:rsidRPr="007B4BE3" w:rsidRDefault="003E4472" w:rsidP="00CB2709">
      <w:pPr>
        <w:autoSpaceDE w:val="0"/>
        <w:autoSpaceDN w:val="0"/>
        <w:adjustRightInd w:val="0"/>
        <w:spacing w:before="120" w:after="120" w:line="288" w:lineRule="auto"/>
        <w:ind w:firstLine="720"/>
        <w:rPr>
          <w:rFonts w:ascii="Times New Roman" w:hAnsi="Times New Roman" w:cs="Times New Roman"/>
          <w:sz w:val="28"/>
          <w:szCs w:val="28"/>
        </w:rPr>
      </w:pPr>
      <w:r w:rsidRPr="007B4BE3">
        <w:rPr>
          <w:rFonts w:ascii="Times New Roman" w:hAnsi="Times New Roman" w:cs="Times New Roman"/>
          <w:b/>
          <w:bCs/>
          <w:sz w:val="28"/>
          <w:szCs w:val="28"/>
        </w:rPr>
        <w:t>II. KẾT QUẢ THỰC HIỆN</w:t>
      </w:r>
    </w:p>
    <w:p w14:paraId="43FEFF0A" w14:textId="77777777" w:rsidR="003E4472" w:rsidRPr="007B4BE3" w:rsidRDefault="003E4472" w:rsidP="00CB2709">
      <w:pPr>
        <w:autoSpaceDE w:val="0"/>
        <w:autoSpaceDN w:val="0"/>
        <w:adjustRightInd w:val="0"/>
        <w:spacing w:before="120" w:after="120" w:line="288" w:lineRule="auto"/>
        <w:ind w:firstLine="720"/>
        <w:rPr>
          <w:rFonts w:ascii="Times New Roman" w:hAnsi="Times New Roman" w:cs="Times New Roman"/>
          <w:sz w:val="28"/>
          <w:szCs w:val="28"/>
        </w:rPr>
      </w:pPr>
      <w:r w:rsidRPr="007B4BE3">
        <w:rPr>
          <w:rFonts w:ascii="Times New Roman" w:hAnsi="Times New Roman" w:cs="Times New Roman"/>
          <w:b/>
          <w:bCs/>
          <w:sz w:val="28"/>
          <w:szCs w:val="28"/>
        </w:rPr>
        <w:t>1. Công tác chỉ đạo, triển khai và tổ chức thi hành văn bản quy phạm pháp luật</w:t>
      </w:r>
    </w:p>
    <w:p w14:paraId="43FEFF0B" w14:textId="77777777" w:rsidR="005434F2" w:rsidRDefault="00CE0193"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133FE" w:rsidRPr="00E133FE">
        <w:rPr>
          <w:rFonts w:ascii="Times New Roman" w:hAnsi="Times New Roman" w:cs="Times New Roman"/>
          <w:sz w:val="28"/>
          <w:szCs w:val="28"/>
        </w:rPr>
        <w:t xml:space="preserve">Công tác chỉ đạo, triển khai và tổ chức thi hành các văn bản quy phạm pháp luật, trọng tâm là Nghị định số 113/2024/NĐ-CP đã được thực hiện tương đối đồng bộ, thống nhất từ Trung ương đến địa phương. Ngay sau khi Luật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E133FE" w:rsidRPr="00E133FE">
        <w:rPr>
          <w:rFonts w:ascii="Times New Roman" w:hAnsi="Times New Roman" w:cs="Times New Roman"/>
          <w:sz w:val="28"/>
          <w:szCs w:val="28"/>
        </w:rPr>
        <w:t xml:space="preserve">năm 2023 được ban hành, Chính phủ đã kịp thời phân công các bộ, ngành xây dựng văn bản quy định chi tiết; các bộ, ngành trung ương chủ động ban hành văn bản hướng dẫn, đôn đốc địa phương triển khai, trong đó Bộ Nông nghiệp và Môi trường đã tích cực hướng dẫn lồng ghép phát triển tổ hợp tác,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E133FE" w:rsidRPr="00E133FE">
        <w:rPr>
          <w:rFonts w:ascii="Times New Roman" w:hAnsi="Times New Roman" w:cs="Times New Roman"/>
          <w:sz w:val="28"/>
          <w:szCs w:val="28"/>
        </w:rPr>
        <w:t xml:space="preserve">vào các chương trình, đề án phát triển vùng nguyên liệu. </w:t>
      </w:r>
    </w:p>
    <w:p w14:paraId="43FEFF0C" w14:textId="77777777" w:rsidR="00E133FE" w:rsidRPr="00E133FE" w:rsidRDefault="00CE0193"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133FE" w:rsidRPr="00E133FE">
        <w:rPr>
          <w:rFonts w:ascii="Times New Roman" w:hAnsi="Times New Roman" w:cs="Times New Roman"/>
          <w:sz w:val="28"/>
          <w:szCs w:val="28"/>
        </w:rPr>
        <w:t>Ở cấp địa phương, 100% tỉnh, thành phố</w:t>
      </w:r>
      <w:r w:rsidR="001C3DD5">
        <w:rPr>
          <w:rFonts w:ascii="Times New Roman" w:hAnsi="Times New Roman" w:cs="Times New Roman"/>
          <w:sz w:val="28"/>
          <w:szCs w:val="28"/>
        </w:rPr>
        <w:t xml:space="preserve"> trực thuộc trung ương</w:t>
      </w:r>
      <w:r w:rsidR="00E133FE" w:rsidRPr="00E133FE">
        <w:rPr>
          <w:rFonts w:ascii="Times New Roman" w:hAnsi="Times New Roman" w:cs="Times New Roman"/>
          <w:sz w:val="28"/>
          <w:szCs w:val="28"/>
        </w:rPr>
        <w:t xml:space="preserve"> đã ban hành kế hoạch triển khai; nhiều địa phương đã chủ động ban hành nghị quyết của Hội đồng nhân dân quy định mức hỗ trợ cụ thể cho khu vực kinh tế tập thể giai đoạn 2026–2030; các tổ chức chính trị - xã hội, đặc biệt là Hội Nông dân Việt Nam, đã tích cực tham gia hướng dẫn, hỗ trợ thành lập và tổ chức hoạt động của các mô hình tổ hợp tác.</w:t>
      </w:r>
    </w:p>
    <w:p w14:paraId="43FEFF0D" w14:textId="77777777" w:rsidR="001C3DD5" w:rsidRPr="00103A18" w:rsidRDefault="00CE0193" w:rsidP="00103A18">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133FE" w:rsidRPr="00E133FE">
        <w:rPr>
          <w:rFonts w:ascii="Times New Roman" w:hAnsi="Times New Roman" w:cs="Times New Roman"/>
          <w:sz w:val="28"/>
          <w:szCs w:val="28"/>
        </w:rPr>
        <w:t>Công tác tuyên truyền, phổ biến pháp luật và tập huấn được triển khai sâu rộng với nhiều hình thức linh hoạt, kết hợp trực tiếp và trực tuyến, thông qua hệ thống báo chí, truyền thông và nền tảng số</w:t>
      </w:r>
      <w:r w:rsidR="001C3DD5">
        <w:rPr>
          <w:rFonts w:ascii="Times New Roman" w:hAnsi="Times New Roman" w:cs="Times New Roman"/>
          <w:sz w:val="28"/>
          <w:szCs w:val="28"/>
        </w:rPr>
        <w:t>:</w:t>
      </w:r>
      <w:r w:rsidR="00E133FE" w:rsidRPr="00E133FE">
        <w:rPr>
          <w:rFonts w:ascii="Times New Roman" w:hAnsi="Times New Roman" w:cs="Times New Roman"/>
          <w:sz w:val="28"/>
          <w:szCs w:val="28"/>
        </w:rPr>
        <w:t xml:space="preserve"> </w:t>
      </w:r>
      <w:r w:rsidR="001C3DD5" w:rsidRPr="00103A18">
        <w:rPr>
          <w:rFonts w:ascii="Times New Roman" w:hAnsi="Times New Roman" w:cs="Times New Roman"/>
          <w:sz w:val="28"/>
          <w:szCs w:val="28"/>
        </w:rPr>
        <w:t xml:space="preserve">Sau khi Nghị định số 113/2024/NĐ-CP ngày 12/9/2024 của Chính phủ quy định chi tiết một số điều của Luật HTX được ban hành, Bộ Kế hoạch và Đầu tư (nay là Bộ Tài chính) đã ban hành công văn số 7682/BKHĐT-KTHT ngày 23/9/2024 gửi các bộ, ngành, địa phương phổ biến, triển khai thực hiện Nghị định đồng bộ, kịp thời. </w:t>
      </w:r>
    </w:p>
    <w:p w14:paraId="43FEFF0E" w14:textId="77777777" w:rsidR="001C3DD5" w:rsidRPr="00103A18" w:rsidRDefault="001C3DD5" w:rsidP="00103A18">
      <w:pPr>
        <w:autoSpaceDE w:val="0"/>
        <w:autoSpaceDN w:val="0"/>
        <w:adjustRightInd w:val="0"/>
        <w:spacing w:before="120" w:after="120" w:line="288" w:lineRule="auto"/>
        <w:ind w:firstLine="720"/>
        <w:jc w:val="both"/>
        <w:rPr>
          <w:rFonts w:ascii="Times New Roman" w:hAnsi="Times New Roman" w:cs="Times New Roman"/>
          <w:sz w:val="28"/>
          <w:szCs w:val="28"/>
        </w:rPr>
      </w:pPr>
      <w:r w:rsidRPr="00103A18">
        <w:rPr>
          <w:rFonts w:ascii="Times New Roman" w:hAnsi="Times New Roman" w:cs="Times New Roman"/>
          <w:sz w:val="28"/>
          <w:szCs w:val="28"/>
        </w:rPr>
        <w:t>Bộ Tài chính đã phối với các đơn vị có liên quan tổ chức nhiều buổi hội thảo, tọa đàm, hội nghị tập huấn, tuyên truyền pháp luật về HTX trực tiếp tại các địa phương trên cả nước; phát hành Bản tin về KTTT. Bên cạnh đó, việc phổ biến, giáo dục pháp luật được Bộ triển khai thông qua Cổng thông tin điện tử của Bộ, các ứng dụng công nghệ thông tin, nền tảng trực tuyến (Zalo, Facebook, Website) nhằm cung cấp thông tin, đăng tải, cập nhật các văn bản pháp luật mới về HTX.</w:t>
      </w:r>
    </w:p>
    <w:p w14:paraId="43FEFF0F" w14:textId="77777777" w:rsidR="001C3DD5" w:rsidRPr="00103A18" w:rsidRDefault="001C3DD5" w:rsidP="00103A18">
      <w:pPr>
        <w:autoSpaceDE w:val="0"/>
        <w:autoSpaceDN w:val="0"/>
        <w:adjustRightInd w:val="0"/>
        <w:spacing w:before="120" w:after="120" w:line="288" w:lineRule="auto"/>
        <w:ind w:firstLine="720"/>
        <w:jc w:val="both"/>
        <w:rPr>
          <w:rFonts w:ascii="Times New Roman" w:hAnsi="Times New Roman" w:cs="Times New Roman"/>
          <w:sz w:val="28"/>
          <w:szCs w:val="28"/>
        </w:rPr>
      </w:pPr>
      <w:r w:rsidRPr="00103A18">
        <w:rPr>
          <w:rFonts w:ascii="Times New Roman" w:hAnsi="Times New Roman" w:cs="Times New Roman"/>
          <w:sz w:val="28"/>
          <w:szCs w:val="28"/>
        </w:rPr>
        <w:t xml:space="preserve">Tại các địa phương, căn cứ công văn số 7682/BKHĐT-KTHT của Bộ Kế hoạch và Đầu tư, các địa phương cũng đã triển khai phổ biến, hướng dẫn các nội </w:t>
      </w:r>
      <w:r w:rsidRPr="00103A18">
        <w:rPr>
          <w:rFonts w:ascii="Times New Roman" w:hAnsi="Times New Roman" w:cs="Times New Roman"/>
          <w:sz w:val="28"/>
          <w:szCs w:val="28"/>
        </w:rPr>
        <w:lastRenderedPageBreak/>
        <w:t>dung mới của Luật HTX năm 2023 và các văn bản hướng dẫn thi hành dưới nhiều hình thức đa dạng, thiết thực.</w:t>
      </w:r>
    </w:p>
    <w:p w14:paraId="43FEFF10" w14:textId="77777777" w:rsidR="00E133FE" w:rsidRPr="00E133FE" w:rsidRDefault="00CE0193"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133FE" w:rsidRPr="00E133FE">
        <w:rPr>
          <w:rFonts w:ascii="Times New Roman" w:hAnsi="Times New Roman" w:cs="Times New Roman"/>
          <w:sz w:val="28"/>
          <w:szCs w:val="28"/>
        </w:rPr>
        <w:t xml:space="preserve">Việc tổ chức thực hiện được gắn kết chặt chẽ với các chương trình mục tiêu quốc gia, chương trình OCOP, tái cơ cấu ngành nông nghiệp và phát triển du lịch cộng đồng; đồng thời, bộ máy chỉ đạo phát triển kinh tế tập thể các cấp tiếp tục được kiện toàn, bảo đảm sự thống nhất trong điều hành. Ứng dụng công nghệ thông tin được đẩy mạnh, đặc biệt trong đăng ký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E133FE" w:rsidRPr="00E133FE">
        <w:rPr>
          <w:rFonts w:ascii="Times New Roman" w:hAnsi="Times New Roman" w:cs="Times New Roman"/>
          <w:sz w:val="28"/>
          <w:szCs w:val="28"/>
        </w:rPr>
        <w:t>qua hệ thống thông tin quốc gia, góp phần minh bạch hóa dữ liệu, giảm chi phí và thời gian thủ tục; một số địa phương đã chủ động phối hợp với doanh nghiệp triển khai các giải pháp số trong quản lý sản xuất và kế toán hợp tác xã.</w:t>
      </w:r>
    </w:p>
    <w:p w14:paraId="43FEFF11" w14:textId="77777777" w:rsidR="00EB5287" w:rsidRDefault="00CE0193"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133FE" w:rsidRPr="00E133FE">
        <w:rPr>
          <w:rFonts w:ascii="Times New Roman" w:hAnsi="Times New Roman" w:cs="Times New Roman"/>
          <w:sz w:val="28"/>
          <w:szCs w:val="28"/>
        </w:rPr>
        <w:t xml:space="preserve">Công tác thanh tra, kiểm tra, giám sát được tăng cường, gắn với hướng dẫn, tháo gỡ khó khăn tại cơ sở; hoạt động tư vấn, hỗ trợ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E133FE" w:rsidRPr="00E133FE">
        <w:rPr>
          <w:rFonts w:ascii="Times New Roman" w:hAnsi="Times New Roman" w:cs="Times New Roman"/>
          <w:sz w:val="28"/>
          <w:szCs w:val="28"/>
        </w:rPr>
        <w:t xml:space="preserve">từng bước được chuyên nghiệp hóa, hỗ trợ xây dựng điều lệ, phương án sản xuất kinh doanh và tiếp cận chính sách. Các cơ chế đối thoại chính sách được triển khai, góp phần xử lý kịp thời các vướng mắc phát sinh trong thực tiễn. </w:t>
      </w:r>
    </w:p>
    <w:p w14:paraId="43FEFF12" w14:textId="77777777" w:rsidR="00E133FE" w:rsidRPr="00424720" w:rsidRDefault="00E133FE" w:rsidP="00CB2709">
      <w:pPr>
        <w:autoSpaceDE w:val="0"/>
        <w:autoSpaceDN w:val="0"/>
        <w:adjustRightInd w:val="0"/>
        <w:spacing w:before="120" w:after="120" w:line="288" w:lineRule="auto"/>
        <w:ind w:firstLine="720"/>
        <w:jc w:val="both"/>
        <w:rPr>
          <w:rFonts w:ascii="Times New Roman" w:hAnsi="Times New Roman" w:cs="Times New Roman"/>
          <w:spacing w:val="-4"/>
          <w:sz w:val="28"/>
          <w:szCs w:val="28"/>
        </w:rPr>
      </w:pPr>
      <w:r w:rsidRPr="00424720">
        <w:rPr>
          <w:rFonts w:ascii="Times New Roman" w:hAnsi="Times New Roman" w:cs="Times New Roman"/>
          <w:spacing w:val="-4"/>
          <w:sz w:val="28"/>
          <w:szCs w:val="28"/>
        </w:rPr>
        <w:t>Nhìn chung, công tác chỉ đạo và tổ chức thi hành</w:t>
      </w:r>
      <w:r w:rsidR="00103A18" w:rsidRPr="00424720">
        <w:rPr>
          <w:rFonts w:ascii="Times New Roman" w:hAnsi="Times New Roman" w:cs="Times New Roman"/>
          <w:spacing w:val="-4"/>
          <w:sz w:val="28"/>
          <w:szCs w:val="28"/>
        </w:rPr>
        <w:t xml:space="preserve"> Nghị định</w:t>
      </w:r>
      <w:r w:rsidRPr="00424720">
        <w:rPr>
          <w:rFonts w:ascii="Times New Roman" w:hAnsi="Times New Roman" w:cs="Times New Roman"/>
          <w:spacing w:val="-4"/>
          <w:sz w:val="28"/>
          <w:szCs w:val="28"/>
        </w:rPr>
        <w:t xml:space="preserve"> đã bước đầu tạo lập hành lang pháp lý tương đối đồng bộ, nâng cao nhận thức của các cấp, các ngành và xã hội, thúc đẩy khu vực kinh tế tập thể phát triển theo hướng minh bạch, chuyên nghiệp hơn. Tuy nhiên, tại một số địa phương, công tác hướng dẫn chuyên môn ở cấp cơ sở còn hạn chế, đặc biệt trong bối cảnh sắp xếp, hoàn thiện mô hình chính quyền địa phương hai cấp và năng lực đội ngũ cán bộ chưa đồng đều.</w:t>
      </w:r>
    </w:p>
    <w:p w14:paraId="43FEFF13" w14:textId="77777777" w:rsidR="003E4472" w:rsidRPr="007B4BE3" w:rsidRDefault="003E4472"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sidRPr="007B4BE3">
        <w:rPr>
          <w:rFonts w:ascii="Times New Roman" w:hAnsi="Times New Roman" w:cs="Times New Roman"/>
          <w:b/>
          <w:bCs/>
          <w:sz w:val="28"/>
          <w:szCs w:val="28"/>
        </w:rPr>
        <w:t>2. Kết quả thi hành văn bản quy phạm pháp luật, đánh giá ưu điểm, bất cập, hạn chế của văn bản quy phạm pháp luật</w:t>
      </w:r>
    </w:p>
    <w:p w14:paraId="43FEFF14" w14:textId="77777777" w:rsidR="00103A18" w:rsidRDefault="00A730A5"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sidRPr="00A730A5">
        <w:rPr>
          <w:rFonts w:ascii="Times New Roman" w:hAnsi="Times New Roman" w:cs="Times New Roman"/>
          <w:sz w:val="28"/>
          <w:szCs w:val="28"/>
        </w:rPr>
        <w:t xml:space="preserve">Dựa trên báo cáo của các bộ, ngành và địa phương, việc thi hành Nghị định số </w:t>
      </w:r>
      <w:r w:rsidR="00103A18">
        <w:rPr>
          <w:rFonts w:ascii="Times New Roman" w:hAnsi="Times New Roman" w:cs="Times New Roman"/>
          <w:sz w:val="28"/>
          <w:szCs w:val="28"/>
        </w:rPr>
        <w:t>113/2024/NĐ-CP có một số kết quả nổi bật như sau</w:t>
      </w:r>
    </w:p>
    <w:p w14:paraId="43FEFF15" w14:textId="77777777" w:rsidR="00A730A5" w:rsidRDefault="00103A18"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a) Những ưu điểm</w:t>
      </w:r>
    </w:p>
    <w:p w14:paraId="43FEFF16" w14:textId="77777777" w:rsidR="00A730A5" w:rsidRPr="002F03DA" w:rsidRDefault="00A730A5" w:rsidP="00CB2709">
      <w:pPr>
        <w:autoSpaceDE w:val="0"/>
        <w:autoSpaceDN w:val="0"/>
        <w:adjustRightInd w:val="0"/>
        <w:spacing w:before="120" w:after="120" w:line="288" w:lineRule="auto"/>
        <w:ind w:firstLine="720"/>
        <w:jc w:val="both"/>
        <w:rPr>
          <w:rFonts w:ascii="Times New Roman" w:hAnsi="Times New Roman" w:cs="Times New Roman"/>
          <w:spacing w:val="-2"/>
          <w:sz w:val="28"/>
          <w:szCs w:val="28"/>
        </w:rPr>
      </w:pPr>
      <w:r w:rsidRPr="002F03DA">
        <w:rPr>
          <w:rFonts w:ascii="Times New Roman" w:hAnsi="Times New Roman" w:cs="Times New Roman"/>
          <w:spacing w:val="-2"/>
          <w:sz w:val="28"/>
          <w:szCs w:val="28"/>
        </w:rPr>
        <w:t xml:space="preserve">- Việc phân loại </w:t>
      </w:r>
      <w:r w:rsidR="001A7D17" w:rsidRPr="002F03DA">
        <w:rPr>
          <w:rFonts w:ascii="Times New Roman" w:hAnsi="Times New Roman" w:cs="Times New Roman"/>
          <w:spacing w:val="-2"/>
          <w:sz w:val="28"/>
          <w:szCs w:val="28"/>
        </w:rPr>
        <w:t>HTX</w:t>
      </w:r>
      <w:r w:rsidR="00781DD0" w:rsidRPr="002F03DA">
        <w:rPr>
          <w:rFonts w:ascii="Times New Roman" w:hAnsi="Times New Roman" w:cs="Times New Roman"/>
          <w:spacing w:val="-2"/>
          <w:sz w:val="28"/>
          <w:szCs w:val="28"/>
        </w:rPr>
        <w:t xml:space="preserve"> </w:t>
      </w:r>
      <w:r w:rsidRPr="002F03DA">
        <w:rPr>
          <w:rFonts w:ascii="Times New Roman" w:hAnsi="Times New Roman" w:cs="Times New Roman"/>
          <w:spacing w:val="-2"/>
          <w:sz w:val="28"/>
          <w:szCs w:val="28"/>
        </w:rPr>
        <w:t xml:space="preserve">theo quy mô và lĩnh vực hoạt động đã góp phần giúp cơ quan quản lý đánh giá sát thực trạng, làm cơ sở xây dựng chính sách hỗ trợ có trọng tâm, trọng điểm; nhiều </w:t>
      </w:r>
      <w:r w:rsidR="001A7D17" w:rsidRPr="002F03DA">
        <w:rPr>
          <w:rFonts w:ascii="Times New Roman" w:hAnsi="Times New Roman" w:cs="Times New Roman"/>
          <w:spacing w:val="-2"/>
          <w:sz w:val="28"/>
          <w:szCs w:val="28"/>
        </w:rPr>
        <w:t>HTX</w:t>
      </w:r>
      <w:r w:rsidR="00103A18" w:rsidRPr="002F03DA">
        <w:rPr>
          <w:rFonts w:ascii="Times New Roman" w:hAnsi="Times New Roman" w:cs="Times New Roman"/>
          <w:spacing w:val="-2"/>
          <w:sz w:val="28"/>
          <w:szCs w:val="28"/>
        </w:rPr>
        <w:t xml:space="preserve"> </w:t>
      </w:r>
      <w:r w:rsidRPr="002F03DA">
        <w:rPr>
          <w:rFonts w:ascii="Times New Roman" w:hAnsi="Times New Roman" w:cs="Times New Roman"/>
          <w:spacing w:val="-2"/>
          <w:sz w:val="28"/>
          <w:szCs w:val="28"/>
        </w:rPr>
        <w:t xml:space="preserve">đã chủ động rà soát, điều chỉnh điều lệ và phương án sản xuất kinh doanh phù hợp với quy định của Luật </w:t>
      </w:r>
      <w:r w:rsidR="001A7D17" w:rsidRPr="002F03DA">
        <w:rPr>
          <w:rFonts w:ascii="Times New Roman" w:hAnsi="Times New Roman" w:cs="Times New Roman"/>
          <w:spacing w:val="-2"/>
          <w:sz w:val="28"/>
          <w:szCs w:val="28"/>
        </w:rPr>
        <w:t>HTX</w:t>
      </w:r>
      <w:r w:rsidR="00781DD0" w:rsidRPr="002F03DA">
        <w:rPr>
          <w:rFonts w:ascii="Times New Roman" w:hAnsi="Times New Roman" w:cs="Times New Roman"/>
          <w:spacing w:val="-2"/>
          <w:sz w:val="28"/>
          <w:szCs w:val="28"/>
        </w:rPr>
        <w:t xml:space="preserve"> </w:t>
      </w:r>
      <w:r w:rsidRPr="002F03DA">
        <w:rPr>
          <w:rFonts w:ascii="Times New Roman" w:hAnsi="Times New Roman" w:cs="Times New Roman"/>
          <w:spacing w:val="-2"/>
          <w:sz w:val="28"/>
          <w:szCs w:val="28"/>
        </w:rPr>
        <w:t xml:space="preserve">năm 2023. </w:t>
      </w:r>
    </w:p>
    <w:p w14:paraId="43FEFF17" w14:textId="77777777" w:rsidR="0020420D" w:rsidRDefault="00A730A5"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730A5">
        <w:rPr>
          <w:rFonts w:ascii="Times New Roman" w:hAnsi="Times New Roman" w:cs="Times New Roman"/>
          <w:sz w:val="28"/>
          <w:szCs w:val="28"/>
        </w:rPr>
        <w:t xml:space="preserve">Các chính sách hỗ trợ về đào tạo nguồn nhân lực, xúc tiến thương mại, ứng dụng khoa học công nghệ được triển khai rộng rãi; nhiều mô hình </w:t>
      </w:r>
      <w:r w:rsidR="001A7D17">
        <w:rPr>
          <w:rFonts w:ascii="Times New Roman" w:hAnsi="Times New Roman" w:cs="Times New Roman"/>
          <w:sz w:val="28"/>
          <w:szCs w:val="28"/>
        </w:rPr>
        <w:t>HTX</w:t>
      </w:r>
      <w:r w:rsidRPr="00A730A5">
        <w:rPr>
          <w:rFonts w:ascii="Times New Roman" w:hAnsi="Times New Roman" w:cs="Times New Roman"/>
          <w:sz w:val="28"/>
          <w:szCs w:val="28"/>
        </w:rPr>
        <w:t xml:space="preserve">nông nghiệp ứng dụng công nghệ cao, chuyển đổi số, tham gia chuỗi giá trị đã được hình thành và nhân rộng. </w:t>
      </w:r>
    </w:p>
    <w:p w14:paraId="43FEFF18" w14:textId="77777777" w:rsidR="0020420D" w:rsidRDefault="0020420D"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730A5" w:rsidRPr="00A730A5">
        <w:rPr>
          <w:rFonts w:ascii="Times New Roman" w:hAnsi="Times New Roman" w:cs="Times New Roman"/>
          <w:sz w:val="28"/>
          <w:szCs w:val="28"/>
        </w:rPr>
        <w:t xml:space="preserve">Nguồn vốn từ Quỹ hỗ trợ phát triển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A730A5" w:rsidRPr="00A730A5">
        <w:rPr>
          <w:rFonts w:ascii="Times New Roman" w:hAnsi="Times New Roman" w:cs="Times New Roman"/>
          <w:sz w:val="28"/>
          <w:szCs w:val="28"/>
        </w:rPr>
        <w:t xml:space="preserve">tiếp tục được giải ngân, hỗ trợ các </w:t>
      </w:r>
      <w:r w:rsidR="001A7D17">
        <w:rPr>
          <w:rFonts w:ascii="Times New Roman" w:hAnsi="Times New Roman" w:cs="Times New Roman"/>
          <w:sz w:val="28"/>
          <w:szCs w:val="28"/>
        </w:rPr>
        <w:t>HTX</w:t>
      </w:r>
      <w:r w:rsidR="00A730A5" w:rsidRPr="00A730A5">
        <w:rPr>
          <w:rFonts w:ascii="Times New Roman" w:hAnsi="Times New Roman" w:cs="Times New Roman"/>
          <w:sz w:val="28"/>
          <w:szCs w:val="28"/>
        </w:rPr>
        <w:t xml:space="preserve">mở rộng quy mô sản xuất; một số địa phương đã chủ động ban hành cơ chế hỗ trợ cụ thể cho giai đoạn 2026–2030. </w:t>
      </w:r>
    </w:p>
    <w:p w14:paraId="43FEFF19" w14:textId="77777777" w:rsidR="00A730A5" w:rsidRDefault="0020420D"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730A5" w:rsidRPr="00A730A5">
        <w:rPr>
          <w:rFonts w:ascii="Times New Roman" w:hAnsi="Times New Roman" w:cs="Times New Roman"/>
          <w:sz w:val="28"/>
          <w:szCs w:val="28"/>
        </w:rPr>
        <w:t>Các quy định về quản lý tài chính, đặc biệt là tài sản chung không chia và quỹ chung không chia, đã góp phần nâng cao tính minh bạch, hạn chế tình trạng lẫn lộn giữa tài sản tập thể và cá nhân; cơ chế cho vay nội bộ bước đầu phát huy hiệu quả, phù hợp với bản chất tương trợ của kinh tế tập thể.</w:t>
      </w:r>
    </w:p>
    <w:p w14:paraId="43FEFF1A" w14:textId="77777777" w:rsidR="00103A18" w:rsidRPr="00A730A5" w:rsidRDefault="00103A18"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00E72844">
        <w:rPr>
          <w:rFonts w:ascii="Times New Roman" w:hAnsi="Times New Roman" w:cs="Times New Roman"/>
          <w:sz w:val="28"/>
          <w:szCs w:val="28"/>
        </w:rPr>
        <w:t>Bất cập,</w:t>
      </w:r>
      <w:r>
        <w:rPr>
          <w:rFonts w:ascii="Times New Roman" w:hAnsi="Times New Roman" w:cs="Times New Roman"/>
          <w:sz w:val="28"/>
          <w:szCs w:val="28"/>
        </w:rPr>
        <w:t xml:space="preserve"> hạn chế</w:t>
      </w:r>
    </w:p>
    <w:p w14:paraId="43FEFF1B" w14:textId="77777777" w:rsidR="000C5F8F" w:rsidRDefault="00A730A5"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sidRPr="00A730A5">
        <w:rPr>
          <w:rFonts w:ascii="Times New Roman" w:hAnsi="Times New Roman" w:cs="Times New Roman"/>
          <w:sz w:val="28"/>
          <w:szCs w:val="28"/>
        </w:rPr>
        <w:t>Bên cạnh những kết quả đạt được, việc thi hành các quy định pháp luật cũng bộc lộ một số hạn chế, bất cập</w:t>
      </w:r>
      <w:r w:rsidR="000C5F8F">
        <w:rPr>
          <w:rFonts w:ascii="Times New Roman" w:hAnsi="Times New Roman" w:cs="Times New Roman"/>
          <w:sz w:val="28"/>
          <w:szCs w:val="28"/>
        </w:rPr>
        <w:t>:</w:t>
      </w:r>
    </w:p>
    <w:p w14:paraId="43FEFF1C" w14:textId="77777777" w:rsidR="009F3004" w:rsidRDefault="000C5F8F"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730A5" w:rsidRPr="00A730A5">
        <w:rPr>
          <w:rFonts w:ascii="Times New Roman" w:hAnsi="Times New Roman" w:cs="Times New Roman"/>
          <w:sz w:val="28"/>
          <w:szCs w:val="28"/>
        </w:rPr>
        <w:t xml:space="preserve">Về thể chế, một số quy định chưa theo kịp thực tiễn, đặc biệt trong bối cảnh tổ chức chính quyền địa phương theo mô hình hai cấp, khi Nghị định số 113/2024/NĐ-CP vẫn quy định thẩm quyền của Ủy ban nhân dân cấp huyện, dẫn đến lúng túng trong tổ chức thực hiện tại một số địa phương. </w:t>
      </w:r>
    </w:p>
    <w:p w14:paraId="43FEFF1D" w14:textId="77777777" w:rsidR="00A730A5" w:rsidRPr="00A730A5" w:rsidRDefault="009F3004"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730A5" w:rsidRPr="00A730A5">
        <w:rPr>
          <w:rFonts w:ascii="Times New Roman" w:hAnsi="Times New Roman" w:cs="Times New Roman"/>
          <w:sz w:val="28"/>
          <w:szCs w:val="28"/>
        </w:rPr>
        <w:t xml:space="preserve">Một số tiêu chí thụ hưởng chính sách còn ở mức cao, gây khó khăn cho các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A730A5" w:rsidRPr="00A730A5">
        <w:rPr>
          <w:rFonts w:ascii="Times New Roman" w:hAnsi="Times New Roman" w:cs="Times New Roman"/>
          <w:sz w:val="28"/>
          <w:szCs w:val="28"/>
        </w:rPr>
        <w:t>quy mô nhỏ hoặc mới thành lập trong việc tiếp cận hỗ trợ; việc tổ hợp tác chưa có tư cách pháp nhân tiếp tục là rào cản trong ký kết hợp đồng và tiếp cận tín dụng. Bên cạnh đó, một số quy định có tính chất tạm thời làm ảnh hưởng đến việc xây dựng kế hoạch sản xuất, kinh doanh dài hạn của hợp tác xã.</w:t>
      </w:r>
    </w:p>
    <w:p w14:paraId="43FEFF1E" w14:textId="77777777" w:rsidR="00B5110C" w:rsidRDefault="003F7B65"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730A5" w:rsidRPr="00A730A5">
        <w:rPr>
          <w:rFonts w:ascii="Times New Roman" w:hAnsi="Times New Roman" w:cs="Times New Roman"/>
          <w:sz w:val="28"/>
          <w:szCs w:val="28"/>
        </w:rPr>
        <w:t xml:space="preserve">Trong tổ chức thực hiện, tiến độ chuyển đổi, sắp xếp lại hoạt động của các </w:t>
      </w:r>
      <w:r w:rsidR="001A7D17">
        <w:rPr>
          <w:rFonts w:ascii="Times New Roman" w:hAnsi="Times New Roman" w:cs="Times New Roman"/>
          <w:sz w:val="28"/>
          <w:szCs w:val="28"/>
        </w:rPr>
        <w:t>HTX</w:t>
      </w:r>
      <w:r w:rsidR="00A730A5" w:rsidRPr="00A730A5">
        <w:rPr>
          <w:rFonts w:ascii="Times New Roman" w:hAnsi="Times New Roman" w:cs="Times New Roman"/>
          <w:sz w:val="28"/>
          <w:szCs w:val="28"/>
        </w:rPr>
        <w:t xml:space="preserve">theo quy định mới còn chậm; công tác giải thể đối với các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A730A5" w:rsidRPr="00A730A5">
        <w:rPr>
          <w:rFonts w:ascii="Times New Roman" w:hAnsi="Times New Roman" w:cs="Times New Roman"/>
          <w:sz w:val="28"/>
          <w:szCs w:val="28"/>
        </w:rPr>
        <w:t xml:space="preserve">ngừng hoạt động kéo dài gặp nhiều khó khăn do vướng mắc về nghĩa vụ tài chính, hồ sơ pháp lý và người đại diện. </w:t>
      </w:r>
    </w:p>
    <w:p w14:paraId="43FEFF1F" w14:textId="77777777" w:rsidR="00B5110C" w:rsidRDefault="00B5110C"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730A5" w:rsidRPr="00A730A5">
        <w:rPr>
          <w:rFonts w:ascii="Times New Roman" w:hAnsi="Times New Roman" w:cs="Times New Roman"/>
          <w:sz w:val="28"/>
          <w:szCs w:val="28"/>
        </w:rPr>
        <w:t xml:space="preserve">Hệ thống thông tin, cơ sở dữ liệu về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A730A5" w:rsidRPr="00A730A5">
        <w:rPr>
          <w:rFonts w:ascii="Times New Roman" w:hAnsi="Times New Roman" w:cs="Times New Roman"/>
          <w:sz w:val="28"/>
          <w:szCs w:val="28"/>
        </w:rPr>
        <w:t xml:space="preserve">chưa được hoàn thiện, thiếu tính liên thông, cập nhật chưa kịp thời, ảnh hưởng đến công tác quản lý. Đội ngũ cán bộ làm công tác kinh tế tập thể tại cơ sở còn mỏng, chủ yếu kiêm nhiệm, năng lực chuyên môn chưa đáp ứng yêu cầu; nguồn lực hỗ trợ từ ngân sách nhà nước còn phân tán, chưa đáp ứng nhu cầu thực tiễn. </w:t>
      </w:r>
    </w:p>
    <w:p w14:paraId="43FEFF20" w14:textId="77777777" w:rsidR="003E4472" w:rsidRDefault="003E4472" w:rsidP="00CB2709">
      <w:pPr>
        <w:autoSpaceDE w:val="0"/>
        <w:autoSpaceDN w:val="0"/>
        <w:adjustRightInd w:val="0"/>
        <w:spacing w:before="120" w:after="120" w:line="288" w:lineRule="auto"/>
        <w:ind w:firstLine="720"/>
        <w:rPr>
          <w:rFonts w:ascii="Times New Roman" w:hAnsi="Times New Roman" w:cs="Times New Roman"/>
          <w:b/>
          <w:bCs/>
          <w:sz w:val="28"/>
          <w:szCs w:val="28"/>
        </w:rPr>
      </w:pPr>
      <w:r w:rsidRPr="007B4BE3">
        <w:rPr>
          <w:rFonts w:ascii="Times New Roman" w:hAnsi="Times New Roman" w:cs="Times New Roman"/>
          <w:b/>
          <w:bCs/>
          <w:sz w:val="28"/>
          <w:szCs w:val="28"/>
        </w:rPr>
        <w:t xml:space="preserve">3. </w:t>
      </w:r>
      <w:r w:rsidR="00E72844">
        <w:rPr>
          <w:rFonts w:ascii="Times New Roman" w:hAnsi="Times New Roman" w:cs="Times New Roman"/>
          <w:b/>
          <w:bCs/>
          <w:sz w:val="28"/>
          <w:szCs w:val="28"/>
        </w:rPr>
        <w:t xml:space="preserve">Khó khăn, vướng mắc và </w:t>
      </w:r>
      <w:r w:rsidRPr="007B4BE3">
        <w:rPr>
          <w:rFonts w:ascii="Times New Roman" w:hAnsi="Times New Roman" w:cs="Times New Roman"/>
          <w:b/>
          <w:bCs/>
          <w:sz w:val="28"/>
          <w:szCs w:val="28"/>
        </w:rPr>
        <w:t>guyên nhân</w:t>
      </w:r>
    </w:p>
    <w:p w14:paraId="43FEFF21" w14:textId="77777777" w:rsidR="00E72844" w:rsidRDefault="00E72844"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a) Khó khăn, vướng mắc</w:t>
      </w:r>
    </w:p>
    <w:p w14:paraId="43FEFF22" w14:textId="77777777" w:rsidR="00AB4345" w:rsidRDefault="00DF69D4"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Tổng hợp</w:t>
      </w:r>
      <w:r w:rsidR="004253EC" w:rsidRPr="004253EC">
        <w:rPr>
          <w:rFonts w:ascii="Times New Roman" w:hAnsi="Times New Roman" w:cs="Times New Roman"/>
          <w:sz w:val="28"/>
          <w:szCs w:val="28"/>
        </w:rPr>
        <w:t xml:space="preserve"> báo cáo của các bộ, ngành và địa phương</w:t>
      </w:r>
      <w:r w:rsidR="004253EC">
        <w:rPr>
          <w:rFonts w:ascii="Times New Roman" w:hAnsi="Times New Roman" w:cs="Times New Roman"/>
          <w:sz w:val="28"/>
          <w:szCs w:val="28"/>
        </w:rPr>
        <w:t xml:space="preserve"> cho thấy</w:t>
      </w:r>
      <w:r w:rsidR="00AB4345">
        <w:rPr>
          <w:rFonts w:ascii="Times New Roman" w:hAnsi="Times New Roman" w:cs="Times New Roman"/>
          <w:sz w:val="28"/>
          <w:szCs w:val="28"/>
        </w:rPr>
        <w:t xml:space="preserve"> </w:t>
      </w:r>
      <w:r w:rsidR="004253EC" w:rsidRPr="004253EC">
        <w:rPr>
          <w:rFonts w:ascii="Times New Roman" w:hAnsi="Times New Roman" w:cs="Times New Roman"/>
          <w:sz w:val="28"/>
          <w:szCs w:val="28"/>
        </w:rPr>
        <w:t xml:space="preserve">quá trình thi hành Nghị định số 113/2024/NĐ-CP còn phát sinh nhiều khó khăn, vướng mắc cả về thể chế và tổ chức thực hiện. </w:t>
      </w:r>
    </w:p>
    <w:p w14:paraId="43FEFF23" w14:textId="77777777" w:rsidR="004253EC" w:rsidRPr="00E72844" w:rsidRDefault="00AB4345" w:rsidP="00E72844">
      <w:pPr>
        <w:pStyle w:val="ListParagraph"/>
        <w:numPr>
          <w:ilvl w:val="0"/>
          <w:numId w:val="5"/>
        </w:numPr>
        <w:tabs>
          <w:tab w:val="left" w:pos="851"/>
        </w:tabs>
        <w:autoSpaceDE w:val="0"/>
        <w:autoSpaceDN w:val="0"/>
        <w:adjustRightInd w:val="0"/>
        <w:spacing w:before="120" w:after="120" w:line="288" w:lineRule="auto"/>
        <w:ind w:left="0" w:firstLine="720"/>
        <w:jc w:val="both"/>
        <w:rPr>
          <w:rFonts w:ascii="Times New Roman" w:hAnsi="Times New Roman" w:cs="Times New Roman"/>
          <w:sz w:val="28"/>
          <w:szCs w:val="28"/>
        </w:rPr>
      </w:pPr>
      <w:r w:rsidRPr="00E72844">
        <w:rPr>
          <w:rFonts w:ascii="Times New Roman" w:hAnsi="Times New Roman" w:cs="Times New Roman"/>
          <w:sz w:val="28"/>
          <w:szCs w:val="28"/>
        </w:rPr>
        <w:lastRenderedPageBreak/>
        <w:t xml:space="preserve"> </w:t>
      </w:r>
      <w:r w:rsidR="00270A40" w:rsidRPr="00E72844">
        <w:rPr>
          <w:rFonts w:ascii="Times New Roman" w:hAnsi="Times New Roman" w:cs="Times New Roman"/>
          <w:sz w:val="28"/>
          <w:szCs w:val="28"/>
        </w:rPr>
        <w:t>T</w:t>
      </w:r>
      <w:r w:rsidR="004253EC" w:rsidRPr="00E72844">
        <w:rPr>
          <w:rFonts w:ascii="Times New Roman" w:hAnsi="Times New Roman" w:cs="Times New Roman"/>
          <w:sz w:val="28"/>
          <w:szCs w:val="28"/>
        </w:rPr>
        <w:t>hẩm quyền trong bối cảnh chuyển đổi mô hình chính quyền địa phương</w:t>
      </w:r>
      <w:r w:rsidR="008651AF" w:rsidRPr="00E72844">
        <w:rPr>
          <w:rFonts w:ascii="Times New Roman" w:hAnsi="Times New Roman" w:cs="Times New Roman"/>
          <w:sz w:val="28"/>
          <w:szCs w:val="28"/>
        </w:rPr>
        <w:t xml:space="preserve"> liên quan nhiều đến </w:t>
      </w:r>
      <w:r w:rsidR="004253EC" w:rsidRPr="00E72844">
        <w:rPr>
          <w:rFonts w:ascii="Times New Roman" w:hAnsi="Times New Roman" w:cs="Times New Roman"/>
          <w:sz w:val="28"/>
          <w:szCs w:val="28"/>
        </w:rPr>
        <w:t xml:space="preserve">quy định nhiều thẩm quyền quản lý nhà nước, đăng ký và phê duyệt hỗ trợ </w:t>
      </w:r>
      <w:r w:rsidR="00270A40" w:rsidRPr="00E72844">
        <w:rPr>
          <w:rFonts w:ascii="Times New Roman" w:hAnsi="Times New Roman" w:cs="Times New Roman"/>
          <w:sz w:val="28"/>
          <w:szCs w:val="28"/>
        </w:rPr>
        <w:t>đã có thay đổi</w:t>
      </w:r>
      <w:r w:rsidR="00E72844" w:rsidRPr="00E72844">
        <w:rPr>
          <w:rFonts w:ascii="Times New Roman" w:hAnsi="Times New Roman" w:cs="Times New Roman"/>
          <w:sz w:val="28"/>
          <w:szCs w:val="28"/>
        </w:rPr>
        <w:t xml:space="preserve">. </w:t>
      </w:r>
      <w:r w:rsidR="00E72844" w:rsidRPr="00E72844">
        <w:rPr>
          <w:rFonts w:ascii="Times New Roman" w:hAnsi="Times New Roman"/>
          <w:sz w:val="28"/>
          <w:szCs w:val="24"/>
        </w:rPr>
        <w:t xml:space="preserve">Nghị định số 125/2025/NĐ-CP ngày 11/6/2025 quy định về </w:t>
      </w:r>
      <w:bookmarkStart w:id="0" w:name="loai_1_name"/>
      <w:r w:rsidR="00E72844" w:rsidRPr="00E72844">
        <w:rPr>
          <w:rFonts w:ascii="Times New Roman" w:hAnsi="Times New Roman"/>
          <w:sz w:val="28"/>
          <w:szCs w:val="24"/>
        </w:rPr>
        <w:t>phân định thẩm quyền của chính quyền địa phương 02 cấp trong lĩnh vực quản lý nhà nước của Bộ Tài chính</w:t>
      </w:r>
      <w:bookmarkEnd w:id="0"/>
      <w:r w:rsidR="00E72844" w:rsidRPr="00E72844">
        <w:rPr>
          <w:rFonts w:ascii="Times New Roman" w:hAnsi="Times New Roman"/>
          <w:sz w:val="28"/>
          <w:szCs w:val="24"/>
        </w:rPr>
        <w:t xml:space="preserve"> đã có điều chỉnh liên quan đến thẩm quyền quản lý nhà nước về HTX, nhiệm vụ của cấp huyện trước kia được chuyển </w:t>
      </w:r>
      <w:r w:rsidR="004253EC" w:rsidRPr="00E72844">
        <w:rPr>
          <w:rFonts w:ascii="Times New Roman" w:hAnsi="Times New Roman" w:cs="Times New Roman"/>
          <w:sz w:val="28"/>
          <w:szCs w:val="28"/>
        </w:rPr>
        <w:t xml:space="preserve">cho </w:t>
      </w:r>
      <w:r w:rsidR="006B352D" w:rsidRPr="00E72844">
        <w:rPr>
          <w:rFonts w:ascii="Times New Roman" w:hAnsi="Times New Roman" w:cs="Times New Roman"/>
          <w:sz w:val="28"/>
          <w:szCs w:val="28"/>
        </w:rPr>
        <w:t>cấp xã</w:t>
      </w:r>
      <w:r w:rsidR="00A03CDF" w:rsidRPr="00E72844">
        <w:rPr>
          <w:rFonts w:ascii="Times New Roman" w:hAnsi="Times New Roman" w:cs="Times New Roman"/>
          <w:sz w:val="28"/>
          <w:szCs w:val="28"/>
        </w:rPr>
        <w:t xml:space="preserve"> </w:t>
      </w:r>
      <w:r w:rsidR="00E72844">
        <w:rPr>
          <w:rFonts w:ascii="Times New Roman" w:hAnsi="Times New Roman" w:cs="Times New Roman"/>
          <w:sz w:val="28"/>
          <w:szCs w:val="28"/>
        </w:rPr>
        <w:t xml:space="preserve">có những khó khăn nhất định do </w:t>
      </w:r>
      <w:r w:rsidR="004253EC" w:rsidRPr="00E72844">
        <w:rPr>
          <w:rFonts w:ascii="Times New Roman" w:hAnsi="Times New Roman" w:cs="Times New Roman"/>
          <w:sz w:val="28"/>
          <w:szCs w:val="28"/>
        </w:rPr>
        <w:t>năng lực cán bộ hiện tại</w:t>
      </w:r>
      <w:r w:rsidR="00E72844">
        <w:rPr>
          <w:rFonts w:ascii="Times New Roman" w:hAnsi="Times New Roman" w:cs="Times New Roman"/>
          <w:sz w:val="28"/>
          <w:szCs w:val="28"/>
        </w:rPr>
        <w:t xml:space="preserve"> ở nhiều nơi</w:t>
      </w:r>
      <w:r w:rsidR="004253EC" w:rsidRPr="00E72844">
        <w:rPr>
          <w:rFonts w:ascii="Times New Roman" w:hAnsi="Times New Roman" w:cs="Times New Roman"/>
          <w:sz w:val="28"/>
          <w:szCs w:val="28"/>
        </w:rPr>
        <w:t xml:space="preserve"> chưa đáp ứng được yêu cầu.</w:t>
      </w:r>
    </w:p>
    <w:p w14:paraId="43FEFF24" w14:textId="02F0E515" w:rsidR="00270A40" w:rsidRDefault="00E87D26"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V</w:t>
      </w:r>
      <w:r w:rsidR="004253EC" w:rsidRPr="004253EC">
        <w:rPr>
          <w:rFonts w:ascii="Times New Roman" w:hAnsi="Times New Roman" w:cs="Times New Roman"/>
          <w:sz w:val="28"/>
          <w:szCs w:val="28"/>
        </w:rPr>
        <w:t>iệc tiếp cận chính sách hỗ trợ còn gặp nhiều khó khăn</w:t>
      </w:r>
      <w:r w:rsidR="009F70B0">
        <w:rPr>
          <w:rStyle w:val="FootnoteReference"/>
          <w:rFonts w:ascii="Times New Roman" w:hAnsi="Times New Roman" w:cs="Times New Roman"/>
          <w:sz w:val="28"/>
          <w:szCs w:val="28"/>
        </w:rPr>
        <w:footnoteReference w:id="1"/>
      </w:r>
      <w:r w:rsidR="004253EC" w:rsidRPr="004253EC">
        <w:rPr>
          <w:rFonts w:ascii="Times New Roman" w:hAnsi="Times New Roman" w:cs="Times New Roman"/>
          <w:sz w:val="28"/>
          <w:szCs w:val="28"/>
        </w:rPr>
        <w:t xml:space="preserve">. Một số </w:t>
      </w:r>
      <w:r w:rsidR="00DF69D4">
        <w:rPr>
          <w:rFonts w:ascii="Times New Roman" w:hAnsi="Times New Roman" w:cs="Times New Roman"/>
          <w:sz w:val="28"/>
          <w:szCs w:val="28"/>
        </w:rPr>
        <w:t xml:space="preserve">địa phương nhận thức chưa đầy đủ về các quy định như </w:t>
      </w:r>
      <w:r w:rsidR="004253EC" w:rsidRPr="004253EC">
        <w:rPr>
          <w:rFonts w:ascii="Times New Roman" w:hAnsi="Times New Roman" w:cs="Times New Roman"/>
          <w:sz w:val="28"/>
          <w:szCs w:val="28"/>
        </w:rPr>
        <w:t>tiêu chí thụ hưởng quy định tại Điều 6 Nghị định số 113/2024/NĐ-CP</w:t>
      </w:r>
      <w:r w:rsidR="00DF69D4">
        <w:rPr>
          <w:rStyle w:val="FootnoteReference"/>
          <w:rFonts w:ascii="Times New Roman" w:hAnsi="Times New Roman" w:cs="Times New Roman"/>
          <w:sz w:val="28"/>
          <w:szCs w:val="28"/>
        </w:rPr>
        <w:footnoteReference w:id="2"/>
      </w:r>
      <w:r w:rsidR="00DF69D4">
        <w:rPr>
          <w:rFonts w:ascii="Times New Roman" w:hAnsi="Times New Roman" w:cs="Times New Roman"/>
          <w:sz w:val="28"/>
          <w:szCs w:val="28"/>
        </w:rPr>
        <w:t xml:space="preserve">; </w:t>
      </w:r>
      <w:r w:rsidR="00270A40">
        <w:rPr>
          <w:rFonts w:ascii="Times New Roman" w:hAnsi="Times New Roman" w:cs="Times New Roman"/>
          <w:sz w:val="28"/>
          <w:szCs w:val="28"/>
        </w:rPr>
        <w:t xml:space="preserve"> T</w:t>
      </w:r>
      <w:r w:rsidR="004253EC" w:rsidRPr="004253EC">
        <w:rPr>
          <w:rFonts w:ascii="Times New Roman" w:hAnsi="Times New Roman" w:cs="Times New Roman"/>
          <w:sz w:val="28"/>
          <w:szCs w:val="28"/>
        </w:rPr>
        <w:t>hủ tục hồ sơ, đặc biệt là yêu cầu chứng minh năng lực tài chính</w:t>
      </w:r>
      <w:r w:rsidR="00270A40">
        <w:rPr>
          <w:rFonts w:ascii="Times New Roman" w:hAnsi="Times New Roman" w:cs="Times New Roman"/>
          <w:sz w:val="28"/>
          <w:szCs w:val="28"/>
        </w:rPr>
        <w:t xml:space="preserve"> còn phức tạp.</w:t>
      </w:r>
      <w:r w:rsidR="00E72844">
        <w:rPr>
          <w:rFonts w:ascii="Times New Roman" w:hAnsi="Times New Roman" w:cs="Times New Roman"/>
          <w:sz w:val="28"/>
          <w:szCs w:val="28"/>
        </w:rPr>
        <w:t xml:space="preserve"> Quy trình lập, thẩm định, phê duyệt, triển khai dự án đầu tư công </w:t>
      </w:r>
      <w:r w:rsidR="00D87B4A">
        <w:rPr>
          <w:rFonts w:ascii="Times New Roman" w:hAnsi="Times New Roman" w:cs="Times New Roman"/>
          <w:sz w:val="28"/>
          <w:szCs w:val="28"/>
        </w:rPr>
        <w:t>còn phức tạp, đăch biệt quy trình lập, thẩm định dự án đầu tư công hỗ trợ HTX do các bộ, ngành trung ương làm chủ đầu tư, chưa thống nhất với pháp luật đầu tư công mới được sửa đổi (</w:t>
      </w:r>
      <w:r w:rsidR="00D87B4A" w:rsidRPr="00D87B4A">
        <w:rPr>
          <w:rFonts w:ascii="Times New Roman" w:hAnsi="Times New Roman" w:cs="Times New Roman"/>
          <w:sz w:val="28"/>
          <w:szCs w:val="28"/>
        </w:rPr>
        <w:t>Luật Đầu tư công số 58/2024/QH15</w:t>
      </w:r>
      <w:r w:rsidR="004E20DA">
        <w:rPr>
          <w:rFonts w:ascii="Times New Roman" w:hAnsi="Times New Roman" w:cs="Times New Roman"/>
          <w:sz w:val="28"/>
          <w:szCs w:val="28"/>
        </w:rPr>
        <w:t xml:space="preserve"> </w:t>
      </w:r>
      <w:r w:rsidR="00D87B4A" w:rsidRPr="00D87B4A">
        <w:rPr>
          <w:rFonts w:ascii="Times New Roman" w:hAnsi="Times New Roman" w:cs="Times New Roman"/>
          <w:sz w:val="28"/>
          <w:szCs w:val="28"/>
        </w:rPr>
        <w:t xml:space="preserve">được Quốc hội ban hành ngày 29/11/2024, sau ngày Nghị định </w:t>
      </w:r>
      <w:r w:rsidR="00D87B4A" w:rsidRPr="004253EC">
        <w:rPr>
          <w:rFonts w:ascii="Times New Roman" w:hAnsi="Times New Roman" w:cs="Times New Roman"/>
          <w:sz w:val="28"/>
          <w:szCs w:val="28"/>
        </w:rPr>
        <w:t>số 113/2024/NĐ-CP</w:t>
      </w:r>
      <w:r w:rsidR="00D87B4A">
        <w:rPr>
          <w:rFonts w:ascii="Times New Roman" w:hAnsi="Times New Roman" w:cs="Times New Roman"/>
          <w:sz w:val="28"/>
          <w:szCs w:val="28"/>
        </w:rPr>
        <w:t xml:space="preserve"> được ban hành).</w:t>
      </w:r>
    </w:p>
    <w:p w14:paraId="43FEFF25" w14:textId="77777777" w:rsidR="004253EC" w:rsidRPr="004253EC" w:rsidRDefault="006F56D0"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253EC" w:rsidRPr="004253EC">
        <w:rPr>
          <w:rFonts w:ascii="Times New Roman" w:hAnsi="Times New Roman" w:cs="Times New Roman"/>
          <w:sz w:val="28"/>
          <w:szCs w:val="28"/>
        </w:rPr>
        <w:t>Đối với tổ hợp tác, việc chưa có tư cách pháp nhân tiếp tục gây khó khăn lớn trong ký kết hợp đồng kinh tế, giao dịch với ngân hàng và tiếp cận các nguồn vốn tín dụng.</w:t>
      </w:r>
    </w:p>
    <w:p w14:paraId="43FEFF26" w14:textId="77777777" w:rsidR="004253EC" w:rsidRDefault="00541671"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253EC" w:rsidRPr="004253EC">
        <w:rPr>
          <w:rFonts w:ascii="Times New Roman" w:hAnsi="Times New Roman" w:cs="Times New Roman"/>
          <w:sz w:val="28"/>
          <w:szCs w:val="28"/>
        </w:rPr>
        <w:t xml:space="preserve">Công tác quản lý nhà nước cũng gặp khó khăn do hệ thống dữ liệu và chế độ báo cáo chưa hoàn thiện. Hệ thống thông tin quốc gia về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4253EC" w:rsidRPr="004253EC">
        <w:rPr>
          <w:rFonts w:ascii="Times New Roman" w:hAnsi="Times New Roman" w:cs="Times New Roman"/>
          <w:sz w:val="28"/>
          <w:szCs w:val="28"/>
        </w:rPr>
        <w:t xml:space="preserve">còn phân tán, chưa có tính năng báo cáo liên thông từ cấp xã lên cấp tỉnh; việc theo dõi biến động thành viên và người đại diện gặp nhiều trở ngại do thông tin thay đổi thường xuyên nhưng chưa được cập nhật kịp thời. Nhiều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4253EC" w:rsidRPr="004253EC">
        <w:rPr>
          <w:rFonts w:ascii="Times New Roman" w:hAnsi="Times New Roman" w:cs="Times New Roman"/>
          <w:sz w:val="28"/>
          <w:szCs w:val="28"/>
        </w:rPr>
        <w:t>đã ngừng hoạt động trong thời gian dài nhưng chưa thể giải thể do vướng mắc về nghĩa vụ thuế, thất lạc hồ sơ hoặc thiếu người đại diện pháp luật.</w:t>
      </w:r>
    </w:p>
    <w:p w14:paraId="43FEFF27" w14:textId="77777777" w:rsidR="00270A40" w:rsidRDefault="00BD02B2" w:rsidP="00270A40">
      <w:pPr>
        <w:autoSpaceDE w:val="0"/>
        <w:autoSpaceDN w:val="0"/>
        <w:adjustRightInd w:val="0"/>
        <w:spacing w:before="120" w:after="120" w:line="288" w:lineRule="auto"/>
        <w:ind w:firstLine="720"/>
        <w:jc w:val="both"/>
        <w:rPr>
          <w:rFonts w:ascii="Times New Roman" w:hAnsi="Times New Roman" w:cs="Times New Roman"/>
          <w:sz w:val="28"/>
          <w:szCs w:val="28"/>
        </w:rPr>
      </w:pPr>
      <w:r w:rsidRPr="00BD02B2">
        <w:rPr>
          <w:rFonts w:ascii="Times New Roman" w:hAnsi="Times New Roman" w:cs="Times New Roman"/>
          <w:sz w:val="28"/>
          <w:szCs w:val="28"/>
        </w:rPr>
        <w:t xml:space="preserve">- </w:t>
      </w:r>
      <w:r w:rsidR="00270A40" w:rsidRPr="00270A40">
        <w:rPr>
          <w:rFonts w:ascii="Times New Roman" w:hAnsi="Times New Roman" w:cs="Times New Roman"/>
          <w:sz w:val="28"/>
          <w:szCs w:val="28"/>
        </w:rPr>
        <w:t xml:space="preserve">Theo Luật HTX 2023, các chính sách hỗ trợ theo Luật HTX 2012 được áp dụng đến hết 31/12/2025. Do đó, Thông tư số 124/2021/TT-BTC ngày 30/12/2021 của Bộ Tài chính hướng dẫn cơ chế tài chính, quản lý và sử dụng kinh phí Chương trình hỗ trợ phát triển kinh tế tập thể, hợp tác xã giai đoạn 2021–2025 ban hành kèm theo Quyết định số 1804/QĐ-TTg ngày 13 tháng 11 năm 2020 của Thủ tướng Chính phủ có thời hạn hiệu lực thi hành đến 31/12/2025. Đồng thời, </w:t>
      </w:r>
      <w:r w:rsidR="00270A40" w:rsidRPr="00270A40">
        <w:rPr>
          <w:rFonts w:ascii="Times New Roman" w:hAnsi="Times New Roman" w:cs="Times New Roman"/>
          <w:sz w:val="28"/>
          <w:szCs w:val="28"/>
        </w:rPr>
        <w:lastRenderedPageBreak/>
        <w:t>chính sách hỗ trợ khu vực kinh tế tập thể được quy định tại Nghị định số 113/2024/NĐ-CP theo Luật Hợp tác xã năm 2023 gồm chính sách được kế thừa từ Chương trình hỗ trợ phát triển kinh tế tập thể, hợp tác xã giai đoạn 2021–2025 và những chính sách mới nhưng đến nay chưa có Thông tư hướng dẫn cơ chế tài chính,</w:t>
      </w:r>
    </w:p>
    <w:p w14:paraId="43FEFF28" w14:textId="77777777" w:rsidR="00BD02B2" w:rsidRDefault="00BD02B2" w:rsidP="00BD02B2">
      <w:pPr>
        <w:autoSpaceDE w:val="0"/>
        <w:autoSpaceDN w:val="0"/>
        <w:adjustRightInd w:val="0"/>
        <w:spacing w:before="120" w:after="120" w:line="288" w:lineRule="auto"/>
        <w:ind w:firstLine="720"/>
        <w:jc w:val="both"/>
        <w:rPr>
          <w:rFonts w:ascii="Times New Roman" w:hAnsi="Times New Roman" w:cs="Times New Roman"/>
          <w:sz w:val="28"/>
          <w:szCs w:val="28"/>
        </w:rPr>
      </w:pPr>
      <w:r w:rsidRPr="00BD02B2">
        <w:rPr>
          <w:rFonts w:ascii="Times New Roman" w:hAnsi="Times New Roman" w:cs="Times New Roman"/>
          <w:sz w:val="28"/>
          <w:szCs w:val="28"/>
        </w:rPr>
        <w:t xml:space="preserve">Ngoài ra, trong quá trình tổng kết Chương trình hỗ trợ phát triển kinh tế tập thể, hợp tác xã giai đoạn 2021–2025 </w:t>
      </w:r>
      <w:bookmarkStart w:id="1" w:name="dieu_1_name"/>
      <w:r w:rsidRPr="00BD02B2">
        <w:rPr>
          <w:rFonts w:ascii="Times New Roman" w:hAnsi="Times New Roman" w:cs="Times New Roman"/>
          <w:sz w:val="28"/>
          <w:szCs w:val="28"/>
        </w:rPr>
        <w:t>và 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mới</w:t>
      </w:r>
      <w:bookmarkEnd w:id="1"/>
      <w:r w:rsidRPr="00BD02B2">
        <w:rPr>
          <w:rFonts w:ascii="Times New Roman" w:hAnsi="Times New Roman" w:cs="Times New Roman"/>
          <w:sz w:val="28"/>
          <w:szCs w:val="28"/>
        </w:rPr>
        <w:t xml:space="preserve"> (ban hành kèm theo Nghị quyết 09/NQ-CP ngày 02/2/2023) có một số bộ ngành, địa phương</w:t>
      </w:r>
      <w:r w:rsidRPr="00BD02B2">
        <w:rPr>
          <w:rFonts w:ascii="Times New Roman" w:hAnsi="Times New Roman" w:cs="Times New Roman"/>
          <w:vertAlign w:val="superscript"/>
        </w:rPr>
        <w:footnoteReference w:id="3"/>
      </w:r>
      <w:r w:rsidRPr="00BD02B2">
        <w:rPr>
          <w:rFonts w:ascii="Times New Roman" w:hAnsi="Times New Roman" w:cs="Times New Roman"/>
          <w:sz w:val="28"/>
          <w:szCs w:val="28"/>
        </w:rPr>
        <w:t xml:space="preserve"> đã có văn bản gửi Bộ Tài chính phản ánh khó khăn trong thực hiện các chính sách hỗ trợ tại Nghị định số 113/2024/NĐ-CP, đặc biệt là các chính sách sử dụng nguồn NSNN chi thường xuyên (các chính sách sử nguồn vốn đầu tư công thực hiện theo quy định của Luật Đầu tư công và các văn bản hướng dẫn). Việc thiếu Thông tư hướng dẫn (tương tự Thông tư số 124/2021/TT-BTC) dẫn đến khó khăn trong quá trình xây dựng dự toán kinh phí hỗ trợ HTX năm 2026; không đủ cơ sở để tổng hợp, báo cáo cấp có thẩm quyền hỗ trợ kinh phí trong dự toán NSNN năm 2026.</w:t>
      </w:r>
    </w:p>
    <w:p w14:paraId="43FEFF29" w14:textId="77777777" w:rsidR="00DF69D4" w:rsidRDefault="00DF69D4" w:rsidP="00DF69D4">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C</w:t>
      </w:r>
      <w:r w:rsidRPr="00563C82">
        <w:rPr>
          <w:rFonts w:ascii="Times New Roman" w:hAnsi="Times New Roman" w:cs="Times New Roman"/>
          <w:sz w:val="28"/>
          <w:szCs w:val="28"/>
        </w:rPr>
        <w:t xml:space="preserve">ác vướng mắc về tư cách pháp lý và quản trị nội bộ ngày càng bộc lộ rõ. Việc tổ hợp tác không có tư cách pháp nhân tiếp tục là rào cản trong việc ký kết hợp đồng kinh tế, mở tài khoản thanh toán chung, thực hiện nghĩa vụ thuế và tiếp cận nguồn vốn tín dụng chính thức. Khi quy mô và lợi ích tăng lên, trong nội bộ các tổ hợp tác, </w:t>
      </w:r>
      <w:r>
        <w:rPr>
          <w:rFonts w:ascii="Times New Roman" w:hAnsi="Times New Roman" w:cs="Times New Roman"/>
          <w:sz w:val="28"/>
          <w:szCs w:val="28"/>
        </w:rPr>
        <w:t xml:space="preserve">HTX </w:t>
      </w:r>
      <w:r w:rsidRPr="00563C82">
        <w:rPr>
          <w:rFonts w:ascii="Times New Roman" w:hAnsi="Times New Roman" w:cs="Times New Roman"/>
          <w:sz w:val="28"/>
          <w:szCs w:val="28"/>
        </w:rPr>
        <w:t>phát sinh nhiều tranh chấp liên quan đến phân chia lợi ích, nghĩa vụ góp vốn và thực hiện hợp đồng, trong khi chưa có cơ chế giải quyết đặc thù, rõ ràng. Bên cạnh đó, tại một số địa phương xuất hiện xu hướng “vượt cấp”</w:t>
      </w:r>
      <w:r>
        <w:rPr>
          <w:rStyle w:val="FootnoteReference"/>
          <w:rFonts w:ascii="Times New Roman" w:hAnsi="Times New Roman" w:cs="Times New Roman"/>
          <w:sz w:val="28"/>
          <w:szCs w:val="28"/>
        </w:rPr>
        <w:footnoteReference w:id="4"/>
      </w:r>
      <w:r w:rsidRPr="00563C82">
        <w:rPr>
          <w:rFonts w:ascii="Times New Roman" w:hAnsi="Times New Roman" w:cs="Times New Roman"/>
          <w:sz w:val="28"/>
          <w:szCs w:val="28"/>
        </w:rPr>
        <w:t xml:space="preserve">, khi người dân duy trì kinh tế hộ cá thể rồi chuyển thẳng lên mô hình </w:t>
      </w:r>
      <w:r>
        <w:rPr>
          <w:rFonts w:ascii="Times New Roman" w:hAnsi="Times New Roman" w:cs="Times New Roman"/>
          <w:sz w:val="28"/>
          <w:szCs w:val="28"/>
        </w:rPr>
        <w:t xml:space="preserve">HTX </w:t>
      </w:r>
      <w:r w:rsidRPr="00563C82">
        <w:rPr>
          <w:rFonts w:ascii="Times New Roman" w:hAnsi="Times New Roman" w:cs="Times New Roman"/>
          <w:sz w:val="28"/>
          <w:szCs w:val="28"/>
        </w:rPr>
        <w:t>để hưởng chính sách hỗ trợ cao hơn, làm giảm vai trò “vườn ươm” của tổ hợp tác.</w:t>
      </w:r>
    </w:p>
    <w:p w14:paraId="43FEFF2A" w14:textId="77777777" w:rsidR="00DF69D4" w:rsidRPr="00BD02B2" w:rsidRDefault="00E72844" w:rsidP="00BD02B2">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 Nguyên nhân </w:t>
      </w:r>
    </w:p>
    <w:p w14:paraId="43FEFF2B" w14:textId="77777777" w:rsidR="00CB4006" w:rsidRDefault="004253EC"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sidRPr="004253EC">
        <w:rPr>
          <w:rFonts w:ascii="Times New Roman" w:hAnsi="Times New Roman" w:cs="Times New Roman"/>
          <w:sz w:val="28"/>
          <w:szCs w:val="28"/>
        </w:rPr>
        <w:t xml:space="preserve">Những khó khăn, vướng mắc nêu trên xuất phát từ cả nguyên nhân khách quan và chủ quan. </w:t>
      </w:r>
    </w:p>
    <w:p w14:paraId="43FEFF2C" w14:textId="77777777" w:rsidR="004253EC" w:rsidRPr="004253EC" w:rsidRDefault="00CB4006"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253EC" w:rsidRPr="004253EC">
        <w:rPr>
          <w:rFonts w:ascii="Times New Roman" w:hAnsi="Times New Roman" w:cs="Times New Roman"/>
          <w:sz w:val="28"/>
          <w:szCs w:val="28"/>
        </w:rPr>
        <w:t xml:space="preserve">Về khách quan, hệ thống pháp luật về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4253EC" w:rsidRPr="004253EC">
        <w:rPr>
          <w:rFonts w:ascii="Times New Roman" w:hAnsi="Times New Roman" w:cs="Times New Roman"/>
          <w:sz w:val="28"/>
          <w:szCs w:val="28"/>
        </w:rPr>
        <w:t xml:space="preserve">đang trong quá trình hoàn thiện, nhiều quy định còn trong giai đoạn chuyển tiếp giữa Luật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4253EC" w:rsidRPr="004253EC">
        <w:rPr>
          <w:rFonts w:ascii="Times New Roman" w:hAnsi="Times New Roman" w:cs="Times New Roman"/>
          <w:sz w:val="28"/>
          <w:szCs w:val="28"/>
        </w:rPr>
        <w:t>năm 2012 và năm 2023 nên chưa thực sự đồng bộ, chưa theo kịp thực tiễn phát triển nhanh của các mô hình liên kết. Điều kiện kinh tế - xã hội tại nhiều địa bàn, đặc biệt là vùng sâu, vùng xa còn khó khăn, trình độ dân trí và khả năng tiếp cận thị trường của người dân còn hạn chế. Bên cạnh đó, tác động của biến đổi khí hậu, thiên tai, dịch bệnh và sự biến động khó lường của thị trường nông sản cũng ảnh hưởng trực tiếp đến hiệu quả hoạt động của hợp tác xã; nguồn lực hỗ trợ từ ngân sách nhà nước còn hạn hẹp, phân tán, chưa đáp ứng đầy đủ nhu cầu thực tế.</w:t>
      </w:r>
    </w:p>
    <w:p w14:paraId="43FEFF2D" w14:textId="77777777" w:rsidR="004253EC" w:rsidRDefault="00CB4006"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253EC" w:rsidRPr="004253EC">
        <w:rPr>
          <w:rFonts w:ascii="Times New Roman" w:hAnsi="Times New Roman" w:cs="Times New Roman"/>
          <w:sz w:val="28"/>
          <w:szCs w:val="28"/>
        </w:rPr>
        <w:t xml:space="preserve">Về chủ quan, công tác lãnh đạo, chỉ đạo tại một số địa phương chưa thực sự quyết liệt, chưa coi phát triển kinh tế tập thể là nhiệm vụ trọng tâm; đội ngũ cán bộ phụ trách tại cấp xã còn mỏng, chủ yếu kiêm nhiệm, thiếu đào tạo chuyên sâu về kinh tế tập thể. Nhiều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4253EC" w:rsidRPr="004253EC">
        <w:rPr>
          <w:rFonts w:ascii="Times New Roman" w:hAnsi="Times New Roman" w:cs="Times New Roman"/>
          <w:sz w:val="28"/>
          <w:szCs w:val="28"/>
        </w:rPr>
        <w:t xml:space="preserve">còn tư duy thụ động, trông chờ, ỷ lại vào hỗ trợ của Nhà nước, ngại thay đổi và chậm đổi mới mô hình quản trị. Công tác tuyên truyền, phổ biến chính sách ở một số nơi chưa sâu, còn mang tính hình thức, chưa tiếp cận hiệu quả đến các đối tượng thụ hưởng, đặc biệt tại vùng sâu, vùng xa; đồng thời, sự phối hợp giữa các cơ quan quản lý nhà nước trong chia sẻ dữ liệu và hướng dẫn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4253EC" w:rsidRPr="004253EC">
        <w:rPr>
          <w:rFonts w:ascii="Times New Roman" w:hAnsi="Times New Roman" w:cs="Times New Roman"/>
          <w:sz w:val="28"/>
          <w:szCs w:val="28"/>
        </w:rPr>
        <w:t>còn thiếu chặt chẽ, dẫn đến lúng túng trong quá trình tổ chức thực hiện.</w:t>
      </w:r>
    </w:p>
    <w:p w14:paraId="43FEFF2E" w14:textId="77777777" w:rsidR="00E72844" w:rsidRDefault="00E72844" w:rsidP="00E72844">
      <w:pPr>
        <w:autoSpaceDE w:val="0"/>
        <w:autoSpaceDN w:val="0"/>
        <w:adjustRightInd w:val="0"/>
        <w:spacing w:before="120" w:after="120" w:line="288" w:lineRule="auto"/>
        <w:ind w:firstLine="720"/>
        <w:jc w:val="both"/>
        <w:rPr>
          <w:rFonts w:ascii="Times New Roman" w:hAnsi="Times New Roman" w:cs="Times New Roman"/>
          <w:sz w:val="28"/>
          <w:szCs w:val="28"/>
        </w:rPr>
      </w:pPr>
      <w:r w:rsidRPr="004253EC">
        <w:rPr>
          <w:rFonts w:ascii="Times New Roman" w:hAnsi="Times New Roman" w:cs="Times New Roman"/>
          <w:sz w:val="28"/>
          <w:szCs w:val="28"/>
        </w:rPr>
        <w:t xml:space="preserve">Năng lực nội tại và trình độ quản trị của khu vực kinh tế tập thể còn nhiều hạn chế. Phần lớn </w:t>
      </w:r>
      <w:r>
        <w:rPr>
          <w:rFonts w:ascii="Times New Roman" w:hAnsi="Times New Roman" w:cs="Times New Roman"/>
          <w:sz w:val="28"/>
          <w:szCs w:val="28"/>
        </w:rPr>
        <w:t xml:space="preserve">HTX </w:t>
      </w:r>
      <w:r w:rsidRPr="004253EC">
        <w:rPr>
          <w:rFonts w:ascii="Times New Roman" w:hAnsi="Times New Roman" w:cs="Times New Roman"/>
          <w:sz w:val="28"/>
          <w:szCs w:val="28"/>
        </w:rPr>
        <w:t>và tổ hợp tác có quy mô nhỏ lẻ, manh mún, thiếu vốn đầu tư và chưa xây dựng được phương án sản xuất kinh doanh hiệu quả; đội ngũ quản lý thường có độ tuổi cao, hạn chế về chuyên môn quản trị tài chính, kế toán và ứng dụng công nghệ thông tin. Tính liên kết giữa các thành viên còn lỏng lẻo, hoạt động tại nhiều nơi mang tính hình thức hoặc theo mùa vụ, thiếu tính ổn định và bền vững.</w:t>
      </w:r>
      <w:r>
        <w:rPr>
          <w:rFonts w:ascii="Times New Roman" w:hAnsi="Times New Roman" w:cs="Times New Roman"/>
          <w:sz w:val="28"/>
          <w:szCs w:val="28"/>
        </w:rPr>
        <w:t xml:space="preserve"> Do đó, ảnh hưởng đến khả năng tiếp cận hỗ trợ của nhà nước đối với HTX.</w:t>
      </w:r>
    </w:p>
    <w:p w14:paraId="43FEFF2F" w14:textId="77777777" w:rsidR="003E4472" w:rsidRPr="007B4BE3" w:rsidRDefault="003E4472" w:rsidP="00CB2709">
      <w:pPr>
        <w:autoSpaceDE w:val="0"/>
        <w:autoSpaceDN w:val="0"/>
        <w:adjustRightInd w:val="0"/>
        <w:spacing w:before="120" w:after="120" w:line="288" w:lineRule="auto"/>
        <w:ind w:firstLine="720"/>
        <w:rPr>
          <w:rFonts w:ascii="Times New Roman" w:hAnsi="Times New Roman" w:cs="Times New Roman"/>
          <w:sz w:val="28"/>
          <w:szCs w:val="28"/>
        </w:rPr>
      </w:pPr>
      <w:r w:rsidRPr="007B4BE3">
        <w:rPr>
          <w:rFonts w:ascii="Times New Roman" w:hAnsi="Times New Roman" w:cs="Times New Roman"/>
          <w:b/>
          <w:bCs/>
          <w:sz w:val="28"/>
          <w:szCs w:val="28"/>
        </w:rPr>
        <w:t>4. Xác định những vấn đề mới phát sinh trong thực tiễn</w:t>
      </w:r>
    </w:p>
    <w:p w14:paraId="43FEFF30" w14:textId="77777777" w:rsidR="00563C82" w:rsidRPr="00563C82" w:rsidRDefault="0002113D"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Trên cơ sở</w:t>
      </w:r>
      <w:r w:rsidR="00563C82" w:rsidRPr="00563C82">
        <w:rPr>
          <w:rFonts w:ascii="Times New Roman" w:hAnsi="Times New Roman" w:cs="Times New Roman"/>
          <w:sz w:val="28"/>
          <w:szCs w:val="28"/>
        </w:rPr>
        <w:t xml:space="preserve"> báo cáo của các bộ, ngành và địa phương, trong quá trình thi hành Nghị định số 113/2024/NĐ-CP đã phát sinh một số vấn đề mới, phản ánh yêu cầu điều chỉnh chính sách và hoàn thiện khuôn khổ pháp lý trong bối cảnh thực tiễn có nhiều thay đổ</w:t>
      </w:r>
      <w:r w:rsidR="00DF69D4">
        <w:rPr>
          <w:rFonts w:ascii="Times New Roman" w:hAnsi="Times New Roman" w:cs="Times New Roman"/>
          <w:sz w:val="28"/>
          <w:szCs w:val="28"/>
        </w:rPr>
        <w:t>i:</w:t>
      </w:r>
    </w:p>
    <w:p w14:paraId="43FEFF31" w14:textId="77777777" w:rsidR="00CF2A8C" w:rsidRDefault="00DF69D4"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sidRPr="00DF69D4">
        <w:rPr>
          <w:rFonts w:ascii="Times New Roman" w:hAnsi="Times New Roman" w:cs="Times New Roman"/>
          <w:i/>
          <w:sz w:val="28"/>
          <w:szCs w:val="28"/>
        </w:rPr>
        <w:t>Một là</w:t>
      </w:r>
      <w:r w:rsidR="00563C82" w:rsidRPr="00DF69D4">
        <w:rPr>
          <w:rFonts w:ascii="Times New Roman" w:hAnsi="Times New Roman" w:cs="Times New Roman"/>
          <w:i/>
          <w:sz w:val="28"/>
          <w:szCs w:val="28"/>
        </w:rPr>
        <w:t>,</w:t>
      </w:r>
      <w:r w:rsidR="00563C82" w:rsidRPr="00563C82">
        <w:rPr>
          <w:rFonts w:ascii="Times New Roman" w:hAnsi="Times New Roman" w:cs="Times New Roman"/>
          <w:sz w:val="28"/>
          <w:szCs w:val="28"/>
        </w:rPr>
        <w:t xml:space="preserve"> những bất cập phát sinh từ việc thay đổi mô hình tổ chức chính quyền và sự chồng chéo về pháp lý đang đặt ra thách thức trong công tác quản lý. Việc chuyển đổi từ mô hình chính quyền ba cấp sang hai cấp (tỉnh và xã) tại nhiều địa phương làm gia tăng đáng kể khối lượng công việc ở cấp xã, trong khi nguồn </w:t>
      </w:r>
      <w:r w:rsidR="00563C82" w:rsidRPr="00563C82">
        <w:rPr>
          <w:rFonts w:ascii="Times New Roman" w:hAnsi="Times New Roman" w:cs="Times New Roman"/>
          <w:sz w:val="28"/>
          <w:szCs w:val="28"/>
        </w:rPr>
        <w:lastRenderedPageBreak/>
        <w:t xml:space="preserve">nhân lực và năng lực chuyên môn còn hạn chế, dẫn đến khó khăn trong theo dõi, quản lý và hỗ trợ các tổ chức kinh tế tập thể. </w:t>
      </w:r>
    </w:p>
    <w:p w14:paraId="43FEFF32" w14:textId="77777777" w:rsidR="00563C82" w:rsidRPr="00563C82" w:rsidRDefault="00DF69D4"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sidRPr="00DF69D4">
        <w:rPr>
          <w:rFonts w:ascii="Times New Roman" w:hAnsi="Times New Roman" w:cs="Times New Roman"/>
          <w:i/>
          <w:sz w:val="28"/>
          <w:szCs w:val="28"/>
        </w:rPr>
        <w:t>Hai là,</w:t>
      </w:r>
      <w:r>
        <w:rPr>
          <w:rFonts w:ascii="Times New Roman" w:hAnsi="Times New Roman" w:cs="Times New Roman"/>
          <w:sz w:val="28"/>
          <w:szCs w:val="28"/>
        </w:rPr>
        <w:t xml:space="preserve"> s</w:t>
      </w:r>
      <w:r w:rsidR="00563C82" w:rsidRPr="00563C82">
        <w:rPr>
          <w:rFonts w:ascii="Times New Roman" w:hAnsi="Times New Roman" w:cs="Times New Roman"/>
          <w:sz w:val="28"/>
          <w:szCs w:val="28"/>
        </w:rPr>
        <w:t xml:space="preserve">ự tồn tại song song của hai cơ chế </w:t>
      </w:r>
      <w:r w:rsidR="00F06F7C">
        <w:rPr>
          <w:rStyle w:val="FootnoteReference"/>
          <w:rFonts w:ascii="Times New Roman" w:hAnsi="Times New Roman" w:cs="Times New Roman"/>
          <w:sz w:val="28"/>
          <w:szCs w:val="28"/>
        </w:rPr>
        <w:footnoteReference w:id="5"/>
      </w:r>
      <w:r w:rsidR="00563C82" w:rsidRPr="00563C82">
        <w:rPr>
          <w:rFonts w:ascii="Times New Roman" w:hAnsi="Times New Roman" w:cs="Times New Roman"/>
          <w:sz w:val="28"/>
          <w:szCs w:val="28"/>
        </w:rPr>
        <w:t>đăng ký tổ hợp tác theo Nghị định số 77/2019/NĐ-CP (dựa trên hợp đồng dân sự) và theo Nghị định số 113/2024/NĐ-CP (đăng ký tại cơ quan đăng ký kinh doanh khi có góp vốn hoặc thụ hưởng chính sách) với trình tự, thủ tục và hồ sơ khác nhau đã gây lúng túng cho cả cơ quan quản lý và người dân trong việc lựa chọn áp dụng.</w:t>
      </w:r>
    </w:p>
    <w:p w14:paraId="43FEFF33" w14:textId="77777777" w:rsidR="00563C82" w:rsidRPr="00563C82" w:rsidRDefault="00DF69D4"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sidRPr="00DF69D4">
        <w:rPr>
          <w:rFonts w:ascii="Times New Roman" w:hAnsi="Times New Roman" w:cs="Times New Roman"/>
          <w:i/>
          <w:sz w:val="28"/>
          <w:szCs w:val="28"/>
        </w:rPr>
        <w:t>Ba là,</w:t>
      </w:r>
      <w:r>
        <w:rPr>
          <w:rFonts w:ascii="Times New Roman" w:hAnsi="Times New Roman" w:cs="Times New Roman"/>
          <w:sz w:val="28"/>
          <w:szCs w:val="28"/>
        </w:rPr>
        <w:t xml:space="preserve"> t</w:t>
      </w:r>
      <w:r w:rsidR="00563C82" w:rsidRPr="00563C82">
        <w:rPr>
          <w:rFonts w:ascii="Times New Roman" w:hAnsi="Times New Roman" w:cs="Times New Roman"/>
          <w:sz w:val="28"/>
          <w:szCs w:val="28"/>
        </w:rPr>
        <w:t>hực tiễn đặt ra yêu cầu cấp thiết về chuyển đổi số và hiện đại hóa công tác quản lý dữ liệu. Nhu cầu xây dựng cơ sở dữ liệu số về tổ hợp tác, hợp tác xã, quản lý thành viên, thực hiện báo cáo trực tuyến và giao dịch điện tử ngày càng gia tăng; tuy nhiên, hệ thống dữ liệu hiện nay chưa đồng bộ, chưa có quy định cụ thể về chuẩn dữ liệu và kết nối liên thông từ cơ sở lên cấp tỉnh. Việc quản lý thông tin vẫn chủ yếu thực hiện thủ công, dữ liệu phân tán, dẫn đến tình trạng thông tin trên hồ sơ không khớp với thực tế khi có biến động về thành viên hoặc người đại diện.</w:t>
      </w:r>
    </w:p>
    <w:p w14:paraId="43FEFF34" w14:textId="77777777" w:rsidR="00563C82" w:rsidRPr="00563C82" w:rsidRDefault="00DF69D4"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sidRPr="00DF69D4">
        <w:rPr>
          <w:rFonts w:ascii="Times New Roman" w:hAnsi="Times New Roman" w:cs="Times New Roman"/>
          <w:i/>
          <w:sz w:val="28"/>
          <w:szCs w:val="28"/>
        </w:rPr>
        <w:t>Bốn là,</w:t>
      </w:r>
      <w:r>
        <w:rPr>
          <w:rFonts w:ascii="Times New Roman" w:hAnsi="Times New Roman" w:cs="Times New Roman"/>
          <w:sz w:val="28"/>
          <w:szCs w:val="28"/>
        </w:rPr>
        <w:t xml:space="preserve"> x</w:t>
      </w:r>
      <w:r w:rsidR="00563C82" w:rsidRPr="00563C82">
        <w:rPr>
          <w:rFonts w:ascii="Times New Roman" w:hAnsi="Times New Roman" w:cs="Times New Roman"/>
          <w:sz w:val="28"/>
          <w:szCs w:val="28"/>
        </w:rPr>
        <w:t xml:space="preserve">u hướng phát triển theo chuỗi giá trị và mở rộng sang các lĩnh vực mới cũng đặt ra nhiều yêu cầu mới đối với chính sách. Nhu cầu liên kết đa chiều từ sản xuất, chế biến đến tiêu thụ ngày càng tăng, trong khi khuôn khổ pháp lý hiện hành chưa theo kịp yêu cầu liên kết sâu giữa tổ hợp tác,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563C82" w:rsidRPr="00563C82">
        <w:rPr>
          <w:rFonts w:ascii="Times New Roman" w:hAnsi="Times New Roman" w:cs="Times New Roman"/>
          <w:sz w:val="28"/>
          <w:szCs w:val="28"/>
        </w:rPr>
        <w:t>với doanh nghiệp và các tổ chức khác. Đồng thời, xuất hiện nhiều mô hình hoạt động mới gắn với du lịch cộng đồng, dịch vụ môi trường, kinh tế tuầ</w:t>
      </w:r>
      <w:r>
        <w:rPr>
          <w:rFonts w:ascii="Times New Roman" w:hAnsi="Times New Roman" w:cs="Times New Roman"/>
          <w:sz w:val="28"/>
          <w:szCs w:val="28"/>
        </w:rPr>
        <w:t xml:space="preserve">n hoàn, chuyển đổi số </w:t>
      </w:r>
      <w:r w:rsidR="00563C82" w:rsidRPr="00563C82">
        <w:rPr>
          <w:rFonts w:ascii="Times New Roman" w:hAnsi="Times New Roman" w:cs="Times New Roman"/>
          <w:sz w:val="28"/>
          <w:szCs w:val="28"/>
        </w:rPr>
        <w:t>và sản xuất xanh theo tiêu chuẩn quốc tế, đòi hỏi cơ chế, chính sách hỗ trợ đặc thù, khác với nông nghiệp truyền thống. Thị trường, đặc biệt là xuất khẩu và các sản phẩm OCOP, cũng đặt ra yêu cầu cao hơn về minh bạch thông tin và truy xuất nguồn gốc thông qua mã QR, trong khi nhiều đơn vị chưa đáp ứng được do hạn chế về công nghệ và năng lực quản lý.</w:t>
      </w:r>
    </w:p>
    <w:p w14:paraId="43FEFF35" w14:textId="77777777" w:rsidR="00563C82" w:rsidRPr="00563C82" w:rsidRDefault="00DF69D4"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sidRPr="00DF69D4">
        <w:rPr>
          <w:rFonts w:ascii="Times New Roman" w:hAnsi="Times New Roman" w:cs="Times New Roman"/>
          <w:i/>
          <w:sz w:val="28"/>
          <w:szCs w:val="28"/>
        </w:rPr>
        <w:t>Năm là,</w:t>
      </w:r>
      <w:r>
        <w:rPr>
          <w:rFonts w:ascii="Times New Roman" w:hAnsi="Times New Roman" w:cs="Times New Roman"/>
          <w:sz w:val="28"/>
          <w:szCs w:val="28"/>
        </w:rPr>
        <w:t xml:space="preserve"> c</w:t>
      </w:r>
      <w:r w:rsidR="00563C82" w:rsidRPr="00563C82">
        <w:rPr>
          <w:rFonts w:ascii="Times New Roman" w:hAnsi="Times New Roman" w:cs="Times New Roman"/>
          <w:sz w:val="28"/>
          <w:szCs w:val="28"/>
        </w:rPr>
        <w:t xml:space="preserve">ác vấn đề liên quan đến xử lý chuyển tiếp và giải thể cũng phát sinh nhiều khó khăn. Tình trạng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563C82" w:rsidRPr="00563C82">
        <w:rPr>
          <w:rFonts w:ascii="Times New Roman" w:hAnsi="Times New Roman" w:cs="Times New Roman"/>
          <w:sz w:val="28"/>
          <w:szCs w:val="28"/>
        </w:rPr>
        <w:t xml:space="preserve">“treo” còn phổ biến, với nhiều đơn vị ngừng hoạt động trong thời gian dài nhưng không thể giải thể do vướng mắc về nợ thuế, nợ tín dụng, thất lạc con dấu, hồ sơ hoặc không còn người đại diện pháp luật. Đồng thời, một số quy định có tính chất tạm thời tại Nghị định số 125/2025/NĐ-CP (sửa đổi, bổ sung Nghị định số 113/2024/NĐ-CP) chỉ có hiệu lực đến tháng 3/2027 đã tạo tâm lý e ngại cho các </w:t>
      </w:r>
      <w:r w:rsidR="001A7D17">
        <w:rPr>
          <w:rFonts w:ascii="Times New Roman" w:hAnsi="Times New Roman" w:cs="Times New Roman"/>
          <w:sz w:val="28"/>
          <w:szCs w:val="28"/>
        </w:rPr>
        <w:t>HTX</w:t>
      </w:r>
      <w:r w:rsidR="00781DD0">
        <w:rPr>
          <w:rFonts w:ascii="Times New Roman" w:hAnsi="Times New Roman" w:cs="Times New Roman"/>
          <w:sz w:val="28"/>
          <w:szCs w:val="28"/>
        </w:rPr>
        <w:t xml:space="preserve"> </w:t>
      </w:r>
      <w:r w:rsidR="00563C82" w:rsidRPr="00563C82">
        <w:rPr>
          <w:rFonts w:ascii="Times New Roman" w:hAnsi="Times New Roman" w:cs="Times New Roman"/>
          <w:sz w:val="28"/>
          <w:szCs w:val="28"/>
        </w:rPr>
        <w:t>trong việc xây dựng phương án sản xuất, kinh doanh và đầu tư dài hạn.</w:t>
      </w:r>
    </w:p>
    <w:p w14:paraId="43FEFF36" w14:textId="77777777" w:rsidR="003E4472" w:rsidRPr="007B4BE3" w:rsidRDefault="003E4472" w:rsidP="00CB2709">
      <w:pPr>
        <w:autoSpaceDE w:val="0"/>
        <w:autoSpaceDN w:val="0"/>
        <w:adjustRightInd w:val="0"/>
        <w:spacing w:before="120" w:after="120" w:line="288" w:lineRule="auto"/>
        <w:ind w:firstLine="720"/>
        <w:rPr>
          <w:rFonts w:ascii="Times New Roman" w:hAnsi="Times New Roman" w:cs="Times New Roman"/>
          <w:sz w:val="28"/>
          <w:szCs w:val="28"/>
        </w:rPr>
      </w:pPr>
      <w:r w:rsidRPr="007B4BE3">
        <w:rPr>
          <w:rFonts w:ascii="Times New Roman" w:hAnsi="Times New Roman" w:cs="Times New Roman"/>
          <w:b/>
          <w:bCs/>
          <w:sz w:val="28"/>
          <w:szCs w:val="28"/>
        </w:rPr>
        <w:lastRenderedPageBreak/>
        <w:t>III. ĐỀ XUẤT, KIẾN NGHỊ</w:t>
      </w:r>
    </w:p>
    <w:p w14:paraId="43FEFF37" w14:textId="77777777" w:rsidR="00295EAC" w:rsidRDefault="003118A0"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sidRPr="003118A0">
        <w:rPr>
          <w:rFonts w:ascii="Times New Roman" w:hAnsi="Times New Roman" w:cs="Times New Roman"/>
          <w:sz w:val="28"/>
          <w:szCs w:val="28"/>
        </w:rPr>
        <w:t>Trước hết, về hoàn thiện hệ thống thể chế và văn bản quy phạm pháp luật, nhiều địa phương kiến nghị sửa đổi, bổ sung Nghị định số 113/2024/NĐ-CP theo hướng phù hợp với mô hình chính quyền địa phương hai cấp.</w:t>
      </w:r>
    </w:p>
    <w:p w14:paraId="43FEFF38" w14:textId="77777777" w:rsidR="00BD02B2" w:rsidRDefault="00E72844"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295EAC">
        <w:rPr>
          <w:rFonts w:ascii="Times New Roman" w:hAnsi="Times New Roman" w:cs="Times New Roman"/>
          <w:sz w:val="28"/>
          <w:szCs w:val="28"/>
        </w:rPr>
        <w:t xml:space="preserve"> Đ</w:t>
      </w:r>
      <w:r w:rsidR="003118A0" w:rsidRPr="003118A0">
        <w:rPr>
          <w:rFonts w:ascii="Times New Roman" w:hAnsi="Times New Roman" w:cs="Times New Roman"/>
          <w:sz w:val="28"/>
          <w:szCs w:val="28"/>
        </w:rPr>
        <w:t xml:space="preserve">ề xuất điều chỉnh các quy định tại các Điều 13, 17, 21, 22, 23 và 25 để chuyển giao thẩm quyền quản lý, đăng ký và hỗ trợ </w:t>
      </w:r>
      <w:r w:rsidR="001A7D17">
        <w:rPr>
          <w:rFonts w:ascii="Times New Roman" w:hAnsi="Times New Roman" w:cs="Times New Roman"/>
          <w:sz w:val="28"/>
          <w:szCs w:val="28"/>
        </w:rPr>
        <w:t>HTX</w:t>
      </w:r>
      <w:r w:rsidR="00BD02B2">
        <w:rPr>
          <w:rFonts w:ascii="Times New Roman" w:hAnsi="Times New Roman" w:cs="Times New Roman"/>
          <w:sz w:val="28"/>
          <w:szCs w:val="28"/>
        </w:rPr>
        <w:t xml:space="preserve"> </w:t>
      </w:r>
      <w:r w:rsidR="003118A0" w:rsidRPr="003118A0">
        <w:rPr>
          <w:rFonts w:ascii="Times New Roman" w:hAnsi="Times New Roman" w:cs="Times New Roman"/>
          <w:sz w:val="28"/>
          <w:szCs w:val="28"/>
        </w:rPr>
        <w:t>từ Ủy ban nhân dân cấp huyện sang Ủy ban nhân dân cấp xã hoặc cơ quan chuyên môn cấp tỉnh, nhằm khắc phục khoảng trống về thẩm quyền trong thực tiễ</w:t>
      </w:r>
      <w:r w:rsidR="00BD02B2">
        <w:rPr>
          <w:rFonts w:ascii="Times New Roman" w:hAnsi="Times New Roman" w:cs="Times New Roman"/>
          <w:sz w:val="28"/>
          <w:szCs w:val="28"/>
        </w:rPr>
        <w:t xml:space="preserve">n; </w:t>
      </w:r>
      <w:r w:rsidR="00295EAC">
        <w:rPr>
          <w:rFonts w:ascii="Times New Roman" w:hAnsi="Times New Roman" w:cs="Times New Roman"/>
          <w:sz w:val="28"/>
          <w:szCs w:val="28"/>
        </w:rPr>
        <w:t>K</w:t>
      </w:r>
      <w:r w:rsidR="003118A0" w:rsidRPr="003118A0">
        <w:rPr>
          <w:rFonts w:ascii="Times New Roman" w:hAnsi="Times New Roman" w:cs="Times New Roman"/>
          <w:sz w:val="28"/>
          <w:szCs w:val="28"/>
        </w:rPr>
        <w:t xml:space="preserve">iến nghị chính thức hóa các quy định về đơn giản hóa hồ sơ, thủ tục đang áp dụng tạm thời tại Nghị định số 125/2025/NĐ-CP vào nội dung của Nghị định số 113/2024/NĐ-CP để bảo đảm tính ổn định, lâu dài cho </w:t>
      </w:r>
      <w:r w:rsidR="001A7D17">
        <w:rPr>
          <w:rFonts w:ascii="Times New Roman" w:hAnsi="Times New Roman" w:cs="Times New Roman"/>
          <w:sz w:val="28"/>
          <w:szCs w:val="28"/>
        </w:rPr>
        <w:t>HTX</w:t>
      </w:r>
      <w:r w:rsidR="00BD02B2">
        <w:rPr>
          <w:rFonts w:ascii="Times New Roman" w:hAnsi="Times New Roman" w:cs="Times New Roman"/>
          <w:sz w:val="28"/>
          <w:szCs w:val="28"/>
        </w:rPr>
        <w:t xml:space="preserve"> </w:t>
      </w:r>
      <w:r w:rsidR="003118A0" w:rsidRPr="003118A0">
        <w:rPr>
          <w:rFonts w:ascii="Times New Roman" w:hAnsi="Times New Roman" w:cs="Times New Roman"/>
          <w:sz w:val="28"/>
          <w:szCs w:val="28"/>
        </w:rPr>
        <w:t>trong xây dựng phương án sản xuất, kinh doanh.</w:t>
      </w:r>
    </w:p>
    <w:p w14:paraId="43FEFF39" w14:textId="77777777" w:rsidR="00D87B4A" w:rsidRDefault="00E72844" w:rsidP="00D87B4A">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D87B4A">
        <w:rPr>
          <w:rFonts w:ascii="Times New Roman" w:hAnsi="Times New Roman" w:cs="Times New Roman"/>
          <w:sz w:val="28"/>
          <w:szCs w:val="28"/>
        </w:rPr>
        <w:t xml:space="preserve">Điều chỉnh các quy định về quy trình hỗ trợ theo hướng thống nhất với hệ thống pháp luật có liên quan; điều chỉnh, bổ sung các chính sách hỗ trợ, thu hút </w:t>
      </w:r>
      <w:r w:rsidR="00D87B4A" w:rsidRPr="00D87B4A">
        <w:rPr>
          <w:rFonts w:ascii="Times New Roman" w:hAnsi="Times New Roman" w:cs="Times New Roman"/>
          <w:sz w:val="28"/>
          <w:szCs w:val="28"/>
        </w:rPr>
        <w:t>hỗ trợ, thu hút nguồn lực, ứng dụng khoa học công nghệ, chuyển đổi số, mở rộng thị trường cho kinh tế tập thể, hợ</w:t>
      </w:r>
      <w:r w:rsidR="00D87B4A">
        <w:rPr>
          <w:rFonts w:ascii="Times New Roman" w:hAnsi="Times New Roman" w:cs="Times New Roman"/>
          <w:sz w:val="28"/>
          <w:szCs w:val="28"/>
        </w:rPr>
        <w:t>p tác xã.</w:t>
      </w:r>
    </w:p>
    <w:p w14:paraId="43FEFF3A" w14:textId="77777777" w:rsidR="0016783E" w:rsidRDefault="0016783E" w:rsidP="00D87B4A">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Quy định trách nhiệm cho Bộ Tài chính hướng dẫn cơ </w:t>
      </w:r>
      <w:r w:rsidRPr="0016783E">
        <w:rPr>
          <w:rFonts w:ascii="Times New Roman" w:hAnsi="Times New Roman" w:cs="Times New Roman"/>
          <w:sz w:val="28"/>
          <w:szCs w:val="28"/>
        </w:rPr>
        <w:t>chế sử dụng kinh phí ngân sách nhà nước chi thường xuyên hỗ trợ tổ hợp tác, hợp tác xã, liên hiệp hợp tác xã</w:t>
      </w:r>
      <w:r w:rsidRPr="0016783E">
        <w:rPr>
          <w:rFonts w:ascii="Times New Roman" w:hAnsi="Times New Roman" w:cs="Times New Roman"/>
          <w:vertAlign w:val="superscript"/>
        </w:rPr>
        <w:footnoteReference w:id="6"/>
      </w:r>
      <w:r w:rsidRPr="0016783E">
        <w:rPr>
          <w:rFonts w:ascii="Times New Roman" w:hAnsi="Times New Roman" w:cs="Times New Roman"/>
          <w:sz w:val="28"/>
          <w:szCs w:val="28"/>
          <w:vertAlign w:val="superscript"/>
        </w:rPr>
        <w:t xml:space="preserve"> </w:t>
      </w:r>
    </w:p>
    <w:p w14:paraId="43FEFF3B" w14:textId="77777777" w:rsidR="00D87B4A" w:rsidRPr="00D87B4A" w:rsidRDefault="0016783E" w:rsidP="00D87B4A">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D87B4A">
        <w:rPr>
          <w:rFonts w:ascii="Times New Roman" w:hAnsi="Times New Roman" w:cs="Times New Roman"/>
          <w:sz w:val="28"/>
          <w:szCs w:val="28"/>
        </w:rPr>
        <w:t xml:space="preserve">. Sửa đổi </w:t>
      </w:r>
      <w:r w:rsidR="00D87B4A" w:rsidRPr="003118A0">
        <w:rPr>
          <w:rFonts w:ascii="Times New Roman" w:hAnsi="Times New Roman" w:cs="Times New Roman"/>
          <w:sz w:val="28"/>
          <w:szCs w:val="28"/>
        </w:rPr>
        <w:t>Nghị định số 113/2024/NĐ-CP</w:t>
      </w:r>
      <w:r w:rsidR="00D87B4A">
        <w:rPr>
          <w:rFonts w:ascii="Times New Roman" w:hAnsi="Times New Roman" w:cs="Times New Roman"/>
          <w:sz w:val="28"/>
          <w:szCs w:val="28"/>
        </w:rPr>
        <w:t xml:space="preserve"> đồng thời với việc sửa đổi, </w:t>
      </w:r>
      <w:r w:rsidR="00D87B4A" w:rsidRPr="00D87B4A">
        <w:rPr>
          <w:rFonts w:ascii="Times New Roman" w:hAnsi="Times New Roman" w:cs="Times New Roman"/>
          <w:sz w:val="28"/>
          <w:szCs w:val="28"/>
        </w:rPr>
        <w:t>thay thế Nghị định số 77/2019-CP ngày 10 tháng 10 năm 2019 của Chính phủ về tổ hợp tác theo hướng thống nhất các quy định liên quan đến tổ hợp tác tại 01 Nghị định để tránh chồng chéo, lúng túng khi triển khai.</w:t>
      </w:r>
    </w:p>
    <w:p w14:paraId="43FEFF3C" w14:textId="77777777" w:rsidR="0016783E" w:rsidRDefault="0016783E"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87B4A">
        <w:rPr>
          <w:rFonts w:ascii="Times New Roman" w:hAnsi="Times New Roman" w:cs="Times New Roman"/>
          <w:sz w:val="28"/>
          <w:szCs w:val="28"/>
        </w:rPr>
        <w:t>. V</w:t>
      </w:r>
      <w:r w:rsidR="003118A0" w:rsidRPr="003118A0">
        <w:rPr>
          <w:rFonts w:ascii="Times New Roman" w:hAnsi="Times New Roman" w:cs="Times New Roman"/>
          <w:sz w:val="28"/>
          <w:szCs w:val="28"/>
        </w:rPr>
        <w:t>ề các biện pháp nâng cao hiệu quả thi hành pháp luậ</w:t>
      </w:r>
      <w:r>
        <w:rPr>
          <w:rFonts w:ascii="Times New Roman" w:hAnsi="Times New Roman" w:cs="Times New Roman"/>
          <w:sz w:val="28"/>
          <w:szCs w:val="28"/>
        </w:rPr>
        <w:t>t:</w:t>
      </w:r>
    </w:p>
    <w:p w14:paraId="43FEFF3D" w14:textId="77777777" w:rsidR="00AF2551" w:rsidRDefault="0016783E"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a) Đ</w:t>
      </w:r>
      <w:r w:rsidR="003118A0" w:rsidRPr="003118A0">
        <w:rPr>
          <w:rFonts w:ascii="Times New Roman" w:hAnsi="Times New Roman" w:cs="Times New Roman"/>
          <w:sz w:val="28"/>
          <w:szCs w:val="28"/>
        </w:rPr>
        <w:t xml:space="preserve">ẩy mạnh chuyển đổi số và áp dụng phương thức quản trị hiện đại trong khu vực kinh tế tập thể. Cụ thể, cần nâng cấp Hệ thống thông tin quốc gia về </w:t>
      </w:r>
      <w:r w:rsidR="001A7D17">
        <w:rPr>
          <w:rFonts w:ascii="Times New Roman" w:hAnsi="Times New Roman" w:cs="Times New Roman"/>
          <w:sz w:val="28"/>
          <w:szCs w:val="28"/>
        </w:rPr>
        <w:t>HTX</w:t>
      </w:r>
      <w:r w:rsidR="003118A0" w:rsidRPr="003118A0">
        <w:rPr>
          <w:rFonts w:ascii="Times New Roman" w:hAnsi="Times New Roman" w:cs="Times New Roman"/>
          <w:sz w:val="28"/>
          <w:szCs w:val="28"/>
        </w:rPr>
        <w:t xml:space="preserve">theo hướng cho phép tiếp nhận hồ sơ hỗ trợ và thực hiện chế độ báo cáo trực tuyến, qua đó giảm tải cho cấp cơ sở và nâng cao tính minh bạch; đồng thời xây dựng cơ sở dữ liệu dùng chung về hợp tác xã, tổ hợp tác liên thông từ Trung ương đến cấp xã để phục vụ công tác theo dõi, đánh giá chính sách. </w:t>
      </w:r>
    </w:p>
    <w:p w14:paraId="43FEFF3E" w14:textId="703CBEF9" w:rsidR="00640A88" w:rsidRDefault="0016783E"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b) </w:t>
      </w:r>
      <w:r w:rsidR="00AF2551">
        <w:rPr>
          <w:rFonts w:ascii="Times New Roman" w:hAnsi="Times New Roman" w:cs="Times New Roman"/>
          <w:sz w:val="28"/>
          <w:szCs w:val="28"/>
        </w:rPr>
        <w:t>C</w:t>
      </w:r>
      <w:r w:rsidR="003118A0" w:rsidRPr="003118A0">
        <w:rPr>
          <w:rFonts w:ascii="Times New Roman" w:hAnsi="Times New Roman" w:cs="Times New Roman"/>
          <w:sz w:val="28"/>
          <w:szCs w:val="28"/>
        </w:rPr>
        <w:t xml:space="preserve">ần nâng cao năng lực đội ngũ cán bộ thông qua tổ chức các khóa đào tạo chuyên sâu, cấp chứng chỉ quản lý kinh tế tập thể cho cán bộ cấp xã, đồng thời xây dựng và phát triển mạng lưới tư vấn chuyên nghiệp hỗ trợ </w:t>
      </w:r>
      <w:r w:rsidR="001A7D17">
        <w:rPr>
          <w:rFonts w:ascii="Times New Roman" w:hAnsi="Times New Roman" w:cs="Times New Roman"/>
          <w:sz w:val="28"/>
          <w:szCs w:val="28"/>
        </w:rPr>
        <w:t>HTX</w:t>
      </w:r>
      <w:r w:rsidR="004C7670">
        <w:rPr>
          <w:rFonts w:ascii="Times New Roman" w:hAnsi="Times New Roman" w:cs="Times New Roman"/>
          <w:sz w:val="28"/>
          <w:szCs w:val="28"/>
        </w:rPr>
        <w:t xml:space="preserve"> </w:t>
      </w:r>
      <w:r w:rsidR="003118A0" w:rsidRPr="003118A0">
        <w:rPr>
          <w:rFonts w:ascii="Times New Roman" w:hAnsi="Times New Roman" w:cs="Times New Roman"/>
          <w:sz w:val="28"/>
          <w:szCs w:val="28"/>
        </w:rPr>
        <w:t xml:space="preserve">về pháp lý, tài chính và thị trường. </w:t>
      </w:r>
    </w:p>
    <w:p w14:paraId="43FEFF3F" w14:textId="77777777" w:rsidR="00640A88" w:rsidRDefault="0016783E"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640A88">
        <w:rPr>
          <w:rFonts w:ascii="Times New Roman" w:hAnsi="Times New Roman" w:cs="Times New Roman"/>
          <w:sz w:val="28"/>
          <w:szCs w:val="28"/>
        </w:rPr>
        <w:t xml:space="preserve"> </w:t>
      </w:r>
      <w:r w:rsidR="003118A0" w:rsidRPr="003118A0">
        <w:rPr>
          <w:rFonts w:ascii="Times New Roman" w:hAnsi="Times New Roman" w:cs="Times New Roman"/>
          <w:sz w:val="28"/>
          <w:szCs w:val="28"/>
        </w:rPr>
        <w:t xml:space="preserve">Công tác kiểm tra, giám sát cần được tăng cường theo hướng định kỳ, gắn với hỗ trợ tháo gỡ khó khăn tại cơ sở, kịp thời phát hiện và xử lý nghiêm các trường hợp trục lợi chính sách hoặc hoạt động hình thức. </w:t>
      </w:r>
    </w:p>
    <w:p w14:paraId="43FEFF40" w14:textId="03CF5938" w:rsidR="003118A0" w:rsidRPr="003118A0" w:rsidRDefault="0016783E"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d) Đổ</w:t>
      </w:r>
      <w:r w:rsidR="003118A0" w:rsidRPr="003118A0">
        <w:rPr>
          <w:rFonts w:ascii="Times New Roman" w:hAnsi="Times New Roman" w:cs="Times New Roman"/>
          <w:sz w:val="28"/>
          <w:szCs w:val="28"/>
        </w:rPr>
        <w:t xml:space="preserve">i mới công tác tuyên truyền theo hướng xây dựng các tài liệu hướng dẫn ngắn gọn, dễ hiểu, phù hợp với trình độ của người dân, đặc biệt tại vùng sâu, vùng xa, đồng thời phát huy vai trò của Liên minh </w:t>
      </w:r>
      <w:r w:rsidR="001A7D17">
        <w:rPr>
          <w:rFonts w:ascii="Times New Roman" w:hAnsi="Times New Roman" w:cs="Times New Roman"/>
          <w:sz w:val="28"/>
          <w:szCs w:val="28"/>
        </w:rPr>
        <w:t>HTX</w:t>
      </w:r>
      <w:r w:rsidR="00A3565F">
        <w:rPr>
          <w:rFonts w:ascii="Times New Roman" w:hAnsi="Times New Roman" w:cs="Times New Roman"/>
          <w:sz w:val="28"/>
          <w:szCs w:val="28"/>
        </w:rPr>
        <w:t xml:space="preserve"> </w:t>
      </w:r>
      <w:r w:rsidR="003118A0" w:rsidRPr="003118A0">
        <w:rPr>
          <w:rFonts w:ascii="Times New Roman" w:hAnsi="Times New Roman" w:cs="Times New Roman"/>
          <w:sz w:val="28"/>
          <w:szCs w:val="28"/>
        </w:rPr>
        <w:t xml:space="preserve">và Hội Nông dân trong vận động, hướng dẫn phát triển </w:t>
      </w:r>
      <w:r w:rsidR="001A7D17">
        <w:rPr>
          <w:rFonts w:ascii="Times New Roman" w:hAnsi="Times New Roman" w:cs="Times New Roman"/>
          <w:sz w:val="28"/>
          <w:szCs w:val="28"/>
        </w:rPr>
        <w:t>HTX</w:t>
      </w:r>
      <w:r w:rsidR="00A3565F">
        <w:rPr>
          <w:rFonts w:ascii="Times New Roman" w:hAnsi="Times New Roman" w:cs="Times New Roman"/>
          <w:sz w:val="28"/>
          <w:szCs w:val="28"/>
        </w:rPr>
        <w:t xml:space="preserve"> </w:t>
      </w:r>
      <w:r w:rsidR="003118A0" w:rsidRPr="003118A0">
        <w:rPr>
          <w:rFonts w:ascii="Times New Roman" w:hAnsi="Times New Roman" w:cs="Times New Roman"/>
          <w:sz w:val="28"/>
          <w:szCs w:val="28"/>
        </w:rPr>
        <w:t>kiểu mới.</w:t>
      </w:r>
    </w:p>
    <w:p w14:paraId="43FEFF41" w14:textId="77777777" w:rsidR="006424D6" w:rsidRDefault="0016783E"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006424D6">
        <w:rPr>
          <w:rFonts w:ascii="Times New Roman" w:hAnsi="Times New Roman" w:cs="Times New Roman"/>
          <w:sz w:val="28"/>
          <w:szCs w:val="28"/>
        </w:rPr>
        <w:t xml:space="preserve"> </w:t>
      </w:r>
      <w:r w:rsidR="003118A0" w:rsidRPr="003118A0">
        <w:rPr>
          <w:rFonts w:ascii="Times New Roman" w:hAnsi="Times New Roman" w:cs="Times New Roman"/>
          <w:sz w:val="28"/>
          <w:szCs w:val="28"/>
        </w:rPr>
        <w:t xml:space="preserve">Về các giải pháp khắc phục khó khăn, vướng mắc trong thực tiễn, các địa phương kiến nghị ban hành quy định đặc thù về giải thể bắt buộc đối với các </w:t>
      </w:r>
      <w:r w:rsidR="001A7D17">
        <w:rPr>
          <w:rFonts w:ascii="Times New Roman" w:hAnsi="Times New Roman" w:cs="Times New Roman"/>
          <w:sz w:val="28"/>
          <w:szCs w:val="28"/>
        </w:rPr>
        <w:t>HTX</w:t>
      </w:r>
      <w:r w:rsidR="003118A0" w:rsidRPr="003118A0">
        <w:rPr>
          <w:rFonts w:ascii="Times New Roman" w:hAnsi="Times New Roman" w:cs="Times New Roman"/>
          <w:sz w:val="28"/>
          <w:szCs w:val="28"/>
        </w:rPr>
        <w:t xml:space="preserve">ngừng hoạt động kéo dài, mất hồ sơ hoặc không còn người đại diện pháp luật, thông qua cơ chế thông báo công khai trên phương tiện thông tin đại chúng. </w:t>
      </w:r>
    </w:p>
    <w:p w14:paraId="43FEFF42" w14:textId="59FAFC28" w:rsidR="00A36FE8" w:rsidRDefault="0016783E"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 Nghiên cứu </w:t>
      </w:r>
      <w:r w:rsidR="003118A0" w:rsidRPr="003118A0">
        <w:rPr>
          <w:rFonts w:ascii="Times New Roman" w:hAnsi="Times New Roman" w:cs="Times New Roman"/>
          <w:sz w:val="28"/>
          <w:szCs w:val="28"/>
        </w:rPr>
        <w:t xml:space="preserve">giải pháp khơi thông nguồn lực tài chính cho khu vực kinh tế tập thể, bao gồm việc bố trí thêm nguồn vốn ủy thác qua Ngân hàng Chính sách xã hội để cho vay ưu đãi, cũng như nghiên cứu cơ chế bảo lãnh tín dụng đối với các </w:t>
      </w:r>
      <w:r w:rsidR="001A7D17">
        <w:rPr>
          <w:rFonts w:ascii="Times New Roman" w:hAnsi="Times New Roman" w:cs="Times New Roman"/>
          <w:sz w:val="28"/>
          <w:szCs w:val="28"/>
        </w:rPr>
        <w:t>HTX</w:t>
      </w:r>
      <w:r w:rsidR="00A3565F">
        <w:rPr>
          <w:rFonts w:ascii="Times New Roman" w:hAnsi="Times New Roman" w:cs="Times New Roman"/>
          <w:sz w:val="28"/>
          <w:szCs w:val="28"/>
        </w:rPr>
        <w:t xml:space="preserve"> </w:t>
      </w:r>
      <w:r w:rsidR="003118A0" w:rsidRPr="003118A0">
        <w:rPr>
          <w:rFonts w:ascii="Times New Roman" w:hAnsi="Times New Roman" w:cs="Times New Roman"/>
          <w:sz w:val="28"/>
          <w:szCs w:val="28"/>
        </w:rPr>
        <w:t xml:space="preserve">không có đủ tài sản thế chấp. </w:t>
      </w:r>
    </w:p>
    <w:p w14:paraId="43FEFF43" w14:textId="0B12595D" w:rsidR="003118A0" w:rsidRPr="003118A0" w:rsidRDefault="0016783E" w:rsidP="00CB2709">
      <w:pPr>
        <w:autoSpaceDE w:val="0"/>
        <w:autoSpaceDN w:val="0"/>
        <w:adjustRightIn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g) T</w:t>
      </w:r>
      <w:r w:rsidR="003118A0" w:rsidRPr="003118A0">
        <w:rPr>
          <w:rFonts w:ascii="Times New Roman" w:hAnsi="Times New Roman" w:cs="Times New Roman"/>
          <w:sz w:val="28"/>
          <w:szCs w:val="28"/>
        </w:rPr>
        <w:t xml:space="preserve">ập trung nguồn lực xây dựng các mô hình </w:t>
      </w:r>
      <w:r w:rsidR="001A7D17">
        <w:rPr>
          <w:rFonts w:ascii="Times New Roman" w:hAnsi="Times New Roman" w:cs="Times New Roman"/>
          <w:sz w:val="28"/>
          <w:szCs w:val="28"/>
        </w:rPr>
        <w:t>HTX</w:t>
      </w:r>
      <w:r w:rsidR="00A3565F">
        <w:rPr>
          <w:rFonts w:ascii="Times New Roman" w:hAnsi="Times New Roman" w:cs="Times New Roman"/>
          <w:sz w:val="28"/>
          <w:szCs w:val="28"/>
        </w:rPr>
        <w:t xml:space="preserve"> </w:t>
      </w:r>
      <w:r w:rsidR="003118A0" w:rsidRPr="003118A0">
        <w:rPr>
          <w:rFonts w:ascii="Times New Roman" w:hAnsi="Times New Roman" w:cs="Times New Roman"/>
          <w:sz w:val="28"/>
          <w:szCs w:val="28"/>
        </w:rPr>
        <w:t xml:space="preserve">điển hình gắn với chuỗi giá trị sản phẩm chủ lực, chuyển đổi số và phát triển kinh tế xanh nhằm tạo hiệu ứng lan tỏa, nhân rộng; đồng thời nghiên cứu, bổ sung cơ chế đặc thù hỗ trợ phát triển </w:t>
      </w:r>
      <w:r w:rsidR="001A7D17">
        <w:rPr>
          <w:rFonts w:ascii="Times New Roman" w:hAnsi="Times New Roman" w:cs="Times New Roman"/>
          <w:sz w:val="28"/>
          <w:szCs w:val="28"/>
        </w:rPr>
        <w:t>HTX</w:t>
      </w:r>
      <w:r w:rsidR="004C7670">
        <w:rPr>
          <w:rFonts w:ascii="Times New Roman" w:hAnsi="Times New Roman" w:cs="Times New Roman"/>
          <w:sz w:val="28"/>
          <w:szCs w:val="28"/>
        </w:rPr>
        <w:t xml:space="preserve"> </w:t>
      </w:r>
      <w:r w:rsidR="003118A0" w:rsidRPr="003118A0">
        <w:rPr>
          <w:rFonts w:ascii="Times New Roman" w:hAnsi="Times New Roman" w:cs="Times New Roman"/>
          <w:sz w:val="28"/>
          <w:szCs w:val="28"/>
        </w:rPr>
        <w:t>tại vùng đồng bào dân tộc thiểu số và miền núi.</w:t>
      </w:r>
    </w:p>
    <w:p w14:paraId="43FEFF44" w14:textId="77777777" w:rsidR="009E3000" w:rsidRPr="009E3000" w:rsidRDefault="009E3000" w:rsidP="00CB2709">
      <w:pPr>
        <w:spacing w:before="120" w:after="120" w:line="288" w:lineRule="auto"/>
        <w:ind w:firstLine="720"/>
        <w:jc w:val="both"/>
        <w:rPr>
          <w:rFonts w:ascii="Times New Roman" w:hAnsi="Times New Roman" w:cs="Times New Roman"/>
          <w:sz w:val="28"/>
          <w:szCs w:val="28"/>
        </w:rPr>
      </w:pPr>
      <w:r w:rsidRPr="009E3000">
        <w:rPr>
          <w:rFonts w:ascii="Times New Roman" w:hAnsi="Times New Roman" w:cs="Times New Roman"/>
          <w:sz w:val="28"/>
          <w:szCs w:val="28"/>
        </w:rPr>
        <w:t xml:space="preserve">Trên đây là Báo cáo tổng kết việc thi hành </w:t>
      </w:r>
      <w:r>
        <w:rPr>
          <w:rFonts w:ascii="Times New Roman" w:hAnsi="Times New Roman" w:cs="Times New Roman"/>
          <w:spacing w:val="-2"/>
          <w:sz w:val="28"/>
          <w:szCs w:val="28"/>
        </w:rPr>
        <w:t xml:space="preserve">Nghị định số </w:t>
      </w:r>
      <w:r w:rsidRPr="005D2378">
        <w:rPr>
          <w:rFonts w:ascii="Times New Roman" w:hAnsi="Times New Roman" w:cs="Times New Roman"/>
          <w:spacing w:val="-2"/>
          <w:sz w:val="28"/>
          <w:szCs w:val="28"/>
        </w:rPr>
        <w:t>113/2024/NĐ-CP</w:t>
      </w:r>
      <w:r w:rsidRPr="00A400E3">
        <w:rPr>
          <w:rFonts w:ascii="Times New Roman" w:hAnsi="Times New Roman" w:cs="Times New Roman"/>
          <w:spacing w:val="-2"/>
          <w:sz w:val="28"/>
          <w:szCs w:val="28"/>
        </w:rPr>
        <w:t xml:space="preserve"> ngày </w:t>
      </w:r>
      <w:r>
        <w:rPr>
          <w:rFonts w:ascii="Times New Roman" w:hAnsi="Times New Roman" w:cs="Times New Roman"/>
          <w:spacing w:val="-2"/>
          <w:sz w:val="28"/>
          <w:szCs w:val="28"/>
        </w:rPr>
        <w:t>12</w:t>
      </w:r>
      <w:r w:rsidRPr="00A400E3">
        <w:rPr>
          <w:rFonts w:ascii="Times New Roman" w:hAnsi="Times New Roman" w:cs="Times New Roman"/>
          <w:spacing w:val="-2"/>
          <w:sz w:val="28"/>
          <w:szCs w:val="28"/>
        </w:rPr>
        <w:t xml:space="preserve"> tháng </w:t>
      </w:r>
      <w:r>
        <w:rPr>
          <w:rFonts w:ascii="Times New Roman" w:hAnsi="Times New Roman" w:cs="Times New Roman"/>
          <w:spacing w:val="-2"/>
          <w:sz w:val="28"/>
          <w:szCs w:val="28"/>
        </w:rPr>
        <w:t>9</w:t>
      </w:r>
      <w:r w:rsidRPr="00A400E3">
        <w:rPr>
          <w:rFonts w:ascii="Times New Roman" w:hAnsi="Times New Roman" w:cs="Times New Roman"/>
          <w:spacing w:val="-2"/>
          <w:sz w:val="28"/>
          <w:szCs w:val="28"/>
        </w:rPr>
        <w:t xml:space="preserve"> năm 20</w:t>
      </w:r>
      <w:r>
        <w:rPr>
          <w:rFonts w:ascii="Times New Roman" w:hAnsi="Times New Roman" w:cs="Times New Roman"/>
          <w:spacing w:val="-2"/>
          <w:sz w:val="28"/>
          <w:szCs w:val="28"/>
        </w:rPr>
        <w:t>24</w:t>
      </w:r>
      <w:r w:rsidRPr="00A400E3">
        <w:rPr>
          <w:rFonts w:ascii="Times New Roman" w:hAnsi="Times New Roman" w:cs="Times New Roman"/>
          <w:spacing w:val="-2"/>
          <w:sz w:val="28"/>
          <w:szCs w:val="28"/>
        </w:rPr>
        <w:t xml:space="preserve"> của Chính phủ </w:t>
      </w:r>
      <w:r w:rsidRPr="003A7A09">
        <w:rPr>
          <w:rFonts w:ascii="Times New Roman" w:hAnsi="Times New Roman" w:cs="Times New Roman"/>
          <w:sz w:val="28"/>
          <w:szCs w:val="28"/>
        </w:rPr>
        <w:t xml:space="preserve">quy định chi tiết một số điều của Luật </w:t>
      </w:r>
      <w:r w:rsidR="001A7D17">
        <w:rPr>
          <w:rFonts w:ascii="Times New Roman" w:hAnsi="Times New Roman" w:cs="Times New Roman"/>
          <w:sz w:val="28"/>
          <w:szCs w:val="28"/>
        </w:rPr>
        <w:t>HTX</w:t>
      </w:r>
      <w:r w:rsidR="0016783E">
        <w:rPr>
          <w:rFonts w:ascii="Times New Roman" w:hAnsi="Times New Roman" w:cs="Times New Roman"/>
          <w:sz w:val="28"/>
          <w:szCs w:val="28"/>
        </w:rPr>
        <w:t xml:space="preserve"> </w:t>
      </w:r>
      <w:r w:rsidRPr="009E3000">
        <w:rPr>
          <w:rFonts w:ascii="Times New Roman" w:hAnsi="Times New Roman" w:cs="Times New Roman"/>
          <w:sz w:val="28"/>
          <w:szCs w:val="28"/>
        </w:rPr>
        <w:t>và đề xuất một số nội dung sửa đổi, bổ sung, thay thế./.</w:t>
      </w:r>
    </w:p>
    <w:p w14:paraId="43FEFF45" w14:textId="77777777" w:rsidR="009E3000" w:rsidRPr="009E3000" w:rsidRDefault="009E3000" w:rsidP="009E3000">
      <w:pPr>
        <w:spacing w:before="120" w:line="350" w:lineRule="exact"/>
        <w:ind w:firstLine="720"/>
        <w:jc w:val="both"/>
        <w:rPr>
          <w:rFonts w:ascii="Times New Roman" w:hAnsi="Times New Roman" w:cs="Times New Roman"/>
          <w:sz w:val="28"/>
          <w:szCs w:val="28"/>
        </w:rPr>
      </w:pPr>
    </w:p>
    <w:tbl>
      <w:tblPr>
        <w:tblW w:w="9606" w:type="dxa"/>
        <w:tblLayout w:type="fixed"/>
        <w:tblLook w:val="04A0" w:firstRow="1" w:lastRow="0" w:firstColumn="1" w:lastColumn="0" w:noHBand="0" w:noVBand="1"/>
      </w:tblPr>
      <w:tblGrid>
        <w:gridCol w:w="5269"/>
        <w:gridCol w:w="4337"/>
      </w:tblGrid>
      <w:tr w:rsidR="009E3000" w:rsidRPr="009E3000" w14:paraId="43FEFF53" w14:textId="77777777" w:rsidTr="00DF69D4">
        <w:tc>
          <w:tcPr>
            <w:tcW w:w="5269" w:type="dxa"/>
          </w:tcPr>
          <w:p w14:paraId="43FEFF46" w14:textId="77777777" w:rsidR="009E3000" w:rsidRPr="009E3000" w:rsidRDefault="009E3000" w:rsidP="00DF69D4">
            <w:pPr>
              <w:rPr>
                <w:rFonts w:ascii="Times New Roman" w:hAnsi="Times New Roman" w:cs="Times New Roman"/>
                <w:sz w:val="22"/>
                <w:szCs w:val="18"/>
              </w:rPr>
            </w:pPr>
            <w:r w:rsidRPr="009E3000">
              <w:rPr>
                <w:rFonts w:ascii="Times New Roman" w:hAnsi="Times New Roman" w:cs="Times New Roman"/>
                <w:b/>
                <w:bCs/>
                <w:i/>
                <w:iCs/>
                <w:sz w:val="24"/>
              </w:rPr>
              <w:t>Nơi nhận:</w:t>
            </w:r>
            <w:r w:rsidRPr="009E3000">
              <w:rPr>
                <w:rFonts w:ascii="Times New Roman" w:hAnsi="Times New Roman" w:cs="Times New Roman"/>
                <w:b/>
                <w:bCs/>
                <w:i/>
                <w:iCs/>
                <w:sz w:val="24"/>
              </w:rPr>
              <w:br/>
            </w:r>
            <w:r w:rsidRPr="009E3000">
              <w:rPr>
                <w:rFonts w:ascii="Times New Roman" w:hAnsi="Times New Roman" w:cs="Times New Roman"/>
                <w:sz w:val="22"/>
                <w:szCs w:val="18"/>
              </w:rPr>
              <w:t>- Bộ trưởng (để b/c);</w:t>
            </w:r>
          </w:p>
          <w:p w14:paraId="43FEFF47" w14:textId="77777777" w:rsidR="009E3000" w:rsidRPr="009E3000" w:rsidRDefault="009E3000" w:rsidP="00DF69D4">
            <w:pPr>
              <w:rPr>
                <w:rFonts w:ascii="Times New Roman" w:hAnsi="Times New Roman" w:cs="Times New Roman"/>
                <w:sz w:val="22"/>
                <w:szCs w:val="18"/>
              </w:rPr>
            </w:pPr>
            <w:r w:rsidRPr="009E3000">
              <w:rPr>
                <w:rFonts w:ascii="Times New Roman" w:hAnsi="Times New Roman" w:cs="Times New Roman"/>
                <w:sz w:val="22"/>
                <w:szCs w:val="18"/>
              </w:rPr>
              <w:t>- Văn phòng Chính phủ (để b/c);</w:t>
            </w:r>
            <w:r w:rsidRPr="009E3000">
              <w:rPr>
                <w:rFonts w:ascii="Times New Roman" w:hAnsi="Times New Roman" w:cs="Times New Roman"/>
                <w:sz w:val="22"/>
                <w:szCs w:val="18"/>
              </w:rPr>
              <w:br/>
              <w:t>- Bộ Tư pháp (để phối hợp);</w:t>
            </w:r>
            <w:r w:rsidRPr="009E3000">
              <w:rPr>
                <w:rFonts w:ascii="Times New Roman" w:hAnsi="Times New Roman" w:cs="Times New Roman"/>
                <w:sz w:val="22"/>
                <w:szCs w:val="18"/>
              </w:rPr>
              <w:br/>
              <w:t>- Vụ Pháp chế;</w:t>
            </w:r>
          </w:p>
          <w:p w14:paraId="43FEFF48" w14:textId="77777777" w:rsidR="009E3000" w:rsidRPr="009E3000" w:rsidRDefault="009E3000" w:rsidP="00DF69D4">
            <w:pPr>
              <w:rPr>
                <w:rFonts w:ascii="Times New Roman" w:hAnsi="Times New Roman" w:cs="Times New Roman"/>
              </w:rPr>
            </w:pPr>
            <w:r w:rsidRPr="009E3000">
              <w:rPr>
                <w:rFonts w:ascii="Times New Roman" w:hAnsi="Times New Roman" w:cs="Times New Roman"/>
                <w:sz w:val="22"/>
                <w:szCs w:val="18"/>
              </w:rPr>
              <w:t>- Văn phòng Bộ;</w:t>
            </w:r>
            <w:r w:rsidRPr="009E3000">
              <w:rPr>
                <w:rFonts w:ascii="Times New Roman" w:hAnsi="Times New Roman" w:cs="Times New Roman"/>
                <w:sz w:val="22"/>
                <w:szCs w:val="18"/>
              </w:rPr>
              <w:br/>
              <w:t xml:space="preserve">- Lưu: VT, </w:t>
            </w:r>
            <w:r>
              <w:rPr>
                <w:rFonts w:ascii="Times New Roman" w:hAnsi="Times New Roman" w:cs="Times New Roman"/>
                <w:sz w:val="22"/>
                <w:szCs w:val="18"/>
              </w:rPr>
              <w:t>DNTN</w:t>
            </w:r>
            <w:r w:rsidRPr="009E3000">
              <w:rPr>
                <w:rFonts w:ascii="Times New Roman" w:hAnsi="Times New Roman" w:cs="Times New Roman"/>
                <w:sz w:val="22"/>
                <w:szCs w:val="18"/>
              </w:rPr>
              <w:t>.</w:t>
            </w:r>
          </w:p>
        </w:tc>
        <w:tc>
          <w:tcPr>
            <w:tcW w:w="4337" w:type="dxa"/>
          </w:tcPr>
          <w:p w14:paraId="43FEFF49" w14:textId="77777777" w:rsidR="009E3000" w:rsidRPr="009E3000" w:rsidRDefault="009E3000" w:rsidP="00DF69D4">
            <w:pPr>
              <w:jc w:val="center"/>
              <w:rPr>
                <w:rFonts w:ascii="Times New Roman" w:hAnsi="Times New Roman" w:cs="Times New Roman"/>
              </w:rPr>
            </w:pPr>
            <w:r w:rsidRPr="009E3000">
              <w:rPr>
                <w:rFonts w:ascii="Times New Roman" w:hAnsi="Times New Roman" w:cs="Times New Roman"/>
                <w:b/>
                <w:sz w:val="26"/>
              </w:rPr>
              <w:t>KT. BỘ TRƯỞNG</w:t>
            </w:r>
          </w:p>
          <w:p w14:paraId="43FEFF4A" w14:textId="77777777" w:rsidR="009E3000" w:rsidRPr="009E3000" w:rsidRDefault="009E3000" w:rsidP="00DF69D4">
            <w:pPr>
              <w:jc w:val="center"/>
              <w:rPr>
                <w:rFonts w:ascii="Times New Roman" w:hAnsi="Times New Roman" w:cs="Times New Roman"/>
              </w:rPr>
            </w:pPr>
            <w:r w:rsidRPr="009E3000">
              <w:rPr>
                <w:rFonts w:ascii="Times New Roman" w:hAnsi="Times New Roman" w:cs="Times New Roman"/>
                <w:b/>
                <w:sz w:val="26"/>
              </w:rPr>
              <w:t>THỨ TRƯỞNG</w:t>
            </w:r>
          </w:p>
          <w:p w14:paraId="43FEFF4B" w14:textId="77777777" w:rsidR="009E3000" w:rsidRDefault="009E3000" w:rsidP="00DF69D4">
            <w:pPr>
              <w:jc w:val="center"/>
              <w:rPr>
                <w:rFonts w:ascii="Times New Roman" w:hAnsi="Times New Roman" w:cs="Times New Roman"/>
                <w:sz w:val="26"/>
              </w:rPr>
            </w:pPr>
            <w:r w:rsidRPr="009E3000">
              <w:rPr>
                <w:rFonts w:ascii="Times New Roman" w:hAnsi="Times New Roman" w:cs="Times New Roman"/>
                <w:sz w:val="26"/>
              </w:rPr>
              <w:br/>
            </w:r>
          </w:p>
          <w:p w14:paraId="43FEFF4C" w14:textId="77777777" w:rsidR="009E3000" w:rsidRDefault="009E3000" w:rsidP="00DF69D4">
            <w:pPr>
              <w:jc w:val="center"/>
              <w:rPr>
                <w:rFonts w:ascii="Times New Roman" w:hAnsi="Times New Roman" w:cs="Times New Roman"/>
                <w:sz w:val="26"/>
              </w:rPr>
            </w:pPr>
          </w:p>
          <w:p w14:paraId="43FEFF4D" w14:textId="77777777" w:rsidR="009E3000" w:rsidRDefault="009E3000" w:rsidP="00DF69D4">
            <w:pPr>
              <w:jc w:val="center"/>
              <w:rPr>
                <w:rFonts w:ascii="Times New Roman" w:hAnsi="Times New Roman" w:cs="Times New Roman"/>
                <w:sz w:val="26"/>
              </w:rPr>
            </w:pPr>
          </w:p>
          <w:p w14:paraId="43FEFF4E" w14:textId="77777777" w:rsidR="009E3000" w:rsidRDefault="009E3000" w:rsidP="00DF69D4">
            <w:pPr>
              <w:jc w:val="center"/>
              <w:rPr>
                <w:rFonts w:ascii="Times New Roman" w:hAnsi="Times New Roman" w:cs="Times New Roman"/>
                <w:sz w:val="26"/>
              </w:rPr>
            </w:pPr>
          </w:p>
          <w:p w14:paraId="43FEFF4F" w14:textId="77777777" w:rsidR="009E3000" w:rsidRPr="009E3000" w:rsidRDefault="009E3000" w:rsidP="00DF69D4">
            <w:pPr>
              <w:jc w:val="center"/>
              <w:rPr>
                <w:rFonts w:ascii="Times New Roman" w:hAnsi="Times New Roman" w:cs="Times New Roman"/>
                <w:b/>
                <w:bCs/>
                <w:sz w:val="26"/>
              </w:rPr>
            </w:pPr>
            <w:r w:rsidRPr="009E3000">
              <w:rPr>
                <w:rFonts w:ascii="Times New Roman" w:hAnsi="Times New Roman" w:cs="Times New Roman"/>
                <w:b/>
                <w:bCs/>
                <w:sz w:val="26"/>
              </w:rPr>
              <w:t>Nguyễn Đức Tâm</w:t>
            </w:r>
          </w:p>
          <w:p w14:paraId="43FEFF50" w14:textId="77777777" w:rsidR="009E3000" w:rsidRPr="009E3000" w:rsidRDefault="009E3000" w:rsidP="00DF69D4">
            <w:pPr>
              <w:jc w:val="center"/>
              <w:rPr>
                <w:rFonts w:ascii="Times New Roman" w:hAnsi="Times New Roman" w:cs="Times New Roman"/>
                <w:sz w:val="26"/>
              </w:rPr>
            </w:pPr>
          </w:p>
          <w:p w14:paraId="43FEFF51" w14:textId="77777777" w:rsidR="009E3000" w:rsidRPr="009E3000" w:rsidRDefault="009E3000" w:rsidP="00DF69D4">
            <w:pPr>
              <w:jc w:val="center"/>
              <w:rPr>
                <w:rFonts w:ascii="Times New Roman" w:hAnsi="Times New Roman" w:cs="Times New Roman"/>
                <w:sz w:val="26"/>
              </w:rPr>
            </w:pPr>
          </w:p>
          <w:p w14:paraId="43FEFF52" w14:textId="77777777" w:rsidR="009E3000" w:rsidRPr="009E3000" w:rsidRDefault="009E3000" w:rsidP="00DF69D4">
            <w:pPr>
              <w:jc w:val="center"/>
              <w:rPr>
                <w:rFonts w:ascii="Times New Roman" w:hAnsi="Times New Roman" w:cs="Times New Roman"/>
              </w:rPr>
            </w:pPr>
          </w:p>
        </w:tc>
      </w:tr>
    </w:tbl>
    <w:p w14:paraId="43FEFF5C" w14:textId="77777777" w:rsidR="00037EDF" w:rsidRDefault="00037EDF" w:rsidP="000C32C0">
      <w:pPr>
        <w:spacing w:line="380" w:lineRule="exact"/>
        <w:jc w:val="both"/>
        <w:outlineLvl w:val="2"/>
        <w:rPr>
          <w:rFonts w:ascii="Times New Roman" w:eastAsia="Times New Roman" w:hAnsi="Times New Roman" w:cs="Times New Roman"/>
          <w:bCs/>
          <w:sz w:val="28"/>
          <w:szCs w:val="28"/>
        </w:rPr>
      </w:pPr>
    </w:p>
    <w:sectPr w:rsidR="00037EDF" w:rsidSect="00212F0B">
      <w:headerReference w:type="default" r:id="rId9"/>
      <w:footerReference w:type="default" r:id="rId10"/>
      <w:pgSz w:w="11907" w:h="16840"/>
      <w:pgMar w:top="1134" w:right="1134" w:bottom="1134" w:left="1701" w:header="72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3D0CC" w14:textId="77777777" w:rsidR="00AB0883" w:rsidRDefault="00AB0883">
      <w:r>
        <w:separator/>
      </w:r>
    </w:p>
  </w:endnote>
  <w:endnote w:type="continuationSeparator" w:id="0">
    <w:p w14:paraId="34D5EFD0" w14:textId="77777777" w:rsidR="00AB0883" w:rsidRDefault="00AB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FF67" w14:textId="77777777" w:rsidR="00D87B4A" w:rsidRDefault="00D87B4A">
    <w:pPr>
      <w:pStyle w:val="Footer"/>
      <w:jc w:val="right"/>
    </w:pPr>
  </w:p>
  <w:p w14:paraId="43FEFF68" w14:textId="77777777" w:rsidR="00D87B4A" w:rsidRDefault="00D87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56095" w14:textId="77777777" w:rsidR="00AB0883" w:rsidRDefault="00AB0883">
      <w:r>
        <w:separator/>
      </w:r>
    </w:p>
  </w:footnote>
  <w:footnote w:type="continuationSeparator" w:id="0">
    <w:p w14:paraId="2150E997" w14:textId="77777777" w:rsidR="00AB0883" w:rsidRDefault="00AB0883">
      <w:r>
        <w:continuationSeparator/>
      </w:r>
    </w:p>
  </w:footnote>
  <w:footnote w:id="1">
    <w:p w14:paraId="43FEFF69" w14:textId="77777777" w:rsidR="00D87B4A" w:rsidRPr="00DB037B" w:rsidRDefault="00D87B4A">
      <w:pPr>
        <w:pStyle w:val="FootnoteText"/>
        <w:rPr>
          <w:rFonts w:ascii="Times New Roman" w:hAnsi="Times New Roman" w:cs="Times New Roman"/>
        </w:rPr>
      </w:pPr>
      <w:r w:rsidRPr="00DB037B">
        <w:rPr>
          <w:rStyle w:val="FootnoteReference"/>
          <w:rFonts w:ascii="Times New Roman" w:hAnsi="Times New Roman" w:cs="Times New Roman"/>
        </w:rPr>
        <w:footnoteRef/>
      </w:r>
      <w:r w:rsidRPr="00DB037B">
        <w:rPr>
          <w:rFonts w:ascii="Times New Roman" w:hAnsi="Times New Roman" w:cs="Times New Roman"/>
        </w:rPr>
        <w:t xml:space="preserve"> Bộ NN và MT, Thanh Hóa, Huế, Gia Lai, Cần Thơ, Lâm Đồng</w:t>
      </w:r>
    </w:p>
  </w:footnote>
  <w:footnote w:id="2">
    <w:p w14:paraId="43FEFF6A" w14:textId="77777777" w:rsidR="00D87B4A" w:rsidRDefault="00D87B4A">
      <w:pPr>
        <w:pStyle w:val="FootnoteText"/>
      </w:pPr>
      <w:r>
        <w:rPr>
          <w:rStyle w:val="FootnoteReference"/>
        </w:rPr>
        <w:footnoteRef/>
      </w:r>
      <w:r>
        <w:t xml:space="preserve"> </w:t>
      </w:r>
      <w:r w:rsidRPr="00DF69D4">
        <w:rPr>
          <w:rFonts w:ascii="Times New Roman" w:hAnsi="Times New Roman" w:cs="Times New Roman"/>
        </w:rPr>
        <w:t xml:space="preserve">Một số địa phương tiêu chí thụ hưởng là khắt khe, khiến các HTX quy mô siêu nhỏ hoặc mới thành lập khó đáp ứng là chưa đúng với quy định tại Điều 6 vì Điều 6 chỉ quy định tiêu chí HTX đủ điệu kiện thụ hưởng chính sách là chỉ cần đáp ứng </w:t>
      </w:r>
      <w:r w:rsidRPr="00DF69D4">
        <w:rPr>
          <w:rFonts w:ascii="Times New Roman" w:hAnsi="Times New Roman" w:cs="Times New Roman"/>
          <w:b/>
        </w:rPr>
        <w:t>một</w:t>
      </w:r>
      <w:r w:rsidRPr="00DF69D4">
        <w:rPr>
          <w:rFonts w:ascii="Times New Roman" w:hAnsi="Times New Roman" w:cs="Times New Roman"/>
        </w:rPr>
        <w:t xml:space="preserve"> trong số các tiêu chí.</w:t>
      </w:r>
      <w:r>
        <w:rPr>
          <w:rFonts w:ascii="Times New Roman" w:hAnsi="Times New Roman" w:cs="Times New Roman"/>
          <w:sz w:val="28"/>
          <w:szCs w:val="28"/>
        </w:rPr>
        <w:t xml:space="preserve"> </w:t>
      </w:r>
    </w:p>
  </w:footnote>
  <w:footnote w:id="3">
    <w:p w14:paraId="43FEFF6C" w14:textId="7FEC5F88" w:rsidR="00D87B4A" w:rsidRDefault="00D87B4A" w:rsidP="007040F9">
      <w:pPr>
        <w:pStyle w:val="FootnoteText"/>
        <w:jc w:val="both"/>
      </w:pPr>
      <w:r w:rsidRPr="007C4836">
        <w:rPr>
          <w:rStyle w:val="FootnoteReference"/>
          <w:rFonts w:ascii="Times New Roman" w:hAnsi="Times New Roman"/>
          <w:sz w:val="24"/>
          <w:szCs w:val="24"/>
        </w:rPr>
        <w:footnoteRef/>
      </w:r>
      <w:r>
        <w:t xml:space="preserve"> </w:t>
      </w:r>
      <w:r w:rsidRPr="00120799">
        <w:rPr>
          <w:rFonts w:ascii="Times New Roman" w:hAnsi="Times New Roman"/>
          <w:sz w:val="18"/>
          <w:szCs w:val="18"/>
        </w:rPr>
        <w:t>Hà Nội (báo cáo số 20/BC-UBND ngày 26/1/2026 và công văn số 3726/UBND-KT 26/6/2025); Bộ Nông nghiệp và Môi trường (công văn số 2760/BNNMT-KTHT 04/6/2025); Hưng Yên (công văn số 354/STC-ĐKKD ngày 30/5/2025); Liên minh HTX Việt Nam (công văn số 566/CQLMHTXVN-KHHT 21/5/2025); Liên hiệp Hội Phụ nữ Việt Nam (560/BC-ĐCT 13/5/2025); Vĩnh Phúc (công văn số 156/BC-UBND 27/6/2025); Bình Định (công văn 195/BC-STC 14/5/2025); Cà Mau (công văn số 185/BC-UBND 22/5/2025); Cao Bằng (công văn số 1482/BC-UBND 20/5/2025); Hậu Giang (công văn số1160/STC-ĐKKD 14/4/2025); Hòa Bình (công văn số 286/BC-STC 14/5/2025); Lâm Đồng (1371/STC-ĐKKD 16/5/2025); Sóc Trăng (báo cáo số 185/BC-UBND ngày 225/5/2025); Bạc Liêu (2039/UBND-KT ngày 11/6/2025).</w:t>
      </w:r>
    </w:p>
  </w:footnote>
  <w:footnote w:id="4">
    <w:p w14:paraId="43FEFF6D" w14:textId="77777777" w:rsidR="00D87B4A" w:rsidRPr="00D32B39" w:rsidRDefault="00D87B4A" w:rsidP="00DF69D4">
      <w:pPr>
        <w:pStyle w:val="FootnoteText"/>
        <w:rPr>
          <w:rFonts w:ascii="Times New Roman" w:hAnsi="Times New Roman" w:cs="Times New Roman"/>
        </w:rPr>
      </w:pPr>
      <w:r w:rsidRPr="00D32B39">
        <w:rPr>
          <w:rStyle w:val="FootnoteReference"/>
          <w:rFonts w:ascii="Times New Roman" w:hAnsi="Times New Roman" w:cs="Times New Roman"/>
        </w:rPr>
        <w:footnoteRef/>
      </w:r>
      <w:r w:rsidRPr="00D32B39">
        <w:rPr>
          <w:rFonts w:ascii="Times New Roman" w:hAnsi="Times New Roman" w:cs="Times New Roman"/>
        </w:rPr>
        <w:t xml:space="preserve"> Phú Thọ</w:t>
      </w:r>
    </w:p>
  </w:footnote>
  <w:footnote w:id="5">
    <w:p w14:paraId="43FEFF6E" w14:textId="77777777" w:rsidR="00D87B4A" w:rsidRDefault="00D87B4A">
      <w:pPr>
        <w:pStyle w:val="FootnoteText"/>
      </w:pPr>
      <w:r>
        <w:rPr>
          <w:rStyle w:val="FootnoteReference"/>
        </w:rPr>
        <w:footnoteRef/>
      </w:r>
      <w:r>
        <w:t xml:space="preserve"> </w:t>
      </w:r>
      <w:r w:rsidRPr="00F06F7C">
        <w:rPr>
          <w:rFonts w:ascii="Times New Roman" w:hAnsi="Times New Roman" w:cs="Times New Roman"/>
        </w:rPr>
        <w:t>Cần Thơ</w:t>
      </w:r>
    </w:p>
  </w:footnote>
  <w:footnote w:id="6">
    <w:p w14:paraId="43FEFF6F" w14:textId="77777777" w:rsidR="0016783E" w:rsidRDefault="0016783E" w:rsidP="0016783E">
      <w:pPr>
        <w:spacing w:before="120" w:after="120"/>
        <w:ind w:firstLine="720"/>
        <w:jc w:val="both"/>
        <w:rPr>
          <w:sz w:val="28"/>
          <w:szCs w:val="28"/>
        </w:rPr>
      </w:pPr>
      <w:r>
        <w:rPr>
          <w:rStyle w:val="FootnoteReference"/>
        </w:rPr>
        <w:footnoteRef/>
      </w:r>
      <w:r>
        <w:t xml:space="preserve"> </w:t>
      </w:r>
      <w:r w:rsidRPr="0016783E">
        <w:rPr>
          <w:rFonts w:ascii="Times New Roman" w:hAnsi="Times New Roman" w:cs="Times New Roman"/>
        </w:rPr>
        <w:t xml:space="preserve">Theo Điều 27 Luật Ngân sách nhà nước số 89/2025/QH15 quy định nhiệm vụ, quyền hạn của Bộ Tài chính: </w:t>
      </w:r>
      <w:r>
        <w:rPr>
          <w:rFonts w:ascii="Times New Roman" w:hAnsi="Times New Roman" w:cs="Times New Roman"/>
        </w:rPr>
        <w:t>“</w:t>
      </w:r>
      <w:r w:rsidRPr="0016783E">
        <w:rPr>
          <w:rFonts w:ascii="Times New Roman" w:hAnsi="Times New Roman" w:cs="Times New Roman"/>
        </w:rPr>
        <w:t>Xây dựng các chế độ, tiêu chuẩn, định mức chi ngân sách nhà nước; xây dựng cơ chế quản lý tài chính – ngân sách và ban hành các văn bản quy phạm pháp luật về lĩnh vực tài chính – ngân sách theo thẩm quyền để tổ chức thực hiện thống nhất trong cả nước</w:t>
      </w:r>
      <w:r>
        <w:rPr>
          <w:rFonts w:ascii="Times New Roman" w:hAnsi="Times New Roman" w:cs="Times New Roman"/>
        </w:rPr>
        <w:t xml:space="preserve">”;  </w:t>
      </w:r>
      <w:r w:rsidRPr="0016783E">
        <w:rPr>
          <w:rFonts w:ascii="Times New Roman" w:hAnsi="Times New Roman" w:cs="Times New Roman"/>
        </w:rPr>
        <w:t xml:space="preserve">Đồng thời, Tại Quyết định số 18/QĐ-BCĐQGKTTT ngày 28/02/2026 ban hành Kế hoạch hoạt động năm 2026 của </w:t>
      </w:r>
      <w:r>
        <w:rPr>
          <w:rFonts w:ascii="Times New Roman" w:hAnsi="Times New Roman" w:cs="Times New Roman"/>
        </w:rPr>
        <w:t xml:space="preserve">BCĐ </w:t>
      </w:r>
      <w:r w:rsidRPr="0016783E">
        <w:rPr>
          <w:rFonts w:ascii="Times New Roman" w:hAnsi="Times New Roman" w:cs="Times New Roman"/>
        </w:rPr>
        <w:t xml:space="preserve"> quốc gia về </w:t>
      </w:r>
      <w:r>
        <w:rPr>
          <w:rFonts w:ascii="Times New Roman" w:hAnsi="Times New Roman" w:cs="Times New Roman"/>
        </w:rPr>
        <w:t>KTTT</w:t>
      </w:r>
      <w:r w:rsidRPr="0016783E">
        <w:rPr>
          <w:rFonts w:ascii="Times New Roman" w:hAnsi="Times New Roman" w:cs="Times New Roman"/>
        </w:rPr>
        <w:t xml:space="preserve"> đã giao nhiệm vụ cho Bộ Tài chính: “Hướng dẫn quy định về cơ chế tài chính thực hiện các chính sách hỗ trợ </w:t>
      </w:r>
      <w:r>
        <w:rPr>
          <w:rFonts w:ascii="Times New Roman" w:hAnsi="Times New Roman" w:cs="Times New Roman"/>
        </w:rPr>
        <w:t>HTX</w:t>
      </w:r>
      <w:r w:rsidRPr="0016783E">
        <w:rPr>
          <w:rFonts w:ascii="Times New Roman" w:hAnsi="Times New Roman" w:cs="Times New Roman"/>
        </w:rPr>
        <w:t xml:space="preserve"> tại Nghị định số 113/2024/NĐ-CP”.</w:t>
      </w:r>
    </w:p>
    <w:p w14:paraId="43FEFF70" w14:textId="77777777" w:rsidR="0016783E" w:rsidRDefault="001678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659425"/>
    </w:sdtPr>
    <w:sdtEndPr>
      <w:rPr>
        <w:rFonts w:ascii="Times New Roman" w:hAnsi="Times New Roman" w:cs="Times New Roman"/>
        <w:sz w:val="24"/>
        <w:szCs w:val="24"/>
      </w:rPr>
    </w:sdtEndPr>
    <w:sdtContent>
      <w:p w14:paraId="43FEFF65" w14:textId="77777777" w:rsidR="00D87B4A" w:rsidRDefault="00D87B4A">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6783E">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14:paraId="43FEFF66" w14:textId="77777777" w:rsidR="00D87B4A" w:rsidRDefault="00D87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878DB"/>
    <w:multiLevelType w:val="multilevel"/>
    <w:tmpl w:val="7D1AE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023B0A"/>
    <w:multiLevelType w:val="hybridMultilevel"/>
    <w:tmpl w:val="B83C7030"/>
    <w:lvl w:ilvl="0" w:tplc="A85C7C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13C64"/>
    <w:multiLevelType w:val="multilevel"/>
    <w:tmpl w:val="F7AC4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323EB5"/>
    <w:multiLevelType w:val="multilevel"/>
    <w:tmpl w:val="B0C87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4220F4"/>
    <w:multiLevelType w:val="multilevel"/>
    <w:tmpl w:val="C266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759506">
    <w:abstractNumId w:val="3"/>
  </w:num>
  <w:num w:numId="2" w16cid:durableId="404646294">
    <w:abstractNumId w:val="2"/>
  </w:num>
  <w:num w:numId="3" w16cid:durableId="235868325">
    <w:abstractNumId w:val="0"/>
  </w:num>
  <w:num w:numId="4" w16cid:durableId="1795445670">
    <w:abstractNumId w:val="4"/>
  </w:num>
  <w:num w:numId="5" w16cid:durableId="88717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23"/>
    <w:rsid w:val="00006B8E"/>
    <w:rsid w:val="00007410"/>
    <w:rsid w:val="00007542"/>
    <w:rsid w:val="00007F20"/>
    <w:rsid w:val="000120C1"/>
    <w:rsid w:val="000130BC"/>
    <w:rsid w:val="0002113D"/>
    <w:rsid w:val="00024F96"/>
    <w:rsid w:val="00026357"/>
    <w:rsid w:val="00030315"/>
    <w:rsid w:val="000331CF"/>
    <w:rsid w:val="00034517"/>
    <w:rsid w:val="00037EDF"/>
    <w:rsid w:val="00040902"/>
    <w:rsid w:val="00053F24"/>
    <w:rsid w:val="00054896"/>
    <w:rsid w:val="0005699E"/>
    <w:rsid w:val="00064B6D"/>
    <w:rsid w:val="000676CB"/>
    <w:rsid w:val="00087D2B"/>
    <w:rsid w:val="00092590"/>
    <w:rsid w:val="000A0BEC"/>
    <w:rsid w:val="000A24E5"/>
    <w:rsid w:val="000A36CF"/>
    <w:rsid w:val="000A66B6"/>
    <w:rsid w:val="000B0D3D"/>
    <w:rsid w:val="000B103D"/>
    <w:rsid w:val="000B1E84"/>
    <w:rsid w:val="000B686D"/>
    <w:rsid w:val="000C32C0"/>
    <w:rsid w:val="000C5F8F"/>
    <w:rsid w:val="000C68AD"/>
    <w:rsid w:val="000D075B"/>
    <w:rsid w:val="000E1E41"/>
    <w:rsid w:val="000E2A61"/>
    <w:rsid w:val="000E2D88"/>
    <w:rsid w:val="000E6AE2"/>
    <w:rsid w:val="000E7381"/>
    <w:rsid w:val="000E75F0"/>
    <w:rsid w:val="000E7992"/>
    <w:rsid w:val="000F3B89"/>
    <w:rsid w:val="000F4937"/>
    <w:rsid w:val="001013A2"/>
    <w:rsid w:val="00103A18"/>
    <w:rsid w:val="00106643"/>
    <w:rsid w:val="001073FF"/>
    <w:rsid w:val="001205F8"/>
    <w:rsid w:val="001275CC"/>
    <w:rsid w:val="001329BC"/>
    <w:rsid w:val="0014379E"/>
    <w:rsid w:val="00143E16"/>
    <w:rsid w:val="0015638D"/>
    <w:rsid w:val="001663A8"/>
    <w:rsid w:val="00166C02"/>
    <w:rsid w:val="0016783E"/>
    <w:rsid w:val="00171764"/>
    <w:rsid w:val="00171B9A"/>
    <w:rsid w:val="00175198"/>
    <w:rsid w:val="00175E04"/>
    <w:rsid w:val="001760D0"/>
    <w:rsid w:val="00190E7D"/>
    <w:rsid w:val="00194706"/>
    <w:rsid w:val="001A321D"/>
    <w:rsid w:val="001A5A58"/>
    <w:rsid w:val="001A5F2D"/>
    <w:rsid w:val="001A74F7"/>
    <w:rsid w:val="001A7D17"/>
    <w:rsid w:val="001B24E8"/>
    <w:rsid w:val="001B7C87"/>
    <w:rsid w:val="001C3DD5"/>
    <w:rsid w:val="001C6F8A"/>
    <w:rsid w:val="001C73D4"/>
    <w:rsid w:val="001C7827"/>
    <w:rsid w:val="001D1A08"/>
    <w:rsid w:val="001D3B21"/>
    <w:rsid w:val="001D3EC3"/>
    <w:rsid w:val="001E2350"/>
    <w:rsid w:val="001E48F9"/>
    <w:rsid w:val="001F0233"/>
    <w:rsid w:val="0020420D"/>
    <w:rsid w:val="002045FD"/>
    <w:rsid w:val="00206CA9"/>
    <w:rsid w:val="00212F0B"/>
    <w:rsid w:val="002173A5"/>
    <w:rsid w:val="00217D85"/>
    <w:rsid w:val="00221480"/>
    <w:rsid w:val="00230ABE"/>
    <w:rsid w:val="0024292A"/>
    <w:rsid w:val="002447EB"/>
    <w:rsid w:val="00246CF4"/>
    <w:rsid w:val="00253656"/>
    <w:rsid w:val="0025460B"/>
    <w:rsid w:val="00261786"/>
    <w:rsid w:val="00262F80"/>
    <w:rsid w:val="002644C8"/>
    <w:rsid w:val="0026725F"/>
    <w:rsid w:val="00270A40"/>
    <w:rsid w:val="00283A7B"/>
    <w:rsid w:val="002873EE"/>
    <w:rsid w:val="00290FB4"/>
    <w:rsid w:val="00295EAC"/>
    <w:rsid w:val="002A773D"/>
    <w:rsid w:val="002B0574"/>
    <w:rsid w:val="002B6E81"/>
    <w:rsid w:val="002B7E99"/>
    <w:rsid w:val="002C1040"/>
    <w:rsid w:val="002C78C3"/>
    <w:rsid w:val="002D0E6A"/>
    <w:rsid w:val="002D27BD"/>
    <w:rsid w:val="002D2B39"/>
    <w:rsid w:val="002D7629"/>
    <w:rsid w:val="002E3D6A"/>
    <w:rsid w:val="002F03DA"/>
    <w:rsid w:val="002F0DE8"/>
    <w:rsid w:val="002F2525"/>
    <w:rsid w:val="002F2875"/>
    <w:rsid w:val="002F5ADD"/>
    <w:rsid w:val="00305E9F"/>
    <w:rsid w:val="003102F9"/>
    <w:rsid w:val="003118A0"/>
    <w:rsid w:val="00314FF6"/>
    <w:rsid w:val="00324E61"/>
    <w:rsid w:val="0032535B"/>
    <w:rsid w:val="00330DA3"/>
    <w:rsid w:val="003310CB"/>
    <w:rsid w:val="00332700"/>
    <w:rsid w:val="0034176B"/>
    <w:rsid w:val="00343D20"/>
    <w:rsid w:val="0034441A"/>
    <w:rsid w:val="00346E38"/>
    <w:rsid w:val="00352EBE"/>
    <w:rsid w:val="00360C23"/>
    <w:rsid w:val="00366923"/>
    <w:rsid w:val="00366CAE"/>
    <w:rsid w:val="0037514F"/>
    <w:rsid w:val="00375F7A"/>
    <w:rsid w:val="003805CB"/>
    <w:rsid w:val="00380759"/>
    <w:rsid w:val="00380D1B"/>
    <w:rsid w:val="003A1B5C"/>
    <w:rsid w:val="003A49D3"/>
    <w:rsid w:val="003A7A09"/>
    <w:rsid w:val="003A7EA0"/>
    <w:rsid w:val="003B3441"/>
    <w:rsid w:val="003D34FF"/>
    <w:rsid w:val="003E1D2D"/>
    <w:rsid w:val="003E22D5"/>
    <w:rsid w:val="003E2EE1"/>
    <w:rsid w:val="003E4472"/>
    <w:rsid w:val="003F1632"/>
    <w:rsid w:val="003F7B65"/>
    <w:rsid w:val="004024E2"/>
    <w:rsid w:val="00413A4C"/>
    <w:rsid w:val="00417F45"/>
    <w:rsid w:val="00424720"/>
    <w:rsid w:val="004253EC"/>
    <w:rsid w:val="004340BC"/>
    <w:rsid w:val="00443683"/>
    <w:rsid w:val="00450B88"/>
    <w:rsid w:val="00453F0B"/>
    <w:rsid w:val="00456360"/>
    <w:rsid w:val="00472439"/>
    <w:rsid w:val="004815CC"/>
    <w:rsid w:val="004903CB"/>
    <w:rsid w:val="004A219B"/>
    <w:rsid w:val="004A4F9A"/>
    <w:rsid w:val="004A60AA"/>
    <w:rsid w:val="004A6824"/>
    <w:rsid w:val="004B6AC1"/>
    <w:rsid w:val="004C2108"/>
    <w:rsid w:val="004C7670"/>
    <w:rsid w:val="004E1173"/>
    <w:rsid w:val="004E20DA"/>
    <w:rsid w:val="004E3FB9"/>
    <w:rsid w:val="004E4E8D"/>
    <w:rsid w:val="004F11A8"/>
    <w:rsid w:val="00502B37"/>
    <w:rsid w:val="0051007A"/>
    <w:rsid w:val="00516984"/>
    <w:rsid w:val="0051732B"/>
    <w:rsid w:val="00524362"/>
    <w:rsid w:val="00526430"/>
    <w:rsid w:val="005310D5"/>
    <w:rsid w:val="0053625D"/>
    <w:rsid w:val="00541671"/>
    <w:rsid w:val="005434F2"/>
    <w:rsid w:val="0054637C"/>
    <w:rsid w:val="005469CC"/>
    <w:rsid w:val="00546C8F"/>
    <w:rsid w:val="00550549"/>
    <w:rsid w:val="00550B57"/>
    <w:rsid w:val="0055303C"/>
    <w:rsid w:val="00554EC8"/>
    <w:rsid w:val="00563C82"/>
    <w:rsid w:val="005653C9"/>
    <w:rsid w:val="0056615C"/>
    <w:rsid w:val="00592BF2"/>
    <w:rsid w:val="00592EC8"/>
    <w:rsid w:val="005A37F3"/>
    <w:rsid w:val="005B24E2"/>
    <w:rsid w:val="005B4772"/>
    <w:rsid w:val="005C395E"/>
    <w:rsid w:val="005C4EBD"/>
    <w:rsid w:val="005D1DC4"/>
    <w:rsid w:val="005D2378"/>
    <w:rsid w:val="005D478A"/>
    <w:rsid w:val="005E4006"/>
    <w:rsid w:val="005F6DA7"/>
    <w:rsid w:val="005F6E71"/>
    <w:rsid w:val="005F7CBF"/>
    <w:rsid w:val="00604CC5"/>
    <w:rsid w:val="00606CFD"/>
    <w:rsid w:val="00607D7A"/>
    <w:rsid w:val="00615990"/>
    <w:rsid w:val="00617207"/>
    <w:rsid w:val="006300D0"/>
    <w:rsid w:val="00632105"/>
    <w:rsid w:val="00633C26"/>
    <w:rsid w:val="006377D1"/>
    <w:rsid w:val="00637C7A"/>
    <w:rsid w:val="00640A88"/>
    <w:rsid w:val="006424D6"/>
    <w:rsid w:val="006462D3"/>
    <w:rsid w:val="00650601"/>
    <w:rsid w:val="00650F44"/>
    <w:rsid w:val="00653CD6"/>
    <w:rsid w:val="00654905"/>
    <w:rsid w:val="00654BFB"/>
    <w:rsid w:val="0065621B"/>
    <w:rsid w:val="0066197F"/>
    <w:rsid w:val="006623D1"/>
    <w:rsid w:val="00662D5D"/>
    <w:rsid w:val="00665D16"/>
    <w:rsid w:val="00667322"/>
    <w:rsid w:val="0066750E"/>
    <w:rsid w:val="00674A53"/>
    <w:rsid w:val="00676021"/>
    <w:rsid w:val="00676284"/>
    <w:rsid w:val="006802D9"/>
    <w:rsid w:val="006A0C2E"/>
    <w:rsid w:val="006B352D"/>
    <w:rsid w:val="006B3764"/>
    <w:rsid w:val="006B4530"/>
    <w:rsid w:val="006C24C9"/>
    <w:rsid w:val="006C5EE4"/>
    <w:rsid w:val="006C7F98"/>
    <w:rsid w:val="006D36C4"/>
    <w:rsid w:val="006D3E61"/>
    <w:rsid w:val="006E217E"/>
    <w:rsid w:val="006E25A4"/>
    <w:rsid w:val="006E2EE3"/>
    <w:rsid w:val="006E58D5"/>
    <w:rsid w:val="006F29D3"/>
    <w:rsid w:val="006F42B3"/>
    <w:rsid w:val="006F56D0"/>
    <w:rsid w:val="007013D4"/>
    <w:rsid w:val="007040F9"/>
    <w:rsid w:val="00704E8D"/>
    <w:rsid w:val="00705012"/>
    <w:rsid w:val="00705D95"/>
    <w:rsid w:val="007061AD"/>
    <w:rsid w:val="007065E5"/>
    <w:rsid w:val="00707AD7"/>
    <w:rsid w:val="00711C27"/>
    <w:rsid w:val="00712290"/>
    <w:rsid w:val="0071498E"/>
    <w:rsid w:val="0072762F"/>
    <w:rsid w:val="00731FA8"/>
    <w:rsid w:val="0074555A"/>
    <w:rsid w:val="00750638"/>
    <w:rsid w:val="00751DF6"/>
    <w:rsid w:val="00752E18"/>
    <w:rsid w:val="00763D80"/>
    <w:rsid w:val="00771B48"/>
    <w:rsid w:val="007738CE"/>
    <w:rsid w:val="00775247"/>
    <w:rsid w:val="00780125"/>
    <w:rsid w:val="00781DD0"/>
    <w:rsid w:val="007838E5"/>
    <w:rsid w:val="0078473E"/>
    <w:rsid w:val="007868CD"/>
    <w:rsid w:val="00786C5C"/>
    <w:rsid w:val="007935F6"/>
    <w:rsid w:val="007957AE"/>
    <w:rsid w:val="007A1F02"/>
    <w:rsid w:val="007A4E80"/>
    <w:rsid w:val="007C3C6B"/>
    <w:rsid w:val="007D3CFD"/>
    <w:rsid w:val="007D6D3C"/>
    <w:rsid w:val="007E3F1D"/>
    <w:rsid w:val="007E525E"/>
    <w:rsid w:val="007E6F03"/>
    <w:rsid w:val="007F27C9"/>
    <w:rsid w:val="0080022E"/>
    <w:rsid w:val="0080098F"/>
    <w:rsid w:val="0080107F"/>
    <w:rsid w:val="0080109E"/>
    <w:rsid w:val="00806305"/>
    <w:rsid w:val="00810944"/>
    <w:rsid w:val="00827B6D"/>
    <w:rsid w:val="00831680"/>
    <w:rsid w:val="008352F8"/>
    <w:rsid w:val="008435A4"/>
    <w:rsid w:val="00846CF1"/>
    <w:rsid w:val="00850085"/>
    <w:rsid w:val="008507A1"/>
    <w:rsid w:val="00850A21"/>
    <w:rsid w:val="008651AF"/>
    <w:rsid w:val="00866D62"/>
    <w:rsid w:val="008754B9"/>
    <w:rsid w:val="00881759"/>
    <w:rsid w:val="00894ECE"/>
    <w:rsid w:val="008961C9"/>
    <w:rsid w:val="008A3950"/>
    <w:rsid w:val="008A4192"/>
    <w:rsid w:val="008C4E16"/>
    <w:rsid w:val="008C6F4A"/>
    <w:rsid w:val="008D6055"/>
    <w:rsid w:val="008E5CC8"/>
    <w:rsid w:val="008F32E9"/>
    <w:rsid w:val="008F7BCA"/>
    <w:rsid w:val="009042DD"/>
    <w:rsid w:val="009052AE"/>
    <w:rsid w:val="0090732B"/>
    <w:rsid w:val="0091217A"/>
    <w:rsid w:val="0091337F"/>
    <w:rsid w:val="0091474F"/>
    <w:rsid w:val="00916171"/>
    <w:rsid w:val="009368D5"/>
    <w:rsid w:val="009371E6"/>
    <w:rsid w:val="00940DE9"/>
    <w:rsid w:val="0095044F"/>
    <w:rsid w:val="00953058"/>
    <w:rsid w:val="00970EC0"/>
    <w:rsid w:val="00971195"/>
    <w:rsid w:val="00971CDC"/>
    <w:rsid w:val="009A1E75"/>
    <w:rsid w:val="009A4D65"/>
    <w:rsid w:val="009A77E3"/>
    <w:rsid w:val="009B04C6"/>
    <w:rsid w:val="009B1DA2"/>
    <w:rsid w:val="009B49AC"/>
    <w:rsid w:val="009B736E"/>
    <w:rsid w:val="009C3199"/>
    <w:rsid w:val="009C40C3"/>
    <w:rsid w:val="009C40F2"/>
    <w:rsid w:val="009C4C07"/>
    <w:rsid w:val="009D47E5"/>
    <w:rsid w:val="009E1CA2"/>
    <w:rsid w:val="009E1D28"/>
    <w:rsid w:val="009E3000"/>
    <w:rsid w:val="009E4F56"/>
    <w:rsid w:val="009F026C"/>
    <w:rsid w:val="009F3004"/>
    <w:rsid w:val="009F637D"/>
    <w:rsid w:val="009F70B0"/>
    <w:rsid w:val="00A00DC3"/>
    <w:rsid w:val="00A010B3"/>
    <w:rsid w:val="00A0242D"/>
    <w:rsid w:val="00A03CDF"/>
    <w:rsid w:val="00A057FE"/>
    <w:rsid w:val="00A0710F"/>
    <w:rsid w:val="00A13D1A"/>
    <w:rsid w:val="00A16821"/>
    <w:rsid w:val="00A241DF"/>
    <w:rsid w:val="00A30C79"/>
    <w:rsid w:val="00A3102A"/>
    <w:rsid w:val="00A3565F"/>
    <w:rsid w:val="00A36FE8"/>
    <w:rsid w:val="00A400E3"/>
    <w:rsid w:val="00A42821"/>
    <w:rsid w:val="00A45FB9"/>
    <w:rsid w:val="00A51595"/>
    <w:rsid w:val="00A55922"/>
    <w:rsid w:val="00A6288C"/>
    <w:rsid w:val="00A64513"/>
    <w:rsid w:val="00A72D0C"/>
    <w:rsid w:val="00A730A5"/>
    <w:rsid w:val="00A7675B"/>
    <w:rsid w:val="00A84D0F"/>
    <w:rsid w:val="00A90CCF"/>
    <w:rsid w:val="00A9289F"/>
    <w:rsid w:val="00AA202F"/>
    <w:rsid w:val="00AA60DE"/>
    <w:rsid w:val="00AA65D0"/>
    <w:rsid w:val="00AB0883"/>
    <w:rsid w:val="00AB2E9C"/>
    <w:rsid w:val="00AB3178"/>
    <w:rsid w:val="00AB4345"/>
    <w:rsid w:val="00AB52E5"/>
    <w:rsid w:val="00AC1931"/>
    <w:rsid w:val="00AD13A3"/>
    <w:rsid w:val="00AD317E"/>
    <w:rsid w:val="00AD3852"/>
    <w:rsid w:val="00AF2551"/>
    <w:rsid w:val="00AF7FEB"/>
    <w:rsid w:val="00B13F03"/>
    <w:rsid w:val="00B1431E"/>
    <w:rsid w:val="00B15E66"/>
    <w:rsid w:val="00B26E36"/>
    <w:rsid w:val="00B34D2F"/>
    <w:rsid w:val="00B424D0"/>
    <w:rsid w:val="00B47B69"/>
    <w:rsid w:val="00B5110C"/>
    <w:rsid w:val="00B538C0"/>
    <w:rsid w:val="00B56834"/>
    <w:rsid w:val="00B624F2"/>
    <w:rsid w:val="00B63205"/>
    <w:rsid w:val="00B67353"/>
    <w:rsid w:val="00B6793C"/>
    <w:rsid w:val="00B72759"/>
    <w:rsid w:val="00B91516"/>
    <w:rsid w:val="00BA1391"/>
    <w:rsid w:val="00BA506A"/>
    <w:rsid w:val="00BA5C03"/>
    <w:rsid w:val="00BB588C"/>
    <w:rsid w:val="00BC340C"/>
    <w:rsid w:val="00BC3B9D"/>
    <w:rsid w:val="00BD02B2"/>
    <w:rsid w:val="00BD052A"/>
    <w:rsid w:val="00BD201F"/>
    <w:rsid w:val="00BD5A2C"/>
    <w:rsid w:val="00BE5B5A"/>
    <w:rsid w:val="00BE77D4"/>
    <w:rsid w:val="00BE7D2D"/>
    <w:rsid w:val="00BF370E"/>
    <w:rsid w:val="00BF7E48"/>
    <w:rsid w:val="00C0091E"/>
    <w:rsid w:val="00C00AF2"/>
    <w:rsid w:val="00C12006"/>
    <w:rsid w:val="00C14177"/>
    <w:rsid w:val="00C16B58"/>
    <w:rsid w:val="00C16FF1"/>
    <w:rsid w:val="00C17FF5"/>
    <w:rsid w:val="00C22743"/>
    <w:rsid w:val="00C23348"/>
    <w:rsid w:val="00C25B94"/>
    <w:rsid w:val="00C36E81"/>
    <w:rsid w:val="00C37AFC"/>
    <w:rsid w:val="00C41EA9"/>
    <w:rsid w:val="00C4205E"/>
    <w:rsid w:val="00C42566"/>
    <w:rsid w:val="00C52D66"/>
    <w:rsid w:val="00C5404F"/>
    <w:rsid w:val="00C55005"/>
    <w:rsid w:val="00C56C12"/>
    <w:rsid w:val="00C60E4A"/>
    <w:rsid w:val="00C71183"/>
    <w:rsid w:val="00C71894"/>
    <w:rsid w:val="00C73A1D"/>
    <w:rsid w:val="00C77D10"/>
    <w:rsid w:val="00C809CF"/>
    <w:rsid w:val="00C84149"/>
    <w:rsid w:val="00C8540E"/>
    <w:rsid w:val="00C92CEE"/>
    <w:rsid w:val="00C9668E"/>
    <w:rsid w:val="00C96D5A"/>
    <w:rsid w:val="00CB1F07"/>
    <w:rsid w:val="00CB2709"/>
    <w:rsid w:val="00CB4006"/>
    <w:rsid w:val="00CC0B25"/>
    <w:rsid w:val="00CC316D"/>
    <w:rsid w:val="00CC3ADE"/>
    <w:rsid w:val="00CC76F5"/>
    <w:rsid w:val="00CD2266"/>
    <w:rsid w:val="00CD3B29"/>
    <w:rsid w:val="00CD4194"/>
    <w:rsid w:val="00CD5096"/>
    <w:rsid w:val="00CD50D0"/>
    <w:rsid w:val="00CE0193"/>
    <w:rsid w:val="00CE102D"/>
    <w:rsid w:val="00CE3053"/>
    <w:rsid w:val="00CE31E8"/>
    <w:rsid w:val="00CF2A8C"/>
    <w:rsid w:val="00CF45C2"/>
    <w:rsid w:val="00CF5875"/>
    <w:rsid w:val="00CF62CA"/>
    <w:rsid w:val="00D0025D"/>
    <w:rsid w:val="00D141D2"/>
    <w:rsid w:val="00D32B39"/>
    <w:rsid w:val="00D332D8"/>
    <w:rsid w:val="00D4363B"/>
    <w:rsid w:val="00D46898"/>
    <w:rsid w:val="00D474A8"/>
    <w:rsid w:val="00D476DA"/>
    <w:rsid w:val="00D53F67"/>
    <w:rsid w:val="00D62CA3"/>
    <w:rsid w:val="00D667BF"/>
    <w:rsid w:val="00D706D6"/>
    <w:rsid w:val="00D724A4"/>
    <w:rsid w:val="00D820B9"/>
    <w:rsid w:val="00D87B4A"/>
    <w:rsid w:val="00D92276"/>
    <w:rsid w:val="00D963BC"/>
    <w:rsid w:val="00DA00C6"/>
    <w:rsid w:val="00DA5C35"/>
    <w:rsid w:val="00DB037B"/>
    <w:rsid w:val="00DC2725"/>
    <w:rsid w:val="00DC38F0"/>
    <w:rsid w:val="00DC3D4B"/>
    <w:rsid w:val="00DC550B"/>
    <w:rsid w:val="00DD4847"/>
    <w:rsid w:val="00DD5AAF"/>
    <w:rsid w:val="00DD5BD3"/>
    <w:rsid w:val="00DD6881"/>
    <w:rsid w:val="00DE4ACA"/>
    <w:rsid w:val="00DE71AD"/>
    <w:rsid w:val="00DF0839"/>
    <w:rsid w:val="00DF69D4"/>
    <w:rsid w:val="00DF6EA2"/>
    <w:rsid w:val="00E02AF8"/>
    <w:rsid w:val="00E133FE"/>
    <w:rsid w:val="00E1475F"/>
    <w:rsid w:val="00E16A70"/>
    <w:rsid w:val="00E23C05"/>
    <w:rsid w:val="00E24572"/>
    <w:rsid w:val="00E3557F"/>
    <w:rsid w:val="00E35D2C"/>
    <w:rsid w:val="00E364D3"/>
    <w:rsid w:val="00E372D7"/>
    <w:rsid w:val="00E427F7"/>
    <w:rsid w:val="00E428D1"/>
    <w:rsid w:val="00E434DD"/>
    <w:rsid w:val="00E62ACD"/>
    <w:rsid w:val="00E6308E"/>
    <w:rsid w:val="00E666EF"/>
    <w:rsid w:val="00E674EF"/>
    <w:rsid w:val="00E67C6B"/>
    <w:rsid w:val="00E67FFE"/>
    <w:rsid w:val="00E711B5"/>
    <w:rsid w:val="00E72844"/>
    <w:rsid w:val="00E857DE"/>
    <w:rsid w:val="00E87D26"/>
    <w:rsid w:val="00E90C15"/>
    <w:rsid w:val="00E976D1"/>
    <w:rsid w:val="00EB3B65"/>
    <w:rsid w:val="00EB5287"/>
    <w:rsid w:val="00EB64AF"/>
    <w:rsid w:val="00EC5D50"/>
    <w:rsid w:val="00ED44A1"/>
    <w:rsid w:val="00EF531E"/>
    <w:rsid w:val="00EF67B9"/>
    <w:rsid w:val="00F02A5F"/>
    <w:rsid w:val="00F0404D"/>
    <w:rsid w:val="00F04383"/>
    <w:rsid w:val="00F06F7C"/>
    <w:rsid w:val="00F129B1"/>
    <w:rsid w:val="00F13501"/>
    <w:rsid w:val="00F150CC"/>
    <w:rsid w:val="00F15870"/>
    <w:rsid w:val="00F22539"/>
    <w:rsid w:val="00F25376"/>
    <w:rsid w:val="00F27539"/>
    <w:rsid w:val="00F27BB7"/>
    <w:rsid w:val="00F33EEC"/>
    <w:rsid w:val="00F41CE4"/>
    <w:rsid w:val="00F4411A"/>
    <w:rsid w:val="00F456EE"/>
    <w:rsid w:val="00F45EEC"/>
    <w:rsid w:val="00F5443C"/>
    <w:rsid w:val="00F6783D"/>
    <w:rsid w:val="00F70C26"/>
    <w:rsid w:val="00F77383"/>
    <w:rsid w:val="00F84D3C"/>
    <w:rsid w:val="00F90D8C"/>
    <w:rsid w:val="00F90DCD"/>
    <w:rsid w:val="00F95911"/>
    <w:rsid w:val="00FA13C4"/>
    <w:rsid w:val="00FA3B2A"/>
    <w:rsid w:val="00FA592E"/>
    <w:rsid w:val="00FB038A"/>
    <w:rsid w:val="00FB492E"/>
    <w:rsid w:val="00FB5501"/>
    <w:rsid w:val="00FB557E"/>
    <w:rsid w:val="00FC3890"/>
    <w:rsid w:val="00FC3A50"/>
    <w:rsid w:val="00FC59E4"/>
    <w:rsid w:val="00FE08E4"/>
    <w:rsid w:val="00FE5C57"/>
    <w:rsid w:val="00FF054E"/>
    <w:rsid w:val="385F290D"/>
    <w:rsid w:val="70D3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FEFEE8"/>
  <w15:docId w15:val="{8671D1D6-40AE-4D24-AB38-07D5F92D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FD"/>
    <w:rPr>
      <w:rFonts w:ascii="Calibri" w:eastAsia="Calibri" w:hAnsi="Calibri" w:cs="Arial"/>
    </w:rPr>
  </w:style>
  <w:style w:type="paragraph" w:styleId="Heading1">
    <w:name w:val="heading 1"/>
    <w:basedOn w:val="Normal"/>
    <w:next w:val="Normal"/>
    <w:link w:val="Heading1Char"/>
    <w:uiPriority w:val="9"/>
    <w:qFormat/>
    <w:rsid w:val="009A77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06C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06CF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06C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606CFD"/>
    <w:rPr>
      <w:rFonts w:ascii="Segoe UI" w:hAnsi="Segoe UI" w:cs="Segoe UI"/>
      <w:sz w:val="18"/>
      <w:szCs w:val="18"/>
    </w:rPr>
  </w:style>
  <w:style w:type="paragraph" w:styleId="BodyText">
    <w:name w:val="Body Text"/>
    <w:basedOn w:val="Normal"/>
    <w:link w:val="BodyTextChar"/>
    <w:uiPriority w:val="1"/>
    <w:qFormat/>
    <w:rsid w:val="00606CFD"/>
    <w:pPr>
      <w:widowControl w:val="0"/>
      <w:autoSpaceDE w:val="0"/>
      <w:autoSpaceDN w:val="0"/>
      <w:ind w:left="382" w:firstLine="719"/>
      <w:jc w:val="both"/>
    </w:pPr>
    <w:rPr>
      <w:rFonts w:ascii="Times New Roman" w:eastAsia="Times New Roman" w:hAnsi="Times New Roman" w:cs="Times New Roman"/>
      <w:sz w:val="28"/>
      <w:szCs w:val="28"/>
    </w:rPr>
  </w:style>
  <w:style w:type="paragraph" w:styleId="Footer">
    <w:name w:val="footer"/>
    <w:basedOn w:val="Normal"/>
    <w:link w:val="FooterChar"/>
    <w:uiPriority w:val="99"/>
    <w:unhideWhenUsed/>
    <w:qFormat/>
    <w:rsid w:val="00606CFD"/>
    <w:pPr>
      <w:tabs>
        <w:tab w:val="center" w:pos="4680"/>
        <w:tab w:val="right" w:pos="9360"/>
      </w:tabs>
    </w:pPr>
  </w:style>
  <w:style w:type="paragraph" w:styleId="Header">
    <w:name w:val="header"/>
    <w:basedOn w:val="Normal"/>
    <w:link w:val="HeaderChar"/>
    <w:uiPriority w:val="99"/>
    <w:unhideWhenUsed/>
    <w:qFormat/>
    <w:rsid w:val="00606CFD"/>
    <w:pPr>
      <w:tabs>
        <w:tab w:val="center" w:pos="4680"/>
        <w:tab w:val="right" w:pos="9360"/>
      </w:tabs>
    </w:pPr>
  </w:style>
  <w:style w:type="character" w:styleId="Hyperlink">
    <w:name w:val="Hyperlink"/>
    <w:basedOn w:val="DefaultParagraphFont"/>
    <w:uiPriority w:val="99"/>
    <w:semiHidden/>
    <w:unhideWhenUsed/>
    <w:qFormat/>
    <w:rsid w:val="00606CFD"/>
    <w:rPr>
      <w:color w:val="0000FF"/>
      <w:u w:val="single"/>
    </w:rPr>
  </w:style>
  <w:style w:type="paragraph" w:styleId="NormalWeb">
    <w:name w:val="Normal (Web)"/>
    <w:aliases w:val=" Char Char1,Char Char1,Char Char Char, Char Char Char,Char Char5,Char Char"/>
    <w:basedOn w:val="Normal"/>
    <w:link w:val="NormalWebChar"/>
    <w:uiPriority w:val="99"/>
    <w:unhideWhenUsed/>
    <w:qFormat/>
    <w:rsid w:val="00606CF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06CFD"/>
    <w:rPr>
      <w:b/>
      <w:bCs/>
    </w:rPr>
  </w:style>
  <w:style w:type="table" w:styleId="TableGrid">
    <w:name w:val="Table Grid"/>
    <w:basedOn w:val="TableNormal"/>
    <w:uiPriority w:val="59"/>
    <w:qFormat/>
    <w:rsid w:val="00606CFD"/>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sid w:val="00606CFD"/>
    <w:rPr>
      <w:rFonts w:ascii="Calibri" w:eastAsia="Calibri" w:hAnsi="Calibri" w:cs="Arial"/>
      <w:sz w:val="20"/>
      <w:szCs w:val="20"/>
    </w:rPr>
  </w:style>
  <w:style w:type="paragraph" w:styleId="ListParagraph">
    <w:name w:val="List Paragraph"/>
    <w:basedOn w:val="Normal"/>
    <w:link w:val="ListParagraphChar"/>
    <w:uiPriority w:val="34"/>
    <w:qFormat/>
    <w:rsid w:val="00606CFD"/>
    <w:pPr>
      <w:ind w:left="720"/>
      <w:contextualSpacing/>
    </w:pPr>
  </w:style>
  <w:style w:type="paragraph" w:customStyle="1" w:styleId="Revision1">
    <w:name w:val="Revision1"/>
    <w:hidden/>
    <w:uiPriority w:val="99"/>
    <w:semiHidden/>
    <w:qFormat/>
    <w:rsid w:val="00606CFD"/>
    <w:rPr>
      <w:rFonts w:ascii="Calibri" w:eastAsia="Calibri" w:hAnsi="Calibri" w:cs="Arial"/>
    </w:rPr>
  </w:style>
  <w:style w:type="character" w:customStyle="1" w:styleId="HeaderChar">
    <w:name w:val="Header Char"/>
    <w:basedOn w:val="DefaultParagraphFont"/>
    <w:link w:val="Header"/>
    <w:uiPriority w:val="99"/>
    <w:qFormat/>
    <w:rsid w:val="00606CFD"/>
    <w:rPr>
      <w:rFonts w:ascii="Calibri" w:eastAsia="Calibri" w:hAnsi="Calibri" w:cs="Arial"/>
      <w:sz w:val="20"/>
      <w:szCs w:val="20"/>
    </w:rPr>
  </w:style>
  <w:style w:type="character" w:customStyle="1" w:styleId="Heading3Char">
    <w:name w:val="Heading 3 Char"/>
    <w:basedOn w:val="DefaultParagraphFont"/>
    <w:link w:val="Heading3"/>
    <w:uiPriority w:val="9"/>
    <w:qFormat/>
    <w:rsid w:val="00606CFD"/>
    <w:rPr>
      <w:rFonts w:eastAsia="Times New Roman" w:cs="Times New Roman"/>
      <w:b/>
      <w:bCs/>
      <w:sz w:val="27"/>
      <w:szCs w:val="27"/>
    </w:rPr>
  </w:style>
  <w:style w:type="character" w:customStyle="1" w:styleId="relative">
    <w:name w:val="relative"/>
    <w:basedOn w:val="DefaultParagraphFont"/>
    <w:qFormat/>
    <w:rsid w:val="00606CFD"/>
  </w:style>
  <w:style w:type="character" w:customStyle="1" w:styleId="ms-1">
    <w:name w:val="ms-1"/>
    <w:basedOn w:val="DefaultParagraphFont"/>
    <w:qFormat/>
    <w:rsid w:val="00606CFD"/>
  </w:style>
  <w:style w:type="character" w:customStyle="1" w:styleId="max-w-full">
    <w:name w:val="max-w-full"/>
    <w:basedOn w:val="DefaultParagraphFont"/>
    <w:qFormat/>
    <w:rsid w:val="00606CFD"/>
  </w:style>
  <w:style w:type="character" w:customStyle="1" w:styleId="Heading2Char">
    <w:name w:val="Heading 2 Char"/>
    <w:basedOn w:val="DefaultParagraphFont"/>
    <w:link w:val="Heading2"/>
    <w:uiPriority w:val="9"/>
    <w:qFormat/>
    <w:rsid w:val="00606CFD"/>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qFormat/>
    <w:rsid w:val="00606CFD"/>
    <w:rPr>
      <w:rFonts w:asciiTheme="majorHAnsi" w:eastAsiaTheme="majorEastAsia" w:hAnsiTheme="majorHAnsi" w:cstheme="majorBidi"/>
      <w:i/>
      <w:iCs/>
      <w:color w:val="365F91" w:themeColor="accent1" w:themeShade="BF"/>
      <w:sz w:val="20"/>
      <w:szCs w:val="20"/>
    </w:rPr>
  </w:style>
  <w:style w:type="character" w:customStyle="1" w:styleId="-me-1">
    <w:name w:val="-me-1"/>
    <w:basedOn w:val="DefaultParagraphFont"/>
    <w:qFormat/>
    <w:rsid w:val="00606CFD"/>
  </w:style>
  <w:style w:type="character" w:customStyle="1" w:styleId="BodyTextChar">
    <w:name w:val="Body Text Char"/>
    <w:basedOn w:val="DefaultParagraphFont"/>
    <w:link w:val="BodyText"/>
    <w:uiPriority w:val="1"/>
    <w:qFormat/>
    <w:rsid w:val="00606CFD"/>
    <w:rPr>
      <w:rFonts w:eastAsia="Times New Roman" w:cs="Times New Roman"/>
      <w:szCs w:val="28"/>
    </w:rPr>
  </w:style>
  <w:style w:type="character" w:customStyle="1" w:styleId="cvbodychar">
    <w:name w:val="cvbody__char"/>
    <w:qFormat/>
    <w:rsid w:val="00606CFD"/>
  </w:style>
  <w:style w:type="character" w:customStyle="1" w:styleId="BalloonTextChar">
    <w:name w:val="Balloon Text Char"/>
    <w:basedOn w:val="DefaultParagraphFont"/>
    <w:link w:val="BalloonText"/>
    <w:uiPriority w:val="99"/>
    <w:semiHidden/>
    <w:rsid w:val="00606CFD"/>
    <w:rPr>
      <w:rFonts w:ascii="Segoe UI" w:eastAsia="Calibri" w:hAnsi="Segoe UI" w:cs="Segoe UI"/>
      <w:sz w:val="18"/>
      <w:szCs w:val="18"/>
    </w:rPr>
  </w:style>
  <w:style w:type="paragraph" w:customStyle="1" w:styleId="Standard">
    <w:name w:val="Standard"/>
    <w:rsid w:val="00606CFD"/>
    <w:pPr>
      <w:suppressAutoHyphens/>
      <w:autoSpaceDN w:val="0"/>
      <w:spacing w:after="200" w:line="276" w:lineRule="auto"/>
      <w:textAlignment w:val="baseline"/>
    </w:pPr>
    <w:rPr>
      <w:rFonts w:ascii="Calibri" w:eastAsia="SimSun" w:hAnsi="Calibri" w:cs="Tahoma"/>
      <w:kern w:val="3"/>
      <w:sz w:val="22"/>
      <w:szCs w:val="22"/>
    </w:rPr>
  </w:style>
  <w:style w:type="character" w:customStyle="1" w:styleId="Heading1Char">
    <w:name w:val="Heading 1 Char"/>
    <w:basedOn w:val="DefaultParagraphFont"/>
    <w:link w:val="Heading1"/>
    <w:uiPriority w:val="9"/>
    <w:rsid w:val="009A77E3"/>
    <w:rPr>
      <w:rFonts w:asciiTheme="majorHAnsi" w:eastAsiaTheme="majorEastAsia" w:hAnsiTheme="majorHAnsi" w:cstheme="majorBidi"/>
      <w:color w:val="365F91" w:themeColor="accent1" w:themeShade="BF"/>
      <w:sz w:val="32"/>
      <w:szCs w:val="32"/>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iPriority w:val="99"/>
    <w:unhideWhenUsed/>
    <w:qFormat/>
    <w:rsid w:val="009F70B0"/>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9F70B0"/>
    <w:rPr>
      <w:rFonts w:ascii="Calibri" w:eastAsia="Calibri" w:hAnsi="Calibri" w:cs="Arial"/>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R"/>
    <w:basedOn w:val="DefaultParagraphFont"/>
    <w:link w:val="CharChar1CharCharCharChar1CharCharCharCharCharCharCharChar"/>
    <w:uiPriority w:val="99"/>
    <w:unhideWhenUsed/>
    <w:qFormat/>
    <w:rsid w:val="009F70B0"/>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BD02B2"/>
    <w:pPr>
      <w:spacing w:before="120" w:after="160" w:line="240" w:lineRule="exact"/>
      <w:jc w:val="both"/>
    </w:pPr>
    <w:rPr>
      <w:rFonts w:ascii="Times New Roman" w:eastAsiaTheme="minorHAnsi" w:hAnsi="Times New Roman" w:cstheme="minorBidi"/>
      <w:vertAlign w:val="superscript"/>
    </w:rPr>
  </w:style>
  <w:style w:type="character" w:customStyle="1" w:styleId="ListParagraphChar">
    <w:name w:val="List Paragraph Char"/>
    <w:link w:val="ListParagraph"/>
    <w:uiPriority w:val="34"/>
    <w:rsid w:val="00E72844"/>
    <w:rPr>
      <w:rFonts w:ascii="Calibri" w:eastAsia="Calibri" w:hAnsi="Calibri" w:cs="Arial"/>
    </w:rPr>
  </w:style>
  <w:style w:type="character" w:styleId="Emphasis">
    <w:name w:val="Emphasis"/>
    <w:basedOn w:val="DefaultParagraphFont"/>
    <w:uiPriority w:val="20"/>
    <w:qFormat/>
    <w:rsid w:val="00D87B4A"/>
    <w:rPr>
      <w:i/>
      <w:iCs/>
    </w:rPr>
  </w:style>
  <w:style w:type="character" w:customStyle="1" w:styleId="NormalWebChar">
    <w:name w:val="Normal (Web) Char"/>
    <w:aliases w:val=" Char Char1 Char,Char Char1 Char,Char Char Char Char, Char Char Char Char,Char Char5 Char,Char Char Char1"/>
    <w:basedOn w:val="DefaultParagraphFont"/>
    <w:link w:val="NormalWeb"/>
    <w:uiPriority w:val="99"/>
    <w:locked/>
    <w:rsid w:val="00D87B4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65467">
      <w:bodyDiv w:val="1"/>
      <w:marLeft w:val="0"/>
      <w:marRight w:val="0"/>
      <w:marTop w:val="0"/>
      <w:marBottom w:val="0"/>
      <w:divBdr>
        <w:top w:val="none" w:sz="0" w:space="0" w:color="auto"/>
        <w:left w:val="none" w:sz="0" w:space="0" w:color="auto"/>
        <w:bottom w:val="none" w:sz="0" w:space="0" w:color="auto"/>
        <w:right w:val="none" w:sz="0" w:space="0" w:color="auto"/>
      </w:divBdr>
      <w:divsChild>
        <w:div w:id="1470054338">
          <w:marLeft w:val="0"/>
          <w:marRight w:val="0"/>
          <w:marTop w:val="0"/>
          <w:marBottom w:val="0"/>
          <w:divBdr>
            <w:top w:val="none" w:sz="0" w:space="0" w:color="auto"/>
            <w:left w:val="none" w:sz="0" w:space="0" w:color="auto"/>
            <w:bottom w:val="none" w:sz="0" w:space="0" w:color="auto"/>
            <w:right w:val="none" w:sz="0" w:space="0" w:color="auto"/>
          </w:divBdr>
        </w:div>
        <w:div w:id="2137529407">
          <w:marLeft w:val="0"/>
          <w:marRight w:val="0"/>
          <w:marTop w:val="0"/>
          <w:marBottom w:val="0"/>
          <w:divBdr>
            <w:top w:val="none" w:sz="0" w:space="0" w:color="auto"/>
            <w:left w:val="none" w:sz="0" w:space="0" w:color="auto"/>
            <w:bottom w:val="none" w:sz="0" w:space="0" w:color="auto"/>
            <w:right w:val="none" w:sz="0" w:space="0" w:color="auto"/>
          </w:divBdr>
        </w:div>
        <w:div w:id="627861791">
          <w:marLeft w:val="0"/>
          <w:marRight w:val="0"/>
          <w:marTop w:val="0"/>
          <w:marBottom w:val="0"/>
          <w:divBdr>
            <w:top w:val="none" w:sz="0" w:space="0" w:color="auto"/>
            <w:left w:val="none" w:sz="0" w:space="0" w:color="auto"/>
            <w:bottom w:val="none" w:sz="0" w:space="0" w:color="auto"/>
            <w:right w:val="none" w:sz="0" w:space="0" w:color="auto"/>
          </w:divBdr>
        </w:div>
        <w:div w:id="1897812359">
          <w:marLeft w:val="0"/>
          <w:marRight w:val="0"/>
          <w:marTop w:val="0"/>
          <w:marBottom w:val="0"/>
          <w:divBdr>
            <w:top w:val="none" w:sz="0" w:space="0" w:color="auto"/>
            <w:left w:val="none" w:sz="0" w:space="0" w:color="auto"/>
            <w:bottom w:val="none" w:sz="0" w:space="0" w:color="auto"/>
            <w:right w:val="none" w:sz="0" w:space="0" w:color="auto"/>
          </w:divBdr>
        </w:div>
        <w:div w:id="1930573683">
          <w:marLeft w:val="0"/>
          <w:marRight w:val="0"/>
          <w:marTop w:val="0"/>
          <w:marBottom w:val="0"/>
          <w:divBdr>
            <w:top w:val="none" w:sz="0" w:space="0" w:color="auto"/>
            <w:left w:val="none" w:sz="0" w:space="0" w:color="auto"/>
            <w:bottom w:val="none" w:sz="0" w:space="0" w:color="auto"/>
            <w:right w:val="none" w:sz="0" w:space="0" w:color="auto"/>
          </w:divBdr>
        </w:div>
      </w:divsChild>
    </w:div>
    <w:div w:id="312569076">
      <w:bodyDiv w:val="1"/>
      <w:marLeft w:val="0"/>
      <w:marRight w:val="0"/>
      <w:marTop w:val="0"/>
      <w:marBottom w:val="0"/>
      <w:divBdr>
        <w:top w:val="none" w:sz="0" w:space="0" w:color="auto"/>
        <w:left w:val="none" w:sz="0" w:space="0" w:color="auto"/>
        <w:bottom w:val="none" w:sz="0" w:space="0" w:color="auto"/>
        <w:right w:val="none" w:sz="0" w:space="0" w:color="auto"/>
      </w:divBdr>
    </w:div>
    <w:div w:id="329722981">
      <w:bodyDiv w:val="1"/>
      <w:marLeft w:val="0"/>
      <w:marRight w:val="0"/>
      <w:marTop w:val="0"/>
      <w:marBottom w:val="0"/>
      <w:divBdr>
        <w:top w:val="none" w:sz="0" w:space="0" w:color="auto"/>
        <w:left w:val="none" w:sz="0" w:space="0" w:color="auto"/>
        <w:bottom w:val="none" w:sz="0" w:space="0" w:color="auto"/>
        <w:right w:val="none" w:sz="0" w:space="0" w:color="auto"/>
      </w:divBdr>
    </w:div>
    <w:div w:id="359554832">
      <w:bodyDiv w:val="1"/>
      <w:marLeft w:val="0"/>
      <w:marRight w:val="0"/>
      <w:marTop w:val="0"/>
      <w:marBottom w:val="0"/>
      <w:divBdr>
        <w:top w:val="none" w:sz="0" w:space="0" w:color="auto"/>
        <w:left w:val="none" w:sz="0" w:space="0" w:color="auto"/>
        <w:bottom w:val="none" w:sz="0" w:space="0" w:color="auto"/>
        <w:right w:val="none" w:sz="0" w:space="0" w:color="auto"/>
      </w:divBdr>
    </w:div>
    <w:div w:id="514999558">
      <w:bodyDiv w:val="1"/>
      <w:marLeft w:val="0"/>
      <w:marRight w:val="0"/>
      <w:marTop w:val="0"/>
      <w:marBottom w:val="0"/>
      <w:divBdr>
        <w:top w:val="none" w:sz="0" w:space="0" w:color="auto"/>
        <w:left w:val="none" w:sz="0" w:space="0" w:color="auto"/>
        <w:bottom w:val="none" w:sz="0" w:space="0" w:color="auto"/>
        <w:right w:val="none" w:sz="0" w:space="0" w:color="auto"/>
      </w:divBdr>
    </w:div>
    <w:div w:id="529152594">
      <w:bodyDiv w:val="1"/>
      <w:marLeft w:val="0"/>
      <w:marRight w:val="0"/>
      <w:marTop w:val="0"/>
      <w:marBottom w:val="0"/>
      <w:divBdr>
        <w:top w:val="none" w:sz="0" w:space="0" w:color="auto"/>
        <w:left w:val="none" w:sz="0" w:space="0" w:color="auto"/>
        <w:bottom w:val="none" w:sz="0" w:space="0" w:color="auto"/>
        <w:right w:val="none" w:sz="0" w:space="0" w:color="auto"/>
      </w:divBdr>
    </w:div>
    <w:div w:id="574897922">
      <w:bodyDiv w:val="1"/>
      <w:marLeft w:val="0"/>
      <w:marRight w:val="0"/>
      <w:marTop w:val="0"/>
      <w:marBottom w:val="0"/>
      <w:divBdr>
        <w:top w:val="none" w:sz="0" w:space="0" w:color="auto"/>
        <w:left w:val="none" w:sz="0" w:space="0" w:color="auto"/>
        <w:bottom w:val="none" w:sz="0" w:space="0" w:color="auto"/>
        <w:right w:val="none" w:sz="0" w:space="0" w:color="auto"/>
      </w:divBdr>
    </w:div>
    <w:div w:id="730421720">
      <w:bodyDiv w:val="1"/>
      <w:marLeft w:val="0"/>
      <w:marRight w:val="0"/>
      <w:marTop w:val="0"/>
      <w:marBottom w:val="0"/>
      <w:divBdr>
        <w:top w:val="none" w:sz="0" w:space="0" w:color="auto"/>
        <w:left w:val="none" w:sz="0" w:space="0" w:color="auto"/>
        <w:bottom w:val="none" w:sz="0" w:space="0" w:color="auto"/>
        <w:right w:val="none" w:sz="0" w:space="0" w:color="auto"/>
      </w:divBdr>
    </w:div>
    <w:div w:id="810246354">
      <w:bodyDiv w:val="1"/>
      <w:marLeft w:val="0"/>
      <w:marRight w:val="0"/>
      <w:marTop w:val="0"/>
      <w:marBottom w:val="0"/>
      <w:divBdr>
        <w:top w:val="none" w:sz="0" w:space="0" w:color="auto"/>
        <w:left w:val="none" w:sz="0" w:space="0" w:color="auto"/>
        <w:bottom w:val="none" w:sz="0" w:space="0" w:color="auto"/>
        <w:right w:val="none" w:sz="0" w:space="0" w:color="auto"/>
      </w:divBdr>
    </w:div>
    <w:div w:id="1193881396">
      <w:bodyDiv w:val="1"/>
      <w:marLeft w:val="0"/>
      <w:marRight w:val="0"/>
      <w:marTop w:val="0"/>
      <w:marBottom w:val="0"/>
      <w:divBdr>
        <w:top w:val="none" w:sz="0" w:space="0" w:color="auto"/>
        <w:left w:val="none" w:sz="0" w:space="0" w:color="auto"/>
        <w:bottom w:val="none" w:sz="0" w:space="0" w:color="auto"/>
        <w:right w:val="none" w:sz="0" w:space="0" w:color="auto"/>
      </w:divBdr>
    </w:div>
    <w:div w:id="1315334313">
      <w:bodyDiv w:val="1"/>
      <w:marLeft w:val="0"/>
      <w:marRight w:val="0"/>
      <w:marTop w:val="0"/>
      <w:marBottom w:val="0"/>
      <w:divBdr>
        <w:top w:val="none" w:sz="0" w:space="0" w:color="auto"/>
        <w:left w:val="none" w:sz="0" w:space="0" w:color="auto"/>
        <w:bottom w:val="none" w:sz="0" w:space="0" w:color="auto"/>
        <w:right w:val="none" w:sz="0" w:space="0" w:color="auto"/>
      </w:divBdr>
      <w:divsChild>
        <w:div w:id="1321695794">
          <w:marLeft w:val="0"/>
          <w:marRight w:val="0"/>
          <w:marTop w:val="0"/>
          <w:marBottom w:val="0"/>
          <w:divBdr>
            <w:top w:val="none" w:sz="0" w:space="0" w:color="auto"/>
            <w:left w:val="none" w:sz="0" w:space="0" w:color="auto"/>
            <w:bottom w:val="none" w:sz="0" w:space="0" w:color="auto"/>
            <w:right w:val="none" w:sz="0" w:space="0" w:color="auto"/>
          </w:divBdr>
        </w:div>
        <w:div w:id="196164654">
          <w:marLeft w:val="0"/>
          <w:marRight w:val="0"/>
          <w:marTop w:val="0"/>
          <w:marBottom w:val="0"/>
          <w:divBdr>
            <w:top w:val="none" w:sz="0" w:space="0" w:color="auto"/>
            <w:left w:val="none" w:sz="0" w:space="0" w:color="auto"/>
            <w:bottom w:val="none" w:sz="0" w:space="0" w:color="auto"/>
            <w:right w:val="none" w:sz="0" w:space="0" w:color="auto"/>
          </w:divBdr>
        </w:div>
        <w:div w:id="1310552211">
          <w:marLeft w:val="0"/>
          <w:marRight w:val="0"/>
          <w:marTop w:val="0"/>
          <w:marBottom w:val="0"/>
          <w:divBdr>
            <w:top w:val="none" w:sz="0" w:space="0" w:color="auto"/>
            <w:left w:val="none" w:sz="0" w:space="0" w:color="auto"/>
            <w:bottom w:val="none" w:sz="0" w:space="0" w:color="auto"/>
            <w:right w:val="none" w:sz="0" w:space="0" w:color="auto"/>
          </w:divBdr>
        </w:div>
        <w:div w:id="287317356">
          <w:marLeft w:val="0"/>
          <w:marRight w:val="0"/>
          <w:marTop w:val="0"/>
          <w:marBottom w:val="0"/>
          <w:divBdr>
            <w:top w:val="none" w:sz="0" w:space="0" w:color="auto"/>
            <w:left w:val="none" w:sz="0" w:space="0" w:color="auto"/>
            <w:bottom w:val="none" w:sz="0" w:space="0" w:color="auto"/>
            <w:right w:val="none" w:sz="0" w:space="0" w:color="auto"/>
          </w:divBdr>
        </w:div>
        <w:div w:id="117335516">
          <w:marLeft w:val="0"/>
          <w:marRight w:val="0"/>
          <w:marTop w:val="0"/>
          <w:marBottom w:val="0"/>
          <w:divBdr>
            <w:top w:val="none" w:sz="0" w:space="0" w:color="auto"/>
            <w:left w:val="none" w:sz="0" w:space="0" w:color="auto"/>
            <w:bottom w:val="none" w:sz="0" w:space="0" w:color="auto"/>
            <w:right w:val="none" w:sz="0" w:space="0" w:color="auto"/>
          </w:divBdr>
        </w:div>
      </w:divsChild>
    </w:div>
    <w:div w:id="1395154149">
      <w:bodyDiv w:val="1"/>
      <w:marLeft w:val="0"/>
      <w:marRight w:val="0"/>
      <w:marTop w:val="0"/>
      <w:marBottom w:val="0"/>
      <w:divBdr>
        <w:top w:val="none" w:sz="0" w:space="0" w:color="auto"/>
        <w:left w:val="none" w:sz="0" w:space="0" w:color="auto"/>
        <w:bottom w:val="none" w:sz="0" w:space="0" w:color="auto"/>
        <w:right w:val="none" w:sz="0" w:space="0" w:color="auto"/>
      </w:divBdr>
    </w:div>
    <w:div w:id="1424451097">
      <w:bodyDiv w:val="1"/>
      <w:marLeft w:val="0"/>
      <w:marRight w:val="0"/>
      <w:marTop w:val="0"/>
      <w:marBottom w:val="0"/>
      <w:divBdr>
        <w:top w:val="none" w:sz="0" w:space="0" w:color="auto"/>
        <w:left w:val="none" w:sz="0" w:space="0" w:color="auto"/>
        <w:bottom w:val="none" w:sz="0" w:space="0" w:color="auto"/>
        <w:right w:val="none" w:sz="0" w:space="0" w:color="auto"/>
      </w:divBdr>
    </w:div>
    <w:div w:id="1472938035">
      <w:bodyDiv w:val="1"/>
      <w:marLeft w:val="0"/>
      <w:marRight w:val="0"/>
      <w:marTop w:val="0"/>
      <w:marBottom w:val="0"/>
      <w:divBdr>
        <w:top w:val="none" w:sz="0" w:space="0" w:color="auto"/>
        <w:left w:val="none" w:sz="0" w:space="0" w:color="auto"/>
        <w:bottom w:val="none" w:sz="0" w:space="0" w:color="auto"/>
        <w:right w:val="none" w:sz="0" w:space="0" w:color="auto"/>
      </w:divBdr>
    </w:div>
    <w:div w:id="1803772358">
      <w:bodyDiv w:val="1"/>
      <w:marLeft w:val="0"/>
      <w:marRight w:val="0"/>
      <w:marTop w:val="0"/>
      <w:marBottom w:val="0"/>
      <w:divBdr>
        <w:top w:val="none" w:sz="0" w:space="0" w:color="auto"/>
        <w:left w:val="none" w:sz="0" w:space="0" w:color="auto"/>
        <w:bottom w:val="none" w:sz="0" w:space="0" w:color="auto"/>
        <w:right w:val="none" w:sz="0" w:space="0" w:color="auto"/>
      </w:divBdr>
    </w:div>
    <w:div w:id="1911695490">
      <w:bodyDiv w:val="1"/>
      <w:marLeft w:val="0"/>
      <w:marRight w:val="0"/>
      <w:marTop w:val="0"/>
      <w:marBottom w:val="0"/>
      <w:divBdr>
        <w:top w:val="none" w:sz="0" w:space="0" w:color="auto"/>
        <w:left w:val="none" w:sz="0" w:space="0" w:color="auto"/>
        <w:bottom w:val="none" w:sz="0" w:space="0" w:color="auto"/>
        <w:right w:val="none" w:sz="0" w:space="0" w:color="auto"/>
      </w:divBdr>
    </w:div>
    <w:div w:id="1917855950">
      <w:bodyDiv w:val="1"/>
      <w:marLeft w:val="0"/>
      <w:marRight w:val="0"/>
      <w:marTop w:val="0"/>
      <w:marBottom w:val="0"/>
      <w:divBdr>
        <w:top w:val="none" w:sz="0" w:space="0" w:color="auto"/>
        <w:left w:val="none" w:sz="0" w:space="0" w:color="auto"/>
        <w:bottom w:val="none" w:sz="0" w:space="0" w:color="auto"/>
        <w:right w:val="none" w:sz="0" w:space="0" w:color="auto"/>
      </w:divBdr>
    </w:div>
    <w:div w:id="1971132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F51EDA-3757-46B9-A055-378437A7B6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4143</Words>
  <Characters>23616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Ngoc</dc:creator>
  <cp:lastModifiedBy>Tri Nguyen Tien</cp:lastModifiedBy>
  <cp:revision>6</cp:revision>
  <cp:lastPrinted>2026-04-23T10:39:00Z</cp:lastPrinted>
  <dcterms:created xsi:type="dcterms:W3CDTF">2026-04-23T10:39:00Z</dcterms:created>
  <dcterms:modified xsi:type="dcterms:W3CDTF">2026-05-07T10:17:00Z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eyJoZGlkIjoiZjBkMTZkNDY0ZjExMDNkMDdlNWVlZWVmOTMwODkyODUiLCJ1c2VySWQiOiIxMzkyMjkwMzc4Mzg3In0=</vt:lpwstr>
  </property>
  <property fmtid="{D5CDD505-2E9C-101B-9397-08002B2CF9AE}" pid="3" name="KSOProductBuildVer">
    <vt:lpwstr>1033-12.1.0.25180</vt:lpwstr>
  </property>
  <property fmtid="{D5CDD505-2E9C-101B-9397-08002B2CF9AE}" pid="4" name="ICV">
    <vt:lpwstr>6D97ECF6D93E4741B0E8D61557390774_12</vt:lpwstr>
  </property>
</Properties>
</file>