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82" w:rsidRDefault="006E405D" w:rsidP="00736B5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CỤC QUẢN LÝ CÔNG SẢN</w:t>
      </w:r>
      <w:r w:rsidR="00DF3908">
        <w:rPr>
          <w:rFonts w:ascii="Times New Roman" w:hAnsi="Times New Roman" w:cs="Times New Roman"/>
          <w:b/>
          <w:bCs/>
          <w:sz w:val="26"/>
          <w:szCs w:val="26"/>
        </w:rPr>
        <w:t xml:space="preserve">                                                 </w:t>
      </w:r>
    </w:p>
    <w:p w:rsidR="00DF3908" w:rsidRDefault="00DF3908" w:rsidP="00E91082">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Phụ lục:</w:t>
      </w:r>
    </w:p>
    <w:p w:rsidR="00DF3908" w:rsidRPr="008F4BD5" w:rsidRDefault="00DF3908" w:rsidP="00736B52">
      <w:pPr>
        <w:spacing w:after="0" w:line="240" w:lineRule="auto"/>
        <w:rPr>
          <w:rFonts w:ascii="Times New Roman" w:hAnsi="Times New Roman" w:cs="Times New Roman"/>
          <w:b/>
          <w:bCs/>
          <w:sz w:val="8"/>
          <w:szCs w:val="26"/>
        </w:rPr>
      </w:pPr>
    </w:p>
    <w:p w:rsidR="002368B8" w:rsidRPr="002368B8" w:rsidRDefault="002368B8" w:rsidP="00736B52">
      <w:pPr>
        <w:spacing w:after="0" w:line="240" w:lineRule="auto"/>
        <w:jc w:val="center"/>
        <w:rPr>
          <w:rFonts w:ascii="Times New Roman" w:hAnsi="Times New Roman" w:cs="Times New Roman"/>
          <w:b/>
          <w:bCs/>
          <w:sz w:val="26"/>
          <w:szCs w:val="26"/>
        </w:rPr>
      </w:pPr>
      <w:r w:rsidRPr="002368B8">
        <w:rPr>
          <w:rFonts w:ascii="Times New Roman" w:hAnsi="Times New Roman" w:cs="Times New Roman"/>
          <w:b/>
          <w:bCs/>
          <w:sz w:val="26"/>
          <w:szCs w:val="26"/>
        </w:rPr>
        <w:t>BẢN TỔNG HỢP KIẾN NGHỊ, ĐỀ XUẤT</w:t>
      </w:r>
      <w:r w:rsidR="00BD4DB9">
        <w:rPr>
          <w:rFonts w:ascii="Times New Roman" w:hAnsi="Times New Roman" w:cs="Times New Roman"/>
          <w:b/>
          <w:bCs/>
          <w:sz w:val="26"/>
          <w:szCs w:val="26"/>
        </w:rPr>
        <w:t>, TIẾP THU, GIẢI TRÌNH KIẾN NGHỊ, ĐỀ XUẤT</w:t>
      </w:r>
      <w:r w:rsidRPr="002368B8">
        <w:rPr>
          <w:rFonts w:ascii="Times New Roman" w:hAnsi="Times New Roman" w:cs="Times New Roman"/>
          <w:b/>
          <w:bCs/>
          <w:sz w:val="26"/>
          <w:szCs w:val="26"/>
        </w:rPr>
        <w:t xml:space="preserve"> CỦA BỘ, NGÀNH, ĐỊA PHƯƠNG VỀ </w:t>
      </w:r>
      <w:r w:rsidR="00321F9F">
        <w:rPr>
          <w:rFonts w:ascii="Times New Roman" w:hAnsi="Times New Roman" w:cs="Times New Roman"/>
          <w:b/>
          <w:bCs/>
          <w:sz w:val="26"/>
          <w:szCs w:val="26"/>
        </w:rPr>
        <w:t>NGHỊ</w:t>
      </w:r>
      <w:r w:rsidRPr="002368B8">
        <w:rPr>
          <w:rFonts w:ascii="Times New Roman" w:hAnsi="Times New Roman" w:cs="Times New Roman"/>
          <w:b/>
          <w:bCs/>
          <w:sz w:val="26"/>
          <w:szCs w:val="26"/>
        </w:rPr>
        <w:t xml:space="preserve"> ĐỊNH SỐ 15</w:t>
      </w:r>
      <w:r w:rsidR="00321F9F">
        <w:rPr>
          <w:rFonts w:ascii="Times New Roman" w:hAnsi="Times New Roman" w:cs="Times New Roman"/>
          <w:b/>
          <w:bCs/>
          <w:sz w:val="26"/>
          <w:szCs w:val="26"/>
        </w:rPr>
        <w:t>5</w:t>
      </w:r>
      <w:r w:rsidRPr="002368B8">
        <w:rPr>
          <w:rFonts w:ascii="Times New Roman" w:hAnsi="Times New Roman" w:cs="Times New Roman"/>
          <w:b/>
          <w:bCs/>
          <w:sz w:val="26"/>
          <w:szCs w:val="26"/>
        </w:rPr>
        <w:t>/2025/QĐ-TTG</w:t>
      </w:r>
      <w:r w:rsidR="00321F9F">
        <w:rPr>
          <w:rFonts w:ascii="Times New Roman" w:hAnsi="Times New Roman" w:cs="Times New Roman"/>
          <w:b/>
          <w:bCs/>
          <w:sz w:val="26"/>
          <w:szCs w:val="26"/>
        </w:rPr>
        <w:t xml:space="preserve"> NGÀY 16/6/2025</w:t>
      </w:r>
      <w:r>
        <w:rPr>
          <w:rFonts w:ascii="Times New Roman" w:hAnsi="Times New Roman" w:cs="Times New Roman"/>
          <w:b/>
          <w:bCs/>
          <w:sz w:val="26"/>
          <w:szCs w:val="26"/>
        </w:rPr>
        <w:t xml:space="preserve"> CỦA CHÍNH PHỦ</w:t>
      </w:r>
    </w:p>
    <w:p w:rsidR="002368B8" w:rsidRDefault="002368B8" w:rsidP="00736B52">
      <w:pPr>
        <w:spacing w:after="0" w:line="240" w:lineRule="auto"/>
        <w:jc w:val="center"/>
        <w:rPr>
          <w:rFonts w:ascii="Times New Roman" w:hAnsi="Times New Roman" w:cs="Times New Roman"/>
          <w:i/>
          <w:iCs/>
          <w:sz w:val="26"/>
          <w:szCs w:val="26"/>
        </w:rPr>
      </w:pPr>
      <w:r w:rsidRPr="002368B8">
        <w:rPr>
          <w:rFonts w:ascii="Times New Roman" w:hAnsi="Times New Roman" w:cs="Times New Roman"/>
          <w:i/>
          <w:iCs/>
          <w:sz w:val="26"/>
          <w:szCs w:val="26"/>
        </w:rPr>
        <w:t xml:space="preserve">(Theo Công văn số </w:t>
      </w:r>
      <w:r w:rsidR="00C97FBB">
        <w:rPr>
          <w:rFonts w:ascii="Times New Roman" w:hAnsi="Times New Roman" w:cs="Times New Roman"/>
          <w:i/>
          <w:iCs/>
          <w:sz w:val="26"/>
          <w:szCs w:val="26"/>
        </w:rPr>
        <w:t>1817</w:t>
      </w:r>
      <w:r w:rsidRPr="002368B8">
        <w:rPr>
          <w:rFonts w:ascii="Times New Roman" w:hAnsi="Times New Roman" w:cs="Times New Roman"/>
          <w:i/>
          <w:iCs/>
          <w:sz w:val="26"/>
          <w:szCs w:val="26"/>
        </w:rPr>
        <w:t xml:space="preserve">/BTC-QLCS ngày </w:t>
      </w:r>
      <w:r w:rsidR="00C97FBB">
        <w:rPr>
          <w:rFonts w:ascii="Times New Roman" w:hAnsi="Times New Roman" w:cs="Times New Roman"/>
          <w:i/>
          <w:iCs/>
          <w:sz w:val="26"/>
          <w:szCs w:val="26"/>
        </w:rPr>
        <w:t>12/02</w:t>
      </w:r>
      <w:r w:rsidRPr="002368B8">
        <w:rPr>
          <w:rFonts w:ascii="Times New Roman" w:hAnsi="Times New Roman" w:cs="Times New Roman"/>
          <w:i/>
          <w:iCs/>
          <w:sz w:val="26"/>
          <w:szCs w:val="26"/>
        </w:rPr>
        <w:t>/2026 của Bộ Tài chính)</w:t>
      </w:r>
    </w:p>
    <w:p w:rsidR="008F4BD5" w:rsidRPr="008F4BD5" w:rsidRDefault="008F4BD5" w:rsidP="00736B52">
      <w:pPr>
        <w:spacing w:after="0" w:line="240" w:lineRule="auto"/>
        <w:jc w:val="center"/>
        <w:rPr>
          <w:rFonts w:ascii="Times New Roman" w:hAnsi="Times New Roman" w:cs="Times New Roman"/>
          <w:iCs/>
          <w:sz w:val="26"/>
          <w:szCs w:val="26"/>
        </w:rPr>
      </w:pPr>
    </w:p>
    <w:p w:rsidR="008F4BD5" w:rsidRPr="008F4BD5" w:rsidRDefault="008F4BD5" w:rsidP="008F4BD5">
      <w:pPr>
        <w:spacing w:after="0" w:line="240" w:lineRule="auto"/>
        <w:ind w:firstLine="900"/>
        <w:jc w:val="both"/>
        <w:rPr>
          <w:rFonts w:ascii="Times New Roman" w:hAnsi="Times New Roman" w:cs="Times New Roman"/>
          <w:iCs/>
          <w:sz w:val="26"/>
          <w:szCs w:val="26"/>
        </w:rPr>
      </w:pPr>
      <w:r w:rsidRPr="008F4BD5">
        <w:rPr>
          <w:rFonts w:ascii="Times New Roman" w:hAnsi="Times New Roman" w:cs="Times New Roman"/>
          <w:iCs/>
          <w:sz w:val="26"/>
          <w:szCs w:val="26"/>
        </w:rPr>
        <w:t xml:space="preserve">1. </w:t>
      </w:r>
      <w:r w:rsidR="0073751D">
        <w:rPr>
          <w:rFonts w:ascii="Times New Roman" w:hAnsi="Times New Roman" w:cs="Times New Roman"/>
          <w:iCs/>
          <w:sz w:val="26"/>
          <w:szCs w:val="26"/>
        </w:rPr>
        <w:t>Cục QLCS</w:t>
      </w:r>
      <w:r w:rsidR="00747E4E">
        <w:rPr>
          <w:rFonts w:ascii="Times New Roman" w:hAnsi="Times New Roman" w:cs="Times New Roman"/>
          <w:iCs/>
          <w:sz w:val="26"/>
          <w:szCs w:val="26"/>
        </w:rPr>
        <w:t xml:space="preserve"> báo cáo Bộ có Văn bản</w:t>
      </w:r>
      <w:r w:rsidRPr="008F4BD5">
        <w:rPr>
          <w:rFonts w:ascii="Times New Roman" w:hAnsi="Times New Roman" w:cs="Times New Roman"/>
          <w:iCs/>
          <w:sz w:val="26"/>
          <w:szCs w:val="26"/>
        </w:rPr>
        <w:t xml:space="preserve"> </w:t>
      </w:r>
      <w:r w:rsidR="00E91082">
        <w:rPr>
          <w:rFonts w:ascii="Times New Roman" w:hAnsi="Times New Roman" w:cs="Times New Roman"/>
          <w:iCs/>
          <w:sz w:val="26"/>
          <w:szCs w:val="26"/>
        </w:rPr>
        <w:t xml:space="preserve">đề nghị Bộ, ngành, địa phương </w:t>
      </w:r>
      <w:r w:rsidR="00E91082" w:rsidRPr="00E91082">
        <w:rPr>
          <w:rFonts w:ascii="Times New Roman" w:hAnsi="Times New Roman" w:cs="Times New Roman"/>
          <w:iCs/>
          <w:sz w:val="26"/>
          <w:szCs w:val="26"/>
          <w:lang w:val="nl-NL"/>
        </w:rPr>
        <w:t>đánh giá việc triển khai thực hiện Nghị định số 155/2025/NĐ-CP</w:t>
      </w:r>
      <w:r w:rsidRPr="008F4BD5">
        <w:rPr>
          <w:rFonts w:ascii="Times New Roman" w:hAnsi="Times New Roman" w:cs="Times New Roman"/>
          <w:iCs/>
          <w:sz w:val="26"/>
          <w:szCs w:val="26"/>
          <w:lang w:val="nl-NL"/>
        </w:rPr>
        <w:t xml:space="preserve">. </w:t>
      </w:r>
      <w:r w:rsidRPr="008F4BD5">
        <w:rPr>
          <w:rFonts w:ascii="Times New Roman" w:hAnsi="Times New Roman" w:cs="Times New Roman"/>
          <w:iCs/>
          <w:sz w:val="26"/>
          <w:szCs w:val="26"/>
          <w:lang w:val="vi-VN"/>
        </w:rPr>
        <w:t>Đến ngày</w:t>
      </w:r>
      <w:r w:rsidRPr="008F4BD5">
        <w:rPr>
          <w:rFonts w:ascii="Times New Roman" w:hAnsi="Times New Roman" w:cs="Times New Roman"/>
          <w:iCs/>
          <w:sz w:val="26"/>
          <w:szCs w:val="26"/>
        </w:rPr>
        <w:t xml:space="preserve"> </w:t>
      </w:r>
      <w:r w:rsidR="00E91082">
        <w:rPr>
          <w:rFonts w:ascii="Times New Roman" w:hAnsi="Times New Roman" w:cs="Times New Roman"/>
          <w:iCs/>
          <w:sz w:val="26"/>
          <w:szCs w:val="26"/>
        </w:rPr>
        <w:t>16</w:t>
      </w:r>
      <w:r w:rsidRPr="008F4BD5">
        <w:rPr>
          <w:rFonts w:ascii="Times New Roman" w:hAnsi="Times New Roman" w:cs="Times New Roman"/>
          <w:iCs/>
          <w:sz w:val="26"/>
          <w:szCs w:val="26"/>
          <w:lang w:val="vi-VN"/>
        </w:rPr>
        <w:t>/</w:t>
      </w:r>
      <w:r w:rsidR="00E91082">
        <w:rPr>
          <w:rFonts w:ascii="Times New Roman" w:hAnsi="Times New Roman" w:cs="Times New Roman"/>
          <w:iCs/>
          <w:sz w:val="26"/>
          <w:szCs w:val="26"/>
        </w:rPr>
        <w:t>3/</w:t>
      </w:r>
      <w:r w:rsidR="00E91082">
        <w:rPr>
          <w:rFonts w:ascii="Times New Roman" w:hAnsi="Times New Roman" w:cs="Times New Roman"/>
          <w:iCs/>
          <w:sz w:val="26"/>
          <w:szCs w:val="26"/>
          <w:lang w:val="vi-VN"/>
        </w:rPr>
        <w:t>202</w:t>
      </w:r>
      <w:r w:rsidR="00E91082">
        <w:rPr>
          <w:rFonts w:ascii="Times New Roman" w:hAnsi="Times New Roman" w:cs="Times New Roman"/>
          <w:iCs/>
          <w:sz w:val="26"/>
          <w:szCs w:val="26"/>
        </w:rPr>
        <w:t>6</w:t>
      </w:r>
      <w:r w:rsidRPr="008F4BD5">
        <w:rPr>
          <w:rFonts w:ascii="Times New Roman" w:hAnsi="Times New Roman" w:cs="Times New Roman"/>
          <w:iCs/>
          <w:sz w:val="26"/>
          <w:szCs w:val="26"/>
          <w:lang w:val="vi-VN"/>
        </w:rPr>
        <w:t xml:space="preserve">, </w:t>
      </w:r>
      <w:r w:rsidR="00124B0C">
        <w:rPr>
          <w:rFonts w:ascii="Times New Roman" w:hAnsi="Times New Roman" w:cs="Times New Roman"/>
          <w:iCs/>
          <w:sz w:val="26"/>
          <w:szCs w:val="26"/>
        </w:rPr>
        <w:t>Cục QLCS</w:t>
      </w:r>
      <w:r w:rsidR="00747E4E">
        <w:rPr>
          <w:rFonts w:ascii="Times New Roman" w:hAnsi="Times New Roman" w:cs="Times New Roman"/>
          <w:iCs/>
          <w:sz w:val="26"/>
          <w:szCs w:val="26"/>
        </w:rPr>
        <w:t xml:space="preserve"> nhận được </w:t>
      </w:r>
      <w:r w:rsidR="00D202C4">
        <w:rPr>
          <w:rFonts w:ascii="Times New Roman" w:hAnsi="Times New Roman" w:cs="Times New Roman"/>
          <w:iCs/>
          <w:sz w:val="26"/>
          <w:szCs w:val="26"/>
        </w:rPr>
        <w:t>6</w:t>
      </w:r>
      <w:r w:rsidR="00E50FB1">
        <w:rPr>
          <w:rFonts w:ascii="Times New Roman" w:hAnsi="Times New Roman" w:cs="Times New Roman"/>
          <w:iCs/>
          <w:sz w:val="26"/>
          <w:szCs w:val="26"/>
        </w:rPr>
        <w:t>4</w:t>
      </w:r>
      <w:r w:rsidR="00E91082">
        <w:rPr>
          <w:rFonts w:ascii="Times New Roman" w:hAnsi="Times New Roman" w:cs="Times New Roman"/>
          <w:iCs/>
          <w:sz w:val="26"/>
          <w:szCs w:val="26"/>
        </w:rPr>
        <w:t>/66</w:t>
      </w:r>
      <w:r w:rsidR="00E96169">
        <w:rPr>
          <w:rStyle w:val="FootnoteReference"/>
          <w:rFonts w:ascii="Times New Roman" w:hAnsi="Times New Roman" w:cs="Times New Roman"/>
          <w:iCs/>
          <w:sz w:val="26"/>
          <w:szCs w:val="26"/>
        </w:rPr>
        <w:footnoteReference w:id="1"/>
      </w:r>
      <w:r w:rsidRPr="008F4BD5">
        <w:rPr>
          <w:rFonts w:ascii="Times New Roman" w:hAnsi="Times New Roman" w:cs="Times New Roman"/>
          <w:iCs/>
          <w:sz w:val="26"/>
          <w:szCs w:val="26"/>
          <w:lang w:val="vi-VN"/>
        </w:rPr>
        <w:t xml:space="preserve"> Bộ, ngành, địa phương (gồm: </w:t>
      </w:r>
      <w:r w:rsidR="00E50FB1">
        <w:rPr>
          <w:rFonts w:ascii="Times New Roman" w:hAnsi="Times New Roman" w:cs="Times New Roman"/>
          <w:iCs/>
          <w:sz w:val="26"/>
          <w:szCs w:val="26"/>
        </w:rPr>
        <w:t>30</w:t>
      </w:r>
      <w:r w:rsidR="00747E4E">
        <w:rPr>
          <w:rFonts w:ascii="Times New Roman" w:hAnsi="Times New Roman" w:cs="Times New Roman"/>
          <w:iCs/>
          <w:sz w:val="26"/>
          <w:szCs w:val="26"/>
        </w:rPr>
        <w:t>/32</w:t>
      </w:r>
      <w:r w:rsidRPr="008F4BD5">
        <w:rPr>
          <w:rFonts w:ascii="Times New Roman" w:hAnsi="Times New Roman" w:cs="Times New Roman"/>
          <w:iCs/>
          <w:sz w:val="26"/>
          <w:szCs w:val="26"/>
          <w:lang w:val="vi-VN"/>
        </w:rPr>
        <w:t xml:space="preserve"> Bộ, CQ TW, </w:t>
      </w:r>
      <w:r w:rsidR="00721F65">
        <w:rPr>
          <w:rFonts w:ascii="Times New Roman" w:hAnsi="Times New Roman" w:cs="Times New Roman"/>
          <w:iCs/>
          <w:sz w:val="26"/>
          <w:szCs w:val="26"/>
        </w:rPr>
        <w:t>34</w:t>
      </w:r>
      <w:r w:rsidR="00747E4E">
        <w:rPr>
          <w:rFonts w:ascii="Times New Roman" w:hAnsi="Times New Roman" w:cs="Times New Roman"/>
          <w:iCs/>
          <w:sz w:val="26"/>
          <w:szCs w:val="26"/>
        </w:rPr>
        <w:t xml:space="preserve">/34 </w:t>
      </w:r>
      <w:r w:rsidRPr="008F4BD5">
        <w:rPr>
          <w:rFonts w:ascii="Times New Roman" w:hAnsi="Times New Roman" w:cs="Times New Roman"/>
          <w:iCs/>
          <w:sz w:val="26"/>
          <w:szCs w:val="26"/>
          <w:lang w:val="vi-VN"/>
        </w:rPr>
        <w:t>ĐP</w:t>
      </w:r>
      <w:r w:rsidR="00747E4E">
        <w:rPr>
          <w:rFonts w:ascii="Times New Roman" w:hAnsi="Times New Roman" w:cs="Times New Roman"/>
          <w:iCs/>
          <w:sz w:val="26"/>
          <w:szCs w:val="26"/>
        </w:rPr>
        <w:t>) g</w:t>
      </w:r>
      <w:r w:rsidRPr="008F4BD5">
        <w:rPr>
          <w:rFonts w:ascii="Times New Roman" w:hAnsi="Times New Roman" w:cs="Times New Roman"/>
          <w:iCs/>
          <w:sz w:val="26"/>
          <w:szCs w:val="26"/>
          <w:lang w:val="vi-VN"/>
        </w:rPr>
        <w:t>ử</w:t>
      </w:r>
      <w:r w:rsidR="00747E4E">
        <w:rPr>
          <w:rFonts w:ascii="Times New Roman" w:hAnsi="Times New Roman" w:cs="Times New Roman"/>
          <w:iCs/>
          <w:sz w:val="26"/>
          <w:szCs w:val="26"/>
          <w:lang w:val="vi-VN"/>
        </w:rPr>
        <w:t xml:space="preserve">i </w:t>
      </w:r>
      <w:r w:rsidRPr="008F4BD5">
        <w:rPr>
          <w:rFonts w:ascii="Times New Roman" w:hAnsi="Times New Roman" w:cs="Times New Roman"/>
          <w:iCs/>
          <w:sz w:val="26"/>
          <w:szCs w:val="26"/>
          <w:lang w:val="vi-VN"/>
        </w:rPr>
        <w:t>văn bản về Bộ Tài chính; trong đó</w:t>
      </w:r>
      <w:r w:rsidR="00282D1E">
        <w:rPr>
          <w:rFonts w:ascii="Times New Roman" w:hAnsi="Times New Roman" w:cs="Times New Roman"/>
          <w:iCs/>
          <w:sz w:val="26"/>
          <w:szCs w:val="26"/>
        </w:rPr>
        <w:t xml:space="preserve"> có </w:t>
      </w:r>
      <w:r w:rsidR="00DB3F7D">
        <w:rPr>
          <w:rFonts w:ascii="Times New Roman" w:hAnsi="Times New Roman" w:cs="Times New Roman"/>
          <w:iCs/>
          <w:sz w:val="26"/>
          <w:szCs w:val="26"/>
        </w:rPr>
        <w:t>31</w:t>
      </w:r>
      <w:r w:rsidR="00282D1E">
        <w:rPr>
          <w:rFonts w:ascii="Times New Roman" w:hAnsi="Times New Roman" w:cs="Times New Roman"/>
          <w:iCs/>
          <w:sz w:val="26"/>
          <w:szCs w:val="26"/>
        </w:rPr>
        <w:t>/</w:t>
      </w:r>
      <w:r w:rsidR="00A70B12">
        <w:rPr>
          <w:rFonts w:ascii="Times New Roman" w:hAnsi="Times New Roman" w:cs="Times New Roman"/>
          <w:iCs/>
          <w:sz w:val="26"/>
          <w:szCs w:val="26"/>
        </w:rPr>
        <w:t>6</w:t>
      </w:r>
      <w:r w:rsidR="00DB3F7D">
        <w:rPr>
          <w:rFonts w:ascii="Times New Roman" w:hAnsi="Times New Roman" w:cs="Times New Roman"/>
          <w:iCs/>
          <w:sz w:val="26"/>
          <w:szCs w:val="26"/>
        </w:rPr>
        <w:t>4</w:t>
      </w:r>
      <w:r w:rsidRPr="008F4BD5">
        <w:rPr>
          <w:rFonts w:ascii="Times New Roman" w:hAnsi="Times New Roman" w:cs="Times New Roman"/>
          <w:iCs/>
          <w:sz w:val="26"/>
          <w:szCs w:val="26"/>
        </w:rPr>
        <w:t xml:space="preserve"> </w:t>
      </w:r>
      <w:r w:rsidRPr="008F4BD5">
        <w:rPr>
          <w:rFonts w:ascii="Times New Roman" w:hAnsi="Times New Roman" w:cs="Times New Roman"/>
          <w:iCs/>
          <w:sz w:val="26"/>
          <w:szCs w:val="26"/>
          <w:lang w:val="vi-VN"/>
        </w:rPr>
        <w:t>đơn vị</w:t>
      </w:r>
      <w:r w:rsidR="00282D1E">
        <w:rPr>
          <w:rFonts w:ascii="Times New Roman" w:hAnsi="Times New Roman" w:cs="Times New Roman"/>
          <w:iCs/>
          <w:sz w:val="26"/>
          <w:szCs w:val="26"/>
          <w:lang w:val="vi-VN"/>
        </w:rPr>
        <w:t xml:space="preserve"> </w:t>
      </w:r>
      <w:r w:rsidR="00282D1E" w:rsidRPr="00282D1E">
        <w:rPr>
          <w:rFonts w:ascii="Times New Roman" w:hAnsi="Times New Roman" w:cs="Times New Roman"/>
          <w:iCs/>
          <w:sz w:val="26"/>
          <w:szCs w:val="26"/>
        </w:rPr>
        <w:t>có kiến nghị, đề xuất</w:t>
      </w:r>
      <w:r w:rsidRPr="008F4BD5">
        <w:rPr>
          <w:rFonts w:ascii="Times New Roman" w:hAnsi="Times New Roman" w:cs="Times New Roman"/>
          <w:iCs/>
          <w:sz w:val="26"/>
          <w:szCs w:val="26"/>
          <w:lang w:val="vi-VN"/>
        </w:rPr>
        <w:t xml:space="preserve">. </w:t>
      </w:r>
    </w:p>
    <w:p w:rsidR="008F4BD5" w:rsidRPr="008F4BD5" w:rsidRDefault="008F4BD5" w:rsidP="008F4BD5">
      <w:pPr>
        <w:spacing w:after="0" w:line="240" w:lineRule="auto"/>
        <w:ind w:firstLine="900"/>
        <w:jc w:val="both"/>
        <w:rPr>
          <w:rFonts w:ascii="Times New Roman" w:hAnsi="Times New Roman" w:cs="Times New Roman"/>
          <w:iCs/>
          <w:sz w:val="26"/>
          <w:szCs w:val="26"/>
        </w:rPr>
      </w:pPr>
      <w:r w:rsidRPr="008F4BD5">
        <w:rPr>
          <w:rFonts w:ascii="Times New Roman" w:hAnsi="Times New Roman" w:cs="Times New Roman"/>
          <w:iCs/>
          <w:sz w:val="26"/>
          <w:szCs w:val="26"/>
        </w:rPr>
        <w:t xml:space="preserve">2. </w:t>
      </w:r>
      <w:r w:rsidR="00FA2639">
        <w:rPr>
          <w:rFonts w:ascii="Times New Roman" w:hAnsi="Times New Roman" w:cs="Times New Roman"/>
          <w:iCs/>
          <w:sz w:val="26"/>
          <w:szCs w:val="26"/>
        </w:rPr>
        <w:t>Cục QLCS</w:t>
      </w:r>
      <w:r w:rsidRPr="008F4BD5">
        <w:rPr>
          <w:rFonts w:ascii="Times New Roman" w:hAnsi="Times New Roman" w:cs="Times New Roman"/>
          <w:iCs/>
          <w:sz w:val="26"/>
          <w:szCs w:val="26"/>
          <w:lang w:val="vi-VN"/>
        </w:rPr>
        <w:t xml:space="preserve"> đã tổng hợp, giải trình, tiếp thu cụ thể như sau:</w:t>
      </w:r>
    </w:p>
    <w:p w:rsidR="002368B8" w:rsidRPr="002368B8" w:rsidRDefault="002368B8" w:rsidP="008F4BD5">
      <w:pPr>
        <w:spacing w:after="0" w:line="240" w:lineRule="auto"/>
        <w:jc w:val="both"/>
        <w:rPr>
          <w:rFonts w:ascii="Times New Roman" w:hAnsi="Times New Roman" w:cs="Times New Roman"/>
          <w:sz w:val="26"/>
          <w:szCs w:val="26"/>
        </w:rPr>
      </w:pPr>
    </w:p>
    <w:tbl>
      <w:tblPr>
        <w:tblStyle w:val="TableGrid"/>
        <w:tblW w:w="14850" w:type="dxa"/>
        <w:tblLook w:val="04A0"/>
      </w:tblPr>
      <w:tblGrid>
        <w:gridCol w:w="1625"/>
        <w:gridCol w:w="1812"/>
        <w:gridCol w:w="7728"/>
        <w:gridCol w:w="3685"/>
      </w:tblGrid>
      <w:tr w:rsidR="00A429F4" w:rsidRPr="00906E1B" w:rsidTr="00C067F9">
        <w:tc>
          <w:tcPr>
            <w:tcW w:w="1625" w:type="dxa"/>
            <w:vAlign w:val="center"/>
          </w:tcPr>
          <w:p w:rsidR="00A429F4" w:rsidRPr="00906E1B" w:rsidRDefault="00A429F4" w:rsidP="00DF3908">
            <w:pPr>
              <w:jc w:val="center"/>
              <w:rPr>
                <w:rFonts w:ascii="Times New Roman" w:hAnsi="Times New Roman" w:cs="Times New Roman"/>
                <w:b/>
                <w:sz w:val="24"/>
                <w:szCs w:val="24"/>
              </w:rPr>
            </w:pPr>
            <w:r w:rsidRPr="00906E1B">
              <w:rPr>
                <w:rFonts w:ascii="Times New Roman" w:hAnsi="Times New Roman" w:cs="Times New Roman"/>
                <w:b/>
                <w:sz w:val="24"/>
                <w:szCs w:val="24"/>
              </w:rPr>
              <w:t>Nội dung</w:t>
            </w:r>
          </w:p>
        </w:tc>
        <w:tc>
          <w:tcPr>
            <w:tcW w:w="1812" w:type="dxa"/>
            <w:vAlign w:val="center"/>
          </w:tcPr>
          <w:p w:rsidR="00A429F4" w:rsidRPr="00906E1B" w:rsidRDefault="00A429F4" w:rsidP="00DF3908">
            <w:pPr>
              <w:jc w:val="center"/>
              <w:rPr>
                <w:rFonts w:ascii="Times New Roman" w:hAnsi="Times New Roman" w:cs="Times New Roman"/>
                <w:b/>
                <w:sz w:val="24"/>
                <w:szCs w:val="24"/>
              </w:rPr>
            </w:pPr>
            <w:r w:rsidRPr="00906E1B">
              <w:rPr>
                <w:rFonts w:ascii="Times New Roman" w:hAnsi="Times New Roman" w:cs="Times New Roman"/>
                <w:b/>
                <w:sz w:val="24"/>
                <w:szCs w:val="24"/>
              </w:rPr>
              <w:t>Bộ, ngành/Địa phương</w:t>
            </w:r>
          </w:p>
        </w:tc>
        <w:tc>
          <w:tcPr>
            <w:tcW w:w="7728" w:type="dxa"/>
            <w:vAlign w:val="center"/>
          </w:tcPr>
          <w:p w:rsidR="00A429F4" w:rsidRPr="00906E1B" w:rsidRDefault="00A429F4" w:rsidP="00DF3908">
            <w:pPr>
              <w:jc w:val="center"/>
              <w:rPr>
                <w:rFonts w:ascii="Times New Roman" w:hAnsi="Times New Roman" w:cs="Times New Roman"/>
                <w:b/>
                <w:sz w:val="24"/>
                <w:szCs w:val="24"/>
              </w:rPr>
            </w:pPr>
            <w:r w:rsidRPr="00906E1B">
              <w:rPr>
                <w:rFonts w:ascii="Times New Roman" w:hAnsi="Times New Roman" w:cs="Times New Roman"/>
                <w:b/>
                <w:sz w:val="24"/>
                <w:szCs w:val="24"/>
              </w:rPr>
              <w:t>Kiến nghị, đề xuất</w:t>
            </w:r>
          </w:p>
        </w:tc>
        <w:tc>
          <w:tcPr>
            <w:tcW w:w="3685" w:type="dxa"/>
            <w:vAlign w:val="center"/>
          </w:tcPr>
          <w:p w:rsidR="00A429F4" w:rsidRPr="00906E1B" w:rsidRDefault="00A429F4" w:rsidP="00DF3908">
            <w:pPr>
              <w:jc w:val="center"/>
              <w:rPr>
                <w:rFonts w:ascii="Times New Roman" w:hAnsi="Times New Roman" w:cs="Times New Roman"/>
                <w:b/>
                <w:sz w:val="24"/>
                <w:szCs w:val="24"/>
              </w:rPr>
            </w:pPr>
            <w:r w:rsidRPr="00906E1B">
              <w:rPr>
                <w:rFonts w:ascii="Times New Roman" w:hAnsi="Times New Roman" w:cs="Times New Roman"/>
                <w:b/>
                <w:sz w:val="24"/>
                <w:szCs w:val="24"/>
              </w:rPr>
              <w:t>Tiếp thu, giải trình</w:t>
            </w:r>
          </w:p>
        </w:tc>
      </w:tr>
      <w:tr w:rsidR="00A429F4" w:rsidRPr="006C0077" w:rsidTr="00C067F9">
        <w:tc>
          <w:tcPr>
            <w:tcW w:w="1625" w:type="dxa"/>
          </w:tcPr>
          <w:p w:rsidR="00A429F4" w:rsidRPr="006C0077" w:rsidRDefault="00A429F4" w:rsidP="006C0077">
            <w:pPr>
              <w:spacing w:before="40" w:after="40"/>
              <w:rPr>
                <w:rFonts w:ascii="Times New Roman" w:hAnsi="Times New Roman" w:cs="Times New Roman"/>
                <w:b/>
                <w:bCs/>
                <w:spacing w:val="-2"/>
              </w:rPr>
            </w:pPr>
            <w:r>
              <w:rPr>
                <w:rFonts w:ascii="Times New Roman" w:hAnsi="Times New Roman" w:cs="Times New Roman"/>
                <w:b/>
                <w:bCs/>
                <w:spacing w:val="-2"/>
              </w:rPr>
              <w:t>I. Các đơn vị không có/ không nêu đề xuất, kiến nghị</w:t>
            </w:r>
          </w:p>
        </w:tc>
        <w:tc>
          <w:tcPr>
            <w:tcW w:w="13225" w:type="dxa"/>
            <w:gridSpan w:val="3"/>
          </w:tcPr>
          <w:p w:rsidR="00A429F4" w:rsidRPr="00C1377F" w:rsidRDefault="00A429F4" w:rsidP="00C1377F">
            <w:pPr>
              <w:spacing w:before="40" w:after="40"/>
              <w:jc w:val="both"/>
              <w:rPr>
                <w:rFonts w:ascii="Times New Roman" w:hAnsi="Times New Roman" w:cs="Times New Roman"/>
                <w:bCs/>
                <w:iCs/>
                <w:spacing w:val="-2"/>
                <w:lang w:val="nl-NL"/>
              </w:rPr>
            </w:pPr>
            <w:r w:rsidRPr="00C1377F">
              <w:rPr>
                <w:rFonts w:ascii="Times New Roman" w:hAnsi="Times New Roman" w:cs="Times New Roman"/>
                <w:b/>
                <w:i/>
                <w:spacing w:val="-2"/>
                <w:lang w:val="nl-NL"/>
              </w:rPr>
              <w:t>- Các Bộ, CQTW</w:t>
            </w:r>
            <w:r>
              <w:rPr>
                <w:rFonts w:ascii="Times New Roman" w:hAnsi="Times New Roman" w:cs="Times New Roman"/>
                <w:b/>
                <w:i/>
                <w:spacing w:val="-2"/>
                <w:lang w:val="nl-NL"/>
              </w:rPr>
              <w:t xml:space="preserve"> (17)</w:t>
            </w:r>
            <w:r w:rsidRPr="00C1377F">
              <w:rPr>
                <w:rFonts w:ascii="Times New Roman" w:hAnsi="Times New Roman" w:cs="Times New Roman"/>
                <w:b/>
                <w:i/>
                <w:spacing w:val="-2"/>
                <w:lang w:val="nl-NL"/>
              </w:rPr>
              <w:t xml:space="preserve">: </w:t>
            </w:r>
            <w:r w:rsidRPr="00C1377F">
              <w:rPr>
                <w:rFonts w:ascii="Times New Roman" w:hAnsi="Times New Roman" w:cs="Times New Roman"/>
                <w:bCs/>
                <w:iCs/>
                <w:spacing w:val="-2"/>
                <w:lang w:val="nl-NL"/>
              </w:rPr>
              <w:t xml:space="preserve">(1) </w:t>
            </w:r>
            <w:r>
              <w:rPr>
                <w:rFonts w:ascii="Times New Roman" w:hAnsi="Times New Roman" w:cs="Times New Roman"/>
                <w:bCs/>
                <w:iCs/>
                <w:spacing w:val="-2"/>
                <w:lang w:val="nl-NL"/>
              </w:rPr>
              <w:t>Văn phòng Quốc hội</w:t>
            </w:r>
            <w:r w:rsidRPr="00C1377F">
              <w:rPr>
                <w:rFonts w:ascii="Times New Roman" w:hAnsi="Times New Roman" w:cs="Times New Roman"/>
                <w:bCs/>
                <w:iCs/>
                <w:spacing w:val="-2"/>
                <w:lang w:val="nl-NL"/>
              </w:rPr>
              <w:t xml:space="preserve">, (2) Văn Phòng Chủ tịch nước, (3) UBTW Mặt trận TQVN, (4) Bộ Quốc phòng, (5) </w:t>
            </w:r>
            <w:r>
              <w:rPr>
                <w:rFonts w:ascii="Times New Roman" w:hAnsi="Times New Roman" w:cs="Times New Roman"/>
                <w:bCs/>
                <w:iCs/>
                <w:spacing w:val="-2"/>
                <w:lang w:val="nl-NL"/>
              </w:rPr>
              <w:t>Ngân hàng Nhà nước Việt Nam</w:t>
            </w:r>
            <w:r w:rsidRPr="00C1377F">
              <w:rPr>
                <w:rFonts w:ascii="Times New Roman" w:hAnsi="Times New Roman" w:cs="Times New Roman"/>
                <w:bCs/>
                <w:iCs/>
                <w:spacing w:val="-2"/>
                <w:lang w:val="nl-NL"/>
              </w:rPr>
              <w:t xml:space="preserve">, (6) </w:t>
            </w:r>
            <w:r>
              <w:rPr>
                <w:rFonts w:ascii="Times New Roman" w:hAnsi="Times New Roman" w:cs="Times New Roman"/>
                <w:bCs/>
                <w:iCs/>
                <w:spacing w:val="-2"/>
                <w:lang w:val="nl-NL"/>
              </w:rPr>
              <w:t>Đại học QG TP HCM</w:t>
            </w:r>
            <w:r w:rsidRPr="00C1377F">
              <w:rPr>
                <w:rFonts w:ascii="Times New Roman" w:hAnsi="Times New Roman" w:cs="Times New Roman"/>
                <w:bCs/>
                <w:iCs/>
                <w:spacing w:val="-2"/>
                <w:lang w:val="nl-NL"/>
              </w:rPr>
              <w:t xml:space="preserve">, (7) Bộ Công an, (8) </w:t>
            </w:r>
            <w:r>
              <w:rPr>
                <w:rFonts w:ascii="Times New Roman" w:hAnsi="Times New Roman" w:cs="Times New Roman"/>
                <w:bCs/>
                <w:iCs/>
                <w:spacing w:val="-2"/>
                <w:lang w:val="nl-NL"/>
              </w:rPr>
              <w:t>Thông tấn xã VN</w:t>
            </w:r>
            <w:r w:rsidRPr="00C1377F">
              <w:rPr>
                <w:rFonts w:ascii="Times New Roman" w:hAnsi="Times New Roman" w:cs="Times New Roman"/>
                <w:bCs/>
                <w:iCs/>
                <w:spacing w:val="-2"/>
                <w:lang w:val="nl-NL"/>
              </w:rPr>
              <w:t xml:space="preserve">, (9) </w:t>
            </w:r>
            <w:r>
              <w:rPr>
                <w:rFonts w:ascii="Times New Roman" w:hAnsi="Times New Roman" w:cs="Times New Roman"/>
                <w:bCs/>
                <w:iCs/>
                <w:spacing w:val="-2"/>
                <w:lang w:val="nl-NL"/>
              </w:rPr>
              <w:t>Đài TNVN,</w:t>
            </w:r>
            <w:r w:rsidRPr="00C1377F">
              <w:rPr>
                <w:rFonts w:ascii="Times New Roman" w:hAnsi="Times New Roman" w:cs="Times New Roman"/>
                <w:bCs/>
                <w:iCs/>
                <w:spacing w:val="-2"/>
                <w:lang w:val="nl-NL"/>
              </w:rPr>
              <w:t xml:space="preserve"> (10) </w:t>
            </w:r>
            <w:r>
              <w:rPr>
                <w:rFonts w:ascii="Times New Roman" w:hAnsi="Times New Roman" w:cs="Times New Roman"/>
                <w:bCs/>
                <w:iCs/>
                <w:spacing w:val="-2"/>
                <w:lang w:val="nl-NL"/>
              </w:rPr>
              <w:t>Đài THVN</w:t>
            </w:r>
            <w:r w:rsidRPr="00C1377F">
              <w:rPr>
                <w:rFonts w:ascii="Times New Roman" w:hAnsi="Times New Roman" w:cs="Times New Roman"/>
                <w:bCs/>
                <w:iCs/>
                <w:spacing w:val="-2"/>
                <w:lang w:val="nl-NL"/>
              </w:rPr>
              <w:t xml:space="preserve">, (11) </w:t>
            </w:r>
            <w:r>
              <w:rPr>
                <w:rFonts w:ascii="Times New Roman" w:hAnsi="Times New Roman" w:cs="Times New Roman"/>
                <w:bCs/>
                <w:iCs/>
                <w:spacing w:val="-2"/>
                <w:lang w:val="nl-NL"/>
              </w:rPr>
              <w:t>TANDTC</w:t>
            </w:r>
            <w:r w:rsidRPr="00C1377F">
              <w:rPr>
                <w:rFonts w:ascii="Times New Roman" w:hAnsi="Times New Roman" w:cs="Times New Roman"/>
                <w:bCs/>
                <w:iCs/>
                <w:spacing w:val="-2"/>
                <w:lang w:val="nl-NL"/>
              </w:rPr>
              <w:t xml:space="preserve">, (12) Bộ </w:t>
            </w:r>
            <w:r>
              <w:rPr>
                <w:rFonts w:ascii="Times New Roman" w:hAnsi="Times New Roman" w:cs="Times New Roman"/>
                <w:bCs/>
                <w:iCs/>
                <w:spacing w:val="-2"/>
                <w:lang w:val="nl-NL"/>
              </w:rPr>
              <w:t>Nội vụ</w:t>
            </w:r>
            <w:r w:rsidRPr="00C1377F">
              <w:rPr>
                <w:rFonts w:ascii="Times New Roman" w:hAnsi="Times New Roman" w:cs="Times New Roman"/>
                <w:bCs/>
                <w:iCs/>
                <w:spacing w:val="-2"/>
                <w:lang w:val="nl-NL"/>
              </w:rPr>
              <w:t xml:space="preserve">, (13) </w:t>
            </w:r>
            <w:r>
              <w:rPr>
                <w:rFonts w:ascii="Times New Roman" w:hAnsi="Times New Roman" w:cs="Times New Roman"/>
                <w:bCs/>
                <w:iCs/>
                <w:spacing w:val="-2"/>
                <w:lang w:val="nl-NL"/>
              </w:rPr>
              <w:t>Bộ Công thương, (14) Viện HLKH&amp;CNVN, (15) Viện KSNDTC; (16) Thanh tra Chính phủ; (17) Bộ Y tế</w:t>
            </w:r>
            <w:r w:rsidRPr="00C1377F">
              <w:rPr>
                <w:rFonts w:ascii="Times New Roman" w:hAnsi="Times New Roman" w:cs="Times New Roman"/>
                <w:bCs/>
                <w:iCs/>
                <w:spacing w:val="-2"/>
                <w:lang w:val="nl-NL"/>
              </w:rPr>
              <w:t>.</w:t>
            </w:r>
          </w:p>
          <w:p w:rsidR="00A429F4" w:rsidRPr="006C0077" w:rsidRDefault="00A429F4" w:rsidP="007675CF">
            <w:pPr>
              <w:spacing w:before="40" w:after="40"/>
              <w:jc w:val="both"/>
              <w:rPr>
                <w:rFonts w:ascii="Times New Roman" w:hAnsi="Times New Roman" w:cs="Times New Roman"/>
                <w:spacing w:val="-2"/>
              </w:rPr>
            </w:pPr>
            <w:r w:rsidRPr="007105E4">
              <w:rPr>
                <w:rFonts w:ascii="Times New Roman" w:hAnsi="Times New Roman" w:cs="Times New Roman"/>
                <w:b/>
                <w:i/>
                <w:spacing w:val="-2"/>
                <w:lang w:val="nl-NL"/>
              </w:rPr>
              <w:t>- Địa phương</w:t>
            </w:r>
            <w:r>
              <w:rPr>
                <w:rFonts w:ascii="Times New Roman" w:hAnsi="Times New Roman" w:cs="Times New Roman"/>
                <w:b/>
                <w:i/>
                <w:spacing w:val="-2"/>
                <w:lang w:val="nl-NL"/>
              </w:rPr>
              <w:t xml:space="preserve"> (16)</w:t>
            </w:r>
            <w:r>
              <w:rPr>
                <w:rFonts w:ascii="Times New Roman" w:hAnsi="Times New Roman" w:cs="Times New Roman"/>
                <w:spacing w:val="-2"/>
                <w:lang w:val="nl-NL"/>
              </w:rPr>
              <w:t>: (1) Lai Châu</w:t>
            </w:r>
            <w:r w:rsidRPr="007105E4">
              <w:rPr>
                <w:rFonts w:ascii="Times New Roman" w:hAnsi="Times New Roman" w:cs="Times New Roman"/>
                <w:spacing w:val="-2"/>
                <w:lang w:val="nl-NL"/>
              </w:rPr>
              <w:t xml:space="preserve">, (2) </w:t>
            </w:r>
            <w:r>
              <w:rPr>
                <w:rFonts w:ascii="Times New Roman" w:hAnsi="Times New Roman" w:cs="Times New Roman"/>
                <w:spacing w:val="-2"/>
                <w:lang w:val="nl-NL"/>
              </w:rPr>
              <w:t>Phú Thọ</w:t>
            </w:r>
            <w:r w:rsidRPr="007105E4">
              <w:rPr>
                <w:rFonts w:ascii="Times New Roman" w:hAnsi="Times New Roman" w:cs="Times New Roman"/>
                <w:spacing w:val="-2"/>
                <w:lang w:val="nl-NL"/>
              </w:rPr>
              <w:t xml:space="preserve">, (3) </w:t>
            </w:r>
            <w:r>
              <w:rPr>
                <w:rFonts w:ascii="Times New Roman" w:hAnsi="Times New Roman" w:cs="Times New Roman"/>
                <w:spacing w:val="-2"/>
                <w:lang w:val="nl-NL"/>
              </w:rPr>
              <w:t>TP Hải Phòng</w:t>
            </w:r>
            <w:r w:rsidRPr="007105E4">
              <w:rPr>
                <w:rFonts w:ascii="Times New Roman" w:hAnsi="Times New Roman" w:cs="Times New Roman"/>
                <w:spacing w:val="-2"/>
                <w:lang w:val="nl-NL"/>
              </w:rPr>
              <w:t xml:space="preserve">, (4) </w:t>
            </w:r>
            <w:r>
              <w:rPr>
                <w:rFonts w:ascii="Times New Roman" w:hAnsi="Times New Roman" w:cs="Times New Roman"/>
                <w:spacing w:val="-2"/>
                <w:lang w:val="nl-NL"/>
              </w:rPr>
              <w:t>Thanh Hóa</w:t>
            </w:r>
            <w:r w:rsidRPr="007105E4">
              <w:rPr>
                <w:rFonts w:ascii="Times New Roman" w:hAnsi="Times New Roman" w:cs="Times New Roman"/>
                <w:spacing w:val="-2"/>
                <w:lang w:val="nl-NL"/>
              </w:rPr>
              <w:t xml:space="preserve">, (5) </w:t>
            </w:r>
            <w:r>
              <w:rPr>
                <w:rFonts w:ascii="Times New Roman" w:hAnsi="Times New Roman" w:cs="Times New Roman"/>
                <w:spacing w:val="-2"/>
                <w:lang w:val="nl-NL"/>
              </w:rPr>
              <w:t>Hà Tĩnh</w:t>
            </w:r>
            <w:r w:rsidRPr="007105E4">
              <w:rPr>
                <w:rFonts w:ascii="Times New Roman" w:hAnsi="Times New Roman" w:cs="Times New Roman"/>
                <w:spacing w:val="-2"/>
                <w:lang w:val="nl-NL"/>
              </w:rPr>
              <w:t xml:space="preserve">, (6) </w:t>
            </w:r>
            <w:r>
              <w:rPr>
                <w:rFonts w:ascii="Times New Roman" w:hAnsi="Times New Roman" w:cs="Times New Roman"/>
                <w:spacing w:val="-2"/>
                <w:lang w:val="nl-NL"/>
              </w:rPr>
              <w:t>Quảng Trị</w:t>
            </w:r>
            <w:r w:rsidRPr="007105E4">
              <w:rPr>
                <w:rFonts w:ascii="Times New Roman" w:hAnsi="Times New Roman" w:cs="Times New Roman"/>
                <w:spacing w:val="-2"/>
                <w:lang w:val="nl-NL"/>
              </w:rPr>
              <w:t xml:space="preserve">, (7) </w:t>
            </w:r>
            <w:r>
              <w:rPr>
                <w:rFonts w:ascii="Times New Roman" w:hAnsi="Times New Roman" w:cs="Times New Roman"/>
                <w:spacing w:val="-2"/>
                <w:lang w:val="nl-NL"/>
              </w:rPr>
              <w:t>TP Huế</w:t>
            </w:r>
            <w:r w:rsidRPr="007105E4">
              <w:rPr>
                <w:rFonts w:ascii="Times New Roman" w:hAnsi="Times New Roman" w:cs="Times New Roman"/>
                <w:spacing w:val="-2"/>
                <w:lang w:val="nl-NL"/>
              </w:rPr>
              <w:t xml:space="preserve">, (8) </w:t>
            </w:r>
            <w:r>
              <w:rPr>
                <w:rFonts w:ascii="Times New Roman" w:hAnsi="Times New Roman" w:cs="Times New Roman"/>
                <w:spacing w:val="-2"/>
                <w:lang w:val="nl-NL"/>
              </w:rPr>
              <w:t>Quảng Ngãi</w:t>
            </w:r>
            <w:r w:rsidRPr="007105E4">
              <w:rPr>
                <w:rFonts w:ascii="Times New Roman" w:hAnsi="Times New Roman" w:cs="Times New Roman"/>
                <w:spacing w:val="-2"/>
                <w:lang w:val="nl-NL"/>
              </w:rPr>
              <w:t xml:space="preserve">, (9) </w:t>
            </w:r>
            <w:r>
              <w:rPr>
                <w:rFonts w:ascii="Times New Roman" w:hAnsi="Times New Roman" w:cs="Times New Roman"/>
                <w:spacing w:val="-2"/>
                <w:lang w:val="nl-NL"/>
              </w:rPr>
              <w:t>Lâm Đồng</w:t>
            </w:r>
            <w:r w:rsidRPr="007105E4">
              <w:rPr>
                <w:rFonts w:ascii="Times New Roman" w:hAnsi="Times New Roman" w:cs="Times New Roman"/>
                <w:spacing w:val="-2"/>
                <w:lang w:val="nl-NL"/>
              </w:rPr>
              <w:t xml:space="preserve">, (10) </w:t>
            </w:r>
            <w:r>
              <w:rPr>
                <w:rFonts w:ascii="Times New Roman" w:hAnsi="Times New Roman" w:cs="Times New Roman"/>
                <w:spacing w:val="-2"/>
                <w:lang w:val="nl-NL"/>
              </w:rPr>
              <w:t>Đồng Nai</w:t>
            </w:r>
            <w:r w:rsidRPr="007105E4">
              <w:rPr>
                <w:rFonts w:ascii="Times New Roman" w:hAnsi="Times New Roman" w:cs="Times New Roman"/>
                <w:spacing w:val="-2"/>
                <w:lang w:val="nl-NL"/>
              </w:rPr>
              <w:t xml:space="preserve">, (11) </w:t>
            </w:r>
            <w:r w:rsidRPr="00B35F12">
              <w:rPr>
                <w:rFonts w:ascii="Times New Roman" w:hAnsi="Times New Roman" w:cs="Times New Roman"/>
                <w:spacing w:val="-2"/>
                <w:lang w:val="nl-NL"/>
              </w:rPr>
              <w:t>Đắk Lắk</w:t>
            </w:r>
            <w:r w:rsidRPr="007105E4">
              <w:rPr>
                <w:rFonts w:ascii="Times New Roman" w:hAnsi="Times New Roman" w:cs="Times New Roman"/>
                <w:spacing w:val="-2"/>
                <w:lang w:val="nl-NL"/>
              </w:rPr>
              <w:t xml:space="preserve">, (12) Thành phố </w:t>
            </w:r>
            <w:r>
              <w:rPr>
                <w:rFonts w:ascii="Times New Roman" w:hAnsi="Times New Roman" w:cs="Times New Roman"/>
                <w:spacing w:val="-2"/>
                <w:lang w:val="nl-NL"/>
              </w:rPr>
              <w:t>Cần Thơ</w:t>
            </w:r>
            <w:r w:rsidRPr="007105E4">
              <w:rPr>
                <w:rFonts w:ascii="Times New Roman" w:hAnsi="Times New Roman" w:cs="Times New Roman"/>
                <w:spacing w:val="-2"/>
                <w:lang w:val="nl-NL"/>
              </w:rPr>
              <w:t xml:space="preserve">, (13) Vĩnh Long, (14) </w:t>
            </w:r>
            <w:r>
              <w:rPr>
                <w:rFonts w:ascii="Times New Roman" w:hAnsi="Times New Roman" w:cs="Times New Roman"/>
                <w:spacing w:val="-2"/>
                <w:lang w:val="nl-NL"/>
              </w:rPr>
              <w:t>An Giang; (15) Lào Cai; (16) Cà Mau.</w:t>
            </w:r>
          </w:p>
        </w:tc>
      </w:tr>
      <w:tr w:rsidR="00A429F4" w:rsidRPr="006C0077" w:rsidTr="00C067F9">
        <w:tc>
          <w:tcPr>
            <w:tcW w:w="1625" w:type="dxa"/>
          </w:tcPr>
          <w:p w:rsidR="00A429F4" w:rsidRPr="006C0077" w:rsidRDefault="00A429F4" w:rsidP="006C0077">
            <w:pPr>
              <w:spacing w:before="40" w:after="40"/>
              <w:rPr>
                <w:rFonts w:ascii="Times New Roman" w:hAnsi="Times New Roman" w:cs="Times New Roman"/>
                <w:b/>
                <w:bCs/>
                <w:spacing w:val="-2"/>
              </w:rPr>
            </w:pPr>
            <w:r>
              <w:rPr>
                <w:rFonts w:ascii="Times New Roman" w:hAnsi="Times New Roman" w:cs="Times New Roman"/>
                <w:b/>
                <w:bCs/>
                <w:spacing w:val="-2"/>
              </w:rPr>
              <w:t>II. Các đơn vị có đề xuất, kiến nghị</w:t>
            </w:r>
          </w:p>
        </w:tc>
        <w:tc>
          <w:tcPr>
            <w:tcW w:w="13225" w:type="dxa"/>
            <w:gridSpan w:val="3"/>
          </w:tcPr>
          <w:p w:rsidR="00A429F4" w:rsidRPr="00C1377F" w:rsidRDefault="00A429F4" w:rsidP="006F1581">
            <w:pPr>
              <w:spacing w:before="40" w:after="40"/>
              <w:jc w:val="both"/>
              <w:rPr>
                <w:rFonts w:ascii="Times New Roman" w:hAnsi="Times New Roman" w:cs="Times New Roman"/>
                <w:bCs/>
                <w:iCs/>
                <w:spacing w:val="-2"/>
                <w:lang w:val="nl-NL"/>
              </w:rPr>
            </w:pPr>
            <w:r w:rsidRPr="00C1377F">
              <w:rPr>
                <w:rFonts w:ascii="Times New Roman" w:hAnsi="Times New Roman" w:cs="Times New Roman"/>
                <w:b/>
                <w:i/>
                <w:spacing w:val="-2"/>
                <w:lang w:val="nl-NL"/>
              </w:rPr>
              <w:t>- Các Bộ, CQTW</w:t>
            </w:r>
            <w:r>
              <w:rPr>
                <w:rFonts w:ascii="Times New Roman" w:hAnsi="Times New Roman" w:cs="Times New Roman"/>
                <w:b/>
                <w:i/>
                <w:spacing w:val="-2"/>
                <w:lang w:val="nl-NL"/>
              </w:rPr>
              <w:t xml:space="preserve"> (1</w:t>
            </w:r>
            <w:r w:rsidR="00DB3F7D">
              <w:rPr>
                <w:rFonts w:ascii="Times New Roman" w:hAnsi="Times New Roman" w:cs="Times New Roman"/>
                <w:b/>
                <w:i/>
                <w:spacing w:val="-2"/>
                <w:lang w:val="nl-NL"/>
              </w:rPr>
              <w:t>3</w:t>
            </w:r>
            <w:r>
              <w:rPr>
                <w:rFonts w:ascii="Times New Roman" w:hAnsi="Times New Roman" w:cs="Times New Roman"/>
                <w:b/>
                <w:i/>
                <w:spacing w:val="-2"/>
                <w:lang w:val="nl-NL"/>
              </w:rPr>
              <w:t>)</w:t>
            </w:r>
            <w:r w:rsidRPr="00C1377F">
              <w:rPr>
                <w:rFonts w:ascii="Times New Roman" w:hAnsi="Times New Roman" w:cs="Times New Roman"/>
                <w:b/>
                <w:i/>
                <w:spacing w:val="-2"/>
                <w:lang w:val="nl-NL"/>
              </w:rPr>
              <w:t xml:space="preserve">: </w:t>
            </w:r>
            <w:r w:rsidRPr="00C1377F">
              <w:rPr>
                <w:rFonts w:ascii="Times New Roman" w:hAnsi="Times New Roman" w:cs="Times New Roman"/>
                <w:bCs/>
                <w:iCs/>
                <w:spacing w:val="-2"/>
                <w:lang w:val="nl-NL"/>
              </w:rPr>
              <w:t xml:space="preserve">(1) </w:t>
            </w:r>
            <w:r>
              <w:rPr>
                <w:rFonts w:ascii="Times New Roman" w:hAnsi="Times New Roman" w:cs="Times New Roman"/>
                <w:bCs/>
                <w:iCs/>
                <w:spacing w:val="-2"/>
                <w:lang w:val="nl-NL"/>
              </w:rPr>
              <w:t>VP TW Đảng</w:t>
            </w:r>
            <w:r w:rsidRPr="00C1377F">
              <w:rPr>
                <w:rFonts w:ascii="Times New Roman" w:hAnsi="Times New Roman" w:cs="Times New Roman"/>
                <w:bCs/>
                <w:iCs/>
                <w:spacing w:val="-2"/>
                <w:lang w:val="nl-NL"/>
              </w:rPr>
              <w:t xml:space="preserve">, (2) </w:t>
            </w:r>
            <w:r>
              <w:rPr>
                <w:rFonts w:ascii="Times New Roman" w:hAnsi="Times New Roman" w:cs="Times New Roman"/>
                <w:bCs/>
                <w:iCs/>
                <w:spacing w:val="-2"/>
                <w:lang w:val="nl-NL"/>
              </w:rPr>
              <w:t>HV CT QG HCM</w:t>
            </w:r>
            <w:r w:rsidRPr="00C1377F">
              <w:rPr>
                <w:rFonts w:ascii="Times New Roman" w:hAnsi="Times New Roman" w:cs="Times New Roman"/>
                <w:bCs/>
                <w:iCs/>
                <w:spacing w:val="-2"/>
                <w:lang w:val="nl-NL"/>
              </w:rPr>
              <w:t xml:space="preserve">, (3) </w:t>
            </w:r>
            <w:r>
              <w:rPr>
                <w:rFonts w:ascii="Times New Roman" w:hAnsi="Times New Roman" w:cs="Times New Roman"/>
                <w:bCs/>
                <w:iCs/>
                <w:spacing w:val="-2"/>
                <w:lang w:val="nl-NL"/>
              </w:rPr>
              <w:t>KTNN</w:t>
            </w:r>
            <w:r w:rsidRPr="00C1377F">
              <w:rPr>
                <w:rFonts w:ascii="Times New Roman" w:hAnsi="Times New Roman" w:cs="Times New Roman"/>
                <w:bCs/>
                <w:iCs/>
                <w:spacing w:val="-2"/>
                <w:lang w:val="nl-NL"/>
              </w:rPr>
              <w:t xml:space="preserve">, (4) Bộ </w:t>
            </w:r>
            <w:r>
              <w:rPr>
                <w:rFonts w:ascii="Times New Roman" w:hAnsi="Times New Roman" w:cs="Times New Roman"/>
                <w:bCs/>
                <w:iCs/>
                <w:spacing w:val="-2"/>
                <w:lang w:val="nl-NL"/>
              </w:rPr>
              <w:t>KH&amp;CN</w:t>
            </w:r>
            <w:r w:rsidRPr="00C1377F">
              <w:rPr>
                <w:rFonts w:ascii="Times New Roman" w:hAnsi="Times New Roman" w:cs="Times New Roman"/>
                <w:bCs/>
                <w:iCs/>
                <w:spacing w:val="-2"/>
                <w:lang w:val="nl-NL"/>
              </w:rPr>
              <w:t xml:space="preserve">, (5) </w:t>
            </w:r>
            <w:r>
              <w:rPr>
                <w:rFonts w:ascii="Times New Roman" w:hAnsi="Times New Roman" w:cs="Times New Roman"/>
                <w:bCs/>
                <w:iCs/>
                <w:spacing w:val="-2"/>
                <w:lang w:val="nl-NL"/>
              </w:rPr>
              <w:t>Bộ XD</w:t>
            </w:r>
            <w:r w:rsidRPr="00C1377F">
              <w:rPr>
                <w:rFonts w:ascii="Times New Roman" w:hAnsi="Times New Roman" w:cs="Times New Roman"/>
                <w:bCs/>
                <w:iCs/>
                <w:spacing w:val="-2"/>
                <w:lang w:val="nl-NL"/>
              </w:rPr>
              <w:t xml:space="preserve">, (6) </w:t>
            </w:r>
            <w:r>
              <w:rPr>
                <w:rFonts w:ascii="Times New Roman" w:hAnsi="Times New Roman" w:cs="Times New Roman"/>
                <w:bCs/>
                <w:iCs/>
                <w:spacing w:val="-2"/>
                <w:lang w:val="nl-NL"/>
              </w:rPr>
              <w:t>Viện HLKH&amp;XHVN</w:t>
            </w:r>
            <w:r w:rsidRPr="00C1377F">
              <w:rPr>
                <w:rFonts w:ascii="Times New Roman" w:hAnsi="Times New Roman" w:cs="Times New Roman"/>
                <w:bCs/>
                <w:iCs/>
                <w:spacing w:val="-2"/>
                <w:lang w:val="nl-NL"/>
              </w:rPr>
              <w:t xml:space="preserve">, (7) Bộ </w:t>
            </w:r>
            <w:r>
              <w:rPr>
                <w:rFonts w:ascii="Times New Roman" w:hAnsi="Times New Roman" w:cs="Times New Roman"/>
                <w:bCs/>
                <w:iCs/>
                <w:spacing w:val="-2"/>
                <w:lang w:val="nl-NL"/>
              </w:rPr>
              <w:t>TN&amp;MT</w:t>
            </w:r>
            <w:r w:rsidRPr="00C1377F">
              <w:rPr>
                <w:rFonts w:ascii="Times New Roman" w:hAnsi="Times New Roman" w:cs="Times New Roman"/>
                <w:bCs/>
                <w:iCs/>
                <w:spacing w:val="-2"/>
                <w:lang w:val="nl-NL"/>
              </w:rPr>
              <w:t xml:space="preserve">, (8) </w:t>
            </w:r>
            <w:r>
              <w:rPr>
                <w:rFonts w:ascii="Times New Roman" w:hAnsi="Times New Roman" w:cs="Times New Roman"/>
                <w:bCs/>
                <w:iCs/>
                <w:spacing w:val="-2"/>
                <w:lang w:val="nl-NL"/>
              </w:rPr>
              <w:t>Bộ Tài chính, (9) Bộ Dân tộc và Tôn giáo; (10) Bộ Giáo dục và Đào tạo</w:t>
            </w:r>
            <w:r w:rsidR="00D202C4">
              <w:rPr>
                <w:rFonts w:ascii="Times New Roman" w:hAnsi="Times New Roman" w:cs="Times New Roman"/>
                <w:bCs/>
                <w:iCs/>
                <w:spacing w:val="-2"/>
                <w:lang w:val="nl-NL"/>
              </w:rPr>
              <w:t>; (11) Bộ Tư pháp</w:t>
            </w:r>
            <w:r w:rsidR="00EC5FE2">
              <w:rPr>
                <w:rFonts w:ascii="Times New Roman" w:hAnsi="Times New Roman" w:cs="Times New Roman"/>
                <w:bCs/>
                <w:iCs/>
                <w:spacing w:val="-2"/>
                <w:lang w:val="nl-NL"/>
              </w:rPr>
              <w:t>; (12) Bộ Ngoại giao; (13) ĐH QG HN</w:t>
            </w:r>
            <w:r>
              <w:rPr>
                <w:rFonts w:ascii="Times New Roman" w:hAnsi="Times New Roman" w:cs="Times New Roman"/>
                <w:bCs/>
                <w:iCs/>
                <w:spacing w:val="-2"/>
                <w:lang w:val="nl-NL"/>
              </w:rPr>
              <w:t>.</w:t>
            </w:r>
          </w:p>
          <w:p w:rsidR="00A429F4" w:rsidRPr="006C0077" w:rsidRDefault="00A429F4" w:rsidP="00721F65">
            <w:pPr>
              <w:spacing w:before="40" w:after="40"/>
              <w:jc w:val="both"/>
              <w:rPr>
                <w:rFonts w:ascii="Times New Roman" w:hAnsi="Times New Roman" w:cs="Times New Roman"/>
                <w:spacing w:val="-2"/>
              </w:rPr>
            </w:pPr>
            <w:r w:rsidRPr="007105E4">
              <w:rPr>
                <w:rFonts w:ascii="Times New Roman" w:hAnsi="Times New Roman" w:cs="Times New Roman"/>
                <w:b/>
                <w:i/>
                <w:spacing w:val="-2"/>
                <w:lang w:val="nl-NL"/>
              </w:rPr>
              <w:t>- Địa phương</w:t>
            </w:r>
            <w:r w:rsidR="00721F65">
              <w:rPr>
                <w:rFonts w:ascii="Times New Roman" w:hAnsi="Times New Roman" w:cs="Times New Roman"/>
                <w:b/>
                <w:i/>
                <w:spacing w:val="-2"/>
                <w:lang w:val="nl-NL"/>
              </w:rPr>
              <w:t xml:space="preserve"> (18</w:t>
            </w:r>
            <w:r>
              <w:rPr>
                <w:rFonts w:ascii="Times New Roman" w:hAnsi="Times New Roman" w:cs="Times New Roman"/>
                <w:b/>
                <w:i/>
                <w:spacing w:val="-2"/>
                <w:lang w:val="nl-NL"/>
              </w:rPr>
              <w:t>)</w:t>
            </w:r>
            <w:r>
              <w:rPr>
                <w:rFonts w:ascii="Times New Roman" w:hAnsi="Times New Roman" w:cs="Times New Roman"/>
                <w:spacing w:val="-2"/>
                <w:lang w:val="nl-NL"/>
              </w:rPr>
              <w:t>: (1) Lạng Sơn,</w:t>
            </w:r>
            <w:r w:rsidRPr="007105E4">
              <w:rPr>
                <w:rFonts w:ascii="Times New Roman" w:hAnsi="Times New Roman" w:cs="Times New Roman"/>
                <w:spacing w:val="-2"/>
                <w:lang w:val="nl-NL"/>
              </w:rPr>
              <w:t xml:space="preserve"> (2) </w:t>
            </w:r>
            <w:r>
              <w:rPr>
                <w:rFonts w:ascii="Times New Roman" w:hAnsi="Times New Roman" w:cs="Times New Roman"/>
                <w:spacing w:val="-2"/>
                <w:lang w:val="nl-NL"/>
              </w:rPr>
              <w:t>Bắc Ninh</w:t>
            </w:r>
            <w:r w:rsidRPr="007105E4">
              <w:rPr>
                <w:rFonts w:ascii="Times New Roman" w:hAnsi="Times New Roman" w:cs="Times New Roman"/>
                <w:spacing w:val="-2"/>
                <w:lang w:val="nl-NL"/>
              </w:rPr>
              <w:t xml:space="preserve">, (3) </w:t>
            </w:r>
            <w:r>
              <w:rPr>
                <w:rFonts w:ascii="Times New Roman" w:hAnsi="Times New Roman" w:cs="Times New Roman"/>
                <w:spacing w:val="-2"/>
                <w:lang w:val="nl-NL"/>
              </w:rPr>
              <w:t>Hưng Yên</w:t>
            </w:r>
            <w:r w:rsidRPr="007105E4">
              <w:rPr>
                <w:rFonts w:ascii="Times New Roman" w:hAnsi="Times New Roman" w:cs="Times New Roman"/>
                <w:spacing w:val="-2"/>
                <w:lang w:val="nl-NL"/>
              </w:rPr>
              <w:t xml:space="preserve">, (4) </w:t>
            </w:r>
            <w:r>
              <w:rPr>
                <w:rFonts w:ascii="Times New Roman" w:hAnsi="Times New Roman" w:cs="Times New Roman"/>
                <w:spacing w:val="-2"/>
                <w:lang w:val="nl-NL"/>
              </w:rPr>
              <w:t>Ninh Bình</w:t>
            </w:r>
            <w:r w:rsidRPr="007105E4">
              <w:rPr>
                <w:rFonts w:ascii="Times New Roman" w:hAnsi="Times New Roman" w:cs="Times New Roman"/>
                <w:spacing w:val="-2"/>
                <w:lang w:val="nl-NL"/>
              </w:rPr>
              <w:t xml:space="preserve">, (5) </w:t>
            </w:r>
            <w:r>
              <w:rPr>
                <w:rFonts w:ascii="Times New Roman" w:hAnsi="Times New Roman" w:cs="Times New Roman"/>
                <w:spacing w:val="-2"/>
                <w:lang w:val="nl-NL"/>
              </w:rPr>
              <w:t>Nghệ An</w:t>
            </w:r>
            <w:r w:rsidRPr="007105E4">
              <w:rPr>
                <w:rFonts w:ascii="Times New Roman" w:hAnsi="Times New Roman" w:cs="Times New Roman"/>
                <w:spacing w:val="-2"/>
                <w:lang w:val="nl-NL"/>
              </w:rPr>
              <w:t xml:space="preserve">, (6) </w:t>
            </w:r>
            <w:r>
              <w:rPr>
                <w:rFonts w:ascii="Times New Roman" w:hAnsi="Times New Roman" w:cs="Times New Roman"/>
                <w:spacing w:val="-2"/>
                <w:lang w:val="nl-NL"/>
              </w:rPr>
              <w:t>Tây Ninh</w:t>
            </w:r>
            <w:r w:rsidRPr="007105E4">
              <w:rPr>
                <w:rFonts w:ascii="Times New Roman" w:hAnsi="Times New Roman" w:cs="Times New Roman"/>
                <w:spacing w:val="-2"/>
                <w:lang w:val="nl-NL"/>
              </w:rPr>
              <w:t xml:space="preserve">, (7) </w:t>
            </w:r>
            <w:r>
              <w:rPr>
                <w:rFonts w:ascii="Times New Roman" w:hAnsi="Times New Roman" w:cs="Times New Roman"/>
                <w:spacing w:val="-2"/>
                <w:lang w:val="nl-NL"/>
              </w:rPr>
              <w:t>Đồng Tháp</w:t>
            </w:r>
            <w:r w:rsidRPr="007105E4">
              <w:rPr>
                <w:rFonts w:ascii="Times New Roman" w:hAnsi="Times New Roman" w:cs="Times New Roman"/>
                <w:spacing w:val="-2"/>
                <w:lang w:val="nl-NL"/>
              </w:rPr>
              <w:t xml:space="preserve">, (8) </w:t>
            </w:r>
            <w:r>
              <w:rPr>
                <w:rFonts w:ascii="Times New Roman" w:hAnsi="Times New Roman" w:cs="Times New Roman"/>
                <w:spacing w:val="-2"/>
                <w:lang w:val="nl-NL"/>
              </w:rPr>
              <w:t>TP Đà Nẵng</w:t>
            </w:r>
            <w:r w:rsidRPr="007105E4">
              <w:rPr>
                <w:rFonts w:ascii="Times New Roman" w:hAnsi="Times New Roman" w:cs="Times New Roman"/>
                <w:spacing w:val="-2"/>
                <w:lang w:val="nl-NL"/>
              </w:rPr>
              <w:t xml:space="preserve">, (9) </w:t>
            </w:r>
            <w:r>
              <w:rPr>
                <w:rFonts w:ascii="Times New Roman" w:hAnsi="Times New Roman" w:cs="Times New Roman"/>
                <w:spacing w:val="-2"/>
                <w:lang w:val="nl-NL"/>
              </w:rPr>
              <w:t>Quảng Ninh</w:t>
            </w:r>
            <w:r w:rsidRPr="007105E4">
              <w:rPr>
                <w:rFonts w:ascii="Times New Roman" w:hAnsi="Times New Roman" w:cs="Times New Roman"/>
                <w:spacing w:val="-2"/>
                <w:lang w:val="nl-NL"/>
              </w:rPr>
              <w:t xml:space="preserve">, (10) </w:t>
            </w:r>
            <w:r>
              <w:rPr>
                <w:rFonts w:ascii="Times New Roman" w:hAnsi="Times New Roman" w:cs="Times New Roman"/>
                <w:spacing w:val="-2"/>
                <w:lang w:val="nl-NL"/>
              </w:rPr>
              <w:t>Thái Nguyên</w:t>
            </w:r>
            <w:r w:rsidRPr="007105E4">
              <w:rPr>
                <w:rFonts w:ascii="Times New Roman" w:hAnsi="Times New Roman" w:cs="Times New Roman"/>
                <w:spacing w:val="-2"/>
                <w:lang w:val="nl-NL"/>
              </w:rPr>
              <w:t xml:space="preserve">, (11) </w:t>
            </w:r>
            <w:r>
              <w:rPr>
                <w:rFonts w:ascii="Times New Roman" w:hAnsi="Times New Roman" w:cs="Times New Roman"/>
                <w:spacing w:val="-2"/>
                <w:lang w:val="nl-NL"/>
              </w:rPr>
              <w:t>Gia Lai</w:t>
            </w:r>
            <w:r w:rsidRPr="007105E4">
              <w:rPr>
                <w:rFonts w:ascii="Times New Roman" w:hAnsi="Times New Roman" w:cs="Times New Roman"/>
                <w:spacing w:val="-2"/>
                <w:lang w:val="nl-NL"/>
              </w:rPr>
              <w:t xml:space="preserve">, (12) </w:t>
            </w:r>
            <w:r>
              <w:rPr>
                <w:rFonts w:ascii="Times New Roman" w:hAnsi="Times New Roman" w:cs="Times New Roman"/>
                <w:spacing w:val="-2"/>
                <w:lang w:val="nl-NL"/>
              </w:rPr>
              <w:t>Khánh Hòa</w:t>
            </w:r>
            <w:r w:rsidRPr="007105E4">
              <w:rPr>
                <w:rFonts w:ascii="Times New Roman" w:hAnsi="Times New Roman" w:cs="Times New Roman"/>
                <w:spacing w:val="-2"/>
                <w:lang w:val="nl-NL"/>
              </w:rPr>
              <w:t>, (13)</w:t>
            </w:r>
            <w:r>
              <w:rPr>
                <w:rFonts w:ascii="Times New Roman" w:hAnsi="Times New Roman" w:cs="Times New Roman"/>
                <w:spacing w:val="-2"/>
                <w:lang w:val="nl-NL"/>
              </w:rPr>
              <w:t xml:space="preserve"> TP Hà Nội</w:t>
            </w:r>
            <w:r w:rsidRPr="007105E4">
              <w:rPr>
                <w:rFonts w:ascii="Times New Roman" w:hAnsi="Times New Roman" w:cs="Times New Roman"/>
                <w:spacing w:val="-2"/>
                <w:lang w:val="nl-NL"/>
              </w:rPr>
              <w:t xml:space="preserve">, (14) </w:t>
            </w:r>
            <w:r>
              <w:rPr>
                <w:rFonts w:ascii="Times New Roman" w:hAnsi="Times New Roman" w:cs="Times New Roman"/>
                <w:spacing w:val="-2"/>
                <w:lang w:val="nl-NL"/>
              </w:rPr>
              <w:t>Tuyên Quang</w:t>
            </w:r>
            <w:r w:rsidRPr="007105E4">
              <w:rPr>
                <w:rFonts w:ascii="Times New Roman" w:hAnsi="Times New Roman" w:cs="Times New Roman"/>
                <w:spacing w:val="-2"/>
                <w:lang w:val="nl-NL"/>
              </w:rPr>
              <w:t xml:space="preserve">, (15) </w:t>
            </w:r>
            <w:r>
              <w:rPr>
                <w:rFonts w:ascii="Times New Roman" w:hAnsi="Times New Roman" w:cs="Times New Roman"/>
                <w:spacing w:val="-2"/>
                <w:lang w:val="nl-NL"/>
              </w:rPr>
              <w:t>Sơn La, (16) Điện Biên, (17) Cao Bằng</w:t>
            </w:r>
            <w:r w:rsidR="00721F65">
              <w:rPr>
                <w:rFonts w:ascii="Times New Roman" w:hAnsi="Times New Roman" w:cs="Times New Roman"/>
                <w:spacing w:val="-2"/>
                <w:lang w:val="nl-NL"/>
              </w:rPr>
              <w:t>; (18) TP HCM</w:t>
            </w:r>
            <w:r>
              <w:rPr>
                <w:rFonts w:ascii="Times New Roman" w:hAnsi="Times New Roman" w:cs="Times New Roman"/>
                <w:spacing w:val="-2"/>
                <w:lang w:val="nl-NL"/>
              </w:rPr>
              <w:t>.</w:t>
            </w:r>
          </w:p>
        </w:tc>
      </w:tr>
      <w:tr w:rsidR="00A429F4" w:rsidRPr="006C0077" w:rsidTr="00C067F9">
        <w:tc>
          <w:tcPr>
            <w:tcW w:w="1625" w:type="dxa"/>
            <w:vMerge w:val="restart"/>
          </w:tcPr>
          <w:p w:rsidR="00A429F4" w:rsidRPr="00FC0B4C" w:rsidRDefault="00A429F4" w:rsidP="006C0077">
            <w:pPr>
              <w:spacing w:before="40" w:after="40"/>
              <w:rPr>
                <w:rFonts w:ascii="Times New Roman" w:hAnsi="Times New Roman" w:cs="Times New Roman"/>
                <w:b/>
                <w:bCs/>
                <w:spacing w:val="-2"/>
              </w:rPr>
            </w:pPr>
            <w:r w:rsidRPr="00FC0B4C">
              <w:rPr>
                <w:rFonts w:ascii="Times New Roman" w:hAnsi="Times New Roman" w:cs="Times New Roman"/>
                <w:b/>
                <w:bCs/>
                <w:spacing w:val="-2"/>
              </w:rPr>
              <w:t>1. Về nguyên tắc áp dụng TCĐM</w:t>
            </w:r>
          </w:p>
        </w:tc>
        <w:tc>
          <w:tcPr>
            <w:tcW w:w="1812" w:type="dxa"/>
          </w:tcPr>
          <w:p w:rsidR="00A429F4" w:rsidRPr="00FC0B4C" w:rsidRDefault="00A429F4" w:rsidP="000F15D0">
            <w:pPr>
              <w:spacing w:before="40" w:after="40"/>
              <w:jc w:val="center"/>
              <w:rPr>
                <w:rFonts w:ascii="Times New Roman" w:hAnsi="Times New Roman" w:cs="Times New Roman"/>
                <w:color w:val="000000"/>
                <w:spacing w:val="-2"/>
              </w:rPr>
            </w:pPr>
            <w:r>
              <w:rPr>
                <w:rFonts w:ascii="Times New Roman" w:hAnsi="Times New Roman" w:cs="Times New Roman"/>
                <w:color w:val="000000"/>
                <w:spacing w:val="-2"/>
              </w:rPr>
              <w:t>Bộ Tài chính</w:t>
            </w:r>
            <w:r w:rsidR="00495395">
              <w:rPr>
                <w:rFonts w:ascii="Times New Roman" w:hAnsi="Times New Roman" w:cs="Times New Roman"/>
                <w:color w:val="000000"/>
                <w:spacing w:val="-2"/>
              </w:rPr>
              <w:t xml:space="preserve"> </w:t>
            </w:r>
            <w:r w:rsidR="000F15D0">
              <w:rPr>
                <w:rFonts w:ascii="Times New Roman" w:hAnsi="Times New Roman" w:cs="Times New Roman"/>
                <w:color w:val="000000"/>
                <w:spacing w:val="-2"/>
              </w:rPr>
              <w:t>quản lý ngành</w:t>
            </w:r>
          </w:p>
        </w:tc>
        <w:tc>
          <w:tcPr>
            <w:tcW w:w="7728" w:type="dxa"/>
          </w:tcPr>
          <w:p w:rsidR="00A429F4" w:rsidRPr="00FC0B4C" w:rsidRDefault="00A429F4" w:rsidP="00543CE2">
            <w:pPr>
              <w:spacing w:before="40" w:after="40"/>
              <w:jc w:val="both"/>
              <w:rPr>
                <w:rFonts w:ascii="Times New Roman" w:hAnsi="Times New Roman" w:cs="Times New Roman"/>
                <w:spacing w:val="-2"/>
              </w:rPr>
            </w:pPr>
            <w:r w:rsidRPr="00FC0B4C">
              <w:rPr>
                <w:rFonts w:ascii="Times New Roman" w:hAnsi="Times New Roman" w:cs="Times New Roman"/>
                <w:spacing w:val="-2"/>
              </w:rPr>
              <w:t>Đề nghị có hướng dẫn cụ thể quy định tại khoản 5 Điều 3 Nghị định về quy mô (mức), phương thức xử lý đối với phần diện tích trụ sở làm việc, cơ sở hoạt động sự nghiệp vượt tiêu chuẩn, định mức để thống nhất thực hiện, cụ thể: ngưỡng diện tích trụ sở làm việc, cơ sở hoạt động sự nghiệp nào đơn vị phải báo cáo cơ quan, cấp có thẩm quyền, bố trí, sắp xếp điều chuyển, chuyển giao phần diện tích này cho cơ quan, đơn vị khác quản lý, sử dụng (nếu phù hợp với tiêu chuẩn, định mức và nhu cầu của cơ quan, đơn vị đó), ngưỡng diện tích trụ sở làm việc, cơ sở hoạt động sự nghiệp nào thì đơn vị được tiếp tục quản lý, sử dụng (ví dụ dưới 50m²).</w:t>
            </w:r>
          </w:p>
        </w:tc>
        <w:tc>
          <w:tcPr>
            <w:tcW w:w="3685" w:type="dxa"/>
          </w:tcPr>
          <w:p w:rsidR="00A429F4" w:rsidRPr="00495395" w:rsidRDefault="00A429F4" w:rsidP="00917D8C">
            <w:pPr>
              <w:spacing w:before="40" w:after="40"/>
              <w:jc w:val="both"/>
              <w:rPr>
                <w:rFonts w:ascii="Times New Roman" w:hAnsi="Times New Roman" w:cs="Times New Roman"/>
                <w:spacing w:val="-6"/>
              </w:rPr>
            </w:pPr>
            <w:r w:rsidRPr="001A5B32">
              <w:rPr>
                <w:rFonts w:ascii="Times New Roman" w:hAnsi="Times New Roman" w:cs="Times New Roman"/>
                <w:b/>
                <w:spacing w:val="-6"/>
              </w:rPr>
              <w:t>Giải trình</w:t>
            </w:r>
            <w:r w:rsidRPr="001A5B32">
              <w:rPr>
                <w:rFonts w:ascii="Times New Roman" w:hAnsi="Times New Roman" w:cs="Times New Roman"/>
                <w:spacing w:val="-6"/>
              </w:rPr>
              <w:t xml:space="preserve">: </w:t>
            </w:r>
            <w:r w:rsidRPr="001A5B32">
              <w:rPr>
                <w:rFonts w:ascii="Times New Roman" w:hAnsi="Times New Roman" w:cs="Times New Roman"/>
                <w:spacing w:val="-6"/>
                <w:lang w:val="vi-VN"/>
              </w:rPr>
              <w:t xml:space="preserve">Mỗi trụ sở, cơ sở hoạt động sự nghiệp hiện có khi thực hiện giao, điều chuyển thì có hiện trạng sử dụng khác nhau và các đơn vị tiếp nhận cũng có quy mô, chức năng, nhiệm vụ, số lượng người làm việc khác nhau nên việc ấn định </w:t>
            </w:r>
            <w:r w:rsidRPr="001A5B32">
              <w:rPr>
                <w:rFonts w:ascii="Times New Roman" w:hAnsi="Times New Roman" w:cs="Times New Roman"/>
                <w:spacing w:val="-6"/>
              </w:rPr>
              <w:t>ngưỡng diện tích vượt</w:t>
            </w:r>
            <w:r w:rsidRPr="001A5B32">
              <w:rPr>
                <w:rFonts w:ascii="Times New Roman" w:hAnsi="Times New Roman" w:cs="Times New Roman"/>
                <w:spacing w:val="-6"/>
                <w:lang w:val="vi-VN"/>
              </w:rPr>
              <w:t xml:space="preserve"> sẽ không linh hoạt trong thực tế thực hiện trong khi hiện nay đang thực hiện sắp xếp tinh gọn tổ chức bộ máy theo Nghị quyết của Bộ Chính trị, Ban Bí thư.</w:t>
            </w:r>
            <w:r w:rsidR="00495395">
              <w:rPr>
                <w:rFonts w:ascii="Times New Roman" w:hAnsi="Times New Roman" w:cs="Times New Roman"/>
                <w:spacing w:val="-6"/>
              </w:rPr>
              <w:t xml:space="preserve"> Tại </w:t>
            </w:r>
            <w:r w:rsidR="00495395" w:rsidRPr="00C539C7">
              <w:rPr>
                <w:rFonts w:ascii="Times New Roman" w:hAnsi="Times New Roman" w:cs="Times New Roman"/>
              </w:rPr>
              <w:t>NĐ155</w:t>
            </w:r>
            <w:r w:rsidR="00495395">
              <w:rPr>
                <w:rFonts w:ascii="Times New Roman" w:hAnsi="Times New Roman" w:cs="Times New Roman"/>
              </w:rPr>
              <w:t xml:space="preserve"> đã quy định </w:t>
            </w:r>
            <w:r w:rsidR="00495395">
              <w:rPr>
                <w:rFonts w:ascii="Times New Roman" w:hAnsi="Times New Roman" w:cs="Times New Roman"/>
                <w:spacing w:val="-6"/>
              </w:rPr>
              <w:t xml:space="preserve">nếu </w:t>
            </w:r>
            <w:r w:rsidR="00495395">
              <w:rPr>
                <w:rFonts w:ascii="Times New Roman" w:hAnsi="Times New Roman" w:cs="Times New Roman"/>
                <w:spacing w:val="-6"/>
              </w:rPr>
              <w:lastRenderedPageBreak/>
              <w:t>thừa thì phải báo cáo để giao, điều chuyển cho đơn vị khác; nếu không có đơn vị phù hợp để giao, điều chuyển thì giao, điều chuyển cho đơn vị quản lý, sử dụng.</w:t>
            </w:r>
          </w:p>
        </w:tc>
      </w:tr>
      <w:tr w:rsidR="00A429F4" w:rsidRPr="006C0077" w:rsidTr="00C067F9">
        <w:tc>
          <w:tcPr>
            <w:tcW w:w="1625" w:type="dxa"/>
            <w:vMerge/>
          </w:tcPr>
          <w:p w:rsidR="00A429F4" w:rsidRPr="00FC0B4C" w:rsidRDefault="00A429F4" w:rsidP="006C0077">
            <w:pPr>
              <w:spacing w:before="40" w:after="40"/>
              <w:rPr>
                <w:rFonts w:ascii="Times New Roman" w:hAnsi="Times New Roman" w:cs="Times New Roman"/>
                <w:bCs/>
                <w:spacing w:val="-2"/>
              </w:rPr>
            </w:pPr>
          </w:p>
        </w:tc>
        <w:tc>
          <w:tcPr>
            <w:tcW w:w="1812" w:type="dxa"/>
          </w:tcPr>
          <w:p w:rsidR="00A429F4" w:rsidRPr="00FC0B4C" w:rsidRDefault="00A429F4" w:rsidP="00543CE2">
            <w:pPr>
              <w:spacing w:before="40" w:after="40"/>
              <w:jc w:val="center"/>
              <w:rPr>
                <w:rFonts w:ascii="Times New Roman" w:hAnsi="Times New Roman" w:cs="Times New Roman"/>
                <w:color w:val="000000"/>
                <w:spacing w:val="-2"/>
              </w:rPr>
            </w:pPr>
            <w:r w:rsidRPr="00FC0B4C">
              <w:rPr>
                <w:rFonts w:ascii="Times New Roman" w:hAnsi="Times New Roman" w:cs="Times New Roman"/>
                <w:color w:val="000000"/>
                <w:spacing w:val="-2"/>
              </w:rPr>
              <w:t>Lạng Sơn</w:t>
            </w:r>
          </w:p>
        </w:tc>
        <w:tc>
          <w:tcPr>
            <w:tcW w:w="7728" w:type="dxa"/>
          </w:tcPr>
          <w:p w:rsidR="00A429F4" w:rsidRPr="00FC0B4C" w:rsidRDefault="00A429F4" w:rsidP="00543CE2">
            <w:pPr>
              <w:spacing w:before="40" w:after="40"/>
              <w:jc w:val="both"/>
              <w:rPr>
                <w:rFonts w:ascii="Times New Roman" w:hAnsi="Times New Roman" w:cs="Times New Roman"/>
                <w:spacing w:val="-2"/>
              </w:rPr>
            </w:pPr>
            <w:r w:rsidRPr="00FC0B4C">
              <w:rPr>
                <w:rFonts w:ascii="Times New Roman" w:hAnsi="Times New Roman" w:cs="Times New Roman"/>
                <w:spacing w:val="-2"/>
              </w:rPr>
              <w:t>Đề nghị sửa đổi, bổ sung khoản 1 Điều 3 NĐ155 theo hướng TCĐM sử dụng TSLV, CSHĐSN chỉ áp dụng để lập kế hoạch và dự toán ngân sách; đầu tư xây dựng, mua sắm, thuê đối với TSLV, CSHĐSN; đối với các cơ sở nhà đất điều chuyển khi sắp xếp tổ chức bộ máy, sắp xếp đơn vị hành chính theo mô hình chính quyền 02 cấp không phải áp dụng TCĐM hoặc quy định lộ trình, thời gian sau sắp xếp ít nhất 5 năm mới phải đảm bảo theo TCĐM quy định.</w:t>
            </w:r>
          </w:p>
        </w:tc>
        <w:tc>
          <w:tcPr>
            <w:tcW w:w="3685" w:type="dxa"/>
          </w:tcPr>
          <w:p w:rsidR="00A429F4" w:rsidRPr="00C539C7" w:rsidRDefault="00A429F4" w:rsidP="00543CE2">
            <w:pPr>
              <w:spacing w:before="40" w:after="40"/>
              <w:jc w:val="both"/>
              <w:rPr>
                <w:rFonts w:ascii="Times New Roman" w:hAnsi="Times New Roman" w:cs="Times New Roman"/>
              </w:rPr>
            </w:pPr>
            <w:r w:rsidRPr="006770B4">
              <w:rPr>
                <w:rFonts w:ascii="Times New Roman" w:hAnsi="Times New Roman" w:cs="Times New Roman"/>
                <w:b/>
              </w:rPr>
              <w:t>Giải trình</w:t>
            </w:r>
            <w:r w:rsidRPr="00C539C7">
              <w:rPr>
                <w:rFonts w:ascii="Times New Roman" w:hAnsi="Times New Roman" w:cs="Times New Roman"/>
              </w:rPr>
              <w:t>: Tại khoản 3 Điều 14 NĐ155 đã quy định xử lý chuyển tiếp đối với TSLV, CSHĐSN hiện có đang quản lý, sử dụng hoặc thực hiện giao, điều chuyển hoặc xử lý sau khi thực hiện sáp nhập, hợp nhất, chia tách, giải thể, chấm dứt hoạt động trước ngày 01/7/2025 thì thực hiện theo quy định tại khoản 5 Điều 3 Nghị định này và pháp luật về quản lý, sử dụng tài sản công</w:t>
            </w:r>
            <w:r w:rsidRPr="00C539C7">
              <w:rPr>
                <w:rFonts w:ascii="Times New Roman" w:hAnsi="Times New Roman" w:cs="Times New Roman"/>
                <w:color w:val="000000"/>
                <w:spacing w:val="-2"/>
              </w:rPr>
              <w:t>; vì vậy, đề nghị giữ như quy định hiện hành.</w:t>
            </w:r>
            <w:r w:rsidRPr="00C539C7">
              <w:rPr>
                <w:rFonts w:ascii="Times New Roman" w:hAnsi="Times New Roman" w:cs="Times New Roman"/>
                <w:spacing w:val="-2"/>
              </w:rPr>
              <w:t xml:space="preserve">  </w:t>
            </w:r>
            <w:r w:rsidRPr="00C539C7">
              <w:rPr>
                <w:rFonts w:ascii="Times New Roman" w:hAnsi="Times New Roman" w:cs="Times New Roman"/>
              </w:rPr>
              <w:t xml:space="preserve">  </w:t>
            </w:r>
          </w:p>
        </w:tc>
      </w:tr>
      <w:tr w:rsidR="00A429F4" w:rsidRPr="006C0077" w:rsidTr="00C067F9">
        <w:tc>
          <w:tcPr>
            <w:tcW w:w="1625" w:type="dxa"/>
            <w:vMerge w:val="restart"/>
          </w:tcPr>
          <w:p w:rsidR="00A429F4" w:rsidRPr="006C0077" w:rsidRDefault="00A429F4" w:rsidP="006C0077">
            <w:pPr>
              <w:spacing w:before="40" w:after="40"/>
              <w:rPr>
                <w:rFonts w:ascii="Times New Roman" w:hAnsi="Times New Roman" w:cs="Times New Roman"/>
                <w:b/>
                <w:bCs/>
                <w:spacing w:val="-2"/>
              </w:rPr>
            </w:pPr>
            <w:r>
              <w:rPr>
                <w:rFonts w:ascii="Times New Roman" w:hAnsi="Times New Roman" w:cs="Times New Roman"/>
                <w:b/>
                <w:bCs/>
                <w:spacing w:val="-2"/>
              </w:rPr>
              <w:t>2</w:t>
            </w:r>
            <w:r w:rsidRPr="006C0077">
              <w:rPr>
                <w:rFonts w:ascii="Times New Roman" w:hAnsi="Times New Roman" w:cs="Times New Roman"/>
                <w:b/>
                <w:bCs/>
                <w:spacing w:val="-2"/>
              </w:rPr>
              <w:t>. Về TCĐM sử dụng diện tích làm việc phục vụ công tác các chức danh</w:t>
            </w: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VP TƯ Đảng</w:t>
            </w:r>
          </w:p>
        </w:tc>
        <w:tc>
          <w:tcPr>
            <w:tcW w:w="7728" w:type="dxa"/>
          </w:tcPr>
          <w:p w:rsidR="00A429F4" w:rsidRPr="006C0077" w:rsidRDefault="00A429F4" w:rsidP="006C0077">
            <w:pPr>
              <w:tabs>
                <w:tab w:val="left" w:pos="1509"/>
              </w:tabs>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Xem xét rà soát Phụ lục 1, Phụ lục 2 của Nghị định bảo đảm phù hợp, đồng nhất với danh mục vị trí chức danh, nhóm chức danh, chức vụ lãnh đạo của hệ thống chính trị quy định tại Quy định số 368-QĐ/TW ngày 08/9/2025 của Bộ Chính trị.</w:t>
            </w:r>
          </w:p>
        </w:tc>
        <w:tc>
          <w:tcPr>
            <w:tcW w:w="3685" w:type="dxa"/>
            <w:vMerge w:val="restart"/>
          </w:tcPr>
          <w:p w:rsidR="00A429F4" w:rsidRPr="00C539C7" w:rsidRDefault="00A429F4" w:rsidP="005433E2">
            <w:pPr>
              <w:spacing w:before="40" w:after="40"/>
              <w:jc w:val="both"/>
              <w:rPr>
                <w:rFonts w:ascii="Times New Roman" w:hAnsi="Times New Roman" w:cs="Times New Roman"/>
                <w:spacing w:val="-2"/>
              </w:rPr>
            </w:pPr>
            <w:r w:rsidRPr="006770B4">
              <w:rPr>
                <w:rFonts w:ascii="Times New Roman" w:hAnsi="Times New Roman" w:cs="Times New Roman"/>
                <w:b/>
                <w:spacing w:val="-2"/>
              </w:rPr>
              <w:t>Tiếp thu</w:t>
            </w:r>
            <w:r>
              <w:rPr>
                <w:rFonts w:ascii="Times New Roman" w:hAnsi="Times New Roman" w:cs="Times New Roman"/>
                <w:b/>
                <w:spacing w:val="-2"/>
              </w:rPr>
              <w:t xml:space="preserve"> theo hướng:</w:t>
            </w:r>
            <w:r w:rsidRPr="00C539C7">
              <w:rPr>
                <w:rFonts w:ascii="Times New Roman" w:hAnsi="Times New Roman" w:cs="Times New Roman"/>
                <w:spacing w:val="-2"/>
              </w:rPr>
              <w:t xml:space="preserve"> d</w:t>
            </w:r>
            <w:r w:rsidRPr="00C539C7">
              <w:rPr>
                <w:rFonts w:ascii="Times New Roman" w:hAnsi="Times New Roman" w:cs="Times New Roman"/>
                <w:color w:val="000000"/>
                <w:spacing w:val="-2"/>
              </w:rPr>
              <w:t>ự kiến sửa đổi theo hướng thay thế Phụ</w:t>
            </w:r>
            <w:r>
              <w:rPr>
                <w:rFonts w:ascii="Times New Roman" w:hAnsi="Times New Roman" w:cs="Times New Roman"/>
                <w:color w:val="000000"/>
                <w:spacing w:val="-2"/>
              </w:rPr>
              <w:t xml:space="preserve"> lụ</w:t>
            </w:r>
            <w:r w:rsidRPr="00C539C7">
              <w:rPr>
                <w:rFonts w:ascii="Times New Roman" w:hAnsi="Times New Roman" w:cs="Times New Roman"/>
                <w:color w:val="000000"/>
                <w:spacing w:val="-2"/>
              </w:rPr>
              <w:t>c I, Phụ lục II để đảm bảo phù hợp, đồng nhất theo quy định tại Quy định số 368-QĐ/TW của Bộ Chính trị</w:t>
            </w:r>
            <w:r w:rsidRPr="005433E2">
              <w:rPr>
                <w:rFonts w:ascii="Times New Roman" w:hAnsi="Times New Roman" w:cs="Times New Roman"/>
                <w:color w:val="000000"/>
                <w:spacing w:val="-2"/>
              </w:rPr>
              <w:t>. Đồng thời, sửa đổi, bổ sung quy định nguyên tắc về xác định chức danh, chức vụ tương đương để xác định tiêu chuẩn, định mức đối với các chức danh, chức vụ chưa được quy định.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Pr>
                <w:rFonts w:ascii="Times New Roman" w:hAnsi="Times New Roman" w:cs="Times New Roman"/>
                <w:color w:val="000000"/>
                <w:spacing w:val="-2"/>
              </w:rPr>
              <w:t>Bộ Tài chính</w:t>
            </w:r>
            <w:r w:rsidR="001A0BB2">
              <w:rPr>
                <w:rFonts w:ascii="Times New Roman" w:hAnsi="Times New Roman" w:cs="Times New Roman"/>
                <w:color w:val="000000"/>
                <w:spacing w:val="-2"/>
              </w:rPr>
              <w:t xml:space="preserve"> quản lý ngành</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2A13E8">
              <w:rPr>
                <w:rFonts w:ascii="Times New Roman" w:hAnsi="Times New Roman" w:cs="Times New Roman"/>
                <w:color w:val="000000"/>
                <w:spacing w:val="-2"/>
              </w:rPr>
              <w:t>Đề nghị nghiên cứu, rà soát bổ sung quy định về tiêu chuẩn, định mức diện tích làm việc phục vụ công tác đối với một số chức danh, chức vụ trong hệ thống cơ quan chưa được quy định.</w:t>
            </w:r>
          </w:p>
        </w:tc>
        <w:tc>
          <w:tcPr>
            <w:tcW w:w="3685" w:type="dxa"/>
            <w:vMerge/>
          </w:tcPr>
          <w:p w:rsidR="00A429F4" w:rsidRPr="00C539C7" w:rsidRDefault="00A429F4" w:rsidP="006C0077">
            <w:pPr>
              <w:spacing w:before="40" w:after="40"/>
              <w:jc w:val="both"/>
              <w:rPr>
                <w:rFonts w:ascii="Times New Roman" w:hAnsi="Times New Roman" w:cs="Times New Roman"/>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KTNN</w:t>
            </w:r>
          </w:p>
          <w:p w:rsidR="00A429F4" w:rsidRPr="006C0077" w:rsidRDefault="00A429F4" w:rsidP="006C0077">
            <w:pPr>
              <w:spacing w:before="40" w:after="40"/>
              <w:jc w:val="center"/>
              <w:rPr>
                <w:rFonts w:ascii="Times New Roman" w:hAnsi="Times New Roman" w:cs="Times New Roman"/>
                <w:spacing w:val="-2"/>
              </w:rPr>
            </w:pPr>
          </w:p>
        </w:tc>
        <w:tc>
          <w:tcPr>
            <w:tcW w:w="7728" w:type="dxa"/>
          </w:tcPr>
          <w:p w:rsidR="00A429F4" w:rsidRPr="006C0077" w:rsidRDefault="00A429F4" w:rsidP="00853D21">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Đối với mục ghi chú của Phụ lục 1: “</w:t>
            </w:r>
            <w:r w:rsidRPr="006C0077">
              <w:rPr>
                <w:rFonts w:ascii="Times New Roman" w:hAnsi="Times New Roman" w:cs="Times New Roman"/>
                <w:i/>
                <w:color w:val="000000"/>
                <w:spacing w:val="-2"/>
              </w:rPr>
              <w:t>Đối với chức danh từ STT 3 đến STT 4 thì diện tích tối đa nêu trên bao gồm ..</w:t>
            </w:r>
            <w:r w:rsidRPr="006C0077">
              <w:rPr>
                <w:rFonts w:ascii="Times New Roman" w:hAnsi="Times New Roman" w:cs="Times New Roman"/>
                <w:color w:val="000000"/>
                <w:spacing w:val="-2"/>
              </w:rPr>
              <w:t>." đề nghị sửa thành “</w:t>
            </w:r>
            <w:r w:rsidRPr="006C0077">
              <w:rPr>
                <w:rFonts w:ascii="Times New Roman" w:hAnsi="Times New Roman" w:cs="Times New Roman"/>
                <w:i/>
                <w:color w:val="000000"/>
                <w:spacing w:val="-2"/>
              </w:rPr>
              <w:t>Đối với chức danh từ STT 3 đến STT 5 thì...</w:t>
            </w:r>
            <w:proofErr w:type="gramStart"/>
            <w:r w:rsidRPr="006C0077">
              <w:rPr>
                <w:rFonts w:ascii="Times New Roman" w:hAnsi="Times New Roman" w:cs="Times New Roman"/>
                <w:color w:val="000000"/>
                <w:spacing w:val="-2"/>
              </w:rPr>
              <w:t>”.</w:t>
            </w:r>
            <w:proofErr w:type="gramEnd"/>
            <w:r w:rsidRPr="006C0077">
              <w:rPr>
                <w:rFonts w:ascii="Times New Roman" w:hAnsi="Times New Roman" w:cs="Times New Roman"/>
                <w:color w:val="000000"/>
                <w:spacing w:val="-2"/>
              </w:rPr>
              <w:t xml:space="preserve"> </w:t>
            </w:r>
            <w:r>
              <w:rPr>
                <w:rFonts w:ascii="Times New Roman" w:hAnsi="Times New Roman" w:cs="Times New Roman"/>
                <w:color w:val="000000"/>
                <w:spacing w:val="-2"/>
              </w:rPr>
              <w:t>Lí do</w:t>
            </w:r>
            <w:r w:rsidRPr="006C0077">
              <w:rPr>
                <w:rFonts w:ascii="Times New Roman" w:hAnsi="Times New Roman" w:cs="Times New Roman"/>
                <w:color w:val="000000"/>
                <w:spacing w:val="-2"/>
              </w:rPr>
              <w:t>: để có thêm cơ chế bố trí diện tích khác với hàm Vụ trưởng và tương đương, phù hợp nhu cầu thực tế trong tình hình mới.</w:t>
            </w:r>
          </w:p>
        </w:tc>
        <w:tc>
          <w:tcPr>
            <w:tcW w:w="3685" w:type="dxa"/>
          </w:tcPr>
          <w:p w:rsidR="00A429F4" w:rsidRPr="00C539C7" w:rsidRDefault="00A429F4" w:rsidP="005F6DFE">
            <w:pPr>
              <w:spacing w:before="40" w:after="40"/>
              <w:jc w:val="both"/>
              <w:rPr>
                <w:rFonts w:ascii="Times New Roman" w:hAnsi="Times New Roman" w:cs="Times New Roman"/>
                <w:spacing w:val="-2"/>
              </w:rPr>
            </w:pPr>
            <w:r w:rsidRPr="006770B4">
              <w:rPr>
                <w:rFonts w:ascii="Times New Roman" w:hAnsi="Times New Roman" w:cs="Times New Roman"/>
                <w:b/>
                <w:spacing w:val="-2"/>
              </w:rPr>
              <w:t>Tiếp thu</w:t>
            </w:r>
            <w:r>
              <w:rPr>
                <w:rFonts w:ascii="Times New Roman" w:hAnsi="Times New Roman" w:cs="Times New Roman"/>
                <w:b/>
                <w:spacing w:val="-2"/>
              </w:rPr>
              <w:t xml:space="preserve"> theo hướng</w:t>
            </w:r>
            <w:r w:rsidRPr="00C539C7">
              <w:rPr>
                <w:rFonts w:ascii="Times New Roman" w:hAnsi="Times New Roman" w:cs="Times New Roman"/>
                <w:spacing w:val="-2"/>
              </w:rPr>
              <w:t>: d</w:t>
            </w:r>
            <w:r w:rsidRPr="00C539C7">
              <w:rPr>
                <w:rFonts w:ascii="Times New Roman" w:hAnsi="Times New Roman" w:cs="Times New Roman"/>
                <w:color w:val="000000"/>
                <w:spacing w:val="-2"/>
              </w:rPr>
              <w:t>ự kiến sửa đổi theo hướng thay thế Phụ</w:t>
            </w:r>
            <w:r>
              <w:rPr>
                <w:rFonts w:ascii="Times New Roman" w:hAnsi="Times New Roman" w:cs="Times New Roman"/>
                <w:color w:val="000000"/>
                <w:spacing w:val="-2"/>
              </w:rPr>
              <w:t xml:space="preserve"> lụ</w:t>
            </w:r>
            <w:r w:rsidRPr="00C539C7">
              <w:rPr>
                <w:rFonts w:ascii="Times New Roman" w:hAnsi="Times New Roman" w:cs="Times New Roman"/>
                <w:color w:val="000000"/>
                <w:spacing w:val="-2"/>
              </w:rPr>
              <w:t xml:space="preserve">c I, Phụ lục II để đảm bảo phù hợp, </w:t>
            </w:r>
            <w:r w:rsidR="005F6DFE">
              <w:rPr>
                <w:rFonts w:ascii="Times New Roman" w:hAnsi="Times New Roman" w:cs="Times New Roman"/>
                <w:color w:val="000000"/>
                <w:spacing w:val="-2"/>
              </w:rPr>
              <w:t>thống</w:t>
            </w:r>
            <w:r w:rsidRPr="00C539C7">
              <w:rPr>
                <w:rFonts w:ascii="Times New Roman" w:hAnsi="Times New Roman" w:cs="Times New Roman"/>
                <w:color w:val="000000"/>
                <w:spacing w:val="-2"/>
              </w:rPr>
              <w:t xml:space="preserve"> nhất theo quy định tại Quy định số 368-QĐ/TW của Bộ Chính trị</w:t>
            </w:r>
            <w:r>
              <w:rPr>
                <w:rFonts w:ascii="Times New Roman" w:hAnsi="Times New Roman" w:cs="Times New Roman"/>
                <w:color w:val="000000"/>
                <w:spacing w:val="-2"/>
              </w:rPr>
              <w:t xml:space="preserve">. Theo đó, </w:t>
            </w:r>
            <w:r>
              <w:rPr>
                <w:rFonts w:ascii="Times New Roman" w:hAnsi="Times New Roman" w:cs="Times New Roman"/>
                <w:spacing w:val="-2"/>
              </w:rPr>
              <w:t xml:space="preserve">nhóm chức danh tại STT 5 Phụ lục I dự kiến điều chỉnh, sắp xếp thành các nhóm khác nhau </w:t>
            </w:r>
            <w:r w:rsidRPr="00C539C7">
              <w:rPr>
                <w:rFonts w:ascii="Times New Roman" w:hAnsi="Times New Roman" w:cs="Times New Roman"/>
                <w:color w:val="000000"/>
                <w:spacing w:val="-2"/>
              </w:rPr>
              <w:t xml:space="preserve">đảm bảo phù hợp, </w:t>
            </w:r>
            <w:r w:rsidR="005F6DFE">
              <w:rPr>
                <w:rFonts w:ascii="Times New Roman" w:hAnsi="Times New Roman" w:cs="Times New Roman"/>
                <w:color w:val="000000"/>
                <w:spacing w:val="-2"/>
              </w:rPr>
              <w:t>thống</w:t>
            </w:r>
            <w:r w:rsidRPr="00C539C7">
              <w:rPr>
                <w:rFonts w:ascii="Times New Roman" w:hAnsi="Times New Roman" w:cs="Times New Roman"/>
                <w:color w:val="000000"/>
                <w:spacing w:val="-2"/>
              </w:rPr>
              <w:t xml:space="preserve"> nhất theo quy định tại Quy định số 368-QĐ/TW</w:t>
            </w:r>
            <w:r>
              <w:rPr>
                <w:rFonts w:ascii="Times New Roman" w:hAnsi="Times New Roman" w:cs="Times New Roman"/>
                <w:color w:val="000000"/>
                <w:spacing w:val="-2"/>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Bắc Ninh</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 xml:space="preserve">Đề nghị quy định tăng TCĐM sử dụng diện tích làm việc quy định tại Phụ lục số II ban hành tại </w:t>
            </w:r>
            <w:r>
              <w:rPr>
                <w:rFonts w:ascii="Times New Roman" w:hAnsi="Times New Roman" w:cs="Times New Roman"/>
                <w:color w:val="000000"/>
                <w:spacing w:val="-2"/>
              </w:rPr>
              <w:t>NĐ155</w:t>
            </w:r>
            <w:r w:rsidRPr="006C0077">
              <w:rPr>
                <w:rFonts w:ascii="Times New Roman" w:hAnsi="Times New Roman" w:cs="Times New Roman"/>
                <w:color w:val="000000"/>
                <w:spacing w:val="-2"/>
              </w:rPr>
              <w:t>.</w:t>
            </w:r>
          </w:p>
        </w:tc>
        <w:tc>
          <w:tcPr>
            <w:tcW w:w="3685" w:type="dxa"/>
          </w:tcPr>
          <w:p w:rsidR="00A429F4" w:rsidRPr="00C539C7" w:rsidRDefault="00A429F4" w:rsidP="00971291">
            <w:pPr>
              <w:spacing w:before="40" w:after="40"/>
              <w:jc w:val="both"/>
              <w:rPr>
                <w:rFonts w:ascii="Times New Roman" w:hAnsi="Times New Roman" w:cs="Times New Roman"/>
                <w:spacing w:val="-2"/>
              </w:rPr>
            </w:pPr>
            <w:r w:rsidRPr="006770B4">
              <w:rPr>
                <w:rFonts w:ascii="Times New Roman" w:hAnsi="Times New Roman" w:cs="Times New Roman"/>
                <w:b/>
                <w:spacing w:val="-2"/>
              </w:rPr>
              <w:t>Giải trình</w:t>
            </w:r>
            <w:r w:rsidRPr="00C539C7">
              <w:rPr>
                <w:rFonts w:ascii="Times New Roman" w:hAnsi="Times New Roman" w:cs="Times New Roman"/>
                <w:spacing w:val="-2"/>
              </w:rPr>
              <w:t xml:space="preserve">: </w:t>
            </w:r>
            <w:r>
              <w:rPr>
                <w:rFonts w:ascii="Times New Roman" w:hAnsi="Times New Roman" w:cs="Times New Roman"/>
                <w:spacing w:val="-2"/>
              </w:rPr>
              <w:t>K</w:t>
            </w:r>
            <w:r w:rsidRPr="00C539C7">
              <w:rPr>
                <w:rFonts w:ascii="Times New Roman" w:hAnsi="Times New Roman" w:cs="Times New Roman"/>
                <w:spacing w:val="-2"/>
              </w:rPr>
              <w:t xml:space="preserve">iến nghị không đề xuất cụ thể </w:t>
            </w:r>
            <w:r w:rsidRPr="00C539C7">
              <w:rPr>
                <w:rFonts w:ascii="Times New Roman" w:hAnsi="Times New Roman" w:cs="Times New Roman"/>
                <w:color w:val="000000"/>
                <w:spacing w:val="-2"/>
              </w:rPr>
              <w:t xml:space="preserve">tăng TCĐM sử dụng diện tích làm </w:t>
            </w:r>
            <w:r w:rsidRPr="00C539C7">
              <w:rPr>
                <w:rFonts w:ascii="Times New Roman" w:hAnsi="Times New Roman" w:cs="Times New Roman"/>
                <w:color w:val="000000"/>
                <w:spacing w:val="-2"/>
              </w:rPr>
              <w:lastRenderedPageBreak/>
              <w:t xml:space="preserve">việc đối với nhóm chức danh nào. </w:t>
            </w:r>
            <w:r w:rsidRPr="00C539C7">
              <w:rPr>
                <w:rFonts w:ascii="Times New Roman" w:hAnsi="Times New Roman" w:cs="Times New Roman"/>
                <w:spacing w:val="-2"/>
              </w:rPr>
              <w:t>D</w:t>
            </w:r>
            <w:r w:rsidRPr="00C539C7">
              <w:rPr>
                <w:rFonts w:ascii="Times New Roman" w:hAnsi="Times New Roman" w:cs="Times New Roman"/>
                <w:color w:val="000000"/>
                <w:spacing w:val="-2"/>
              </w:rPr>
              <w:t xml:space="preserve">ự kiến sửa đổi theo hướng thay thế </w:t>
            </w:r>
            <w:r>
              <w:rPr>
                <w:rFonts w:ascii="Times New Roman" w:hAnsi="Times New Roman" w:cs="Times New Roman"/>
                <w:color w:val="000000"/>
                <w:spacing w:val="-2"/>
              </w:rPr>
              <w:t>Phụ lục</w:t>
            </w:r>
            <w:r w:rsidRPr="00C539C7">
              <w:rPr>
                <w:rFonts w:ascii="Times New Roman" w:hAnsi="Times New Roman" w:cs="Times New Roman"/>
                <w:color w:val="000000"/>
                <w:spacing w:val="-2"/>
              </w:rPr>
              <w:t xml:space="preserve"> I, Phụ lục II để đảm bảo phù hợp, </w:t>
            </w:r>
            <w:r w:rsidR="00971291">
              <w:rPr>
                <w:rFonts w:ascii="Times New Roman" w:hAnsi="Times New Roman" w:cs="Times New Roman"/>
                <w:color w:val="000000"/>
                <w:spacing w:val="-2"/>
              </w:rPr>
              <w:t>thống</w:t>
            </w:r>
            <w:r w:rsidRPr="00C539C7">
              <w:rPr>
                <w:rFonts w:ascii="Times New Roman" w:hAnsi="Times New Roman" w:cs="Times New Roman"/>
                <w:color w:val="000000"/>
                <w:spacing w:val="-2"/>
              </w:rPr>
              <w:t xml:space="preserve"> nhất theo quy định tại Quy định số 368-QĐ/TW của Bộ Chính trị; điều chỉnh TCĐM của chức danh tại STT 10 Phụ lục II cùng TCĐM STT 09 Phụ lục II.</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HV Chính trị QG HCM</w:t>
            </w:r>
          </w:p>
        </w:tc>
        <w:tc>
          <w:tcPr>
            <w:tcW w:w="7728" w:type="dxa"/>
          </w:tcPr>
          <w:p w:rsidR="00A429F4" w:rsidRPr="00DF1570" w:rsidRDefault="00A429F4" w:rsidP="006C0077">
            <w:pPr>
              <w:spacing w:before="40" w:after="40"/>
              <w:jc w:val="both"/>
              <w:rPr>
                <w:rFonts w:ascii="Times New Roman" w:hAnsi="Times New Roman" w:cs="Times New Roman"/>
                <w:color w:val="FF0000"/>
                <w:spacing w:val="-2"/>
              </w:rPr>
            </w:pPr>
            <w:r w:rsidRPr="00DF1570">
              <w:rPr>
                <w:rFonts w:ascii="Times New Roman" w:hAnsi="Times New Roman" w:cs="Times New Roman"/>
                <w:color w:val="FF0000"/>
                <w:spacing w:val="-2"/>
              </w:rPr>
              <w:t xml:space="preserve">Định mức cho các chức danh lãnh đạo đồng thời là nhà khoa học (Giáo sư, PGS) chưa được quy định cụ thể để phù hợp với chế độ chuyên gia, chưa có diện tích bổ sung cho không gian lưu trữ tài liệu nghiên cứu và tiếp khách khoa học đặc thù. Bổ sung hệ số diện tích </w:t>
            </w:r>
            <w:r w:rsidRPr="00DF1570">
              <w:rPr>
                <w:rFonts w:ascii="Times New Roman" w:hAnsi="Times New Roman" w:cs="Times New Roman"/>
                <w:i/>
                <w:color w:val="FF0000"/>
                <w:spacing w:val="-2"/>
              </w:rPr>
              <w:t>(tăng 10-15%) c</w:t>
            </w:r>
            <w:r w:rsidRPr="00DF1570">
              <w:rPr>
                <w:rFonts w:ascii="Times New Roman" w:hAnsi="Times New Roman" w:cs="Times New Roman"/>
                <w:color w:val="FF0000"/>
                <w:spacing w:val="-2"/>
              </w:rPr>
              <w:t>ho các chức danh có học hàm Giáo sư, PGS phục vụ nghiên cứu tại chỗ.</w:t>
            </w:r>
          </w:p>
        </w:tc>
        <w:tc>
          <w:tcPr>
            <w:tcW w:w="3685" w:type="dxa"/>
            <w:vMerge w:val="restart"/>
          </w:tcPr>
          <w:p w:rsidR="00A429F4" w:rsidRPr="00C539C7" w:rsidRDefault="00A429F4" w:rsidP="003140A9">
            <w:pPr>
              <w:spacing w:before="40" w:after="40"/>
              <w:jc w:val="both"/>
              <w:rPr>
                <w:rFonts w:ascii="Times New Roman" w:hAnsi="Times New Roman" w:cs="Times New Roman"/>
                <w:spacing w:val="-2"/>
              </w:rPr>
            </w:pPr>
            <w:r>
              <w:rPr>
                <w:rFonts w:ascii="Times New Roman" w:hAnsi="Times New Roman" w:cs="Times New Roman"/>
                <w:b/>
                <w:spacing w:val="-2"/>
              </w:rPr>
              <w:t xml:space="preserve">Tiếp thu: </w:t>
            </w:r>
            <w:r w:rsidR="00C51B0B">
              <w:rPr>
                <w:rFonts w:ascii="Times New Roman" w:hAnsi="Times New Roman" w:cs="Times New Roman"/>
                <w:spacing w:val="-2"/>
              </w:rPr>
              <w:t>sửa đổi, bổ sung khoả</w:t>
            </w:r>
            <w:r w:rsidR="00CF793A">
              <w:rPr>
                <w:rFonts w:ascii="Times New Roman" w:hAnsi="Times New Roman" w:cs="Times New Roman"/>
                <w:spacing w:val="-2"/>
              </w:rPr>
              <w:t>n 1</w:t>
            </w:r>
            <w:r w:rsidR="00C51B0B">
              <w:rPr>
                <w:rFonts w:ascii="Times New Roman" w:hAnsi="Times New Roman" w:cs="Times New Roman"/>
                <w:spacing w:val="-2"/>
              </w:rPr>
              <w:t xml:space="preserve"> Điều </w:t>
            </w:r>
            <w:r w:rsidR="00CF793A">
              <w:rPr>
                <w:rFonts w:ascii="Times New Roman" w:hAnsi="Times New Roman" w:cs="Times New Roman"/>
                <w:spacing w:val="-2"/>
              </w:rPr>
              <w:t>9</w:t>
            </w:r>
            <w:r w:rsidR="00C51B0B">
              <w:rPr>
                <w:rFonts w:ascii="Times New Roman" w:hAnsi="Times New Roman" w:cs="Times New Roman"/>
                <w:spacing w:val="-2"/>
              </w:rPr>
              <w:t xml:space="preserve"> NĐ155</w:t>
            </w:r>
            <w:r w:rsidRPr="00EB3688">
              <w:rPr>
                <w:rFonts w:ascii="Times New Roman" w:hAnsi="Times New Roman" w:cs="Times New Roman"/>
                <w:spacing w:val="-2"/>
              </w:rPr>
              <w:t>.</w:t>
            </w:r>
          </w:p>
        </w:tc>
      </w:tr>
      <w:tr w:rsidR="00CF793A" w:rsidRPr="006C0077" w:rsidTr="00C067F9">
        <w:tc>
          <w:tcPr>
            <w:tcW w:w="1625" w:type="dxa"/>
            <w:vMerge/>
          </w:tcPr>
          <w:p w:rsidR="00CF793A" w:rsidRPr="006C0077" w:rsidRDefault="00CF793A" w:rsidP="006C0077">
            <w:pPr>
              <w:spacing w:before="40" w:after="40"/>
              <w:rPr>
                <w:rFonts w:ascii="Times New Roman" w:hAnsi="Times New Roman" w:cs="Times New Roman"/>
                <w:b/>
                <w:bCs/>
                <w:spacing w:val="-2"/>
              </w:rPr>
            </w:pPr>
          </w:p>
        </w:tc>
        <w:tc>
          <w:tcPr>
            <w:tcW w:w="1812" w:type="dxa"/>
          </w:tcPr>
          <w:p w:rsidR="00CF793A" w:rsidRDefault="00CF793A" w:rsidP="006C0077">
            <w:pPr>
              <w:spacing w:before="40" w:after="40"/>
              <w:jc w:val="center"/>
              <w:rPr>
                <w:rFonts w:ascii="Times New Roman" w:hAnsi="Times New Roman" w:cs="Times New Roman"/>
                <w:color w:val="000000"/>
                <w:spacing w:val="-2"/>
              </w:rPr>
            </w:pPr>
            <w:r>
              <w:rPr>
                <w:rFonts w:ascii="Times New Roman" w:hAnsi="Times New Roman" w:cs="Times New Roman"/>
                <w:color w:val="000000"/>
                <w:spacing w:val="-2"/>
              </w:rPr>
              <w:t>Đại học Q</w:t>
            </w:r>
            <w:r w:rsidR="00EB61B5">
              <w:rPr>
                <w:rFonts w:ascii="Times New Roman" w:hAnsi="Times New Roman" w:cs="Times New Roman"/>
                <w:color w:val="000000"/>
                <w:spacing w:val="-2"/>
              </w:rPr>
              <w:t>G</w:t>
            </w:r>
            <w:r>
              <w:rPr>
                <w:rFonts w:ascii="Times New Roman" w:hAnsi="Times New Roman" w:cs="Times New Roman"/>
                <w:color w:val="000000"/>
                <w:spacing w:val="-2"/>
              </w:rPr>
              <w:t xml:space="preserve"> Hà Nội</w:t>
            </w:r>
          </w:p>
        </w:tc>
        <w:tc>
          <w:tcPr>
            <w:tcW w:w="7728" w:type="dxa"/>
          </w:tcPr>
          <w:p w:rsidR="00CF793A" w:rsidRDefault="00CF793A" w:rsidP="006C0077">
            <w:pPr>
              <w:spacing w:before="40" w:after="40"/>
              <w:jc w:val="both"/>
              <w:rPr>
                <w:rFonts w:ascii="Times New Roman" w:hAnsi="Times New Roman" w:cs="Times New Roman"/>
                <w:color w:val="FF0000"/>
                <w:spacing w:val="-2"/>
              </w:rPr>
            </w:pPr>
            <w:r>
              <w:rPr>
                <w:rFonts w:ascii="Times New Roman" w:hAnsi="Times New Roman" w:cs="Times New Roman"/>
                <w:color w:val="FF0000"/>
                <w:spacing w:val="-2"/>
              </w:rPr>
              <w:t>Đ</w:t>
            </w:r>
            <w:r w:rsidRPr="00CF793A">
              <w:rPr>
                <w:rFonts w:ascii="Times New Roman" w:hAnsi="Times New Roman" w:cs="Times New Roman"/>
                <w:color w:val="FF0000"/>
                <w:spacing w:val="-2"/>
              </w:rPr>
              <w:t>iều chỉnh tăng định mức diện tích cho chức danh Giáo sư, Phó Giáo sư và các nhà khoa học đầu ngành để đáp ứng nhu cầu kết hợp làm việc hành chính với nghiên cứu chuyên sâu tại chỗ.</w:t>
            </w:r>
          </w:p>
        </w:tc>
        <w:tc>
          <w:tcPr>
            <w:tcW w:w="3685" w:type="dxa"/>
            <w:vMerge/>
          </w:tcPr>
          <w:p w:rsidR="00CF793A" w:rsidRDefault="00CF793A" w:rsidP="002F7378">
            <w:pPr>
              <w:spacing w:before="40" w:after="40"/>
              <w:jc w:val="both"/>
              <w:rPr>
                <w:rFonts w:ascii="Times New Roman" w:hAnsi="Times New Roman" w:cs="Times New Roman"/>
                <w:b/>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Pr>
                <w:rFonts w:ascii="Times New Roman" w:hAnsi="Times New Roman" w:cs="Times New Roman"/>
                <w:color w:val="000000"/>
                <w:spacing w:val="-2"/>
              </w:rPr>
              <w:t>Bộ Giáo dục và Đào tạo</w:t>
            </w:r>
          </w:p>
        </w:tc>
        <w:tc>
          <w:tcPr>
            <w:tcW w:w="7728" w:type="dxa"/>
          </w:tcPr>
          <w:p w:rsidR="00A429F4" w:rsidRPr="00DF1570" w:rsidRDefault="00A429F4" w:rsidP="006C0077">
            <w:pPr>
              <w:spacing w:before="40" w:after="40"/>
              <w:jc w:val="both"/>
              <w:rPr>
                <w:rFonts w:ascii="Times New Roman" w:hAnsi="Times New Roman" w:cs="Times New Roman"/>
                <w:color w:val="FF0000"/>
                <w:spacing w:val="-2"/>
              </w:rPr>
            </w:pPr>
            <w:r>
              <w:rPr>
                <w:rFonts w:ascii="Times New Roman" w:hAnsi="Times New Roman" w:cs="Times New Roman"/>
                <w:color w:val="FF0000"/>
                <w:spacing w:val="-2"/>
              </w:rPr>
              <w:t>Rà soát, điều chỉnh tăng định mức diện tích làm việc đối với các chức danh lãnh đạo đặc thù trong các cơ sở giáo dụ</w:t>
            </w:r>
            <w:r w:rsidR="00CF0A63">
              <w:rPr>
                <w:rFonts w:ascii="Times New Roman" w:hAnsi="Times New Roman" w:cs="Times New Roman"/>
                <w:color w:val="FF0000"/>
                <w:spacing w:val="-2"/>
              </w:rPr>
              <w:t>c đ</w:t>
            </w:r>
            <w:r>
              <w:rPr>
                <w:rFonts w:ascii="Times New Roman" w:hAnsi="Times New Roman" w:cs="Times New Roman"/>
                <w:color w:val="FF0000"/>
                <w:spacing w:val="-2"/>
              </w:rPr>
              <w:t>ại học tự chủ cao để phù hợp với không gia</w:t>
            </w:r>
            <w:r w:rsidR="00CF0A63">
              <w:rPr>
                <w:rFonts w:ascii="Times New Roman" w:hAnsi="Times New Roman" w:cs="Times New Roman"/>
                <w:color w:val="FF0000"/>
                <w:spacing w:val="-2"/>
              </w:rPr>
              <w:t>n</w:t>
            </w:r>
            <w:r>
              <w:rPr>
                <w:rFonts w:ascii="Times New Roman" w:hAnsi="Times New Roman" w:cs="Times New Roman"/>
                <w:color w:val="FF0000"/>
                <w:spacing w:val="-2"/>
              </w:rPr>
              <w:t xml:space="preserve"> tiếp khách và hội họp chuyên môn tại chỗ do tính chất chuyển đổi số và yêu cầu làm việ</w:t>
            </w:r>
            <w:r w:rsidR="00CF0A63">
              <w:rPr>
                <w:rFonts w:ascii="Times New Roman" w:hAnsi="Times New Roman" w:cs="Times New Roman"/>
                <w:color w:val="FF0000"/>
                <w:spacing w:val="-2"/>
              </w:rPr>
              <w:t>c nhóm tro</w:t>
            </w:r>
            <w:r>
              <w:rPr>
                <w:rFonts w:ascii="Times New Roman" w:hAnsi="Times New Roman" w:cs="Times New Roman"/>
                <w:color w:val="FF0000"/>
                <w:spacing w:val="-2"/>
              </w:rPr>
              <w:t>ng giáo dục hiện đại đòi hỏi không gian linh hoạt hơn so với các quy định cứng trước đây</w:t>
            </w:r>
          </w:p>
        </w:tc>
        <w:tc>
          <w:tcPr>
            <w:tcW w:w="3685" w:type="dxa"/>
            <w:vMerge/>
          </w:tcPr>
          <w:p w:rsidR="00A429F4" w:rsidRDefault="00A429F4" w:rsidP="002F7378">
            <w:pPr>
              <w:spacing w:before="40" w:after="40"/>
              <w:jc w:val="both"/>
              <w:rPr>
                <w:rFonts w:ascii="Times New Roman" w:hAnsi="Times New Roman" w:cs="Times New Roman"/>
                <w:b/>
                <w:spacing w:val="-2"/>
              </w:rPr>
            </w:pPr>
          </w:p>
        </w:tc>
      </w:tr>
      <w:tr w:rsidR="003626BA" w:rsidRPr="006C0077" w:rsidTr="00C067F9">
        <w:tc>
          <w:tcPr>
            <w:tcW w:w="1625" w:type="dxa"/>
            <w:vMerge/>
          </w:tcPr>
          <w:p w:rsidR="003626BA" w:rsidRPr="006C0077" w:rsidRDefault="003626BA" w:rsidP="006C0077">
            <w:pPr>
              <w:spacing w:before="40" w:after="40"/>
              <w:rPr>
                <w:rFonts w:ascii="Times New Roman" w:hAnsi="Times New Roman" w:cs="Times New Roman"/>
                <w:spacing w:val="-2"/>
              </w:rPr>
            </w:pPr>
          </w:p>
        </w:tc>
        <w:tc>
          <w:tcPr>
            <w:tcW w:w="1812" w:type="dxa"/>
          </w:tcPr>
          <w:p w:rsidR="003626BA" w:rsidRPr="009C3E7F" w:rsidRDefault="003626BA" w:rsidP="006C0077">
            <w:pPr>
              <w:spacing w:before="40" w:after="40"/>
              <w:jc w:val="center"/>
              <w:rPr>
                <w:rFonts w:ascii="Times New Roman" w:hAnsi="Times New Roman" w:cs="Times New Roman"/>
                <w:color w:val="FF0000"/>
                <w:spacing w:val="-2"/>
              </w:rPr>
            </w:pPr>
            <w:r w:rsidRPr="009C3E7F">
              <w:rPr>
                <w:rFonts w:ascii="Times New Roman" w:hAnsi="Times New Roman" w:cs="Times New Roman"/>
                <w:color w:val="FF0000"/>
                <w:spacing w:val="-2"/>
              </w:rPr>
              <w:t>Bộ Ngoại giao</w:t>
            </w:r>
          </w:p>
        </w:tc>
        <w:tc>
          <w:tcPr>
            <w:tcW w:w="7728" w:type="dxa"/>
          </w:tcPr>
          <w:p w:rsidR="003626BA" w:rsidRPr="009C3E7F" w:rsidRDefault="003626BA" w:rsidP="003626BA">
            <w:pPr>
              <w:spacing w:before="40" w:after="40"/>
              <w:jc w:val="both"/>
              <w:rPr>
                <w:rFonts w:ascii="Times New Roman" w:hAnsi="Times New Roman" w:cs="Times New Roman"/>
                <w:color w:val="FF0000"/>
                <w:spacing w:val="-2"/>
              </w:rPr>
            </w:pPr>
            <w:r w:rsidRPr="009C3E7F">
              <w:rPr>
                <w:rFonts w:ascii="Times New Roman" w:hAnsi="Times New Roman" w:cs="Times New Roman"/>
                <w:color w:val="FF0000"/>
                <w:spacing w:val="-2"/>
              </w:rPr>
              <w:t>Nghị định hiện tại chủ yếu tập trung vào nhóm hành chính, chưa bao quát nhóm chuyên gia cần không gian nghiên cứu hoặc thiết bị đặc thù, do đó kiến nghị rà soát và điều chỉnh định mức diện tích cá nhân cho các nhóm đối tượng đặc thù (chuyên gia, tư vấn) phù hợp với Đề án vị trí việc làm đã được phê duyệt để đồng bộ với cải cách tiền lương và quản lý biên chế. Thực hiện được điều này sẽ có tác động thu hút được nhân tài, tăng hiệu quả làm việc chuyên môn.</w:t>
            </w:r>
          </w:p>
        </w:tc>
        <w:tc>
          <w:tcPr>
            <w:tcW w:w="3685" w:type="dxa"/>
          </w:tcPr>
          <w:p w:rsidR="003626BA" w:rsidRPr="005C5B03" w:rsidRDefault="009C3E7F" w:rsidP="007E42C5">
            <w:pPr>
              <w:spacing w:before="40" w:after="40"/>
              <w:jc w:val="both"/>
              <w:rPr>
                <w:rFonts w:ascii="Times New Roman" w:hAnsi="Times New Roman" w:cs="Times New Roman"/>
                <w:b/>
                <w:color w:val="FF0000"/>
                <w:spacing w:val="-2"/>
                <w:sz w:val="20"/>
                <w:szCs w:val="20"/>
              </w:rPr>
            </w:pPr>
            <w:r w:rsidRPr="005C5B03">
              <w:rPr>
                <w:rFonts w:ascii="Times New Roman" w:hAnsi="Times New Roman" w:cs="Times New Roman"/>
                <w:b/>
                <w:color w:val="FF0000"/>
                <w:spacing w:val="-2"/>
                <w:sz w:val="20"/>
                <w:szCs w:val="20"/>
              </w:rPr>
              <w:t>Giải trình</w:t>
            </w:r>
            <w:r w:rsidRPr="005C5B03">
              <w:rPr>
                <w:rFonts w:ascii="Times New Roman" w:hAnsi="Times New Roman" w:cs="Times New Roman"/>
                <w:color w:val="FF0000"/>
                <w:spacing w:val="-2"/>
                <w:sz w:val="20"/>
                <w:szCs w:val="20"/>
              </w:rPr>
              <w:t xml:space="preserve">: </w:t>
            </w:r>
            <w:r w:rsidRPr="005C5B03">
              <w:rPr>
                <w:rFonts w:ascii="Times New Roman" w:hAnsi="Times New Roman" w:cs="Times New Roman"/>
                <w:color w:val="FF0000"/>
                <w:sz w:val="20"/>
                <w:szCs w:val="20"/>
              </w:rPr>
              <w:t>t</w:t>
            </w:r>
            <w:r w:rsidRPr="005C5B03">
              <w:rPr>
                <w:rFonts w:ascii="Times New Roman" w:hAnsi="Times New Roman" w:cs="Times New Roman"/>
                <w:color w:val="FF0000"/>
                <w:spacing w:val="-2"/>
                <w:sz w:val="20"/>
                <w:szCs w:val="20"/>
              </w:rPr>
              <w:t>ại Đ7, Đ11 NĐ155 đã quy định diện tích chuyên dùng là diện tích sử dụng để phục vụ nhiệm vụ đặc thù của CQ, TC, ĐV do cơ quan, người có thẩm quyền quyết định; vì vậy, đề nghị giữ như quy định hiện hành.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Bộ KH&amp;CN</w:t>
            </w:r>
          </w:p>
        </w:tc>
        <w:tc>
          <w:tcPr>
            <w:tcW w:w="7728" w:type="dxa"/>
          </w:tcPr>
          <w:p w:rsidR="00A429F4" w:rsidRPr="00BC2DA0" w:rsidRDefault="00A429F4" w:rsidP="006C0077">
            <w:pPr>
              <w:spacing w:before="40" w:after="40"/>
              <w:jc w:val="both"/>
              <w:rPr>
                <w:rFonts w:ascii="Times New Roman" w:hAnsi="Times New Roman" w:cs="Times New Roman"/>
                <w:color w:val="000000"/>
                <w:spacing w:val="-2"/>
              </w:rPr>
            </w:pPr>
            <w:r w:rsidRPr="00BC2DA0">
              <w:rPr>
                <w:rFonts w:ascii="Times New Roman" w:hAnsi="Times New Roman" w:cs="Times New Roman"/>
                <w:color w:val="000000"/>
                <w:spacing w:val="-2"/>
              </w:rPr>
              <w:t xml:space="preserve">(i) Đề xuất áp dụng cùng một mức diện tích làm việc đối với chuyên viên và lao động hợp đồng thực hiện chuyên môn, nghiệp vụ. </w:t>
            </w:r>
            <w:r w:rsidRPr="00BC2DA0">
              <w:rPr>
                <w:rFonts w:ascii="Times New Roman" w:hAnsi="Times New Roman" w:cs="Times New Roman"/>
                <w:i/>
                <w:color w:val="000000"/>
                <w:spacing w:val="-2"/>
              </w:rPr>
              <w:t>Nguyên nhân:</w:t>
            </w:r>
            <w:r w:rsidRPr="00BC2DA0">
              <w:rPr>
                <w:rFonts w:ascii="Times New Roman" w:hAnsi="Times New Roman" w:cs="Times New Roman"/>
                <w:color w:val="000000"/>
                <w:spacing w:val="-2"/>
              </w:rPr>
              <w:t xml:space="preserve"> Tại ĐVSNCL, hai vị trí này đảm nhiệm chức năng, nhiệm vụ và mức độ trách nhiệm tương đương nhau; do đó, việc quy định diện tích khác nhau theo hình thức tuyển dụng là chưa phù hợp. Thống nhất định mức sẽ bảo đảm công bằng, thuận lợi trong bố trí mặt bằng và quản lý tài sản công. </w:t>
            </w:r>
          </w:p>
          <w:p w:rsidR="00A429F4" w:rsidRPr="006C0077" w:rsidRDefault="00A429F4" w:rsidP="000B2E1C">
            <w:pPr>
              <w:spacing w:before="40" w:after="40"/>
              <w:jc w:val="both"/>
              <w:rPr>
                <w:rFonts w:ascii="Times New Roman" w:hAnsi="Times New Roman" w:cs="Times New Roman"/>
                <w:color w:val="000000"/>
              </w:rPr>
            </w:pPr>
            <w:r w:rsidRPr="00BC2DA0">
              <w:rPr>
                <w:rFonts w:ascii="Times New Roman" w:hAnsi="Times New Roman" w:cs="Times New Roman"/>
                <w:color w:val="000000"/>
              </w:rPr>
              <w:t xml:space="preserve">(ii) </w:t>
            </w:r>
            <w:r w:rsidRPr="006C0077">
              <w:rPr>
                <w:rFonts w:ascii="Times New Roman" w:hAnsi="Times New Roman" w:cs="Times New Roman"/>
                <w:color w:val="000000"/>
              </w:rPr>
              <w:t xml:space="preserve">Đề xuất phân nhóm chức danh theo tính chất, quy mô nhiệm vụ của </w:t>
            </w:r>
            <w:r>
              <w:rPr>
                <w:rFonts w:ascii="Times New Roman" w:hAnsi="Times New Roman" w:cs="Times New Roman"/>
                <w:color w:val="000000"/>
              </w:rPr>
              <w:t xml:space="preserve">ĐVSNCL </w:t>
            </w:r>
            <w:r w:rsidRPr="006C0077">
              <w:rPr>
                <w:rFonts w:ascii="Times New Roman" w:hAnsi="Times New Roman" w:cs="Times New Roman"/>
                <w:color w:val="000000"/>
              </w:rPr>
              <w:t xml:space="preserve">(đơn vị tự chủ chi thường xuyên, đơn vị có hoạt động dịch vụ, đơn vị có chức năng kỹ thuật đặc thù). Quy định diện tích tối đa theo hướng linh hoạt trong một khoảng </w:t>
            </w:r>
            <w:r w:rsidRPr="006C0077">
              <w:rPr>
                <w:rFonts w:ascii="Times New Roman" w:hAnsi="Times New Roman" w:cs="Times New Roman"/>
                <w:color w:val="000000"/>
              </w:rPr>
              <w:lastRenderedPageBreak/>
              <w:t xml:space="preserve">(min–max). </w:t>
            </w:r>
            <w:r w:rsidRPr="006C0077">
              <w:rPr>
                <w:rFonts w:ascii="Times New Roman" w:hAnsi="Times New Roman" w:cs="Times New Roman"/>
                <w:i/>
                <w:color w:val="000000"/>
              </w:rPr>
              <w:t xml:space="preserve">Nguyên nhân: </w:t>
            </w:r>
            <w:r w:rsidRPr="006C0077">
              <w:rPr>
                <w:rFonts w:ascii="Times New Roman" w:hAnsi="Times New Roman" w:cs="Times New Roman"/>
                <w:color w:val="000000"/>
              </w:rPr>
              <w:t>ĐVSNCL có đặc thù về cơ cấu tổ chức, số lượng nhân sự và yêu cầu chuyên môn khác vớ</w:t>
            </w:r>
            <w:r>
              <w:rPr>
                <w:rFonts w:ascii="Times New Roman" w:hAnsi="Times New Roman" w:cs="Times New Roman"/>
                <w:color w:val="000000"/>
              </w:rPr>
              <w:t xml:space="preserve">i cơ quan hành chính. </w:t>
            </w:r>
            <w:r w:rsidRPr="006C0077">
              <w:rPr>
                <w:rFonts w:ascii="Times New Roman" w:hAnsi="Times New Roman" w:cs="Times New Roman"/>
                <w:color w:val="000000"/>
              </w:rPr>
              <w:t xml:space="preserve">Thực tế cho thấy cùng một chức danh nhưng quy mô, phạm vi quản lý và tính chất nhiệm vụ khác nhau nên nhu cầu sử dụng diện tích cũng không đồng nhất. Việc quy định theo khung linh hoạt sẽ tạo cơ sở pháp lý phù hợp thực tiễn, tránh bố trí cứng nhắc hoặc vượt chuẩn, đồng thời vẫn bảo đảm kiểm soát tổng diện tích trong mức tối đa cho phép. </w:t>
            </w:r>
          </w:p>
        </w:tc>
        <w:tc>
          <w:tcPr>
            <w:tcW w:w="3685" w:type="dxa"/>
          </w:tcPr>
          <w:p w:rsidR="00A429F4" w:rsidRPr="00C65DF8" w:rsidRDefault="00A429F4" w:rsidP="000B2E1C">
            <w:pPr>
              <w:spacing w:before="40" w:after="40"/>
              <w:jc w:val="both"/>
              <w:rPr>
                <w:rFonts w:ascii="Times New Roman" w:hAnsi="Times New Roman" w:cs="Times New Roman"/>
                <w:b/>
                <w:spacing w:val="-2"/>
              </w:rPr>
            </w:pPr>
            <w:r w:rsidRPr="00C65DF8">
              <w:rPr>
                <w:rFonts w:ascii="Times New Roman" w:hAnsi="Times New Roman" w:cs="Times New Roman"/>
                <w:b/>
                <w:spacing w:val="-2"/>
              </w:rPr>
              <w:lastRenderedPageBreak/>
              <w:t>(i) Tiếp thu.</w:t>
            </w:r>
          </w:p>
          <w:p w:rsidR="00A429F4" w:rsidRPr="003D3243" w:rsidRDefault="00A429F4" w:rsidP="002F59F6">
            <w:pPr>
              <w:spacing w:before="40" w:after="40"/>
              <w:jc w:val="both"/>
              <w:rPr>
                <w:rFonts w:ascii="Times New Roman" w:hAnsi="Times New Roman" w:cs="Times New Roman"/>
                <w:spacing w:val="-4"/>
              </w:rPr>
            </w:pPr>
            <w:r w:rsidRPr="003D3243">
              <w:rPr>
                <w:rFonts w:ascii="Times New Roman" w:hAnsi="Times New Roman" w:cs="Times New Roman"/>
                <w:b/>
                <w:spacing w:val="-4"/>
              </w:rPr>
              <w:t>(ii)</w:t>
            </w:r>
            <w:r w:rsidRPr="003D3243">
              <w:rPr>
                <w:rFonts w:ascii="Times New Roman" w:hAnsi="Times New Roman" w:cs="Times New Roman"/>
                <w:spacing w:val="-4"/>
              </w:rPr>
              <w:t xml:space="preserve"> </w:t>
            </w:r>
            <w:r w:rsidRPr="003D3243">
              <w:rPr>
                <w:rFonts w:ascii="Times New Roman" w:hAnsi="Times New Roman" w:cs="Times New Roman"/>
                <w:b/>
                <w:spacing w:val="-4"/>
              </w:rPr>
              <w:t>Giải trình</w:t>
            </w:r>
            <w:r w:rsidRPr="003D3243">
              <w:rPr>
                <w:rFonts w:ascii="Times New Roman" w:hAnsi="Times New Roman" w:cs="Times New Roman"/>
                <w:spacing w:val="-4"/>
              </w:rPr>
              <w:t xml:space="preserve">: Tại Đ9 NĐ155 đã quy định: (1) Diện tích theo tiêu chuẩn, định mức là diện tích tối đa nên đã bảo đảm tính linh hoạt; (2) Căn cứ thiết kế và hiện trạng của CSHĐSN, Thủ trưởng cơ quan, tổ chức, đơn vị có thể điều hòa diện tích làm việc các chức danh nhưng bảo đảm tổng diện tích bố trí cho các </w:t>
            </w:r>
            <w:r w:rsidRPr="003D3243">
              <w:rPr>
                <w:rFonts w:ascii="Times New Roman" w:hAnsi="Times New Roman" w:cs="Times New Roman"/>
                <w:spacing w:val="-4"/>
              </w:rPr>
              <w:lastRenderedPageBreak/>
              <w:t>chức danh không vượt quá tổng diện tích làm việc được xác định; (3) Đối với các chức danh làm việc trong một số lĩnh vực thì diện tích làm việc của các chức danh này được bố trí phù hợp với tính chất công việc trong diện tích công trình sự nghiệp hoặc diện tích làm việc phục vụ công tác các chức danh.</w:t>
            </w:r>
          </w:p>
          <w:p w:rsidR="00A429F4" w:rsidRPr="00C067F9" w:rsidRDefault="00A429F4" w:rsidP="002F59F6">
            <w:pPr>
              <w:spacing w:before="40" w:after="40"/>
              <w:jc w:val="both"/>
              <w:rPr>
                <w:rFonts w:ascii="Times New Roman" w:hAnsi="Times New Roman" w:cs="Times New Roman"/>
                <w:color w:val="FF0000"/>
                <w:spacing w:val="-10"/>
                <w:highlight w:val="yellow"/>
              </w:rPr>
            </w:pPr>
            <w:r w:rsidRPr="00C067F9">
              <w:rPr>
                <w:rFonts w:ascii="Times New Roman" w:hAnsi="Times New Roman" w:cs="Times New Roman"/>
                <w:spacing w:val="-10"/>
              </w:rPr>
              <w:t>Vì vậy, đề nghị giữ như quy định hiện hành.</w:t>
            </w:r>
            <w:r w:rsidRPr="00C067F9">
              <w:rPr>
                <w:rFonts w:ascii="Times New Roman" w:hAnsi="Times New Roman" w:cs="Times New Roman"/>
                <w:color w:val="FF0000"/>
                <w:spacing w:val="-10"/>
              </w:rPr>
              <w:t xml:space="preserve"> </w:t>
            </w:r>
            <w:r w:rsidRPr="00C067F9">
              <w:rPr>
                <w:rFonts w:ascii="Times New Roman" w:hAnsi="Times New Roman" w:cs="Times New Roman"/>
                <w:color w:val="FF0000"/>
                <w:spacing w:val="-10"/>
                <w:highlight w:val="yellow"/>
              </w:rPr>
              <w:t xml:space="preserve"> </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Hưng Yên</w:t>
            </w:r>
          </w:p>
        </w:tc>
        <w:tc>
          <w:tcPr>
            <w:tcW w:w="7728" w:type="dxa"/>
          </w:tcPr>
          <w:p w:rsidR="00A429F4" w:rsidRPr="006C0077" w:rsidRDefault="00A429F4" w:rsidP="006C0077">
            <w:pPr>
              <w:spacing w:before="40" w:after="40"/>
              <w:jc w:val="both"/>
              <w:rPr>
                <w:rFonts w:ascii="Times New Roman" w:hAnsi="Times New Roman" w:cs="Times New Roman"/>
                <w:spacing w:val="-2"/>
              </w:rPr>
            </w:pPr>
            <w:r w:rsidRPr="006C0077">
              <w:rPr>
                <w:rFonts w:ascii="Times New Roman" w:hAnsi="Times New Roman" w:cs="Times New Roman"/>
                <w:color w:val="000000"/>
                <w:spacing w:val="-2"/>
              </w:rPr>
              <w:t>Đề nghị nghiên cứu điều chỉnh tăng/giảm diện tích làm việc đối với một số chức danh đặc thù (</w:t>
            </w:r>
            <w:r w:rsidRPr="000B2E1C">
              <w:rPr>
                <w:rFonts w:ascii="Times New Roman" w:hAnsi="Times New Roman" w:cs="Times New Roman"/>
                <w:i/>
                <w:color w:val="000000"/>
                <w:spacing w:val="-2"/>
              </w:rPr>
              <w:t>ví dụ: chức danh có yêu cầu tiếp công dân thường xuyên, chức danh có khối lượng hồ sơ lớn</w:t>
            </w:r>
            <w:r w:rsidRPr="006C0077">
              <w:rPr>
                <w:rFonts w:ascii="Times New Roman" w:hAnsi="Times New Roman" w:cs="Times New Roman"/>
                <w:color w:val="000000"/>
                <w:spacing w:val="-2"/>
              </w:rPr>
              <w:t>); bổ sung nguyên tắc bố trí phòng làm việc tập trung, hạn chế phòng làm việc riêng đối với các chức danh không thật sự cần thiết.</w:t>
            </w:r>
          </w:p>
        </w:tc>
        <w:tc>
          <w:tcPr>
            <w:tcW w:w="3685" w:type="dxa"/>
            <w:vMerge w:val="restart"/>
          </w:tcPr>
          <w:p w:rsidR="00A429F4" w:rsidRPr="00C539C7" w:rsidRDefault="00A429F4" w:rsidP="00C64DB9">
            <w:pPr>
              <w:spacing w:before="40" w:after="40"/>
              <w:jc w:val="both"/>
              <w:rPr>
                <w:rFonts w:ascii="Times New Roman" w:hAnsi="Times New Roman" w:cs="Times New Roman"/>
                <w:spacing w:val="-2"/>
              </w:rPr>
            </w:pPr>
            <w:r w:rsidRPr="006770B4">
              <w:rPr>
                <w:rFonts w:ascii="Times New Roman" w:hAnsi="Times New Roman" w:cs="Times New Roman"/>
                <w:b/>
                <w:color w:val="000000"/>
                <w:spacing w:val="-2"/>
              </w:rPr>
              <w:t>Giải trình</w:t>
            </w:r>
            <w:r w:rsidRPr="00C539C7">
              <w:rPr>
                <w:rFonts w:ascii="Times New Roman" w:hAnsi="Times New Roman" w:cs="Times New Roman"/>
                <w:color w:val="000000"/>
                <w:spacing w:val="-2"/>
              </w:rPr>
              <w:t xml:space="preserve">: (1) Tại </w:t>
            </w:r>
            <w:r w:rsidRPr="00C539C7">
              <w:rPr>
                <w:rFonts w:ascii="Times New Roman" w:hAnsi="Times New Roman" w:cs="Times New Roman"/>
                <w:spacing w:val="-2"/>
              </w:rPr>
              <w:t>K3 Đ5, khoản 1 Đ9 NĐ155 đã quy định căn cứ thiết kế và hiện trạng của CSHĐSN, Thủ trưởng cơ quan, tổ chức, đơn vị có thể điều hòa diện tích làm việc các chức danh nhưng bảo đảm tổng diện tích bố trí cho các chức danh không vượt quá tổng diện tích làm việc được xác định; (2) Tại khoản 2 Đ9 NĐ155 Đối với các chức danh làm việc trong một số lĩnh vực thì diện tích làm việc của các chức danh này được bố trí phù hợp với tính chất công việc trong diện tích CTSN hoặc diện tích làm việc phục vụ công tác các chức danh.</w:t>
            </w:r>
          </w:p>
          <w:p w:rsidR="00A429F4" w:rsidRPr="00C067F9" w:rsidRDefault="00A429F4" w:rsidP="00AA30BD">
            <w:pPr>
              <w:spacing w:before="40" w:after="40"/>
              <w:jc w:val="both"/>
              <w:rPr>
                <w:rFonts w:ascii="Times New Roman" w:hAnsi="Times New Roman" w:cs="Times New Roman"/>
                <w:color w:val="000000"/>
                <w:spacing w:val="-10"/>
              </w:rPr>
            </w:pPr>
            <w:r w:rsidRPr="00C067F9">
              <w:rPr>
                <w:rFonts w:ascii="Times New Roman" w:hAnsi="Times New Roman" w:cs="Times New Roman"/>
                <w:spacing w:val="-10"/>
              </w:rPr>
              <w:t>Vì vậy, đề nghị giữ như quy định hiện hành.</w:t>
            </w:r>
            <w:r w:rsidRPr="00C067F9">
              <w:rPr>
                <w:rFonts w:ascii="Times New Roman" w:hAnsi="Times New Roman" w:cs="Times New Roman"/>
                <w:color w:val="FF0000"/>
                <w:spacing w:val="-10"/>
              </w:rPr>
              <w:t xml:space="preserve"> </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Ninh Bình</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Pr>
                <w:rFonts w:ascii="Times New Roman" w:hAnsi="Times New Roman" w:cs="Times New Roman"/>
                <w:color w:val="000000"/>
                <w:spacing w:val="-2"/>
              </w:rPr>
              <w:t>Đ</w:t>
            </w:r>
            <w:r w:rsidRPr="006C0077">
              <w:rPr>
                <w:rFonts w:ascii="Times New Roman" w:hAnsi="Times New Roman" w:cs="Times New Roman"/>
                <w:color w:val="000000"/>
                <w:spacing w:val="-2"/>
              </w:rPr>
              <w:t>ề nghị nghiên cứu cho phép áp dụng hệ số điều chỉnh linh hoạt trong phạm vi nhất định đối với địa bàn đặc thù và rà soát lại việc phân nhóm chức danh kiêm nhiệm nhằm phù hợp với thực tế tinh gọn bộ máy hiện nay. Việc điều chỉnh này không làm tăng tổng quỹ diện tích nếu được kiểm soát chặt chẽ, đồng thời tạo thuận lợi trong bố trí thực tế và hạn chế phát sinh chi phí cải tạo không cần thiết.</w:t>
            </w:r>
          </w:p>
        </w:tc>
        <w:tc>
          <w:tcPr>
            <w:tcW w:w="3685" w:type="dxa"/>
            <w:vMerge/>
          </w:tcPr>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Nghệ An</w:t>
            </w:r>
          </w:p>
        </w:tc>
        <w:tc>
          <w:tcPr>
            <w:tcW w:w="7728" w:type="dxa"/>
          </w:tcPr>
          <w:p w:rsidR="00A429F4" w:rsidRPr="006C0077" w:rsidRDefault="00A429F4" w:rsidP="002637D8">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nghiên cứu quy đị</w:t>
            </w:r>
            <w:r>
              <w:rPr>
                <w:rFonts w:ascii="Times New Roman" w:hAnsi="Times New Roman" w:cs="Times New Roman"/>
                <w:color w:val="000000"/>
                <w:spacing w:val="-2"/>
              </w:rPr>
              <w:t xml:space="preserve">nh </w:t>
            </w:r>
            <w:r w:rsidRPr="006C0077">
              <w:rPr>
                <w:rFonts w:ascii="Times New Roman" w:hAnsi="Times New Roman" w:cs="Times New Roman"/>
                <w:color w:val="000000"/>
                <w:spacing w:val="-2"/>
              </w:rPr>
              <w:t>linh hoạt hơn đối với một số chức danh kiêm nhiệm nhiề</w:t>
            </w:r>
            <w:r>
              <w:rPr>
                <w:rFonts w:ascii="Times New Roman" w:hAnsi="Times New Roman" w:cs="Times New Roman"/>
                <w:color w:val="000000"/>
                <w:spacing w:val="-2"/>
              </w:rPr>
              <w:t xml:space="preserve">u </w:t>
            </w:r>
            <w:r w:rsidRPr="006C0077">
              <w:rPr>
                <w:rFonts w:ascii="Times New Roman" w:hAnsi="Times New Roman" w:cs="Times New Roman"/>
                <w:color w:val="000000"/>
                <w:spacing w:val="-2"/>
              </w:rPr>
              <w:t>nhiệ</w:t>
            </w:r>
            <w:r>
              <w:rPr>
                <w:rFonts w:ascii="Times New Roman" w:hAnsi="Times New Roman" w:cs="Times New Roman"/>
                <w:color w:val="000000"/>
                <w:spacing w:val="-2"/>
              </w:rPr>
              <w:t xml:space="preserve">m </w:t>
            </w:r>
            <w:r w:rsidRPr="006C0077">
              <w:rPr>
                <w:rFonts w:ascii="Times New Roman" w:hAnsi="Times New Roman" w:cs="Times New Roman"/>
                <w:color w:val="000000"/>
                <w:spacing w:val="-2"/>
              </w:rPr>
              <w:t>vụ chuyên môn đặc thù; cho phép điều chỉnh trong phạ</w:t>
            </w:r>
            <w:r>
              <w:rPr>
                <w:rFonts w:ascii="Times New Roman" w:hAnsi="Times New Roman" w:cs="Times New Roman"/>
                <w:color w:val="000000"/>
                <w:spacing w:val="-2"/>
              </w:rPr>
              <w:t xml:space="preserve">m </w:t>
            </w:r>
            <w:r w:rsidRPr="006C0077">
              <w:rPr>
                <w:rFonts w:ascii="Times New Roman" w:hAnsi="Times New Roman" w:cs="Times New Roman"/>
                <w:color w:val="000000"/>
                <w:spacing w:val="-2"/>
              </w:rPr>
              <w:t>vi tổ</w:t>
            </w:r>
            <w:r>
              <w:rPr>
                <w:rFonts w:ascii="Times New Roman" w:hAnsi="Times New Roman" w:cs="Times New Roman"/>
                <w:color w:val="000000"/>
                <w:spacing w:val="-2"/>
              </w:rPr>
              <w:t>ng</w:t>
            </w:r>
            <w:r w:rsidRPr="006C0077">
              <w:rPr>
                <w:rFonts w:ascii="Times New Roman" w:hAnsi="Times New Roman" w:cs="Times New Roman"/>
                <w:color w:val="000000"/>
                <w:spacing w:val="-2"/>
              </w:rPr>
              <w:t xml:space="preserve"> diện tích được giao.</w:t>
            </w:r>
          </w:p>
        </w:tc>
        <w:tc>
          <w:tcPr>
            <w:tcW w:w="3685" w:type="dxa"/>
          </w:tcPr>
          <w:p w:rsidR="00A429F4" w:rsidRPr="00E5653B" w:rsidRDefault="00A429F4" w:rsidP="00CF0A63">
            <w:pPr>
              <w:spacing w:before="40" w:after="40"/>
              <w:jc w:val="both"/>
              <w:rPr>
                <w:rFonts w:ascii="Times New Roman" w:hAnsi="Times New Roman" w:cs="Times New Roman"/>
                <w:color w:val="000000"/>
                <w:spacing w:val="-4"/>
              </w:rPr>
            </w:pPr>
            <w:r w:rsidRPr="00E5653B">
              <w:rPr>
                <w:rFonts w:ascii="Times New Roman" w:hAnsi="Times New Roman" w:cs="Times New Roman"/>
                <w:b/>
                <w:color w:val="000000"/>
                <w:spacing w:val="-4"/>
              </w:rPr>
              <w:t xml:space="preserve">Tiếp thu theo hướng: </w:t>
            </w:r>
            <w:r w:rsidRPr="00E5653B">
              <w:rPr>
                <w:rFonts w:ascii="Times New Roman" w:hAnsi="Times New Roman" w:cs="Times New Roman"/>
                <w:color w:val="000000"/>
                <w:spacing w:val="-4"/>
              </w:rPr>
              <w:t xml:space="preserve">bổ sung đối với chức danh kiêm nhiệm nhiều nhiệm vụ chuyên môn đặc thù </w:t>
            </w:r>
            <w:r w:rsidRPr="00E5653B">
              <w:rPr>
                <w:rFonts w:ascii="Times New Roman" w:hAnsi="Times New Roman" w:cs="Times New Roman"/>
                <w:iCs/>
                <w:color w:val="000000"/>
                <w:spacing w:val="-4"/>
              </w:rPr>
              <w:t>thì có thể sắp xếp, bố trí cao hơn diện tích theo tiêu chuẩn, định mức quy định tại Phụ lục ban hành kèm theo Nghị định này</w:t>
            </w:r>
            <w:r w:rsidR="00CF0A63">
              <w:rPr>
                <w:rFonts w:ascii="Times New Roman" w:hAnsi="Times New Roman" w:cs="Times New Roman"/>
                <w:iCs/>
                <w:color w:val="000000"/>
                <w:spacing w:val="-4"/>
              </w:rPr>
              <w:t>.</w:t>
            </w:r>
            <w:r w:rsidR="00CF0A63" w:rsidRPr="00C539C7">
              <w:rPr>
                <w:rFonts w:ascii="Times New Roman" w:hAnsi="Times New Roman" w:cs="Times New Roman"/>
                <w:spacing w:val="-2"/>
              </w:rPr>
              <w:t xml:space="preserve"> NĐ155</w:t>
            </w:r>
            <w:r w:rsidR="00CF0A63">
              <w:rPr>
                <w:rFonts w:ascii="Times New Roman" w:hAnsi="Times New Roman" w:cs="Times New Roman"/>
                <w:spacing w:val="-2"/>
              </w:rPr>
              <w:t xml:space="preserve"> đã cho phép điều chỉnh linh hoạt diện tích làm việc trong </w:t>
            </w:r>
            <w:r w:rsidRPr="00E5653B">
              <w:rPr>
                <w:rFonts w:ascii="Times New Roman" w:hAnsi="Times New Roman" w:cs="Times New Roman"/>
                <w:iCs/>
                <w:color w:val="000000"/>
                <w:spacing w:val="-4"/>
              </w:rPr>
              <w:t>tổng diện tích làm việc được xác định.</w:t>
            </w:r>
          </w:p>
        </w:tc>
      </w:tr>
      <w:tr w:rsidR="00A429F4" w:rsidRPr="006C0077" w:rsidTr="00C067F9">
        <w:tc>
          <w:tcPr>
            <w:tcW w:w="1625" w:type="dxa"/>
            <w:vMerge w:val="restart"/>
          </w:tcPr>
          <w:p w:rsidR="00A429F4" w:rsidRPr="006C0077" w:rsidRDefault="00A429F4" w:rsidP="006C0077">
            <w:pPr>
              <w:spacing w:before="40" w:after="40"/>
              <w:rPr>
                <w:rFonts w:ascii="Times New Roman" w:hAnsi="Times New Roman" w:cs="Times New Roman"/>
                <w:spacing w:val="-2"/>
              </w:rPr>
            </w:pPr>
            <w:r>
              <w:rPr>
                <w:rFonts w:ascii="Times New Roman" w:hAnsi="Times New Roman" w:cs="Times New Roman"/>
                <w:b/>
                <w:bCs/>
                <w:spacing w:val="-2"/>
              </w:rPr>
              <w:t>3</w:t>
            </w:r>
            <w:r w:rsidRPr="006C0077">
              <w:rPr>
                <w:rFonts w:ascii="Times New Roman" w:hAnsi="Times New Roman" w:cs="Times New Roman"/>
                <w:b/>
                <w:bCs/>
                <w:spacing w:val="-2"/>
              </w:rPr>
              <w:t xml:space="preserve">. Về TCĐM diện tích sử </w:t>
            </w:r>
            <w:r w:rsidRPr="006C0077">
              <w:rPr>
                <w:rFonts w:ascii="Times New Roman" w:hAnsi="Times New Roman" w:cs="Times New Roman"/>
                <w:b/>
                <w:bCs/>
                <w:spacing w:val="-2"/>
              </w:rPr>
              <w:lastRenderedPageBreak/>
              <w:t>dụng chung</w:t>
            </w:r>
          </w:p>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color w:val="000000"/>
                <w:spacing w:val="-2"/>
              </w:rPr>
              <w:lastRenderedPageBreak/>
              <w:t>VP TƯ Đảng</w:t>
            </w:r>
          </w:p>
        </w:tc>
        <w:tc>
          <w:tcPr>
            <w:tcW w:w="7728" w:type="dxa"/>
          </w:tcPr>
          <w:p w:rsidR="00A429F4" w:rsidRPr="006C0077" w:rsidRDefault="00A429F4" w:rsidP="006C0077">
            <w:pPr>
              <w:spacing w:before="40" w:after="40"/>
              <w:jc w:val="both"/>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Có quy định cụ thể về diện tích sử dụng chung đối với trường hợp nhiều cơ quan, đơn vị làm việc tại cùng toà nhà</w:t>
            </w:r>
            <w:r>
              <w:rPr>
                <w:rFonts w:ascii="Times New Roman" w:eastAsia="Times New Roman" w:hAnsi="Times New Roman" w:cs="Times New Roman"/>
                <w:color w:val="000000"/>
                <w:spacing w:val="-2"/>
              </w:rPr>
              <w:t>.</w:t>
            </w:r>
          </w:p>
        </w:tc>
        <w:tc>
          <w:tcPr>
            <w:tcW w:w="3685" w:type="dxa"/>
          </w:tcPr>
          <w:p w:rsidR="00A429F4" w:rsidRPr="00C539C7" w:rsidRDefault="00A429F4" w:rsidP="00B92102">
            <w:pPr>
              <w:spacing w:before="40" w:after="40"/>
              <w:jc w:val="both"/>
              <w:rPr>
                <w:rFonts w:ascii="Times New Roman" w:eastAsia="Times New Roman" w:hAnsi="Times New Roman" w:cs="Times New Roman"/>
                <w:color w:val="000000"/>
                <w:spacing w:val="-2"/>
              </w:rPr>
            </w:pPr>
            <w:r>
              <w:rPr>
                <w:rFonts w:ascii="Times New Roman" w:hAnsi="Times New Roman" w:cs="Times New Roman"/>
                <w:b/>
                <w:color w:val="000000"/>
                <w:spacing w:val="-2"/>
              </w:rPr>
              <w:t xml:space="preserve">Tiếp thu theo hướng: </w:t>
            </w:r>
            <w:r w:rsidRPr="0001341D">
              <w:rPr>
                <w:rFonts w:ascii="Times New Roman" w:hAnsi="Times New Roman" w:cs="Times New Roman"/>
                <w:color w:val="000000"/>
                <w:spacing w:val="-2"/>
              </w:rPr>
              <w:t xml:space="preserve">Bổ sung nguyên tắc xác định </w:t>
            </w:r>
            <w:r w:rsidRPr="0001341D">
              <w:rPr>
                <w:rFonts w:ascii="Times New Roman" w:eastAsia="Times New Roman" w:hAnsi="Times New Roman" w:cs="Times New Roman"/>
                <w:color w:val="000000"/>
                <w:spacing w:val="-2"/>
              </w:rPr>
              <w:t>diện</w:t>
            </w:r>
            <w:r w:rsidRPr="006C0077">
              <w:rPr>
                <w:rFonts w:ascii="Times New Roman" w:eastAsia="Times New Roman" w:hAnsi="Times New Roman" w:cs="Times New Roman"/>
                <w:color w:val="000000"/>
                <w:spacing w:val="-2"/>
              </w:rPr>
              <w:t xml:space="preserve"> tích sử dụng chung đối với </w:t>
            </w:r>
            <w:r>
              <w:rPr>
                <w:rFonts w:ascii="Times New Roman" w:eastAsia="Times New Roman" w:hAnsi="Times New Roman" w:cs="Times New Roman"/>
                <w:color w:val="000000"/>
                <w:spacing w:val="-2"/>
              </w:rPr>
              <w:t xml:space="preserve">trường hợp nhiều cơ quan, tổ </w:t>
            </w:r>
            <w:r>
              <w:rPr>
                <w:rFonts w:ascii="Times New Roman" w:eastAsia="Times New Roman" w:hAnsi="Times New Roman" w:cs="Times New Roman"/>
                <w:color w:val="000000"/>
                <w:spacing w:val="-2"/>
              </w:rPr>
              <w:lastRenderedPageBreak/>
              <w:t>chức, đơn vị</w:t>
            </w:r>
            <w:r w:rsidRPr="006C0077">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được bố trí trong một trụ sở làm việc, cơ sở hoạt động sự nghiệp</w:t>
            </w:r>
            <w:r w:rsidR="00666416">
              <w:rPr>
                <w:rFonts w:ascii="Times New Roman" w:eastAsia="Times New Roman" w:hAnsi="Times New Roman" w:cs="Times New Roman"/>
                <w:color w:val="000000"/>
                <w:spacing w:val="-2"/>
              </w:rPr>
              <w:t xml:space="preserve"> vào khoản 2 Điều 6 NĐ155</w:t>
            </w:r>
            <w:r>
              <w:rPr>
                <w:rFonts w:ascii="Times New Roman" w:eastAsia="Times New Roman" w:hAnsi="Times New Roman" w:cs="Times New Roman"/>
                <w:color w:val="000000"/>
                <w:spacing w:val="-2"/>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HV Chính trị QGHCM</w:t>
            </w:r>
          </w:p>
        </w:tc>
        <w:tc>
          <w:tcPr>
            <w:tcW w:w="7728" w:type="dxa"/>
          </w:tcPr>
          <w:p w:rsidR="00A429F4" w:rsidRPr="005519F7" w:rsidRDefault="00A429F4" w:rsidP="006C0077">
            <w:pPr>
              <w:spacing w:before="40" w:after="40"/>
              <w:jc w:val="both"/>
              <w:rPr>
                <w:rFonts w:ascii="Times New Roman" w:hAnsi="Times New Roman" w:cs="Times New Roman"/>
                <w:color w:val="FF0000"/>
                <w:spacing w:val="-2"/>
              </w:rPr>
            </w:pPr>
            <w:r w:rsidRPr="006C0077">
              <w:rPr>
                <w:rFonts w:ascii="Times New Roman" w:hAnsi="Times New Roman" w:cs="Times New Roman"/>
                <w:color w:val="000000"/>
                <w:spacing w:val="-2"/>
              </w:rPr>
              <w:t xml:space="preserve">Đề nghị bổ sung định mức riêng cho hạ tầng số và các phòng điều hành thông minh, </w:t>
            </w:r>
            <w:r w:rsidRPr="005519F7">
              <w:rPr>
                <w:rFonts w:ascii="Times New Roman" w:hAnsi="Times New Roman" w:cs="Times New Roman"/>
                <w:color w:val="FF0000"/>
                <w:spacing w:val="-2"/>
              </w:rPr>
              <w:t>tăng diện tích không gian chung, cảnh quan.</w:t>
            </w:r>
          </w:p>
          <w:p w:rsidR="00A429F4" w:rsidRDefault="00A429F4" w:rsidP="006C0077">
            <w:pPr>
              <w:spacing w:before="40" w:after="40"/>
              <w:jc w:val="both"/>
              <w:rPr>
                <w:rFonts w:ascii="Times New Roman" w:hAnsi="Times New Roman" w:cs="Times New Roman"/>
                <w:color w:val="000000"/>
                <w:spacing w:val="-2"/>
              </w:rPr>
            </w:pPr>
          </w:p>
          <w:p w:rsidR="00A429F4" w:rsidRPr="006C0077" w:rsidRDefault="00A429F4" w:rsidP="006C0077">
            <w:pPr>
              <w:spacing w:before="40" w:after="40"/>
              <w:jc w:val="both"/>
              <w:rPr>
                <w:rFonts w:ascii="Times New Roman" w:hAnsi="Times New Roman" w:cs="Times New Roman"/>
                <w:color w:val="000000"/>
                <w:spacing w:val="-2"/>
              </w:rPr>
            </w:pPr>
          </w:p>
        </w:tc>
        <w:tc>
          <w:tcPr>
            <w:tcW w:w="3685" w:type="dxa"/>
          </w:tcPr>
          <w:p w:rsidR="00A429F4" w:rsidRPr="00C539C7" w:rsidRDefault="00A429F4" w:rsidP="008D0D59">
            <w:pPr>
              <w:spacing w:before="40" w:after="40"/>
              <w:jc w:val="both"/>
              <w:rPr>
                <w:rFonts w:ascii="Times New Roman" w:hAnsi="Times New Roman" w:cs="Times New Roman"/>
                <w:spacing w:val="-2"/>
              </w:rPr>
            </w:pPr>
            <w:r>
              <w:rPr>
                <w:rFonts w:ascii="Times New Roman" w:hAnsi="Times New Roman" w:cs="Times New Roman"/>
                <w:b/>
                <w:color w:val="000000"/>
                <w:spacing w:val="-2"/>
              </w:rPr>
              <w:t xml:space="preserve">Tiếp thu theo hướng: </w:t>
            </w:r>
            <w:r w:rsidRPr="008D0D59">
              <w:rPr>
                <w:rFonts w:ascii="Times New Roman" w:hAnsi="Times New Roman" w:cs="Times New Roman"/>
                <w:color w:val="000000"/>
                <w:spacing w:val="-2"/>
              </w:rPr>
              <w:t xml:space="preserve">sửa đổi, bổ sung </w:t>
            </w:r>
            <w:r>
              <w:rPr>
                <w:rFonts w:ascii="Times New Roman" w:hAnsi="Times New Roman" w:cs="Times New Roman"/>
                <w:color w:val="000000"/>
                <w:spacing w:val="-2"/>
              </w:rPr>
              <w:t xml:space="preserve">điểm đ khoản 1 Điều 6 NĐ155 để bổ sung </w:t>
            </w:r>
            <w:r w:rsidRPr="008D0D59">
              <w:rPr>
                <w:rFonts w:ascii="Times New Roman" w:hAnsi="Times New Roman" w:cs="Times New Roman"/>
                <w:color w:val="000000"/>
                <w:spacing w:val="-2"/>
              </w:rPr>
              <w:t>danh mục</w:t>
            </w:r>
            <w:r>
              <w:rPr>
                <w:rFonts w:ascii="Times New Roman" w:hAnsi="Times New Roman" w:cs="Times New Roman"/>
                <w:color w:val="000000"/>
                <w:spacing w:val="-2"/>
              </w:rPr>
              <w:t xml:space="preserve"> cho </w:t>
            </w:r>
            <w:r w:rsidRPr="006C0077">
              <w:rPr>
                <w:rFonts w:ascii="Times New Roman" w:hAnsi="Times New Roman" w:cs="Times New Roman"/>
                <w:color w:val="000000"/>
                <w:spacing w:val="-2"/>
              </w:rPr>
              <w:t>hạ tầng số và các phòng điều hành thông minh</w:t>
            </w:r>
            <w:r w:rsidR="002B70A3">
              <w:rPr>
                <w:rFonts w:ascii="Times New Roman" w:hAnsi="Times New Roman" w:cs="Times New Roman"/>
                <w:color w:val="000000"/>
                <w:spacing w:val="-2"/>
              </w:rPr>
              <w:t>, điều chỉnh tăng diện tích s</w:t>
            </w:r>
            <w:r w:rsidR="00E131C7">
              <w:rPr>
                <w:rFonts w:ascii="Times New Roman" w:hAnsi="Times New Roman" w:cs="Times New Roman"/>
                <w:color w:val="000000"/>
                <w:spacing w:val="-2"/>
              </w:rPr>
              <w:t>ử</w:t>
            </w:r>
            <w:r w:rsidR="002B70A3">
              <w:rPr>
                <w:rFonts w:ascii="Times New Roman" w:hAnsi="Times New Roman" w:cs="Times New Roman"/>
                <w:color w:val="000000"/>
                <w:spacing w:val="-2"/>
              </w:rPr>
              <w:t xml:space="preserve"> dụng chung.</w:t>
            </w:r>
          </w:p>
        </w:tc>
      </w:tr>
      <w:tr w:rsidR="00D00C6C" w:rsidRPr="006C0077" w:rsidTr="00C067F9">
        <w:tc>
          <w:tcPr>
            <w:tcW w:w="1625" w:type="dxa"/>
            <w:vMerge/>
          </w:tcPr>
          <w:p w:rsidR="00D00C6C" w:rsidRPr="006C0077" w:rsidRDefault="00D00C6C" w:rsidP="006C0077">
            <w:pPr>
              <w:spacing w:before="40" w:after="40"/>
              <w:rPr>
                <w:rFonts w:ascii="Times New Roman" w:hAnsi="Times New Roman" w:cs="Times New Roman"/>
                <w:b/>
                <w:bCs/>
                <w:spacing w:val="-2"/>
              </w:rPr>
            </w:pPr>
          </w:p>
        </w:tc>
        <w:tc>
          <w:tcPr>
            <w:tcW w:w="1812" w:type="dxa"/>
          </w:tcPr>
          <w:p w:rsidR="00D00C6C" w:rsidRPr="006C0077" w:rsidRDefault="00D00C6C" w:rsidP="006C0077">
            <w:pPr>
              <w:spacing w:before="40" w:after="40"/>
              <w:jc w:val="center"/>
              <w:rPr>
                <w:rFonts w:ascii="Times New Roman" w:hAnsi="Times New Roman" w:cs="Times New Roman"/>
                <w:spacing w:val="-2"/>
              </w:rPr>
            </w:pPr>
            <w:r>
              <w:rPr>
                <w:rFonts w:ascii="Times New Roman" w:hAnsi="Times New Roman" w:cs="Times New Roman"/>
                <w:spacing w:val="-2"/>
              </w:rPr>
              <w:t>Bộ Tư pháp</w:t>
            </w:r>
          </w:p>
        </w:tc>
        <w:tc>
          <w:tcPr>
            <w:tcW w:w="7728" w:type="dxa"/>
          </w:tcPr>
          <w:p w:rsidR="00D00C6C" w:rsidRPr="006C0077" w:rsidRDefault="005B0549" w:rsidP="00E273E3">
            <w:pPr>
              <w:tabs>
                <w:tab w:val="left" w:pos="2096"/>
              </w:tabs>
              <w:spacing w:before="40" w:after="40"/>
              <w:jc w:val="both"/>
              <w:rPr>
                <w:rFonts w:ascii="Times New Roman" w:hAnsi="Times New Roman" w:cs="Times New Roman"/>
                <w:color w:val="000000"/>
                <w:spacing w:val="-2"/>
              </w:rPr>
            </w:pPr>
            <w:r w:rsidRPr="00D00C6C">
              <w:rPr>
                <w:rFonts w:ascii="Times New Roman" w:hAnsi="Times New Roman" w:cs="Times New Roman"/>
                <w:color w:val="000000"/>
                <w:spacing w:val="-2"/>
              </w:rPr>
              <w:t xml:space="preserve">Tại ý thứ 2 Khoản 2 Điều 6 có quy định phần diện tích chênh được bổ sung vào diện tích sử dụng chung, được hiểu trong trường hợp này diện tích sử dụng chung được phép lớn hơn 85% diện tích làm việc theo chức danh. Việc này dẫn đến các cách hiểu, cách áp dụng khác nhau trong lập, thẩm tra, thẩm định và hậu kiểm. </w:t>
            </w:r>
            <w:r>
              <w:rPr>
                <w:rFonts w:ascii="Times New Roman" w:hAnsi="Times New Roman" w:cs="Times New Roman"/>
                <w:color w:val="000000"/>
                <w:spacing w:val="-2"/>
              </w:rPr>
              <w:t>Do đó, đề nghị b</w:t>
            </w:r>
            <w:r w:rsidR="00D00C6C" w:rsidRPr="00D00C6C">
              <w:rPr>
                <w:rFonts w:ascii="Times New Roman" w:hAnsi="Times New Roman" w:cs="Times New Roman"/>
                <w:color w:val="000000"/>
                <w:spacing w:val="-2"/>
              </w:rPr>
              <w:t>ổ sung quy định thêm cho một số loại diện tích sử dụng chung bắt buộc phải có đối với mọi công trình không xác định theo tỷ lệ % diện tích làm việc theo chức danh như hành lang, ban công; nhà vệ sinh; diện tích đảm bảo người gặp khó khăn khi tiếp cận có thể tiếp cận sử dụng; diện tích phục vụ phòng cháy chữa cháy, … được thiết kế theo quy chuẩn, tiêu chuẩn Việt Nam hiện hành</w:t>
            </w:r>
            <w:r w:rsidR="0024572C">
              <w:rPr>
                <w:rFonts w:ascii="Times New Roman" w:hAnsi="Times New Roman" w:cs="Times New Roman"/>
                <w:color w:val="000000"/>
                <w:spacing w:val="-2"/>
              </w:rPr>
              <w:t>.</w:t>
            </w:r>
          </w:p>
        </w:tc>
        <w:tc>
          <w:tcPr>
            <w:tcW w:w="3685" w:type="dxa"/>
          </w:tcPr>
          <w:p w:rsidR="00987DB8" w:rsidRPr="001E5C4C" w:rsidRDefault="00987DB8" w:rsidP="00987DB8">
            <w:pPr>
              <w:spacing w:before="40" w:after="40"/>
              <w:jc w:val="both"/>
              <w:rPr>
                <w:rFonts w:ascii="Times New Roman" w:hAnsi="Times New Roman" w:cs="Times New Roman"/>
                <w:spacing w:val="-2"/>
              </w:rPr>
            </w:pPr>
            <w:r>
              <w:rPr>
                <w:rFonts w:ascii="Times New Roman" w:eastAsia="Times New Roman" w:hAnsi="Times New Roman" w:cs="Times New Roman"/>
                <w:b/>
                <w:color w:val="000000"/>
                <w:spacing w:val="-2"/>
              </w:rPr>
              <w:t xml:space="preserve">Tiếp thu theo hướng: </w:t>
            </w:r>
            <w:r>
              <w:rPr>
                <w:rFonts w:ascii="Times New Roman" w:eastAsia="Times New Roman" w:hAnsi="Times New Roman" w:cs="Times New Roman"/>
                <w:color w:val="000000"/>
                <w:spacing w:val="-2"/>
              </w:rPr>
              <w:t xml:space="preserve">Dự kiến </w:t>
            </w:r>
            <w:r w:rsidR="006760FD">
              <w:rPr>
                <w:rFonts w:ascii="Times New Roman" w:eastAsia="Times New Roman" w:hAnsi="Times New Roman" w:cs="Times New Roman"/>
                <w:color w:val="000000"/>
                <w:spacing w:val="-2"/>
              </w:rPr>
              <w:t>sửa đổi, bổ sung</w:t>
            </w:r>
            <w:r>
              <w:rPr>
                <w:rFonts w:ascii="Times New Roman" w:eastAsia="Times New Roman" w:hAnsi="Times New Roman" w:cs="Times New Roman"/>
                <w:color w:val="FF0000"/>
                <w:spacing w:val="-2"/>
              </w:rPr>
              <w:t xml:space="preserve"> khoản 2 Điều 6 NĐ155.</w:t>
            </w:r>
          </w:p>
          <w:p w:rsidR="00D00C6C" w:rsidRPr="00E71EB8" w:rsidRDefault="00D00C6C" w:rsidP="00294F26">
            <w:pPr>
              <w:spacing w:before="40" w:after="40"/>
              <w:jc w:val="both"/>
              <w:rPr>
                <w:rFonts w:ascii="Times New Roman" w:eastAsia="Times New Roman" w:hAnsi="Times New Roman" w:cs="Times New Roman"/>
                <w:b/>
                <w:color w:val="000000"/>
                <w:spacing w:val="-4"/>
              </w:rPr>
            </w:pPr>
          </w:p>
        </w:tc>
      </w:tr>
      <w:tr w:rsidR="001D5B64" w:rsidRPr="006C0077" w:rsidTr="00C067F9">
        <w:tc>
          <w:tcPr>
            <w:tcW w:w="1625" w:type="dxa"/>
            <w:vMerge/>
          </w:tcPr>
          <w:p w:rsidR="001D5B64" w:rsidRPr="006C0077" w:rsidRDefault="001D5B64" w:rsidP="006C0077">
            <w:pPr>
              <w:spacing w:before="40" w:after="40"/>
              <w:rPr>
                <w:rFonts w:ascii="Times New Roman" w:hAnsi="Times New Roman" w:cs="Times New Roman"/>
                <w:b/>
                <w:bCs/>
                <w:spacing w:val="-2"/>
              </w:rPr>
            </w:pPr>
          </w:p>
        </w:tc>
        <w:tc>
          <w:tcPr>
            <w:tcW w:w="1812" w:type="dxa"/>
          </w:tcPr>
          <w:p w:rsidR="001D5B64" w:rsidRPr="006C0077" w:rsidRDefault="001D5B64" w:rsidP="006C0077">
            <w:pPr>
              <w:spacing w:before="40" w:after="40"/>
              <w:jc w:val="center"/>
              <w:rPr>
                <w:rFonts w:ascii="Times New Roman" w:hAnsi="Times New Roman" w:cs="Times New Roman"/>
                <w:spacing w:val="-2"/>
              </w:rPr>
            </w:pPr>
            <w:r>
              <w:rPr>
                <w:rFonts w:ascii="Times New Roman" w:hAnsi="Times New Roman" w:cs="Times New Roman"/>
                <w:spacing w:val="-2"/>
              </w:rPr>
              <w:t>Bộ Ngoại giao</w:t>
            </w:r>
          </w:p>
        </w:tc>
        <w:tc>
          <w:tcPr>
            <w:tcW w:w="7728" w:type="dxa"/>
          </w:tcPr>
          <w:p w:rsidR="001D5B64" w:rsidRPr="006C0077" w:rsidRDefault="001D5B64" w:rsidP="001D5B64">
            <w:pPr>
              <w:spacing w:before="40" w:after="40"/>
              <w:jc w:val="both"/>
              <w:rPr>
                <w:rFonts w:ascii="Times New Roman" w:hAnsi="Times New Roman" w:cs="Times New Roman"/>
                <w:color w:val="000000"/>
                <w:spacing w:val="-2"/>
              </w:rPr>
            </w:pPr>
            <w:r w:rsidRPr="001D5B64">
              <w:rPr>
                <w:rFonts w:ascii="Times New Roman" w:hAnsi="Times New Roman" w:cs="Times New Roman"/>
                <w:color w:val="000000"/>
                <w:spacing w:val="-2"/>
              </w:rPr>
              <w:t>X</w:t>
            </w:r>
            <w:r>
              <w:rPr>
                <w:rFonts w:ascii="Times New Roman" w:hAnsi="Times New Roman" w:cs="Times New Roman"/>
                <w:color w:val="000000"/>
                <w:spacing w:val="-2"/>
              </w:rPr>
              <w:t>u</w:t>
            </w:r>
            <w:r w:rsidRPr="001D5B64">
              <w:rPr>
                <w:rFonts w:ascii="Times New Roman" w:hAnsi="Times New Roman" w:cs="Times New Roman"/>
                <w:color w:val="000000"/>
                <w:spacing w:val="-2"/>
              </w:rPr>
              <w:t xml:space="preserve"> hướng hiện đại hóa hành chính yêu cầu không gian mở, thân thiện, có khu vực tra cứu số và chờ đợi văn minh. Kiến nghị mở rộng khu vực tiếp dân và dịch vụ công, đề xuất tăng định mức diện tích cho các khu vực đón tiếp cá nhân, tổ chức tại bộ phận một cửa theo hướng hiện đại hóa, tạo không gian thông thoáng, thân thiện. Việc này giúp tăng chỉ số hài lòng của người dân.</w:t>
            </w:r>
          </w:p>
        </w:tc>
        <w:tc>
          <w:tcPr>
            <w:tcW w:w="3685" w:type="dxa"/>
          </w:tcPr>
          <w:p w:rsidR="001D5B64" w:rsidRPr="005C5B03" w:rsidRDefault="001D5B64" w:rsidP="001D5B64">
            <w:pPr>
              <w:spacing w:before="40" w:after="40"/>
              <w:jc w:val="both"/>
              <w:rPr>
                <w:rFonts w:ascii="Times New Roman" w:eastAsia="Times New Roman" w:hAnsi="Times New Roman" w:cs="Times New Roman"/>
                <w:b/>
                <w:color w:val="000000"/>
              </w:rPr>
            </w:pPr>
            <w:r w:rsidRPr="005C5B03">
              <w:rPr>
                <w:rFonts w:ascii="Times New Roman" w:eastAsia="Times New Roman" w:hAnsi="Times New Roman" w:cs="Times New Roman"/>
                <w:b/>
                <w:color w:val="000000"/>
              </w:rPr>
              <w:t xml:space="preserve">Tiếp thu theo hướng: </w:t>
            </w:r>
            <w:r w:rsidRPr="005C5B03">
              <w:rPr>
                <w:rFonts w:ascii="Times New Roman" w:eastAsia="Times New Roman" w:hAnsi="Times New Roman" w:cs="Times New Roman"/>
                <w:color w:val="000000"/>
              </w:rPr>
              <w:t xml:space="preserve">Dự kiến điều chỉnh </w:t>
            </w:r>
            <w:r w:rsidRPr="005C5B03">
              <w:rPr>
                <w:rFonts w:ascii="Times New Roman" w:hAnsi="Times New Roman" w:cs="Times New Roman"/>
                <w:bCs/>
                <w:color w:val="FF0000"/>
              </w:rPr>
              <w:t xml:space="preserve">diện tích sử dụng chung tối đa không quá 100% </w:t>
            </w:r>
            <w:r w:rsidRPr="005C5B03">
              <w:rPr>
                <w:rFonts w:ascii="Times New Roman" w:eastAsia="Times New Roman" w:hAnsi="Times New Roman" w:cs="Times New Roman"/>
                <w:color w:val="FF0000"/>
              </w:rPr>
              <w:t>diện tích làm việc phục vụ công tác chức danh tại khoản 2 Điều 6 NĐ155. Đồng thời, tại khoản 2 Điều 6 NĐ155 đã quy định trường hợp đã phân bổ cho từng loại diện tích mà diện tích của các phòng/bộ phận (phòng tiếp công dân,</w:t>
            </w:r>
            <w:r w:rsidRPr="005C5B03">
              <w:t xml:space="preserve"> </w:t>
            </w:r>
            <w:r w:rsidRPr="005C5B03">
              <w:rPr>
                <w:rFonts w:ascii="Times New Roman" w:eastAsia="Times New Roman" w:hAnsi="Times New Roman" w:cs="Times New Roman"/>
                <w:color w:val="FF0000"/>
              </w:rPr>
              <w:t xml:space="preserve">Phòng một cửa/tiếp nhận và trả kết quả,…) có quy định cụ thể tại Tiêu chuẩn Xây dựng Việt Nam thấp hơn so với mức tối thiểu được quy định tại TCXDVN thì được bổ sung vào diện tích sử dụng chung của CQ, TC.  </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Nghệ An</w:t>
            </w:r>
          </w:p>
        </w:tc>
        <w:tc>
          <w:tcPr>
            <w:tcW w:w="7728" w:type="dxa"/>
          </w:tcPr>
          <w:p w:rsidR="00A429F4" w:rsidRPr="006C0077" w:rsidRDefault="00A429F4" w:rsidP="00A7758A">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 xml:space="preserve">Đề nghị chuyển diện tích sử dụng </w:t>
            </w:r>
            <w:r>
              <w:rPr>
                <w:rFonts w:ascii="Times New Roman" w:hAnsi="Times New Roman" w:cs="Times New Roman"/>
                <w:color w:val="000000"/>
                <w:spacing w:val="-2"/>
              </w:rPr>
              <w:t xml:space="preserve">phòng </w:t>
            </w:r>
            <w:r w:rsidRPr="006C0077">
              <w:rPr>
                <w:rFonts w:ascii="Times New Roman" w:hAnsi="Times New Roman" w:cs="Times New Roman"/>
                <w:color w:val="000000"/>
                <w:spacing w:val="-2"/>
              </w:rPr>
              <w:t>hội trường, sảnh, phòng lưu trữ sang diện tích chuyên dùng; bổ sung hướng dẫn cụ thể về diện tích một số phòng có yêu cầu</w:t>
            </w:r>
            <w:r>
              <w:rPr>
                <w:rFonts w:ascii="Times New Roman" w:hAnsi="Times New Roman" w:cs="Times New Roman"/>
                <w:color w:val="000000"/>
                <w:spacing w:val="-2"/>
              </w:rPr>
              <w:t xml:space="preserve"> riêng </w:t>
            </w:r>
            <w:r w:rsidRPr="006C0077">
              <w:rPr>
                <w:rFonts w:ascii="Times New Roman" w:hAnsi="Times New Roman" w:cs="Times New Roman"/>
                <w:color w:val="000000"/>
                <w:spacing w:val="-2"/>
              </w:rPr>
              <w:t>biệt như bộ phận một cửa, hội trường, phòng họp, phòng lưu trữ, phòng trung tâm dữ liệu trong bối cảnh chuyển đổi số, cải cách hành chính.</w:t>
            </w:r>
          </w:p>
        </w:tc>
        <w:tc>
          <w:tcPr>
            <w:tcW w:w="3685" w:type="dxa"/>
          </w:tcPr>
          <w:p w:rsidR="00A429F4" w:rsidRPr="00E71EB8" w:rsidRDefault="00A429F4" w:rsidP="00294F26">
            <w:pPr>
              <w:spacing w:before="40" w:after="40"/>
              <w:jc w:val="both"/>
              <w:rPr>
                <w:rFonts w:ascii="Times New Roman" w:eastAsia="Times New Roman" w:hAnsi="Times New Roman" w:cs="Times New Roman"/>
                <w:color w:val="000000"/>
                <w:spacing w:val="-4"/>
              </w:rPr>
            </w:pPr>
            <w:r w:rsidRPr="00E71EB8">
              <w:rPr>
                <w:rFonts w:ascii="Times New Roman" w:eastAsia="Times New Roman" w:hAnsi="Times New Roman" w:cs="Times New Roman"/>
                <w:b/>
                <w:color w:val="000000"/>
                <w:spacing w:val="-4"/>
              </w:rPr>
              <w:t>Giải trình</w:t>
            </w:r>
            <w:r w:rsidRPr="00E71EB8">
              <w:rPr>
                <w:rFonts w:ascii="Times New Roman" w:eastAsia="Times New Roman" w:hAnsi="Times New Roman" w:cs="Times New Roman"/>
                <w:color w:val="000000"/>
                <w:spacing w:val="-4"/>
              </w:rPr>
              <w:t xml:space="preserve">: Diện tích sử dụng chung là diện tích phục vụ hoạt động chung trong TSLV, CSHĐSN (xuất hiện phổ biến tại các cơ quan, tổ chức, đơn vị). Đồng thời, tại Điều 7, Điều 11 NĐ155 đã quy định </w:t>
            </w:r>
            <w:r w:rsidRPr="00E71EB8">
              <w:rPr>
                <w:rFonts w:ascii="Times New Roman" w:eastAsia="Times New Roman" w:hAnsi="Times New Roman" w:cs="Times New Roman"/>
                <w:color w:val="000000"/>
                <w:spacing w:val="-4"/>
              </w:rPr>
              <w:lastRenderedPageBreak/>
              <w:t>kho lưu trữ chuyên dụng cho cơ quan, tổ chức, đơn vị có chức năng đặc thù để bố trí.</w:t>
            </w:r>
          </w:p>
          <w:p w:rsidR="00A429F4" w:rsidRPr="00666416" w:rsidRDefault="00A429F4" w:rsidP="00294F26">
            <w:pPr>
              <w:spacing w:before="40" w:after="40"/>
              <w:jc w:val="both"/>
              <w:rPr>
                <w:rFonts w:ascii="Times New Roman" w:hAnsi="Times New Roman" w:cs="Times New Roman"/>
                <w:color w:val="000000"/>
                <w:spacing w:val="-8"/>
              </w:rPr>
            </w:pPr>
            <w:r w:rsidRPr="00666416">
              <w:rPr>
                <w:rFonts w:ascii="Times New Roman" w:hAnsi="Times New Roman" w:cs="Times New Roman"/>
                <w:color w:val="000000"/>
                <w:spacing w:val="-8"/>
              </w:rPr>
              <w:t>Việc xác định diện tích các khu vực dùng chung (như: hành lang, sảnh, khu vệ sinh, phòng họp dùng chung, phòng trung tâm dữ liệu, phòng máy tính...) căn cứ quy định của pháp luật về quy hoạch, xây dựng, TCXDVN, theo chức năng, nhiệm vụ, mục đích, nhu cầu của cơ quan, tổ chức, đơn vị.</w:t>
            </w:r>
          </w:p>
          <w:p w:rsidR="00A429F4" w:rsidRPr="00C067F9" w:rsidRDefault="00A429F4" w:rsidP="00294F26">
            <w:pPr>
              <w:spacing w:before="40" w:after="40"/>
              <w:jc w:val="both"/>
              <w:rPr>
                <w:rFonts w:ascii="Times New Roman" w:eastAsia="Times New Roman" w:hAnsi="Times New Roman" w:cs="Times New Roman"/>
                <w:color w:val="000000"/>
                <w:spacing w:val="-10"/>
              </w:rPr>
            </w:pPr>
            <w:r w:rsidRPr="00C067F9">
              <w:rPr>
                <w:rFonts w:ascii="Times New Roman" w:hAnsi="Times New Roman" w:cs="Times New Roman"/>
                <w:color w:val="000000"/>
                <w:spacing w:val="-10"/>
              </w:rPr>
              <w:t>Vì vậy, đề nghị giữ như quy định hiện hành.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Tây Ninh</w:t>
            </w:r>
          </w:p>
        </w:tc>
        <w:tc>
          <w:tcPr>
            <w:tcW w:w="7728" w:type="dxa"/>
          </w:tcPr>
          <w:p w:rsidR="00A429F4" w:rsidRPr="006C0077" w:rsidRDefault="00A429F4" w:rsidP="006C0077">
            <w:pPr>
              <w:tabs>
                <w:tab w:val="left" w:pos="2661"/>
              </w:tabs>
              <w:spacing w:before="40" w:after="40"/>
              <w:jc w:val="both"/>
              <w:rPr>
                <w:rFonts w:ascii="Times New Roman" w:hAnsi="Times New Roman" w:cs="Times New Roman"/>
                <w:spacing w:val="-2"/>
              </w:rPr>
            </w:pPr>
            <w:r w:rsidRPr="006C0077">
              <w:rPr>
                <w:rFonts w:ascii="Times New Roman" w:hAnsi="Times New Roman" w:cs="Times New Roman"/>
                <w:spacing w:val="-2"/>
              </w:rPr>
              <w:t>Đề nghị bổ sung hướng dẫn cụ thể hơn cách tính diện tích sử dụng chung; làm rõ tiêu chí tính diện tích lưu trữ hồ sơ điện tử nhằm giảm áp lực diện tích lưu trữ giấy</w:t>
            </w:r>
            <w:r>
              <w:rPr>
                <w:rFonts w:ascii="Times New Roman" w:hAnsi="Times New Roman" w:cs="Times New Roman"/>
                <w:spacing w:val="-2"/>
              </w:rPr>
              <w:t>.</w:t>
            </w:r>
          </w:p>
        </w:tc>
        <w:tc>
          <w:tcPr>
            <w:tcW w:w="3685" w:type="dxa"/>
            <w:vMerge w:val="restart"/>
          </w:tcPr>
          <w:p w:rsidR="00A429F4" w:rsidRPr="00C539C7" w:rsidRDefault="00A429F4" w:rsidP="00647FCB">
            <w:pPr>
              <w:spacing w:before="40" w:after="40"/>
              <w:jc w:val="both"/>
              <w:rPr>
                <w:rFonts w:ascii="Times New Roman" w:hAnsi="Times New Roman" w:cs="Times New Roman"/>
                <w:color w:val="000000"/>
                <w:spacing w:val="-2"/>
              </w:rPr>
            </w:pPr>
            <w:r w:rsidRPr="006770B4">
              <w:rPr>
                <w:rFonts w:ascii="Times New Roman" w:hAnsi="Times New Roman" w:cs="Times New Roman"/>
                <w:b/>
                <w:color w:val="000000"/>
                <w:spacing w:val="-2"/>
              </w:rPr>
              <w:t>Giải trình</w:t>
            </w:r>
            <w:r w:rsidRPr="00C539C7">
              <w:rPr>
                <w:rFonts w:ascii="Times New Roman" w:hAnsi="Times New Roman" w:cs="Times New Roman"/>
                <w:color w:val="000000"/>
                <w:spacing w:val="-2"/>
              </w:rPr>
              <w:t>: Việc xác định diện tích các khu vực dùng chung (như: hành lang, sảnh, khu vệ sinh, phòng họp dùng chung, phòng trung tâm dữ liệu, phòng máy tính...) căn cứ quy định của pháp luật về quy hoạch, xây dựng, TCXDVN, theo chức năng, nhiệm vụ, mục đích, nhu cầu của cơ quan, tổ chức, đơn vị; tại Điều 6, Điều 10 đã quy định về diện tích sử dụng chung; vì vậy, đề nghị giữ như quy định hiện hành.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E61DA">
            <w:pPr>
              <w:spacing w:before="40" w:after="40"/>
              <w:jc w:val="center"/>
              <w:rPr>
                <w:rFonts w:ascii="Times New Roman" w:hAnsi="Times New Roman" w:cs="Times New Roman"/>
                <w:spacing w:val="-2"/>
              </w:rPr>
            </w:pPr>
            <w:r w:rsidRPr="006C0077">
              <w:rPr>
                <w:rFonts w:ascii="Times New Roman" w:hAnsi="Times New Roman" w:cs="Times New Roman"/>
                <w:spacing w:val="-2"/>
              </w:rPr>
              <w:t>Ninh Bình</w:t>
            </w:r>
          </w:p>
        </w:tc>
        <w:tc>
          <w:tcPr>
            <w:tcW w:w="7728" w:type="dxa"/>
          </w:tcPr>
          <w:p w:rsidR="00A429F4" w:rsidRPr="006C0077" w:rsidRDefault="00A429F4" w:rsidP="006E61DA">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bổ sung hướng dẫn cụ thể phương pháp xác định và phân bổ diện tích các khu vực dùng chung. Giải pháp này góp phần tiết kiệm quỹ đất, giảm chi phí đầu tư xây dựng mới và nâng cao hiệu quả sử dụng tài sản công.</w:t>
            </w:r>
          </w:p>
        </w:tc>
        <w:tc>
          <w:tcPr>
            <w:tcW w:w="3685" w:type="dxa"/>
            <w:vMerge/>
          </w:tcPr>
          <w:p w:rsidR="00A429F4" w:rsidRPr="00C539C7" w:rsidRDefault="00A429F4" w:rsidP="006E61DA">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E61DA">
            <w:pPr>
              <w:spacing w:before="40" w:after="40"/>
              <w:jc w:val="center"/>
              <w:rPr>
                <w:rFonts w:ascii="Times New Roman" w:hAnsi="Times New Roman" w:cs="Times New Roman"/>
                <w:spacing w:val="-2"/>
              </w:rPr>
            </w:pPr>
            <w:r w:rsidRPr="006C0077">
              <w:rPr>
                <w:rFonts w:ascii="Times New Roman" w:hAnsi="Times New Roman" w:cs="Times New Roman"/>
                <w:spacing w:val="-2"/>
              </w:rPr>
              <w:t>Hưng Yên</w:t>
            </w:r>
          </w:p>
        </w:tc>
        <w:tc>
          <w:tcPr>
            <w:tcW w:w="7728" w:type="dxa"/>
          </w:tcPr>
          <w:p w:rsidR="00A429F4" w:rsidRPr="006C0077" w:rsidRDefault="00A429F4" w:rsidP="006E61DA">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 xml:space="preserve">Đề nghị nghiên cứu hướng dẫn cách xác định diện tích hành lang, sảnh, khu vệ sinh, phòng họp dùng </w:t>
            </w:r>
            <w:proofErr w:type="gramStart"/>
            <w:r w:rsidRPr="006C0077">
              <w:rPr>
                <w:rFonts w:ascii="Times New Roman" w:hAnsi="Times New Roman" w:cs="Times New Roman"/>
                <w:color w:val="000000"/>
                <w:spacing w:val="-2"/>
              </w:rPr>
              <w:t>chung,...;</w:t>
            </w:r>
            <w:proofErr w:type="gramEnd"/>
            <w:r w:rsidRPr="006C0077">
              <w:rPr>
                <w:rFonts w:ascii="Times New Roman" w:hAnsi="Times New Roman" w:cs="Times New Roman"/>
                <w:color w:val="000000"/>
                <w:spacing w:val="-2"/>
              </w:rPr>
              <w:t xml:space="preserve"> nghiên cứu quy định tỷ lệ tối đa diện tích sử dụng chung so với tổng diện tích sàn nhằm kiểm soát chi phí đầu tư.</w:t>
            </w:r>
          </w:p>
        </w:tc>
        <w:tc>
          <w:tcPr>
            <w:tcW w:w="3685" w:type="dxa"/>
            <w:vMerge/>
          </w:tcPr>
          <w:p w:rsidR="00A429F4" w:rsidRPr="00C539C7" w:rsidRDefault="00A429F4" w:rsidP="006E61DA">
            <w:pPr>
              <w:spacing w:before="40" w:after="40"/>
              <w:jc w:val="both"/>
              <w:rPr>
                <w:rFonts w:ascii="Times New Roman" w:hAnsi="Times New Roman" w:cs="Times New Roman"/>
                <w:color w:val="000000"/>
                <w:spacing w:val="-2"/>
              </w:rPr>
            </w:pPr>
          </w:p>
        </w:tc>
      </w:tr>
      <w:tr w:rsidR="003069C0" w:rsidRPr="006C0077" w:rsidTr="00C067F9">
        <w:tc>
          <w:tcPr>
            <w:tcW w:w="1625" w:type="dxa"/>
            <w:vMerge/>
          </w:tcPr>
          <w:p w:rsidR="003069C0" w:rsidRPr="006C0077" w:rsidRDefault="003069C0" w:rsidP="006C0077">
            <w:pPr>
              <w:spacing w:before="40" w:after="40"/>
              <w:rPr>
                <w:rFonts w:ascii="Times New Roman" w:hAnsi="Times New Roman" w:cs="Times New Roman"/>
                <w:b/>
                <w:bCs/>
                <w:spacing w:val="-2"/>
              </w:rPr>
            </w:pPr>
          </w:p>
        </w:tc>
        <w:tc>
          <w:tcPr>
            <w:tcW w:w="1812" w:type="dxa"/>
          </w:tcPr>
          <w:p w:rsidR="003069C0" w:rsidRPr="006C0077" w:rsidRDefault="003069C0"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Bắc Ninh</w:t>
            </w:r>
          </w:p>
        </w:tc>
        <w:tc>
          <w:tcPr>
            <w:tcW w:w="7728" w:type="dxa"/>
          </w:tcPr>
          <w:p w:rsidR="003069C0" w:rsidRPr="0077647C" w:rsidRDefault="003069C0" w:rsidP="006C0077">
            <w:pPr>
              <w:spacing w:before="40" w:after="40"/>
              <w:jc w:val="both"/>
              <w:rPr>
                <w:rFonts w:ascii="Times New Roman" w:hAnsi="Times New Roman" w:cs="Times New Roman"/>
                <w:color w:val="FF0000"/>
                <w:spacing w:val="-2"/>
                <w:highlight w:val="yellow"/>
              </w:rPr>
            </w:pPr>
            <w:r w:rsidRPr="0077647C">
              <w:rPr>
                <w:rFonts w:ascii="Times New Roman" w:hAnsi="Times New Roman" w:cs="Times New Roman"/>
                <w:bCs/>
                <w:color w:val="FF0000"/>
                <w:spacing w:val="-2"/>
              </w:rPr>
              <w:t>Đề nghị nâng tỷ lệ diện tích sử dụng chung hoặc có quy định cấp có thẩm quyền quyết định tăng mức tỷ lệ diện tích sử dụng chung.</w:t>
            </w:r>
          </w:p>
        </w:tc>
        <w:tc>
          <w:tcPr>
            <w:tcW w:w="3685" w:type="dxa"/>
            <w:vMerge w:val="restart"/>
          </w:tcPr>
          <w:p w:rsidR="003069C0" w:rsidRPr="00C539C7" w:rsidRDefault="001E5C4C" w:rsidP="006C0077">
            <w:pPr>
              <w:spacing w:before="40" w:after="40"/>
              <w:jc w:val="both"/>
              <w:rPr>
                <w:rFonts w:ascii="Times New Roman" w:hAnsi="Times New Roman" w:cs="Times New Roman"/>
                <w:spacing w:val="-2"/>
              </w:rPr>
            </w:pPr>
            <w:r>
              <w:rPr>
                <w:rFonts w:ascii="Times New Roman" w:eastAsia="Times New Roman" w:hAnsi="Times New Roman" w:cs="Times New Roman"/>
                <w:b/>
                <w:color w:val="000000"/>
                <w:spacing w:val="-2"/>
              </w:rPr>
              <w:t>T</w:t>
            </w:r>
            <w:r w:rsidR="003069C0">
              <w:rPr>
                <w:rFonts w:ascii="Times New Roman" w:eastAsia="Times New Roman" w:hAnsi="Times New Roman" w:cs="Times New Roman"/>
                <w:b/>
                <w:color w:val="000000"/>
                <w:spacing w:val="-2"/>
              </w:rPr>
              <w:t>iếp thu</w:t>
            </w:r>
            <w:r>
              <w:rPr>
                <w:rFonts w:ascii="Times New Roman" w:eastAsia="Times New Roman" w:hAnsi="Times New Roman" w:cs="Times New Roman"/>
                <w:b/>
                <w:color w:val="000000"/>
                <w:spacing w:val="-2"/>
              </w:rPr>
              <w:t xml:space="preserve">: </w:t>
            </w:r>
            <w:r>
              <w:rPr>
                <w:rFonts w:ascii="Times New Roman" w:eastAsia="Times New Roman" w:hAnsi="Times New Roman" w:cs="Times New Roman"/>
                <w:color w:val="000000"/>
                <w:spacing w:val="-2"/>
              </w:rPr>
              <w:t xml:space="preserve">Dự kiến điều chỉnh </w:t>
            </w:r>
            <w:r w:rsidRPr="0077647C">
              <w:rPr>
                <w:rFonts w:ascii="Times New Roman" w:hAnsi="Times New Roman" w:cs="Times New Roman"/>
                <w:bCs/>
                <w:color w:val="FF0000"/>
                <w:spacing w:val="-2"/>
              </w:rPr>
              <w:t>diện tích sử dụng chung</w:t>
            </w:r>
            <w:r>
              <w:rPr>
                <w:rFonts w:ascii="Times New Roman" w:hAnsi="Times New Roman" w:cs="Times New Roman"/>
                <w:bCs/>
                <w:color w:val="FF0000"/>
                <w:spacing w:val="-2"/>
              </w:rPr>
              <w:t xml:space="preserve"> tối đa không quá 100% </w:t>
            </w:r>
            <w:r w:rsidRPr="005519F7">
              <w:rPr>
                <w:rFonts w:ascii="Times New Roman" w:eastAsia="Times New Roman" w:hAnsi="Times New Roman" w:cs="Times New Roman"/>
                <w:color w:val="FF0000"/>
                <w:spacing w:val="-2"/>
              </w:rPr>
              <w:t>diện tích làm việc phục vụ công tác chức danh</w:t>
            </w:r>
            <w:r>
              <w:rPr>
                <w:rFonts w:ascii="Times New Roman" w:eastAsia="Times New Roman" w:hAnsi="Times New Roman" w:cs="Times New Roman"/>
                <w:color w:val="FF0000"/>
                <w:spacing w:val="-2"/>
              </w:rPr>
              <w:t xml:space="preserve"> tại </w:t>
            </w:r>
            <w:r w:rsidR="003C425F">
              <w:rPr>
                <w:rFonts w:ascii="Times New Roman" w:eastAsia="Times New Roman" w:hAnsi="Times New Roman" w:cs="Times New Roman"/>
                <w:color w:val="FF0000"/>
                <w:spacing w:val="-2"/>
              </w:rPr>
              <w:t xml:space="preserve">khoản 2 </w:t>
            </w:r>
            <w:r>
              <w:rPr>
                <w:rFonts w:ascii="Times New Roman" w:eastAsia="Times New Roman" w:hAnsi="Times New Roman" w:cs="Times New Roman"/>
                <w:color w:val="FF0000"/>
                <w:spacing w:val="-2"/>
              </w:rPr>
              <w:t>Điều 6 NĐ155.</w:t>
            </w:r>
          </w:p>
        </w:tc>
      </w:tr>
      <w:tr w:rsidR="003069C0" w:rsidRPr="006C0077" w:rsidTr="00C067F9">
        <w:tc>
          <w:tcPr>
            <w:tcW w:w="1625" w:type="dxa"/>
            <w:vMerge/>
          </w:tcPr>
          <w:p w:rsidR="003069C0" w:rsidRPr="006C0077" w:rsidRDefault="003069C0" w:rsidP="006C0077">
            <w:pPr>
              <w:spacing w:before="40" w:after="40"/>
              <w:rPr>
                <w:rFonts w:ascii="Times New Roman" w:hAnsi="Times New Roman" w:cs="Times New Roman"/>
                <w:b/>
                <w:bCs/>
                <w:spacing w:val="-2"/>
              </w:rPr>
            </w:pPr>
          </w:p>
        </w:tc>
        <w:tc>
          <w:tcPr>
            <w:tcW w:w="1812" w:type="dxa"/>
          </w:tcPr>
          <w:p w:rsidR="003069C0" w:rsidRPr="006C0077" w:rsidRDefault="003069C0" w:rsidP="006C0077">
            <w:pPr>
              <w:spacing w:before="40" w:after="40"/>
              <w:jc w:val="center"/>
              <w:rPr>
                <w:rFonts w:ascii="Times New Roman" w:hAnsi="Times New Roman" w:cs="Times New Roman"/>
                <w:spacing w:val="-2"/>
              </w:rPr>
            </w:pPr>
            <w:r w:rsidRPr="006C0077">
              <w:rPr>
                <w:rFonts w:ascii="Times New Roman" w:eastAsia="Times New Roman" w:hAnsi="Times New Roman" w:cs="Times New Roman"/>
                <w:color w:val="000000"/>
                <w:spacing w:val="-2"/>
              </w:rPr>
              <w:t>Bộ XD</w:t>
            </w:r>
          </w:p>
          <w:p w:rsidR="003069C0" w:rsidRPr="006C0077" w:rsidRDefault="003069C0" w:rsidP="006C0077">
            <w:pPr>
              <w:spacing w:before="40" w:after="40"/>
              <w:jc w:val="center"/>
              <w:rPr>
                <w:rFonts w:ascii="Times New Roman" w:hAnsi="Times New Roman" w:cs="Times New Roman"/>
                <w:spacing w:val="-2"/>
              </w:rPr>
            </w:pPr>
          </w:p>
        </w:tc>
        <w:tc>
          <w:tcPr>
            <w:tcW w:w="7728" w:type="dxa"/>
          </w:tcPr>
          <w:p w:rsidR="003069C0" w:rsidRPr="005519F7" w:rsidRDefault="003069C0" w:rsidP="006C0077">
            <w:pPr>
              <w:spacing w:before="40" w:after="40"/>
              <w:jc w:val="both"/>
              <w:rPr>
                <w:rFonts w:ascii="Times New Roman" w:eastAsia="Times New Roman" w:hAnsi="Times New Roman" w:cs="Times New Roman"/>
                <w:color w:val="FF0000"/>
                <w:spacing w:val="-2"/>
              </w:rPr>
            </w:pPr>
            <w:r w:rsidRPr="005519F7">
              <w:rPr>
                <w:rFonts w:ascii="Times New Roman" w:eastAsia="Times New Roman" w:hAnsi="Times New Roman" w:cs="Times New Roman"/>
                <w:color w:val="FF0000"/>
                <w:spacing w:val="-2"/>
              </w:rPr>
              <w:t xml:space="preserve">Đề nghị </w:t>
            </w:r>
            <w:r w:rsidRPr="005519F7">
              <w:rPr>
                <w:rFonts w:ascii="Times New Roman" w:eastAsia="Times New Roman" w:hAnsi="Times New Roman" w:cs="Times New Roman"/>
                <w:color w:val="FF0000"/>
                <w:spacing w:val="-2"/>
                <w:u w:val="single"/>
              </w:rPr>
              <w:t>tăng 100%</w:t>
            </w:r>
            <w:r w:rsidRPr="005519F7">
              <w:rPr>
                <w:rFonts w:ascii="Times New Roman" w:eastAsia="Times New Roman" w:hAnsi="Times New Roman" w:cs="Times New Roman"/>
                <w:color w:val="FF0000"/>
                <w:spacing w:val="-2"/>
              </w:rPr>
              <w:t xml:space="preserve"> so với diện tích làm việc phục vụ công tác chức danh để đáp ứng nhu cầu công việc.</w:t>
            </w:r>
          </w:p>
        </w:tc>
        <w:tc>
          <w:tcPr>
            <w:tcW w:w="3685" w:type="dxa"/>
            <w:vMerge/>
          </w:tcPr>
          <w:p w:rsidR="003069C0" w:rsidRPr="00C539C7" w:rsidRDefault="003069C0" w:rsidP="006C0077">
            <w:pPr>
              <w:spacing w:before="40" w:after="40"/>
              <w:jc w:val="both"/>
              <w:rPr>
                <w:rFonts w:ascii="Times New Roman" w:eastAsia="Times New Roman" w:hAnsi="Times New Roman" w:cs="Times New Roman"/>
                <w:color w:val="000000"/>
                <w:spacing w:val="-2"/>
              </w:rPr>
            </w:pPr>
          </w:p>
        </w:tc>
      </w:tr>
      <w:tr w:rsidR="004E2F78" w:rsidRPr="006C0077" w:rsidTr="00C067F9">
        <w:tc>
          <w:tcPr>
            <w:tcW w:w="1625" w:type="dxa"/>
            <w:vMerge/>
          </w:tcPr>
          <w:p w:rsidR="004E2F78" w:rsidRPr="006C0077" w:rsidRDefault="004E2F78" w:rsidP="006C0077">
            <w:pPr>
              <w:spacing w:before="40" w:after="40"/>
              <w:rPr>
                <w:rFonts w:ascii="Times New Roman" w:hAnsi="Times New Roman" w:cs="Times New Roman"/>
                <w:spacing w:val="-2"/>
              </w:rPr>
            </w:pPr>
          </w:p>
        </w:tc>
        <w:tc>
          <w:tcPr>
            <w:tcW w:w="1812" w:type="dxa"/>
          </w:tcPr>
          <w:p w:rsidR="004E2F78" w:rsidRPr="006C0077" w:rsidRDefault="004E2F78" w:rsidP="006C0077">
            <w:pPr>
              <w:spacing w:before="40" w:after="40"/>
              <w:jc w:val="center"/>
              <w:rPr>
                <w:rFonts w:ascii="Times New Roman" w:hAnsi="Times New Roman" w:cs="Times New Roman"/>
                <w:color w:val="FF0000"/>
                <w:spacing w:val="-2"/>
              </w:rPr>
            </w:pPr>
            <w:r>
              <w:rPr>
                <w:rFonts w:ascii="Times New Roman" w:hAnsi="Times New Roman" w:cs="Times New Roman"/>
                <w:color w:val="FF0000"/>
                <w:spacing w:val="-2"/>
              </w:rPr>
              <w:t>TP HCM</w:t>
            </w:r>
          </w:p>
        </w:tc>
        <w:tc>
          <w:tcPr>
            <w:tcW w:w="7728" w:type="dxa"/>
          </w:tcPr>
          <w:p w:rsidR="004E2F78" w:rsidRPr="00B3611E" w:rsidRDefault="004E2F78" w:rsidP="004E2F78">
            <w:pPr>
              <w:spacing w:before="40" w:after="40"/>
              <w:jc w:val="both"/>
              <w:rPr>
                <w:rFonts w:ascii="Times New Roman" w:hAnsi="Times New Roman" w:cs="Times New Roman"/>
                <w:color w:val="000000"/>
              </w:rPr>
            </w:pPr>
            <w:r w:rsidRPr="004E2F78">
              <w:rPr>
                <w:rFonts w:ascii="Times New Roman" w:hAnsi="Times New Roman" w:cs="Times New Roman"/>
                <w:color w:val="000000"/>
              </w:rPr>
              <w:t xml:space="preserve">Việc quy định diện tích sử dụng chung tối đa không quá 85% tổng diện tích làm việc phục vụ công tác các chức danh của cơ quan, tổ chức là khá cao vì hiện nay diện tích làm việc của các chức danh đã tăng so với Nghị định số 152/2017/NĐ-CP nên dẫn đến không đủ diện tích làm việc, phải bố trí nhiều trụ sở làm việc trong thời gian xây dựng mới trụ sở làm việc. Bên cạnh đó, có những cơ quan, tổ chức, đơn vị sự nghiệp có quy mô nhỏ, chức năng hoạt động của đơn vị không cần thiết phải bố trí cho một trong các phần diện tích sử dụng chung nêu trên. </w:t>
            </w:r>
            <w:r>
              <w:rPr>
                <w:rFonts w:ascii="Times New Roman" w:hAnsi="Times New Roman" w:cs="Times New Roman"/>
                <w:color w:val="000000"/>
              </w:rPr>
              <w:t>Do đó, đ</w:t>
            </w:r>
            <w:r w:rsidRPr="004E2F78">
              <w:rPr>
                <w:rFonts w:ascii="Times New Roman" w:hAnsi="Times New Roman" w:cs="Times New Roman"/>
                <w:color w:val="000000"/>
              </w:rPr>
              <w:t>ề nghị giảm tỷ lệ tối đa xuống 70-80% hoặc quy định thêm tỷ lệ tối thiểu, giúp tránh lãng phí diện tích hành lang, hội trường, phòng họp, …</w:t>
            </w:r>
          </w:p>
        </w:tc>
        <w:tc>
          <w:tcPr>
            <w:tcW w:w="3685" w:type="dxa"/>
          </w:tcPr>
          <w:p w:rsidR="004E2F78" w:rsidRPr="00815DF1" w:rsidRDefault="0033203F" w:rsidP="0038197D">
            <w:pPr>
              <w:spacing w:before="40" w:after="40"/>
              <w:jc w:val="both"/>
              <w:rPr>
                <w:rFonts w:ascii="Times New Roman" w:hAnsi="Times New Roman" w:cs="Times New Roman"/>
                <w:spacing w:val="-4"/>
              </w:rPr>
            </w:pPr>
            <w:r w:rsidRPr="00815DF1">
              <w:rPr>
                <w:rFonts w:ascii="Times New Roman" w:hAnsi="Times New Roman" w:cs="Times New Roman"/>
                <w:b/>
                <w:spacing w:val="-4"/>
              </w:rPr>
              <w:t>Giải trình</w:t>
            </w:r>
            <w:r w:rsidRPr="00815DF1">
              <w:rPr>
                <w:rFonts w:ascii="Times New Roman" w:hAnsi="Times New Roman" w:cs="Times New Roman"/>
                <w:spacing w:val="-4"/>
              </w:rPr>
              <w:t xml:space="preserve">: </w:t>
            </w:r>
            <w:r w:rsidR="0038197D" w:rsidRPr="00815DF1">
              <w:rPr>
                <w:rFonts w:ascii="Times New Roman" w:hAnsi="Times New Roman" w:cs="Times New Roman"/>
                <w:spacing w:val="-4"/>
              </w:rPr>
              <w:t xml:space="preserve">Theo quy định tại khoản 2 Điều 6 NĐ155 thì diện tích sử dụng chung được </w:t>
            </w:r>
            <w:r w:rsidR="0038197D" w:rsidRPr="00815DF1">
              <w:rPr>
                <w:rFonts w:ascii="Times New Roman" w:hAnsi="Times New Roman" w:cs="Times New Roman"/>
                <w:spacing w:val="-4"/>
                <w:u w:val="single"/>
              </w:rPr>
              <w:t>xác định tối đa</w:t>
            </w:r>
            <w:r w:rsidR="0038197D" w:rsidRPr="00815DF1">
              <w:rPr>
                <w:rFonts w:ascii="Times New Roman" w:hAnsi="Times New Roman" w:cs="Times New Roman"/>
                <w:spacing w:val="-4"/>
              </w:rPr>
              <w:t xml:space="preserve"> không quá 85% tổng diện tích làm việc phục vụ công tác các chức danh của cơ quan, tổ chức</w:t>
            </w:r>
            <w:r w:rsidRPr="00815DF1">
              <w:rPr>
                <w:rFonts w:ascii="Times New Roman" w:hAnsi="Times New Roman" w:cs="Times New Roman"/>
                <w:spacing w:val="-4"/>
              </w:rPr>
              <w:t xml:space="preserve">. Các cơ quan, tổ chức, đơn vị xác định căn cứ trên chức năng, nhiệm vụ, nhu cầu, mục đích để xác định diện tích sử dụng chung cho phù hợp. Pháp luật </w:t>
            </w:r>
            <w:r w:rsidRPr="00815DF1">
              <w:rPr>
                <w:rFonts w:ascii="Times New Roman" w:hAnsi="Times New Roman" w:cs="Times New Roman"/>
                <w:spacing w:val="-4"/>
              </w:rPr>
              <w:lastRenderedPageBreak/>
              <w:t xml:space="preserve">về tài sản công (NĐ186, NĐ52) đã quy định trường hợp bố trí các cơ quan, tổ chức, đơn vị trong cùng một trụ sở làm việc, cơ sở hoạt động sự nghiệp. </w:t>
            </w:r>
          </w:p>
        </w:tc>
      </w:tr>
      <w:tr w:rsidR="006760FD" w:rsidRPr="006C0077" w:rsidTr="00C067F9">
        <w:tc>
          <w:tcPr>
            <w:tcW w:w="1625" w:type="dxa"/>
            <w:vMerge/>
          </w:tcPr>
          <w:p w:rsidR="006760FD" w:rsidRPr="006C0077" w:rsidRDefault="006760FD" w:rsidP="006C0077">
            <w:pPr>
              <w:spacing w:before="40" w:after="40"/>
              <w:rPr>
                <w:rFonts w:ascii="Times New Roman" w:hAnsi="Times New Roman" w:cs="Times New Roman"/>
                <w:spacing w:val="-2"/>
              </w:rPr>
            </w:pPr>
          </w:p>
        </w:tc>
        <w:tc>
          <w:tcPr>
            <w:tcW w:w="1812" w:type="dxa"/>
          </w:tcPr>
          <w:p w:rsidR="006760FD" w:rsidRDefault="006760FD" w:rsidP="006C0077">
            <w:pPr>
              <w:spacing w:before="40" w:after="40"/>
              <w:jc w:val="center"/>
              <w:rPr>
                <w:rFonts w:ascii="Times New Roman" w:hAnsi="Times New Roman" w:cs="Times New Roman"/>
                <w:color w:val="FF0000"/>
                <w:spacing w:val="-2"/>
              </w:rPr>
            </w:pPr>
            <w:r>
              <w:rPr>
                <w:rFonts w:ascii="Times New Roman" w:hAnsi="Times New Roman" w:cs="Times New Roman"/>
                <w:color w:val="FF0000"/>
                <w:spacing w:val="-2"/>
              </w:rPr>
              <w:t>Đại học QG Hà Nội</w:t>
            </w:r>
          </w:p>
        </w:tc>
        <w:tc>
          <w:tcPr>
            <w:tcW w:w="7728" w:type="dxa"/>
          </w:tcPr>
          <w:p w:rsidR="006760FD" w:rsidRPr="004E2F78" w:rsidRDefault="006760FD" w:rsidP="006760FD">
            <w:pPr>
              <w:spacing w:before="40" w:after="40"/>
              <w:jc w:val="both"/>
              <w:rPr>
                <w:rFonts w:ascii="Times New Roman" w:hAnsi="Times New Roman" w:cs="Times New Roman"/>
                <w:color w:val="000000"/>
              </w:rPr>
            </w:pPr>
            <w:r w:rsidRPr="006760FD">
              <w:rPr>
                <w:rFonts w:ascii="Times New Roman" w:hAnsi="Times New Roman" w:cs="Times New Roman"/>
                <w:color w:val="000000"/>
              </w:rPr>
              <w:t>Đề xuất bổ sung tỷ lệ diện tích cho các không gian hỗ trợ học thuật, phòng thảo luận nhóm và khu vực chức năng dành riêng cho giảng viên đối với khối cơ sở giáo dục đại học.</w:t>
            </w:r>
          </w:p>
        </w:tc>
        <w:tc>
          <w:tcPr>
            <w:tcW w:w="3685" w:type="dxa"/>
          </w:tcPr>
          <w:p w:rsidR="006760FD" w:rsidRPr="00815DF1" w:rsidRDefault="006760FD" w:rsidP="006760FD">
            <w:pPr>
              <w:spacing w:before="40" w:after="40"/>
              <w:jc w:val="both"/>
              <w:rPr>
                <w:rFonts w:ascii="Times New Roman" w:hAnsi="Times New Roman" w:cs="Times New Roman"/>
                <w:b/>
                <w:spacing w:val="-4"/>
              </w:rPr>
            </w:pPr>
            <w:r w:rsidRPr="006770B4">
              <w:rPr>
                <w:rFonts w:ascii="Times New Roman" w:hAnsi="Times New Roman" w:cs="Times New Roman"/>
                <w:b/>
              </w:rPr>
              <w:t>Giải trình</w:t>
            </w:r>
            <w:r w:rsidRPr="00C539C7">
              <w:rPr>
                <w:rFonts w:ascii="Times New Roman" w:hAnsi="Times New Roman" w:cs="Times New Roman"/>
              </w:rPr>
              <w:t>:</w:t>
            </w:r>
            <w:r>
              <w:rPr>
                <w:rFonts w:ascii="Times New Roman" w:hAnsi="Times New Roman" w:cs="Times New Roman"/>
              </w:rPr>
              <w:t xml:space="preserve"> Các diện tích này là diện tích công trình sự nghiệp; thực hiện theo hướng dẫn của Bộ GD&amp;ĐT; </w:t>
            </w:r>
            <w:r w:rsidRPr="00C539C7">
              <w:rPr>
                <w:rFonts w:ascii="Times New Roman" w:hAnsi="Times New Roman" w:cs="Times New Roman"/>
                <w:color w:val="000000"/>
                <w:spacing w:val="-2"/>
              </w:rPr>
              <w:t>trường hợp Bộ GD&amp;ĐT chưa quy định chi tiết hướng dẫn thì cơ quan, người có thẩm quyền quyết định TCĐM diện tích CTSN trong lĩnh vực GD&amp;ĐT</w:t>
            </w:r>
            <w:r>
              <w:rPr>
                <w:rFonts w:ascii="Times New Roman" w:hAnsi="Times New Roman" w:cs="Times New Roman"/>
                <w:color w:val="000000"/>
                <w:spacing w:val="-2"/>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color w:val="FF0000"/>
                <w:spacing w:val="-2"/>
              </w:rPr>
            </w:pPr>
            <w:r w:rsidRPr="006C0077">
              <w:rPr>
                <w:rFonts w:ascii="Times New Roman" w:hAnsi="Times New Roman" w:cs="Times New Roman"/>
                <w:color w:val="FF0000"/>
                <w:spacing w:val="-2"/>
              </w:rPr>
              <w:t>KTNN</w:t>
            </w:r>
          </w:p>
        </w:tc>
        <w:tc>
          <w:tcPr>
            <w:tcW w:w="7728" w:type="dxa"/>
          </w:tcPr>
          <w:p w:rsidR="00A429F4" w:rsidRPr="00892700" w:rsidRDefault="00A429F4" w:rsidP="00B3611E">
            <w:pPr>
              <w:spacing w:before="40" w:after="40"/>
              <w:jc w:val="both"/>
              <w:rPr>
                <w:rFonts w:ascii="Times New Roman" w:hAnsi="Times New Roman" w:cs="Times New Roman"/>
                <w:color w:val="000000"/>
              </w:rPr>
            </w:pPr>
            <w:r w:rsidRPr="00B3611E">
              <w:rPr>
                <w:rFonts w:ascii="Times New Roman" w:hAnsi="Times New Roman" w:cs="Times New Roman"/>
                <w:color w:val="000000"/>
              </w:rPr>
              <w:t>Điều 6. Diện tích sử dụng chung bao gồm Hội trường, phòng họp có quy định chỗ ngồi trong hội trường không quá 500 chỗ. Quy định trên là chưa phù hợp với CQ, ĐV có số lượng biên chế công chức lớn hơn 1000 người tại trụ sở nên khi tổ chức hội nghị hoặc sự kiện yêu cầu toàn thể cơ quan dẫn đến phải đi thuê sẽ ảnh hưởng đến thời gian và kinh phí.</w:t>
            </w:r>
          </w:p>
        </w:tc>
        <w:tc>
          <w:tcPr>
            <w:tcW w:w="3685" w:type="dxa"/>
          </w:tcPr>
          <w:p w:rsidR="00A429F4" w:rsidRPr="00C539C7" w:rsidRDefault="00A429F4" w:rsidP="00E06510">
            <w:pPr>
              <w:spacing w:before="40" w:after="40"/>
              <w:jc w:val="both"/>
              <w:rPr>
                <w:rFonts w:ascii="Times New Roman" w:eastAsia="Times New Roman" w:hAnsi="Times New Roman" w:cs="Times New Roman"/>
                <w:color w:val="000000"/>
                <w:spacing w:val="-2"/>
              </w:rPr>
            </w:pPr>
            <w:r w:rsidRPr="006770B4">
              <w:rPr>
                <w:rFonts w:ascii="Times New Roman" w:hAnsi="Times New Roman" w:cs="Times New Roman"/>
                <w:b/>
              </w:rPr>
              <w:t>Giải trình</w:t>
            </w:r>
            <w:r w:rsidRPr="00C539C7">
              <w:rPr>
                <w:rFonts w:ascii="Times New Roman" w:hAnsi="Times New Roman" w:cs="Times New Roman"/>
              </w:rPr>
              <w:t xml:space="preserve">: </w:t>
            </w:r>
            <w:r w:rsidRPr="00C539C7">
              <w:rPr>
                <w:rFonts w:ascii="Times New Roman" w:eastAsia="Times New Roman" w:hAnsi="Times New Roman" w:cs="Times New Roman"/>
                <w:color w:val="000000"/>
                <w:spacing w:val="-2"/>
              </w:rPr>
              <w:t>Tại Điều 6 không có quy định chỗ ngồi trong hội trường không quá 500 chỗ</w:t>
            </w:r>
            <w:r w:rsidRPr="00C539C7">
              <w:rPr>
                <w:rFonts w:ascii="Times New Roman" w:hAnsi="Times New Roman" w:cs="Times New Roman"/>
                <w:color w:val="000000"/>
                <w:spacing w:val="-2"/>
              </w:rPr>
              <w:t>.</w:t>
            </w:r>
            <w:r w:rsidR="00202BC4">
              <w:rPr>
                <w:rFonts w:ascii="Times New Roman" w:hAnsi="Times New Roman" w:cs="Times New Roman"/>
                <w:color w:val="000000"/>
                <w:spacing w:val="-2"/>
              </w:rPr>
              <w:t xml:space="preserve"> Diện tích hội trường được phân bổ trong diện tích chung; trường hợp diện tích theo phân bổ thấp hơn Tiêu chuẩn Xây dựng Việt Nam thì diện tích hội trường được lấy theo Tiêu chuẩn Xây dựng Việt Nam.</w:t>
            </w:r>
          </w:p>
        </w:tc>
      </w:tr>
      <w:tr w:rsidR="00A429F4" w:rsidRPr="00C7242A" w:rsidTr="00C067F9">
        <w:tc>
          <w:tcPr>
            <w:tcW w:w="1625" w:type="dxa"/>
            <w:vMerge w:val="restart"/>
          </w:tcPr>
          <w:p w:rsidR="00A429F4" w:rsidRPr="006C0077" w:rsidRDefault="00A429F4" w:rsidP="006C0077">
            <w:pPr>
              <w:spacing w:before="40" w:after="40"/>
              <w:rPr>
                <w:rFonts w:ascii="Times New Roman" w:hAnsi="Times New Roman" w:cs="Times New Roman"/>
                <w:b/>
                <w:bCs/>
                <w:spacing w:val="-2"/>
              </w:rPr>
            </w:pPr>
            <w:r>
              <w:rPr>
                <w:rFonts w:ascii="Times New Roman" w:hAnsi="Times New Roman" w:cs="Times New Roman"/>
                <w:b/>
                <w:bCs/>
                <w:spacing w:val="-2"/>
              </w:rPr>
              <w:t>4</w:t>
            </w:r>
            <w:r w:rsidRPr="006C0077">
              <w:rPr>
                <w:rFonts w:ascii="Times New Roman" w:hAnsi="Times New Roman" w:cs="Times New Roman"/>
                <w:b/>
                <w:bCs/>
                <w:spacing w:val="-2"/>
              </w:rPr>
              <w:t>.  Về TCĐM sử dụng diện tích chuyên dùng</w:t>
            </w:r>
          </w:p>
        </w:tc>
        <w:tc>
          <w:tcPr>
            <w:tcW w:w="1812" w:type="dxa"/>
          </w:tcPr>
          <w:p w:rsidR="00A429F4" w:rsidRPr="006C0077" w:rsidRDefault="00A429F4" w:rsidP="006C0077">
            <w:pPr>
              <w:spacing w:before="40" w:after="40"/>
              <w:jc w:val="center"/>
              <w:rPr>
                <w:rFonts w:ascii="Times New Roman" w:hAnsi="Times New Roman" w:cs="Times New Roman"/>
                <w:color w:val="FF0000"/>
                <w:spacing w:val="-2"/>
              </w:rPr>
            </w:pPr>
            <w:r w:rsidRPr="006C0077">
              <w:rPr>
                <w:rFonts w:ascii="Times New Roman" w:hAnsi="Times New Roman" w:cs="Times New Roman"/>
                <w:color w:val="FF0000"/>
                <w:spacing w:val="-2"/>
              </w:rPr>
              <w:t>KTNN</w:t>
            </w:r>
          </w:p>
        </w:tc>
        <w:tc>
          <w:tcPr>
            <w:tcW w:w="7728" w:type="dxa"/>
          </w:tcPr>
          <w:p w:rsidR="00A429F4" w:rsidRPr="006C0077" w:rsidRDefault="00A429F4" w:rsidP="00B3611E">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Tại điể</w:t>
            </w:r>
            <w:r>
              <w:rPr>
                <w:rFonts w:ascii="Times New Roman" w:hAnsi="Times New Roman" w:cs="Times New Roman"/>
                <w:color w:val="000000"/>
                <w:spacing w:val="-2"/>
              </w:rPr>
              <w:t>m d</w:t>
            </w:r>
            <w:r w:rsidRPr="006C0077">
              <w:rPr>
                <w:rFonts w:ascii="Times New Roman" w:hAnsi="Times New Roman" w:cs="Times New Roman"/>
                <w:color w:val="000000"/>
                <w:spacing w:val="-2"/>
              </w:rPr>
              <w:t xml:space="preserve"> </w:t>
            </w:r>
            <w:r>
              <w:rPr>
                <w:rFonts w:ascii="Times New Roman" w:hAnsi="Times New Roman" w:cs="Times New Roman"/>
                <w:color w:val="000000"/>
                <w:spacing w:val="-2"/>
              </w:rPr>
              <w:t>K</w:t>
            </w:r>
            <w:r w:rsidRPr="006C0077">
              <w:rPr>
                <w:rFonts w:ascii="Times New Roman" w:hAnsi="Times New Roman" w:cs="Times New Roman"/>
                <w:color w:val="000000"/>
                <w:spacing w:val="-2"/>
              </w:rPr>
              <w:t>1 Đ7 N</w:t>
            </w:r>
            <w:r>
              <w:rPr>
                <w:rFonts w:ascii="Times New Roman" w:hAnsi="Times New Roman" w:cs="Times New Roman"/>
                <w:color w:val="000000"/>
                <w:spacing w:val="-2"/>
              </w:rPr>
              <w:t>Đ155</w:t>
            </w:r>
            <w:r w:rsidRPr="006C0077">
              <w:rPr>
                <w:rFonts w:ascii="Times New Roman" w:hAnsi="Times New Roman" w:cs="Times New Roman"/>
                <w:color w:val="000000"/>
                <w:spacing w:val="-2"/>
              </w:rPr>
              <w:t xml:space="preserve"> đã xác định Nhà lưu trú công vụ nằm trong diện tích chuyên dùng; cũng tại khoản 2 Điều </w:t>
            </w:r>
            <w:r>
              <w:rPr>
                <w:rFonts w:ascii="Times New Roman" w:hAnsi="Times New Roman" w:cs="Times New Roman"/>
                <w:color w:val="000000"/>
                <w:spacing w:val="-2"/>
              </w:rPr>
              <w:t>này “</w:t>
            </w:r>
            <w:r w:rsidRPr="00B3611E">
              <w:rPr>
                <w:rFonts w:ascii="Times New Roman" w:hAnsi="Times New Roman" w:cs="Times New Roman"/>
                <w:i/>
                <w:color w:val="000000"/>
                <w:spacing w:val="-2"/>
              </w:rPr>
              <w:t>căn cứ chức năng, nhiệm vụ, văn bản thể hiện nhiệm vụ đặc thù của cơ quan...</w:t>
            </w:r>
            <w:r w:rsidRPr="006C0077">
              <w:rPr>
                <w:rFonts w:ascii="Times New Roman" w:hAnsi="Times New Roman" w:cs="Times New Roman"/>
                <w:color w:val="000000"/>
                <w:spacing w:val="-2"/>
              </w:rPr>
              <w:t>". Tuy nhiên, nội dung chưa nêu rõ đối tượng đơn vị được áp dụng quy định về nhà lưu trú trong đó có cán bộ, công chức luân chuyển, biệt phái của KTNN. Thực hiện theo quy định tại Quy định số 131-QĐ/TW ngày 27/10/2023 về kiểm soát quyền lực, phòng, chống tham nhũng, tiêu cực trong công tác kiểm tra, giám sát, thi hành kỷ luật đảng và trong hoạt động thanh tra, kiểm toán; Quy định số 65-QĐ/TW ngày 28/4/2022 về luân chuyển cán bộ. Hàng năm, KTNN tổ chức điều động, luân chuyển, biệt phái giữa các đơn vị trong ngành nên việc xây dựng, bố trí khu nhà lưu trú cho cán bộ, công chức trên của KTNN là phù hợp.</w:t>
            </w:r>
          </w:p>
        </w:tc>
        <w:tc>
          <w:tcPr>
            <w:tcW w:w="3685" w:type="dxa"/>
            <w:vMerge w:val="restart"/>
          </w:tcPr>
          <w:p w:rsidR="00A429F4" w:rsidRDefault="00A429F4" w:rsidP="0093114E">
            <w:pPr>
              <w:spacing w:before="40" w:after="40"/>
              <w:jc w:val="both"/>
              <w:rPr>
                <w:rFonts w:ascii="Times New Roman" w:hAnsi="Times New Roman" w:cs="Times New Roman"/>
                <w:color w:val="000000"/>
                <w:spacing w:val="-2"/>
              </w:rPr>
            </w:pPr>
            <w:r w:rsidRPr="00663553">
              <w:rPr>
                <w:rFonts w:ascii="Times New Roman" w:hAnsi="Times New Roman" w:cs="Times New Roman"/>
                <w:color w:val="000000"/>
                <w:spacing w:val="-2"/>
              </w:rPr>
              <w:t xml:space="preserve">Theo quy định </w:t>
            </w:r>
            <w:r w:rsidR="001D43E2">
              <w:rPr>
                <w:rFonts w:ascii="Times New Roman" w:hAnsi="Times New Roman" w:cs="Times New Roman"/>
                <w:color w:val="000000"/>
                <w:spacing w:val="-2"/>
              </w:rPr>
              <w:t>của</w:t>
            </w:r>
            <w:r w:rsidRPr="00663553">
              <w:rPr>
                <w:rFonts w:ascii="Times New Roman" w:hAnsi="Times New Roman" w:cs="Times New Roman"/>
                <w:color w:val="000000"/>
                <w:spacing w:val="-2"/>
              </w:rPr>
              <w:t xml:space="preserve"> </w:t>
            </w:r>
            <w:r>
              <w:rPr>
                <w:rFonts w:ascii="Times New Roman" w:hAnsi="Times New Roman" w:cs="Times New Roman"/>
                <w:color w:val="000000"/>
                <w:spacing w:val="-2"/>
              </w:rPr>
              <w:t xml:space="preserve">Luật Nhà ở: </w:t>
            </w:r>
            <w:r w:rsidR="0093114E">
              <w:rPr>
                <w:rFonts w:ascii="Times New Roman" w:hAnsi="Times New Roman" w:cs="Times New Roman"/>
                <w:color w:val="000000"/>
                <w:spacing w:val="-2"/>
              </w:rPr>
              <w:t>N</w:t>
            </w:r>
            <w:r w:rsidRPr="00C7242A">
              <w:rPr>
                <w:rFonts w:ascii="Times New Roman" w:hAnsi="Times New Roman" w:cs="Times New Roman"/>
                <w:color w:val="000000"/>
                <w:spacing w:val="-2"/>
              </w:rPr>
              <w:t>hà ở công vụ</w:t>
            </w:r>
            <w:r w:rsidRPr="00663553">
              <w:rPr>
                <w:rFonts w:ascii="Times New Roman" w:hAnsi="Times New Roman" w:cs="Times New Roman"/>
                <w:color w:val="000000"/>
                <w:spacing w:val="-2"/>
              </w:rPr>
              <w:t xml:space="preserve"> là nhà ở được dùng để bố trí cho đối tượng thuộc trường hợp được ở nhà ở công vụ thuê trong thời gian đảm nhận chức vụ, công tác </w:t>
            </w:r>
            <w:r>
              <w:rPr>
                <w:rFonts w:ascii="Times New Roman" w:hAnsi="Times New Roman" w:cs="Times New Roman"/>
                <w:color w:val="000000"/>
                <w:spacing w:val="-2"/>
              </w:rPr>
              <w:t>(</w:t>
            </w:r>
            <w:r w:rsidRPr="00663553">
              <w:rPr>
                <w:rFonts w:ascii="Times New Roman" w:hAnsi="Times New Roman" w:cs="Times New Roman"/>
                <w:color w:val="000000"/>
                <w:spacing w:val="-2"/>
              </w:rPr>
              <w:t>khoản 5 Điều 2</w:t>
            </w:r>
            <w:r>
              <w:rPr>
                <w:rFonts w:ascii="Times New Roman" w:hAnsi="Times New Roman" w:cs="Times New Roman"/>
                <w:color w:val="000000"/>
                <w:spacing w:val="-2"/>
              </w:rPr>
              <w:t>)</w:t>
            </w:r>
            <w:r w:rsidRPr="00663553">
              <w:rPr>
                <w:rFonts w:ascii="Times New Roman" w:hAnsi="Times New Roman" w:cs="Times New Roman"/>
                <w:color w:val="000000"/>
                <w:spacing w:val="-2"/>
              </w:rPr>
              <w:t>.</w:t>
            </w:r>
            <w:bookmarkStart w:id="0" w:name="khoan_1_45"/>
            <w:r w:rsidRPr="00C7242A">
              <w:rPr>
                <w:rFonts w:ascii="Times New Roman" w:hAnsi="Times New Roman" w:cs="Times New Roman"/>
                <w:color w:val="000000"/>
                <w:spacing w:val="-2"/>
              </w:rPr>
              <w:t xml:space="preserve"> </w:t>
            </w:r>
            <w:r w:rsidR="0093114E">
              <w:rPr>
                <w:rFonts w:ascii="Times New Roman" w:hAnsi="Times New Roman" w:cs="Times New Roman"/>
                <w:color w:val="000000"/>
                <w:spacing w:val="-2"/>
              </w:rPr>
              <w:t>Đ</w:t>
            </w:r>
            <w:r w:rsidRPr="00C7242A">
              <w:rPr>
                <w:rFonts w:ascii="Times New Roman" w:hAnsi="Times New Roman" w:cs="Times New Roman"/>
                <w:color w:val="000000"/>
                <w:spacing w:val="-2"/>
              </w:rPr>
              <w:t>ối tượng được thuê nhà ở công vụ</w:t>
            </w:r>
            <w:r>
              <w:rPr>
                <w:rFonts w:ascii="Times New Roman" w:hAnsi="Times New Roman" w:cs="Times New Roman"/>
                <w:color w:val="000000"/>
                <w:spacing w:val="-2"/>
              </w:rPr>
              <w:t>; trong đó có</w:t>
            </w:r>
            <w:bookmarkEnd w:id="0"/>
            <w:r>
              <w:rPr>
                <w:rFonts w:ascii="Times New Roman" w:hAnsi="Times New Roman" w:cs="Times New Roman"/>
                <w:color w:val="000000"/>
                <w:spacing w:val="-2"/>
              </w:rPr>
              <w:t xml:space="preserve"> </w:t>
            </w:r>
            <w:bookmarkStart w:id="1" w:name="diem_c_1_45"/>
            <w:r>
              <w:rPr>
                <w:rFonts w:ascii="Times New Roman" w:hAnsi="Times New Roman" w:cs="Times New Roman"/>
                <w:color w:val="000000"/>
                <w:spacing w:val="-2"/>
              </w:rPr>
              <w:t>c</w:t>
            </w:r>
            <w:r w:rsidRPr="00C7242A">
              <w:rPr>
                <w:rFonts w:ascii="Times New Roman" w:hAnsi="Times New Roman" w:cs="Times New Roman"/>
                <w:color w:val="000000"/>
                <w:spacing w:val="-2"/>
              </w:rPr>
              <w:t xml:space="preserve">án bộ, công chức, viên chức được </w:t>
            </w:r>
            <w:r w:rsidRPr="00C7242A">
              <w:rPr>
                <w:rFonts w:ascii="Times New Roman" w:hAnsi="Times New Roman" w:cs="Times New Roman"/>
                <w:color w:val="000000"/>
                <w:spacing w:val="-2"/>
                <w:u w:val="single"/>
              </w:rPr>
              <w:t>điều động, luân chuyển, biệt phái đến</w:t>
            </w:r>
            <w:r w:rsidRPr="00C7242A">
              <w:rPr>
                <w:rFonts w:ascii="Times New Roman" w:hAnsi="Times New Roman" w:cs="Times New Roman"/>
                <w:color w:val="000000"/>
                <w:spacing w:val="-2"/>
              </w:rPr>
              <w:t xml:space="preserve"> </w:t>
            </w:r>
            <w:r w:rsidRPr="00C7242A">
              <w:rPr>
                <w:rFonts w:ascii="Times New Roman" w:hAnsi="Times New Roman" w:cs="Times New Roman"/>
                <w:color w:val="000000"/>
                <w:spacing w:val="-2"/>
                <w:u w:val="single"/>
              </w:rPr>
              <w:t>công tác tại xã vùng sâu, vùng xa, vùng có điều kiện kinh tế - xã hội đặc biệt khó khăn, khu vực biên giới, hải đảo</w:t>
            </w:r>
            <w:bookmarkEnd w:id="1"/>
            <w:r>
              <w:rPr>
                <w:rFonts w:ascii="Times New Roman" w:hAnsi="Times New Roman" w:cs="Times New Roman"/>
                <w:color w:val="000000"/>
                <w:spacing w:val="-2"/>
                <w:u w:val="single"/>
              </w:rPr>
              <w:t>.</w:t>
            </w:r>
            <w:r w:rsidR="0093114E">
              <w:rPr>
                <w:rFonts w:ascii="Times New Roman" w:hAnsi="Times New Roman" w:cs="Times New Roman"/>
                <w:color w:val="000000"/>
                <w:spacing w:val="-2"/>
                <w:u w:val="single"/>
              </w:rPr>
              <w:t xml:space="preserve"> (</w:t>
            </w:r>
            <w:proofErr w:type="gramStart"/>
            <w:r w:rsidR="0093114E">
              <w:rPr>
                <w:rFonts w:ascii="Times New Roman" w:hAnsi="Times New Roman" w:cs="Times New Roman"/>
                <w:color w:val="000000"/>
                <w:spacing w:val="-2"/>
              </w:rPr>
              <w:t>khoản</w:t>
            </w:r>
            <w:proofErr w:type="gramEnd"/>
            <w:r w:rsidR="0093114E">
              <w:rPr>
                <w:rFonts w:ascii="Times New Roman" w:hAnsi="Times New Roman" w:cs="Times New Roman"/>
                <w:color w:val="000000"/>
                <w:spacing w:val="-2"/>
              </w:rPr>
              <w:t xml:space="preserve"> 1 Điều 45)</w:t>
            </w:r>
            <w:r w:rsidR="00521BD7">
              <w:rPr>
                <w:rFonts w:ascii="Times New Roman" w:hAnsi="Times New Roman" w:cs="Times New Roman"/>
                <w:color w:val="000000"/>
                <w:spacing w:val="-2"/>
              </w:rPr>
              <w:t>.</w:t>
            </w:r>
          </w:p>
          <w:p w:rsidR="00521BD7" w:rsidRPr="00C067F9" w:rsidRDefault="00521BD7" w:rsidP="00521BD7">
            <w:pPr>
              <w:spacing w:before="40" w:after="40"/>
              <w:jc w:val="both"/>
              <w:rPr>
                <w:rFonts w:ascii="Times New Roman" w:hAnsi="Times New Roman" w:cs="Times New Roman"/>
                <w:color w:val="000000"/>
                <w:spacing w:val="-4"/>
              </w:rPr>
            </w:pPr>
            <w:r w:rsidRPr="00C067F9">
              <w:rPr>
                <w:rFonts w:ascii="Times New Roman" w:hAnsi="Times New Roman" w:cs="Times New Roman"/>
                <w:color w:val="000000"/>
                <w:spacing w:val="-4"/>
              </w:rPr>
              <w:t xml:space="preserve">Do vậy, tiếp thu sửa đổi, bổ sung </w:t>
            </w:r>
            <w:r w:rsidRPr="00C067F9">
              <w:rPr>
                <w:rFonts w:ascii="Times New Roman" w:hAnsi="Times New Roman" w:cs="Times New Roman"/>
                <w:color w:val="000000"/>
                <w:spacing w:val="-4"/>
                <w:lang w:val="vi-VN"/>
              </w:rPr>
              <w:t>điểm d</w:t>
            </w:r>
            <w:r w:rsidRPr="00C067F9">
              <w:rPr>
                <w:rFonts w:ascii="Times New Roman" w:hAnsi="Times New Roman" w:cs="Times New Roman"/>
                <w:color w:val="000000"/>
                <w:spacing w:val="-4"/>
              </w:rPr>
              <w:t xml:space="preserve"> khoản 1 Điều 7 đối với </w:t>
            </w:r>
            <w:r w:rsidR="009A2DBF" w:rsidRPr="00C067F9">
              <w:rPr>
                <w:rFonts w:ascii="Times New Roman" w:hAnsi="Times New Roman" w:cs="Times New Roman"/>
                <w:iCs/>
                <w:color w:val="000000"/>
                <w:spacing w:val="-4"/>
              </w:rPr>
              <w:t>n</w:t>
            </w:r>
            <w:r w:rsidRPr="00C067F9">
              <w:rPr>
                <w:rFonts w:ascii="Times New Roman" w:hAnsi="Times New Roman" w:cs="Times New Roman"/>
                <w:iCs/>
                <w:color w:val="000000"/>
                <w:spacing w:val="-4"/>
                <w:lang w:val="vi-VN"/>
              </w:rPr>
              <w:t xml:space="preserve">hà lưu trú công </w:t>
            </w:r>
            <w:r w:rsidRPr="00C067F9">
              <w:rPr>
                <w:rFonts w:ascii="Times New Roman" w:hAnsi="Times New Roman" w:cs="Times New Roman"/>
                <w:iCs/>
                <w:color w:val="000000"/>
                <w:spacing w:val="-6"/>
                <w:lang w:val="vi-VN"/>
              </w:rPr>
              <w:t xml:space="preserve">vụ phục vụ hoạt động </w:t>
            </w:r>
            <w:r w:rsidRPr="00C067F9">
              <w:rPr>
                <w:rFonts w:ascii="Times New Roman" w:hAnsi="Times New Roman" w:cs="Times New Roman"/>
                <w:iCs/>
                <w:color w:val="000000"/>
                <w:spacing w:val="-6"/>
                <w:u w:val="single"/>
                <w:lang w:val="vi-VN"/>
              </w:rPr>
              <w:t>công tác điều động, luân chuyển, biệt phái</w:t>
            </w:r>
            <w:r w:rsidRPr="00C067F9">
              <w:rPr>
                <w:rFonts w:ascii="Times New Roman" w:hAnsi="Times New Roman" w:cs="Times New Roman"/>
                <w:iCs/>
                <w:color w:val="000000"/>
                <w:spacing w:val="-6"/>
                <w:u w:val="single"/>
              </w:rPr>
              <w:t xml:space="preserve"> (trừ đối tượng thuộc trường hợp được ở nhà ở công vụ theo quy định pháp luật về nhà ở).</w:t>
            </w:r>
            <w:r w:rsidRPr="00C067F9">
              <w:rPr>
                <w:rFonts w:ascii="Times New Roman" w:hAnsi="Times New Roman" w:cs="Times New Roman"/>
                <w:color w:val="000000"/>
                <w:spacing w:val="-6"/>
              </w:rPr>
              <w:t xml:space="preserve"> </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Pr>
                <w:rFonts w:ascii="Times New Roman" w:hAnsi="Times New Roman" w:cs="Times New Roman"/>
                <w:color w:val="000000"/>
                <w:spacing w:val="-2"/>
              </w:rPr>
              <w:t>Bộ Tài chính</w:t>
            </w:r>
            <w:r w:rsidR="003217B9">
              <w:rPr>
                <w:rFonts w:ascii="Times New Roman" w:hAnsi="Times New Roman" w:cs="Times New Roman"/>
                <w:color w:val="000000"/>
                <w:spacing w:val="-2"/>
              </w:rPr>
              <w:t xml:space="preserve"> quản lý ngành</w:t>
            </w:r>
          </w:p>
        </w:tc>
        <w:tc>
          <w:tcPr>
            <w:tcW w:w="7728" w:type="dxa"/>
          </w:tcPr>
          <w:p w:rsidR="00A429F4" w:rsidRPr="00C60C02" w:rsidRDefault="00A429F4" w:rsidP="006C0077">
            <w:pPr>
              <w:spacing w:before="40" w:after="40"/>
              <w:jc w:val="both"/>
              <w:rPr>
                <w:rFonts w:ascii="Times New Roman" w:hAnsi="Times New Roman" w:cs="Times New Roman"/>
                <w:color w:val="000000"/>
                <w:spacing w:val="-2"/>
              </w:rPr>
            </w:pPr>
            <w:r w:rsidRPr="00C60C02">
              <w:rPr>
                <w:rFonts w:ascii="Times New Roman" w:hAnsi="Times New Roman" w:cs="Times New Roman"/>
                <w:color w:val="000000"/>
                <w:spacing w:val="-2"/>
              </w:rPr>
              <w:t>Đề nghị có hướng dẫn áp dụng đối với diện tích nhà lưu trú công vụ phục vụ hoạt động nghiệp vụ đặc thù của ngành như: diện tích nhà lưu trú công vụ phục vụ cán bộ, công chức công tác tại các địa bàn xa trụ sở cơ quan.</w:t>
            </w:r>
          </w:p>
        </w:tc>
        <w:tc>
          <w:tcPr>
            <w:tcW w:w="3685" w:type="dxa"/>
            <w:vMerge/>
          </w:tcPr>
          <w:p w:rsidR="00A429F4" w:rsidRPr="00C539C7" w:rsidRDefault="00A429F4" w:rsidP="006C0077">
            <w:pPr>
              <w:spacing w:before="40" w:after="40"/>
              <w:jc w:val="both"/>
              <w:rPr>
                <w:rFonts w:ascii="Times New Roman" w:hAnsi="Times New Roman" w:cs="Times New Roman"/>
              </w:rPr>
            </w:pPr>
          </w:p>
        </w:tc>
      </w:tr>
      <w:tr w:rsidR="0024572C" w:rsidRPr="006C0077" w:rsidTr="00C067F9">
        <w:tc>
          <w:tcPr>
            <w:tcW w:w="1625" w:type="dxa"/>
            <w:vMerge/>
          </w:tcPr>
          <w:p w:rsidR="0024572C" w:rsidRPr="006C0077" w:rsidRDefault="0024572C" w:rsidP="006C0077">
            <w:pPr>
              <w:spacing w:before="40" w:after="40"/>
              <w:rPr>
                <w:rFonts w:ascii="Times New Roman" w:hAnsi="Times New Roman" w:cs="Times New Roman"/>
                <w:b/>
                <w:bCs/>
                <w:spacing w:val="-2"/>
              </w:rPr>
            </w:pPr>
          </w:p>
        </w:tc>
        <w:tc>
          <w:tcPr>
            <w:tcW w:w="1812" w:type="dxa"/>
          </w:tcPr>
          <w:p w:rsidR="0024572C" w:rsidRPr="006C0077" w:rsidRDefault="0024572C" w:rsidP="006C0077">
            <w:pPr>
              <w:spacing w:before="40" w:after="40"/>
              <w:jc w:val="center"/>
              <w:rPr>
                <w:rFonts w:ascii="Times New Roman" w:hAnsi="Times New Roman" w:cs="Times New Roman"/>
                <w:spacing w:val="-2"/>
              </w:rPr>
            </w:pPr>
            <w:r>
              <w:rPr>
                <w:rFonts w:ascii="Times New Roman" w:hAnsi="Times New Roman" w:cs="Times New Roman"/>
                <w:spacing w:val="-2"/>
              </w:rPr>
              <w:t>Bộ Tư pháp</w:t>
            </w:r>
          </w:p>
        </w:tc>
        <w:tc>
          <w:tcPr>
            <w:tcW w:w="7728" w:type="dxa"/>
          </w:tcPr>
          <w:p w:rsidR="0024572C" w:rsidRDefault="0024572C" w:rsidP="0024572C">
            <w:pPr>
              <w:tabs>
                <w:tab w:val="left" w:pos="3149"/>
              </w:tabs>
              <w:spacing w:before="40" w:after="40"/>
              <w:jc w:val="both"/>
              <w:rPr>
                <w:rFonts w:ascii="Times New Roman" w:hAnsi="Times New Roman" w:cs="Times New Roman"/>
                <w:color w:val="000000"/>
                <w:spacing w:val="-2"/>
              </w:rPr>
            </w:pPr>
            <w:r w:rsidRPr="0024572C">
              <w:rPr>
                <w:rFonts w:ascii="Times New Roman" w:hAnsi="Times New Roman" w:cs="Times New Roman"/>
                <w:b/>
                <w:color w:val="000000"/>
                <w:spacing w:val="-2"/>
              </w:rPr>
              <w:t>(i)</w:t>
            </w:r>
            <w:r>
              <w:rPr>
                <w:rFonts w:ascii="Times New Roman" w:hAnsi="Times New Roman" w:cs="Times New Roman"/>
                <w:color w:val="000000"/>
                <w:spacing w:val="-2"/>
              </w:rPr>
              <w:t xml:space="preserve"> </w:t>
            </w:r>
            <w:r w:rsidRPr="0024572C">
              <w:rPr>
                <w:rFonts w:ascii="Times New Roman" w:hAnsi="Times New Roman" w:cs="Times New Roman"/>
                <w:color w:val="000000"/>
                <w:spacing w:val="-2"/>
              </w:rPr>
              <w:t>Xem xét tiếp tục xác định diện tích Hội trường từ 100 chỗ trở lên, phòng họp từ 50 người trở lên, diện tích phục vụ công nghệ thông tin (phòng máy chủ, trung tâm điều hành thông minh,… ) là diện tích chuyên dùng.</w:t>
            </w:r>
          </w:p>
          <w:p w:rsidR="0024572C" w:rsidRPr="006C0077" w:rsidRDefault="0024572C" w:rsidP="0024572C">
            <w:pPr>
              <w:tabs>
                <w:tab w:val="left" w:pos="3149"/>
              </w:tabs>
              <w:spacing w:before="40" w:after="40"/>
              <w:jc w:val="both"/>
              <w:rPr>
                <w:rFonts w:ascii="Times New Roman" w:hAnsi="Times New Roman" w:cs="Times New Roman"/>
                <w:color w:val="000000"/>
                <w:spacing w:val="-2"/>
              </w:rPr>
            </w:pPr>
            <w:r w:rsidRPr="0024572C">
              <w:rPr>
                <w:rFonts w:ascii="Times New Roman" w:hAnsi="Times New Roman" w:cs="Times New Roman"/>
                <w:b/>
                <w:color w:val="000000"/>
                <w:spacing w:val="-2"/>
              </w:rPr>
              <w:t>(ii)</w:t>
            </w:r>
            <w:r>
              <w:rPr>
                <w:rFonts w:ascii="Times New Roman" w:hAnsi="Times New Roman" w:cs="Times New Roman"/>
                <w:color w:val="000000"/>
                <w:spacing w:val="-2"/>
              </w:rPr>
              <w:t xml:space="preserve"> </w:t>
            </w:r>
            <w:r w:rsidRPr="0024572C">
              <w:rPr>
                <w:rFonts w:ascii="Times New Roman" w:hAnsi="Times New Roman" w:cs="Times New Roman"/>
                <w:color w:val="000000"/>
                <w:spacing w:val="-2"/>
              </w:rPr>
              <w:t>Đối với diện tích lưu trú công vụ, đề nghị Bộ Tài chính xem xét việc sử dụng cụm từ “Nhà lưu trú công vụ” thành “diện tích lưu trú công vụ” để các đơn vị chủ động trong việc bố trí các diện tích này trong quá trình thiết kế. Đồng thời quy định cụ thể hơn về việc tiêu chí xác định “nhiệm vụ đặc thù”, căn cứ áp dụng tiêu chuẩn, quy định về phương pháp xác định nhu cầu diện tích, phương pháp tính toán diện tích này, tránh xung đột và có các cách hiểu khác nhau trong quá trình lập, thẩm tra, thẩm định và hậu kiểm.</w:t>
            </w:r>
          </w:p>
        </w:tc>
        <w:tc>
          <w:tcPr>
            <w:tcW w:w="3685" w:type="dxa"/>
          </w:tcPr>
          <w:p w:rsidR="00D91890" w:rsidRDefault="00AB61B6" w:rsidP="00437D31">
            <w:pPr>
              <w:spacing w:before="40" w:after="40"/>
              <w:jc w:val="both"/>
              <w:rPr>
                <w:rFonts w:ascii="Times New Roman" w:hAnsi="Times New Roman" w:cs="Times New Roman"/>
                <w:b/>
              </w:rPr>
            </w:pPr>
            <w:r>
              <w:rPr>
                <w:rFonts w:ascii="Times New Roman" w:hAnsi="Times New Roman" w:cs="Times New Roman"/>
                <w:b/>
              </w:rPr>
              <w:t>(i)</w:t>
            </w:r>
            <w:r w:rsidR="00366546">
              <w:rPr>
                <w:rFonts w:ascii="Times New Roman" w:hAnsi="Times New Roman" w:cs="Times New Roman"/>
                <w:b/>
              </w:rPr>
              <w:t xml:space="preserve"> </w:t>
            </w:r>
            <w:r w:rsidR="00D91890" w:rsidRPr="00E71EB8">
              <w:rPr>
                <w:rFonts w:ascii="Times New Roman" w:eastAsia="Times New Roman" w:hAnsi="Times New Roman" w:cs="Times New Roman"/>
                <w:b/>
                <w:color w:val="000000"/>
                <w:spacing w:val="-4"/>
              </w:rPr>
              <w:t>Giải trình</w:t>
            </w:r>
            <w:r w:rsidR="00D91890" w:rsidRPr="00E71EB8">
              <w:rPr>
                <w:rFonts w:ascii="Times New Roman" w:eastAsia="Times New Roman" w:hAnsi="Times New Roman" w:cs="Times New Roman"/>
                <w:color w:val="000000"/>
                <w:spacing w:val="-4"/>
              </w:rPr>
              <w:t>: Diện tích sử dụng chung là diện tích phục vụ hoạt động chung trong TSLV, CSHĐSN (xuất hiện phổ biến tại các cơ quan, tổ chức, đơn vị).</w:t>
            </w:r>
            <w:r w:rsidR="00D91890">
              <w:rPr>
                <w:rFonts w:ascii="Times New Roman" w:eastAsia="Times New Roman" w:hAnsi="Times New Roman" w:cs="Times New Roman"/>
                <w:color w:val="000000"/>
                <w:spacing w:val="-4"/>
              </w:rPr>
              <w:t xml:space="preserve"> Đồng thời, tại điểm đ khoản 1 Điều 7 NĐ155 quy định diện tích chuyên dùng khác (các diện tích chuyên dùng cụ thể đã được quy định) phục vụ đặc thù của cơ quan, tổ chức, đơn vị.</w:t>
            </w:r>
          </w:p>
          <w:p w:rsidR="00AB61B6" w:rsidRPr="00915ADC" w:rsidRDefault="00AB61B6" w:rsidP="00437D31">
            <w:pPr>
              <w:spacing w:before="40" w:after="40"/>
              <w:jc w:val="both"/>
              <w:rPr>
                <w:rFonts w:ascii="Times New Roman" w:hAnsi="Times New Roman" w:cs="Times New Roman"/>
                <w:b/>
              </w:rPr>
            </w:pPr>
            <w:r>
              <w:rPr>
                <w:rFonts w:ascii="Times New Roman" w:hAnsi="Times New Roman" w:cs="Times New Roman"/>
                <w:b/>
              </w:rPr>
              <w:t>(ii) Nghiên cứu, tiếp thu</w:t>
            </w:r>
            <w:r w:rsidR="00366546">
              <w:rPr>
                <w:rFonts w:ascii="Times New Roman" w:hAnsi="Times New Roman" w:cs="Times New Roman"/>
                <w:b/>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HV Chính trị QGHCM</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Quy định rõ định mức cho “</w:t>
            </w:r>
            <w:r w:rsidRPr="00BC0F07">
              <w:rPr>
                <w:rFonts w:ascii="Times New Roman" w:hAnsi="Times New Roman" w:cs="Times New Roman"/>
                <w:i/>
                <w:color w:val="000000"/>
                <w:spacing w:val="-2"/>
              </w:rPr>
              <w:t>Giảng đường thông minh</w:t>
            </w:r>
            <w:r w:rsidRPr="006C0077">
              <w:rPr>
                <w:rFonts w:ascii="Times New Roman" w:hAnsi="Times New Roman" w:cs="Times New Roman"/>
                <w:color w:val="000000"/>
                <w:spacing w:val="-2"/>
              </w:rPr>
              <w:t>” và không gian lưu trữ tư liệu quý hiếm của Đảng.</w:t>
            </w:r>
          </w:p>
        </w:tc>
        <w:tc>
          <w:tcPr>
            <w:tcW w:w="3685" w:type="dxa"/>
          </w:tcPr>
          <w:p w:rsidR="00A429F4" w:rsidRPr="00C539C7" w:rsidRDefault="00A429F4" w:rsidP="00437D31">
            <w:pPr>
              <w:spacing w:before="40" w:after="40"/>
              <w:jc w:val="both"/>
              <w:rPr>
                <w:rFonts w:ascii="Times New Roman" w:hAnsi="Times New Roman" w:cs="Times New Roman"/>
                <w:color w:val="000000"/>
                <w:spacing w:val="-2"/>
              </w:rPr>
            </w:pPr>
            <w:r w:rsidRPr="00915ADC">
              <w:rPr>
                <w:rFonts w:ascii="Times New Roman" w:hAnsi="Times New Roman" w:cs="Times New Roman"/>
                <w:b/>
              </w:rPr>
              <w:t>Tiếp thu theo hướng</w:t>
            </w:r>
            <w:r>
              <w:rPr>
                <w:rFonts w:ascii="Times New Roman" w:hAnsi="Times New Roman" w:cs="Times New Roman"/>
                <w:b/>
              </w:rPr>
              <w:t>:</w:t>
            </w:r>
            <w:r>
              <w:rPr>
                <w:rFonts w:ascii="Times New Roman" w:hAnsi="Times New Roman" w:cs="Times New Roman"/>
              </w:rPr>
              <w:t xml:space="preserve"> Dự kiến bổ sung khoản </w:t>
            </w:r>
            <w:r w:rsidR="00F37404">
              <w:rPr>
                <w:rFonts w:ascii="Times New Roman" w:hAnsi="Times New Roman" w:cs="Times New Roman"/>
              </w:rPr>
              <w:t>6</w:t>
            </w:r>
            <w:r>
              <w:rPr>
                <w:rFonts w:ascii="Times New Roman" w:hAnsi="Times New Roman" w:cs="Times New Roman"/>
              </w:rPr>
              <w:t xml:space="preserve"> vào Điều 3 NĐ155</w:t>
            </w:r>
            <w:r w:rsidR="00963496">
              <w:rPr>
                <w:rFonts w:ascii="Times New Roman" w:hAnsi="Times New Roman" w:cs="Times New Roman"/>
              </w:rPr>
              <w:t xml:space="preserve"> về áp dụng </w:t>
            </w:r>
            <w:r w:rsidR="00963496" w:rsidRPr="00963496">
              <w:rPr>
                <w:rFonts w:ascii="Times New Roman" w:hAnsi="Times New Roman" w:cs="Times New Roman"/>
              </w:rPr>
              <w:t>TCĐM sử dụng cơ sở hoạt động sự nghiệp của ĐVSNCL cho HV CTQG HCM</w:t>
            </w:r>
            <w:r>
              <w:rPr>
                <w:rFonts w:ascii="Times New Roman" w:hAnsi="Times New Roman" w:cs="Times New Roman"/>
              </w:rPr>
              <w:t>.</w:t>
            </w:r>
          </w:p>
          <w:p w:rsidR="00A429F4" w:rsidRPr="00C539C7" w:rsidRDefault="00A429F4" w:rsidP="00745B62">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B07AEC" w:rsidRDefault="00A429F4" w:rsidP="001B0DEF">
            <w:pPr>
              <w:spacing w:before="40" w:after="40"/>
              <w:jc w:val="center"/>
              <w:rPr>
                <w:rFonts w:ascii="Times New Roman" w:hAnsi="Times New Roman" w:cs="Times New Roman"/>
                <w:color w:val="000000"/>
                <w:spacing w:val="-2"/>
              </w:rPr>
            </w:pPr>
            <w:r w:rsidRPr="00B07AEC">
              <w:rPr>
                <w:rFonts w:ascii="Times New Roman" w:hAnsi="Times New Roman" w:cs="Times New Roman"/>
                <w:color w:val="000000"/>
                <w:spacing w:val="-2"/>
              </w:rPr>
              <w:t>Bộ Giáo dục và Đào tạo</w:t>
            </w:r>
          </w:p>
        </w:tc>
        <w:tc>
          <w:tcPr>
            <w:tcW w:w="7728" w:type="dxa"/>
          </w:tcPr>
          <w:p w:rsidR="00A429F4" w:rsidRPr="00B07AEC" w:rsidRDefault="00A429F4" w:rsidP="001B0DEF">
            <w:pPr>
              <w:spacing w:before="40" w:after="40"/>
              <w:jc w:val="both"/>
              <w:rPr>
                <w:rFonts w:ascii="Times New Roman" w:hAnsi="Times New Roman" w:cs="Times New Roman"/>
                <w:color w:val="000000"/>
                <w:spacing w:val="-2"/>
              </w:rPr>
            </w:pPr>
            <w:r w:rsidRPr="00B07AEC">
              <w:rPr>
                <w:rFonts w:ascii="Times New Roman" w:hAnsi="Times New Roman" w:cs="Times New Roman"/>
                <w:color w:val="000000"/>
                <w:spacing w:val="-2"/>
              </w:rPr>
              <w:t xml:space="preserve">Cần bổ sung hướng dẫn cụ thể về diện tích cho các "không gian học tập mở" (thư viện số và các phòng thí nghiệm liên ngành chưa được định nghĩa rõ trong các Thông tư số 03/2020/TTBGDĐT và số 13/2020/TT-BGDĐT). Việc bổ sung này giúp các trường thuận lợi trong việc lập, thẩm định, trình duyệt dự </w:t>
            </w:r>
            <w:proofErr w:type="gramStart"/>
            <w:r w:rsidRPr="00B07AEC">
              <w:rPr>
                <w:rFonts w:ascii="Times New Roman" w:hAnsi="Times New Roman" w:cs="Times New Roman"/>
                <w:color w:val="000000"/>
                <w:spacing w:val="-2"/>
              </w:rPr>
              <w:t>án</w:t>
            </w:r>
            <w:proofErr w:type="gramEnd"/>
            <w:r w:rsidRPr="00B07AEC">
              <w:rPr>
                <w:rFonts w:ascii="Times New Roman" w:hAnsi="Times New Roman" w:cs="Times New Roman"/>
                <w:color w:val="000000"/>
                <w:spacing w:val="-2"/>
              </w:rPr>
              <w:t xml:space="preserve"> đầu tư công giai đoạn 2026-2030 mà không bị vướng về việc “vượt định mức”.</w:t>
            </w:r>
          </w:p>
        </w:tc>
        <w:tc>
          <w:tcPr>
            <w:tcW w:w="3685" w:type="dxa"/>
          </w:tcPr>
          <w:p w:rsidR="00A429F4" w:rsidRPr="006770B4" w:rsidRDefault="001C6B52" w:rsidP="00BC0F07">
            <w:pPr>
              <w:spacing w:before="40" w:after="40"/>
              <w:jc w:val="both"/>
              <w:rPr>
                <w:rFonts w:ascii="Times New Roman" w:hAnsi="Times New Roman" w:cs="Times New Roman"/>
                <w:b/>
              </w:rPr>
            </w:pPr>
            <w:r w:rsidRPr="006770B4">
              <w:rPr>
                <w:rFonts w:ascii="Times New Roman" w:hAnsi="Times New Roman" w:cs="Times New Roman"/>
                <w:b/>
                <w:spacing w:val="-2"/>
              </w:rPr>
              <w:t>Giải trình</w:t>
            </w:r>
            <w:r w:rsidRPr="002F7A98">
              <w:rPr>
                <w:rFonts w:ascii="Times New Roman" w:hAnsi="Times New Roman" w:cs="Times New Roman"/>
                <w:b/>
                <w:spacing w:val="-2"/>
              </w:rPr>
              <w:t xml:space="preserve">: </w:t>
            </w:r>
            <w:r w:rsidRPr="00C539C7">
              <w:rPr>
                <w:rFonts w:ascii="Times New Roman" w:hAnsi="Times New Roman" w:cs="Times New Roman"/>
                <w:color w:val="000000"/>
                <w:spacing w:val="-2"/>
              </w:rPr>
              <w:t>Tại K2 Đ12 NĐ155 quy định Bộ GD&amp;ĐT quy định chi tiết hướng dẫn về TCĐM diện tích CTSH trong lĩnh vực giáo dục và đào tạo</w:t>
            </w:r>
            <w:r>
              <w:rPr>
                <w:rFonts w:ascii="Times New Roman" w:hAnsi="Times New Roman" w:cs="Times New Roman"/>
                <w:color w:val="000000"/>
                <w:spacing w:val="-2"/>
              </w:rPr>
              <w:t xml:space="preserve">. Vì vậy, việc </w:t>
            </w:r>
            <w:r w:rsidRPr="001C6B52">
              <w:rPr>
                <w:rFonts w:ascii="Times New Roman" w:hAnsi="Times New Roman" w:cs="Times New Roman"/>
                <w:color w:val="000000"/>
                <w:spacing w:val="-2"/>
              </w:rPr>
              <w:t>bổ sung hướng dẫn cụ thể về diện tích cho các "không gian học tập mở" (thư viện số và các phòng thí nghiệm liên ngành</w:t>
            </w:r>
            <w:r w:rsidR="00786096">
              <w:rPr>
                <w:rFonts w:ascii="Times New Roman" w:hAnsi="Times New Roman" w:cs="Times New Roman"/>
                <w:color w:val="000000"/>
                <w:spacing w:val="-2"/>
              </w:rPr>
              <w:t>)</w:t>
            </w:r>
            <w:r>
              <w:rPr>
                <w:rFonts w:ascii="Times New Roman" w:eastAsia="Times New Roman" w:hAnsi="Times New Roman" w:cs="Times New Roman"/>
                <w:color w:val="000000"/>
                <w:spacing w:val="-2"/>
              </w:rPr>
              <w:t xml:space="preserve"> thuộc thẩm quyền của </w:t>
            </w:r>
            <w:r w:rsidRPr="00C539C7">
              <w:rPr>
                <w:rFonts w:ascii="Times New Roman" w:hAnsi="Times New Roman" w:cs="Times New Roman"/>
                <w:color w:val="000000"/>
                <w:spacing w:val="-2"/>
              </w:rPr>
              <w:t>Bộ GD&amp;ĐT</w:t>
            </w:r>
            <w:r>
              <w:rPr>
                <w:rFonts w:ascii="Times New Roman" w:hAnsi="Times New Roman" w:cs="Times New Roman"/>
                <w:color w:val="000000"/>
                <w:spacing w:val="-2"/>
              </w:rPr>
              <w:t>.</w:t>
            </w:r>
          </w:p>
        </w:tc>
      </w:tr>
      <w:tr w:rsidR="00EB61B5" w:rsidRPr="006C0077" w:rsidTr="00C067F9">
        <w:tc>
          <w:tcPr>
            <w:tcW w:w="1625" w:type="dxa"/>
            <w:vMerge/>
          </w:tcPr>
          <w:p w:rsidR="00EB61B5" w:rsidRPr="006C0077" w:rsidRDefault="00EB61B5" w:rsidP="006C0077">
            <w:pPr>
              <w:spacing w:before="40" w:after="40"/>
              <w:rPr>
                <w:rFonts w:ascii="Times New Roman" w:hAnsi="Times New Roman" w:cs="Times New Roman"/>
                <w:b/>
                <w:bCs/>
                <w:spacing w:val="-2"/>
              </w:rPr>
            </w:pPr>
          </w:p>
        </w:tc>
        <w:tc>
          <w:tcPr>
            <w:tcW w:w="1812" w:type="dxa"/>
          </w:tcPr>
          <w:p w:rsidR="00EB61B5" w:rsidRPr="00FB4FFD" w:rsidRDefault="00EB61B5" w:rsidP="00E033DE">
            <w:pPr>
              <w:spacing w:before="40" w:after="40"/>
              <w:jc w:val="center"/>
              <w:rPr>
                <w:rFonts w:ascii="Times New Roman" w:hAnsi="Times New Roman" w:cs="Times New Roman"/>
                <w:spacing w:val="-2"/>
              </w:rPr>
            </w:pPr>
            <w:r>
              <w:rPr>
                <w:rFonts w:ascii="Times New Roman" w:hAnsi="Times New Roman" w:cs="Times New Roman"/>
                <w:spacing w:val="-2"/>
              </w:rPr>
              <w:t>Đại học QG Hà Nội</w:t>
            </w:r>
          </w:p>
        </w:tc>
        <w:tc>
          <w:tcPr>
            <w:tcW w:w="7728" w:type="dxa"/>
          </w:tcPr>
          <w:p w:rsidR="00EB61B5" w:rsidRPr="00FB4FFD" w:rsidRDefault="0080573C" w:rsidP="001B0DEF">
            <w:pPr>
              <w:spacing w:before="40" w:after="40"/>
              <w:jc w:val="both"/>
              <w:rPr>
                <w:rFonts w:ascii="Times New Roman" w:hAnsi="Times New Roman" w:cs="Times New Roman"/>
                <w:color w:val="000000"/>
                <w:spacing w:val="-2"/>
              </w:rPr>
            </w:pPr>
            <w:r w:rsidRPr="0080573C">
              <w:rPr>
                <w:rFonts w:ascii="Times New Roman" w:hAnsi="Times New Roman" w:cs="Times New Roman"/>
                <w:color w:val="000000"/>
                <w:spacing w:val="-2"/>
              </w:rPr>
              <w:t xml:space="preserve">Ban hành hướng dẫn riêng về tiêu chuẩn diện tích cho hệ thống phòng thí nghiệm hiện đại, phòng Lab chuyên sâu có yêu cầu khắt khe về kỹ thuật và </w:t>
            </w:r>
            <w:proofErr w:type="gramStart"/>
            <w:r w:rsidRPr="0080573C">
              <w:rPr>
                <w:rFonts w:ascii="Times New Roman" w:hAnsi="Times New Roman" w:cs="Times New Roman"/>
                <w:color w:val="000000"/>
                <w:spacing w:val="-2"/>
              </w:rPr>
              <w:t>an</w:t>
            </w:r>
            <w:proofErr w:type="gramEnd"/>
            <w:r w:rsidRPr="0080573C">
              <w:rPr>
                <w:rFonts w:ascii="Times New Roman" w:hAnsi="Times New Roman" w:cs="Times New Roman"/>
                <w:color w:val="000000"/>
                <w:spacing w:val="-2"/>
              </w:rPr>
              <w:t xml:space="preserve"> toàn sinh học, hóa học.</w:t>
            </w:r>
          </w:p>
        </w:tc>
        <w:tc>
          <w:tcPr>
            <w:tcW w:w="3685" w:type="dxa"/>
          </w:tcPr>
          <w:p w:rsidR="00EB61B5" w:rsidRPr="0080573C" w:rsidRDefault="0080573C" w:rsidP="0080573C">
            <w:pPr>
              <w:spacing w:before="40" w:after="40"/>
              <w:jc w:val="both"/>
              <w:rPr>
                <w:rFonts w:ascii="Times New Roman" w:hAnsi="Times New Roman" w:cs="Times New Roman"/>
              </w:rPr>
            </w:pPr>
            <w:r>
              <w:rPr>
                <w:rFonts w:ascii="Times New Roman" w:hAnsi="Times New Roman" w:cs="Times New Roman"/>
                <w:b/>
                <w:spacing w:val="-2"/>
              </w:rPr>
              <w:t>Giải trình</w:t>
            </w:r>
            <w:r w:rsidRPr="00FB4FFD">
              <w:rPr>
                <w:rFonts w:ascii="Times New Roman" w:hAnsi="Times New Roman" w:cs="Times New Roman"/>
                <w:b/>
                <w:spacing w:val="-2"/>
              </w:rPr>
              <w:t xml:space="preserve">: </w:t>
            </w:r>
            <w:r w:rsidRPr="00FB4FFD">
              <w:rPr>
                <w:rFonts w:ascii="Times New Roman" w:hAnsi="Times New Roman" w:cs="Times New Roman"/>
              </w:rPr>
              <w:t xml:space="preserve">Dự kiến bổ sung danh mục </w:t>
            </w:r>
            <w:r w:rsidRPr="00FB4FFD">
              <w:rPr>
                <w:rFonts w:ascii="Times New Roman" w:hAnsi="Times New Roman" w:cs="Times New Roman"/>
                <w:color w:val="000000"/>
                <w:spacing w:val="-2"/>
              </w:rPr>
              <w:t>diện tích chuyên dùng</w:t>
            </w:r>
            <w:r>
              <w:rPr>
                <w:rFonts w:ascii="Times New Roman" w:hAnsi="Times New Roman" w:cs="Times New Roman"/>
                <w:color w:val="000000"/>
                <w:spacing w:val="-2"/>
              </w:rPr>
              <w:t xml:space="preserve"> đối </w:t>
            </w:r>
            <w:proofErr w:type="gramStart"/>
            <w:r>
              <w:rPr>
                <w:rFonts w:ascii="Times New Roman" w:hAnsi="Times New Roman" w:cs="Times New Roman"/>
                <w:color w:val="000000"/>
                <w:spacing w:val="-2"/>
              </w:rPr>
              <w:t xml:space="preserve">với </w:t>
            </w:r>
            <w:r w:rsidRPr="00FB4FFD">
              <w:rPr>
                <w:rFonts w:ascii="Times New Roman" w:hAnsi="Times New Roman" w:cs="Times New Roman"/>
                <w:color w:val="000000"/>
                <w:spacing w:val="-2"/>
              </w:rPr>
              <w:t xml:space="preserve"> </w:t>
            </w:r>
            <w:r w:rsidRPr="0080573C">
              <w:rPr>
                <w:rFonts w:ascii="Times New Roman" w:hAnsi="Times New Roman" w:cs="Times New Roman"/>
                <w:color w:val="000000"/>
                <w:spacing w:val="-2"/>
              </w:rPr>
              <w:t>phòng</w:t>
            </w:r>
            <w:proofErr w:type="gramEnd"/>
            <w:r w:rsidRPr="0080573C">
              <w:rPr>
                <w:rFonts w:ascii="Times New Roman" w:hAnsi="Times New Roman" w:cs="Times New Roman"/>
                <w:color w:val="000000"/>
                <w:spacing w:val="-2"/>
              </w:rPr>
              <w:t xml:space="preserve"> thí nghiệm, phòng Lab chuyên sâu</w:t>
            </w:r>
            <w:r w:rsidRPr="00FB4FFD">
              <w:rPr>
                <w:rFonts w:ascii="Times New Roman" w:hAnsi="Times New Roman" w:cs="Times New Roman"/>
              </w:rPr>
              <w:t xml:space="preserve"> tại khoản 1 Điều 7 NĐ155.</w:t>
            </w:r>
            <w:r>
              <w:rPr>
                <w:rFonts w:ascii="Times New Roman" w:hAnsi="Times New Roman" w:cs="Times New Roman"/>
              </w:rPr>
              <w:t xml:space="preserve"> Đồng thời, t</w:t>
            </w:r>
            <w:r w:rsidRPr="00C539C7">
              <w:rPr>
                <w:rFonts w:ascii="Times New Roman" w:hAnsi="Times New Roman" w:cs="Times New Roman"/>
                <w:color w:val="000000"/>
                <w:spacing w:val="-2"/>
              </w:rPr>
              <w:t>ại Đ7, Đ11 NĐ155</w:t>
            </w:r>
            <w:r w:rsidRPr="00C539C7">
              <w:rPr>
                <w:rFonts w:ascii="Times New Roman" w:hAnsi="Times New Roman" w:cs="Times New Roman"/>
                <w:spacing w:val="-2"/>
              </w:rPr>
              <w:t xml:space="preserve"> đã quy định diện tích chuyên dùng </w:t>
            </w:r>
            <w:r w:rsidRPr="00C539C7">
              <w:rPr>
                <w:rFonts w:ascii="Times New Roman" w:hAnsi="Times New Roman" w:cs="Times New Roman"/>
                <w:color w:val="000000"/>
                <w:spacing w:val="-2"/>
              </w:rPr>
              <w:t xml:space="preserve">do cơ quan, người có thẩm quyền quyết định; trường hợp bộ quản lý chuyên ngành </w:t>
            </w:r>
            <w:r w:rsidRPr="00C539C7">
              <w:rPr>
                <w:rFonts w:ascii="Times New Roman" w:hAnsi="Times New Roman" w:cs="Times New Roman"/>
                <w:color w:val="000000"/>
                <w:spacing w:val="-2"/>
                <w:u w:val="single"/>
              </w:rPr>
              <w:t>quy định</w:t>
            </w:r>
            <w:r w:rsidRPr="00C539C7">
              <w:rPr>
                <w:rFonts w:ascii="Times New Roman" w:hAnsi="Times New Roman" w:cs="Times New Roman"/>
                <w:color w:val="000000"/>
                <w:spacing w:val="-2"/>
              </w:rPr>
              <w:t xml:space="preserve"> chi tiết hướng dẫn về TCĐM diện tích chuyên dùng thuộc lĩnh vực QLNN thì xác định diện tích chuyên dùng căn cứ quy định chi tiết hướng dẫn của bộ quản lý </w:t>
            </w:r>
            <w:r w:rsidRPr="00C539C7">
              <w:rPr>
                <w:rFonts w:ascii="Times New Roman" w:hAnsi="Times New Roman" w:cs="Times New Roman"/>
                <w:color w:val="000000"/>
                <w:spacing w:val="-2"/>
              </w:rPr>
              <w:lastRenderedPageBreak/>
              <w:t>chuyên ngành; vì vậy, đề nghị giữ như quy định hiện hành.</w:t>
            </w:r>
          </w:p>
        </w:tc>
      </w:tr>
      <w:tr w:rsidR="00712C2F" w:rsidRPr="006C0077" w:rsidTr="00C067F9">
        <w:tc>
          <w:tcPr>
            <w:tcW w:w="1625" w:type="dxa"/>
            <w:vMerge/>
          </w:tcPr>
          <w:p w:rsidR="00712C2F" w:rsidRPr="006C0077" w:rsidRDefault="00712C2F" w:rsidP="006C0077">
            <w:pPr>
              <w:spacing w:before="40" w:after="40"/>
              <w:rPr>
                <w:rFonts w:ascii="Times New Roman" w:hAnsi="Times New Roman" w:cs="Times New Roman"/>
                <w:b/>
                <w:bCs/>
                <w:spacing w:val="-2"/>
              </w:rPr>
            </w:pPr>
          </w:p>
        </w:tc>
        <w:tc>
          <w:tcPr>
            <w:tcW w:w="1812" w:type="dxa"/>
          </w:tcPr>
          <w:p w:rsidR="00712C2F" w:rsidRPr="00FB4FFD" w:rsidRDefault="00712C2F" w:rsidP="00E033DE">
            <w:pPr>
              <w:spacing w:before="40" w:after="40"/>
              <w:jc w:val="center"/>
              <w:rPr>
                <w:rFonts w:ascii="Times New Roman" w:hAnsi="Times New Roman" w:cs="Times New Roman"/>
                <w:color w:val="000000"/>
                <w:spacing w:val="-2"/>
              </w:rPr>
            </w:pPr>
            <w:r w:rsidRPr="00FB4FFD">
              <w:rPr>
                <w:rFonts w:ascii="Times New Roman" w:hAnsi="Times New Roman" w:cs="Times New Roman"/>
                <w:spacing w:val="-2"/>
              </w:rPr>
              <w:t>Nghệ An</w:t>
            </w:r>
          </w:p>
        </w:tc>
        <w:tc>
          <w:tcPr>
            <w:tcW w:w="7728" w:type="dxa"/>
          </w:tcPr>
          <w:p w:rsidR="00712C2F" w:rsidRPr="00FB4FFD" w:rsidRDefault="00712C2F" w:rsidP="001B0DEF">
            <w:pPr>
              <w:spacing w:before="40" w:after="40"/>
              <w:jc w:val="both"/>
              <w:rPr>
                <w:rFonts w:ascii="Times New Roman" w:hAnsi="Times New Roman" w:cs="Times New Roman"/>
                <w:color w:val="000000"/>
                <w:spacing w:val="-2"/>
              </w:rPr>
            </w:pPr>
            <w:r w:rsidRPr="00FB4FFD">
              <w:rPr>
                <w:rFonts w:ascii="Times New Roman" w:hAnsi="Times New Roman" w:cs="Times New Roman"/>
                <w:color w:val="000000"/>
                <w:spacing w:val="-2"/>
              </w:rPr>
              <w:t>Đề nghị quy định rõ tiêu chí xác định diện tích chuyên dùng đối với cơ quan có chức năng quản lý chuyên ngành kỹ thuật (lưu trữ hồ sơ, phòng thí nghiệm, kho mẫu vật, phòng máy chủ...).</w:t>
            </w:r>
          </w:p>
        </w:tc>
        <w:tc>
          <w:tcPr>
            <w:tcW w:w="3685" w:type="dxa"/>
            <w:vMerge w:val="restart"/>
          </w:tcPr>
          <w:p w:rsidR="00712C2F" w:rsidRPr="006760FD" w:rsidRDefault="00712C2F" w:rsidP="001B0DEF">
            <w:pPr>
              <w:spacing w:before="40" w:after="40"/>
              <w:jc w:val="both"/>
              <w:rPr>
                <w:rFonts w:ascii="Times New Roman" w:hAnsi="Times New Roman" w:cs="Times New Roman"/>
                <w:color w:val="000000"/>
                <w:spacing w:val="-2"/>
              </w:rPr>
            </w:pPr>
            <w:r w:rsidRPr="00FB4FFD">
              <w:rPr>
                <w:rFonts w:ascii="Times New Roman" w:hAnsi="Times New Roman" w:cs="Times New Roman"/>
                <w:b/>
                <w:spacing w:val="-2"/>
              </w:rPr>
              <w:t xml:space="preserve">Tiếp thu theo hướng: </w:t>
            </w:r>
            <w:r w:rsidRPr="00FB4FFD">
              <w:rPr>
                <w:rFonts w:ascii="Times New Roman" w:hAnsi="Times New Roman" w:cs="Times New Roman"/>
              </w:rPr>
              <w:t xml:space="preserve">Dự kiến bổ sung danh mục </w:t>
            </w:r>
            <w:r w:rsidRPr="00FB4FFD">
              <w:rPr>
                <w:rFonts w:ascii="Times New Roman" w:hAnsi="Times New Roman" w:cs="Times New Roman"/>
                <w:color w:val="000000"/>
                <w:spacing w:val="-2"/>
              </w:rPr>
              <w:t xml:space="preserve">diện tích chuyên dùng </w:t>
            </w:r>
            <w:r w:rsidRPr="00FB4FFD">
              <w:rPr>
                <w:rFonts w:ascii="Times New Roman" w:hAnsi="Times New Roman" w:cs="Times New Roman"/>
              </w:rPr>
              <w:t>tại khoản 1 Điều 7 NĐ155.</w:t>
            </w:r>
          </w:p>
        </w:tc>
      </w:tr>
      <w:tr w:rsidR="00712C2F" w:rsidRPr="006C0077" w:rsidTr="00C067F9">
        <w:tc>
          <w:tcPr>
            <w:tcW w:w="1625" w:type="dxa"/>
            <w:vMerge/>
          </w:tcPr>
          <w:p w:rsidR="00712C2F" w:rsidRPr="006C0077" w:rsidRDefault="00712C2F" w:rsidP="006C0077">
            <w:pPr>
              <w:spacing w:before="40" w:after="40"/>
              <w:rPr>
                <w:rFonts w:ascii="Times New Roman" w:hAnsi="Times New Roman" w:cs="Times New Roman"/>
                <w:b/>
                <w:bCs/>
                <w:spacing w:val="-2"/>
              </w:rPr>
            </w:pPr>
          </w:p>
        </w:tc>
        <w:tc>
          <w:tcPr>
            <w:tcW w:w="1812" w:type="dxa"/>
          </w:tcPr>
          <w:p w:rsidR="00712C2F" w:rsidRPr="006C0077" w:rsidRDefault="00712C2F" w:rsidP="00E033DE">
            <w:pPr>
              <w:spacing w:before="40" w:after="40"/>
              <w:jc w:val="center"/>
              <w:rPr>
                <w:rFonts w:ascii="Times New Roman" w:hAnsi="Times New Roman" w:cs="Times New Roman"/>
                <w:color w:val="000000"/>
                <w:spacing w:val="-2"/>
              </w:rPr>
            </w:pPr>
            <w:r>
              <w:rPr>
                <w:rFonts w:ascii="Times New Roman" w:hAnsi="Times New Roman" w:cs="Times New Roman"/>
                <w:color w:val="000000"/>
                <w:spacing w:val="-2"/>
              </w:rPr>
              <w:t>Bộ Ngoại giao</w:t>
            </w:r>
          </w:p>
        </w:tc>
        <w:tc>
          <w:tcPr>
            <w:tcW w:w="7728" w:type="dxa"/>
          </w:tcPr>
          <w:p w:rsidR="00712C2F" w:rsidRPr="006C0077" w:rsidRDefault="00712C2F" w:rsidP="00E033DE">
            <w:pPr>
              <w:spacing w:before="40" w:after="40"/>
              <w:jc w:val="both"/>
              <w:rPr>
                <w:rFonts w:ascii="Times New Roman" w:hAnsi="Times New Roman" w:cs="Times New Roman"/>
                <w:color w:val="000000"/>
                <w:spacing w:val="-2"/>
              </w:rPr>
            </w:pPr>
            <w:r w:rsidRPr="00712C2F">
              <w:rPr>
                <w:rFonts w:ascii="Times New Roman" w:hAnsi="Times New Roman" w:cs="Times New Roman"/>
                <w:color w:val="000000"/>
                <w:spacing w:val="-2"/>
              </w:rPr>
              <w:t>Cần cập nhật danh mục diện tích chuyên dùng, bổ sung các loại diện tích mới phát sinh do ứng dụng công nghệ thông tin (phòng máy chủ, phòng họp trực tuyến tiêu chuẩn cao, không gian làm việc chung...) vốn chưa được định nghĩa, liệt kê trong các văn bản cũ.</w:t>
            </w:r>
          </w:p>
        </w:tc>
        <w:tc>
          <w:tcPr>
            <w:tcW w:w="3685" w:type="dxa"/>
            <w:vMerge/>
          </w:tcPr>
          <w:p w:rsidR="00712C2F" w:rsidRPr="006770B4" w:rsidRDefault="00712C2F" w:rsidP="00BC0F07">
            <w:pPr>
              <w:spacing w:before="40" w:after="40"/>
              <w:jc w:val="both"/>
              <w:rPr>
                <w:rFonts w:ascii="Times New Roman" w:hAnsi="Times New Roman" w:cs="Times New Roman"/>
                <w:b/>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E033DE">
            <w:pPr>
              <w:spacing w:before="40" w:after="40"/>
              <w:jc w:val="center"/>
              <w:rPr>
                <w:rFonts w:ascii="Times New Roman" w:hAnsi="Times New Roman" w:cs="Times New Roman"/>
                <w:spacing w:val="-2"/>
              </w:rPr>
            </w:pPr>
            <w:r w:rsidRPr="006C0077">
              <w:rPr>
                <w:rFonts w:ascii="Times New Roman" w:hAnsi="Times New Roman" w:cs="Times New Roman"/>
                <w:color w:val="000000"/>
                <w:spacing w:val="-2"/>
              </w:rPr>
              <w:t>Bộ XD</w:t>
            </w:r>
          </w:p>
        </w:tc>
        <w:tc>
          <w:tcPr>
            <w:tcW w:w="7728" w:type="dxa"/>
          </w:tcPr>
          <w:p w:rsidR="00A429F4" w:rsidRPr="006C0077" w:rsidRDefault="00A429F4" w:rsidP="00E033DE">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Bộ Tài chính cần rà soát các lĩnh vực để ban hành TCĐM chung đối với diện tích chuyên dùng của đơn vị hành chính để mang tính đồng đều.</w:t>
            </w:r>
          </w:p>
          <w:p w:rsidR="00A429F4" w:rsidRPr="006C0077" w:rsidRDefault="00A429F4" w:rsidP="00E033DE">
            <w:pPr>
              <w:spacing w:before="40" w:after="40"/>
              <w:jc w:val="both"/>
              <w:rPr>
                <w:rFonts w:ascii="Times New Roman" w:hAnsi="Times New Roman" w:cs="Times New Roman"/>
                <w:spacing w:val="-2"/>
              </w:rPr>
            </w:pPr>
          </w:p>
        </w:tc>
        <w:tc>
          <w:tcPr>
            <w:tcW w:w="3685" w:type="dxa"/>
            <w:vMerge w:val="restart"/>
          </w:tcPr>
          <w:p w:rsidR="00A429F4" w:rsidRPr="00C539C7" w:rsidRDefault="00A429F4" w:rsidP="00BC0F07">
            <w:pPr>
              <w:spacing w:before="40" w:after="40"/>
              <w:jc w:val="both"/>
              <w:rPr>
                <w:rFonts w:ascii="Times New Roman" w:hAnsi="Times New Roman" w:cs="Times New Roman"/>
                <w:color w:val="000000"/>
                <w:spacing w:val="-2"/>
              </w:rPr>
            </w:pPr>
            <w:r w:rsidRPr="006770B4">
              <w:rPr>
                <w:rFonts w:ascii="Times New Roman" w:hAnsi="Times New Roman" w:cs="Times New Roman"/>
                <w:b/>
              </w:rPr>
              <w:t>Giải trình</w:t>
            </w:r>
            <w:r w:rsidRPr="00C539C7">
              <w:rPr>
                <w:rFonts w:ascii="Times New Roman" w:hAnsi="Times New Roman" w:cs="Times New Roman"/>
              </w:rPr>
              <w:t xml:space="preserve">: Diện tích chuyên dùng là diện tích sử dụng để phục vụ hoạt động đặc thù của CQ, TC. </w:t>
            </w:r>
            <w:r w:rsidRPr="00C539C7">
              <w:rPr>
                <w:rFonts w:ascii="Times New Roman" w:hAnsi="Times New Roman" w:cs="Times New Roman"/>
                <w:color w:val="000000"/>
                <w:spacing w:val="-2"/>
              </w:rPr>
              <w:t>Tại Đ7, Đ11 NĐ155</w:t>
            </w:r>
            <w:r w:rsidRPr="00C539C7">
              <w:rPr>
                <w:rFonts w:ascii="Times New Roman" w:hAnsi="Times New Roman" w:cs="Times New Roman"/>
                <w:spacing w:val="-2"/>
              </w:rPr>
              <w:t xml:space="preserve"> đã quy định diện tích chuyên dùng </w:t>
            </w:r>
            <w:r w:rsidRPr="00C539C7">
              <w:rPr>
                <w:rFonts w:ascii="Times New Roman" w:hAnsi="Times New Roman" w:cs="Times New Roman"/>
                <w:color w:val="000000"/>
                <w:spacing w:val="-2"/>
              </w:rPr>
              <w:t xml:space="preserve">do cơ quan, người có thẩm quyền quyết định; trường hợp bộ quản lý chuyên ngành </w:t>
            </w:r>
            <w:r w:rsidRPr="00C539C7">
              <w:rPr>
                <w:rFonts w:ascii="Times New Roman" w:hAnsi="Times New Roman" w:cs="Times New Roman"/>
                <w:color w:val="000000"/>
                <w:spacing w:val="-2"/>
                <w:u w:val="single"/>
              </w:rPr>
              <w:t>quy định</w:t>
            </w:r>
            <w:r w:rsidRPr="00C539C7">
              <w:rPr>
                <w:rFonts w:ascii="Times New Roman" w:hAnsi="Times New Roman" w:cs="Times New Roman"/>
                <w:color w:val="000000"/>
                <w:spacing w:val="-2"/>
              </w:rPr>
              <w:t xml:space="preserve"> chi tiết hướng dẫn về TCĐM diện tích chuyên dùng thuộc lĩnh vực QLNN thì xác định diện tích chuyên dùng căn cứ quy định chi tiết hướng dẫn của bộ quản lý chuyên ngành; vì vậy, đề nghị giữ như quy định hiện hành.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Ninh Bình</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nghiên cứu ban hành phụ lục hướng dẫn riêng cho từng lĩnh vực có tính đặc thù cao, bảo đảm đáp ứng yêu cầu chuyên môn nhưng vẫn kiểm soát chặt chẽ tổng diện tích. Việc bổ sung này có thể làm tăng diện tích cục bộ ở một số đơn vị, song bảo đảm phù hợp chức năng, tránh phải thuê ngoài hoặc sử dụng tạm bợ, kém hiệu quả.</w:t>
            </w:r>
          </w:p>
        </w:tc>
        <w:tc>
          <w:tcPr>
            <w:tcW w:w="3685" w:type="dxa"/>
            <w:vMerge/>
          </w:tcPr>
          <w:p w:rsidR="00A429F4" w:rsidRPr="00C539C7" w:rsidRDefault="00A429F4" w:rsidP="00BC0F0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1B0DEF">
            <w:pPr>
              <w:spacing w:before="40" w:after="40"/>
              <w:jc w:val="center"/>
              <w:rPr>
                <w:rFonts w:ascii="Times New Roman" w:hAnsi="Times New Roman" w:cs="Times New Roman"/>
                <w:spacing w:val="-2"/>
              </w:rPr>
            </w:pPr>
            <w:r w:rsidRPr="006C0077">
              <w:rPr>
                <w:rFonts w:ascii="Times New Roman" w:hAnsi="Times New Roman" w:cs="Times New Roman"/>
                <w:spacing w:val="-2"/>
              </w:rPr>
              <w:t>Hưng Yên</w:t>
            </w:r>
          </w:p>
        </w:tc>
        <w:tc>
          <w:tcPr>
            <w:tcW w:w="7728" w:type="dxa"/>
          </w:tcPr>
          <w:p w:rsidR="00A429F4" w:rsidRPr="006C0077" w:rsidRDefault="00A429F4" w:rsidP="001B0DEF">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Bổ sung hướng dẫn xác định diện tích kho lưu trữ hồ sơ trong bối cảnh chuyển đổi số</w:t>
            </w:r>
            <w:r>
              <w:rPr>
                <w:rFonts w:ascii="Times New Roman" w:hAnsi="Times New Roman" w:cs="Times New Roman"/>
                <w:color w:val="000000"/>
                <w:spacing w:val="-2"/>
              </w:rPr>
              <w:t xml:space="preserve"> </w:t>
            </w:r>
          </w:p>
        </w:tc>
        <w:tc>
          <w:tcPr>
            <w:tcW w:w="3685" w:type="dxa"/>
            <w:vMerge/>
          </w:tcPr>
          <w:p w:rsidR="00A429F4" w:rsidRPr="00AA5C09" w:rsidRDefault="00A429F4" w:rsidP="00AA5C09">
            <w:pPr>
              <w:spacing w:before="40" w:after="40"/>
              <w:jc w:val="both"/>
              <w:rPr>
                <w:rFonts w:ascii="Times New Roman" w:hAnsi="Times New Roman" w:cs="Times New Roman"/>
                <w:b/>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Bắc Ninh</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Có quy định cụ thể về TCĐM sử dụng diện tích chuyên dùng trong trường hợp đơn vị có dưới 15 biên chế.</w:t>
            </w:r>
          </w:p>
        </w:tc>
        <w:tc>
          <w:tcPr>
            <w:tcW w:w="3685" w:type="dxa"/>
            <w:shd w:val="clear" w:color="auto" w:fill="auto"/>
          </w:tcPr>
          <w:p w:rsidR="00A429F4" w:rsidRPr="001A5B32" w:rsidRDefault="00A429F4" w:rsidP="004060A0">
            <w:pPr>
              <w:spacing w:before="40" w:after="40"/>
              <w:jc w:val="both"/>
              <w:rPr>
                <w:rFonts w:ascii="Times New Roman" w:hAnsi="Times New Roman" w:cs="Times New Roman"/>
                <w:color w:val="000000"/>
                <w:spacing w:val="-4"/>
                <w:highlight w:val="yellow"/>
              </w:rPr>
            </w:pPr>
            <w:r w:rsidRPr="001A5B32">
              <w:rPr>
                <w:rFonts w:ascii="Times New Roman" w:hAnsi="Times New Roman" w:cs="Times New Roman"/>
                <w:b/>
                <w:spacing w:val="-4"/>
              </w:rPr>
              <w:t>Giải trình</w:t>
            </w:r>
            <w:r w:rsidRPr="001A5B32">
              <w:rPr>
                <w:rFonts w:ascii="Times New Roman" w:hAnsi="Times New Roman" w:cs="Times New Roman"/>
                <w:spacing w:val="-4"/>
              </w:rPr>
              <w:t>: Tại K2 Đ7, K2 Đ11 NĐ155 quy định căn cứ chức năng, nhiệm vụ, văn bản thể hiện nhiệm vụ đặc thù của cơ quan, tổ chức, đơn vị nhu cầu thực tế và quy định khác có liên quan, cơ quan, người có thẩm quyền quyết định TCĐM diện tích chuyên dùng; không quy định về số biên chế</w:t>
            </w:r>
            <w:r w:rsidRPr="001A5B32">
              <w:rPr>
                <w:rFonts w:ascii="Times New Roman" w:hAnsi="Times New Roman" w:cs="Times New Roman"/>
                <w:color w:val="000000"/>
                <w:spacing w:val="-4"/>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Hưng Yên</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Ban hành danh mục cụ thể các loại phòng chuyên dùng theo từng lĩnh vực (tài chính, tư pháp, tài nguyên môi trường, giáo dục, y tế…); có cơ chế linh hoạt cho phép UBND cấp tỉnh quyết định định mức cao hơn trong trường hợp đặc thù, có thuyết minh rõ ràng.</w:t>
            </w:r>
          </w:p>
        </w:tc>
        <w:tc>
          <w:tcPr>
            <w:tcW w:w="3685" w:type="dxa"/>
            <w:vMerge w:val="restart"/>
          </w:tcPr>
          <w:p w:rsidR="00A429F4" w:rsidRPr="00C539C7" w:rsidRDefault="00A429F4" w:rsidP="00853CCD">
            <w:pPr>
              <w:spacing w:before="40" w:after="40"/>
              <w:jc w:val="both"/>
              <w:rPr>
                <w:rFonts w:ascii="Times New Roman" w:hAnsi="Times New Roman" w:cs="Times New Roman"/>
                <w:color w:val="000000"/>
                <w:spacing w:val="-2"/>
              </w:rPr>
            </w:pPr>
            <w:r w:rsidRPr="006770B4">
              <w:rPr>
                <w:rFonts w:ascii="Times New Roman" w:hAnsi="Times New Roman" w:cs="Times New Roman"/>
                <w:b/>
              </w:rPr>
              <w:t>Giải trình</w:t>
            </w:r>
            <w:r w:rsidRPr="00C539C7">
              <w:rPr>
                <w:rFonts w:ascii="Times New Roman" w:hAnsi="Times New Roman" w:cs="Times New Roman"/>
              </w:rPr>
              <w:t xml:space="preserve">: </w:t>
            </w:r>
            <w:r w:rsidRPr="00C539C7">
              <w:rPr>
                <w:rFonts w:ascii="Times New Roman" w:hAnsi="Times New Roman" w:cs="Times New Roman"/>
                <w:color w:val="000000"/>
                <w:spacing w:val="-2"/>
              </w:rPr>
              <w:t xml:space="preserve">Tại K3 Đ7, K3 Đ11 đã quy định trường hợp bộ quản lý chuyên ngành quy định chi tiết hướng dẫn về TCĐM diện tích chuyên dùng thuộc lĩnh vực QLNN thì xác định diện tích chuyên dùng căn cứ quy định chi tiết </w:t>
            </w:r>
            <w:r w:rsidRPr="00C539C7">
              <w:rPr>
                <w:rFonts w:ascii="Times New Roman" w:hAnsi="Times New Roman" w:cs="Times New Roman"/>
                <w:color w:val="000000"/>
                <w:spacing w:val="-2"/>
              </w:rPr>
              <w:lastRenderedPageBreak/>
              <w:t>hướng dẫn của bộ quản lý chuyên ngành.</w:t>
            </w:r>
          </w:p>
          <w:p w:rsidR="00A429F4" w:rsidRPr="00C539C7" w:rsidRDefault="00A429F4" w:rsidP="00897266">
            <w:pPr>
              <w:spacing w:before="40" w:after="40"/>
              <w:jc w:val="both"/>
              <w:rPr>
                <w:rFonts w:ascii="Times New Roman" w:hAnsi="Times New Roman" w:cs="Times New Roman"/>
                <w:color w:val="000000"/>
                <w:spacing w:val="-2"/>
              </w:rPr>
            </w:pPr>
            <w:r w:rsidRPr="00C539C7">
              <w:rPr>
                <w:rFonts w:ascii="Times New Roman" w:hAnsi="Times New Roman" w:cs="Times New Roman"/>
                <w:color w:val="000000"/>
                <w:spacing w:val="-2"/>
              </w:rPr>
              <w:t xml:space="preserve">Đối với diện tích chuyên dùng trong lĩnh vực y tế, giáo dục và đào tạo: </w:t>
            </w:r>
            <w:r w:rsidR="00897266">
              <w:rPr>
                <w:rFonts w:ascii="Times New Roman" w:hAnsi="Times New Roman" w:cs="Times New Roman"/>
                <w:color w:val="000000"/>
                <w:spacing w:val="-2"/>
              </w:rPr>
              <w:t>Đã c</w:t>
            </w:r>
            <w:r w:rsidRPr="00C539C7">
              <w:rPr>
                <w:rFonts w:ascii="Times New Roman" w:hAnsi="Times New Roman" w:cs="Times New Roman"/>
                <w:color w:val="000000"/>
                <w:spacing w:val="-2"/>
              </w:rPr>
              <w:t>huyển kiến nghị tới Bộ Y tế, Bộ GD&amp;ĐT</w:t>
            </w:r>
            <w:r w:rsidR="00B1790B">
              <w:rPr>
                <w:rFonts w:ascii="Times New Roman" w:hAnsi="Times New Roman" w:cs="Times New Roman"/>
                <w:color w:val="000000"/>
                <w:spacing w:val="-2"/>
              </w:rPr>
              <w:t xml:space="preserve"> </w:t>
            </w:r>
            <w:r w:rsidR="00897266">
              <w:rPr>
                <w:rFonts w:ascii="Times New Roman" w:hAnsi="Times New Roman" w:cs="Times New Roman"/>
                <w:color w:val="000000"/>
                <w:spacing w:val="-2"/>
              </w:rPr>
              <w:t>(</w:t>
            </w:r>
            <w:r w:rsidR="00B1790B">
              <w:rPr>
                <w:rFonts w:ascii="Times New Roman" w:hAnsi="Times New Roman" w:cs="Times New Roman"/>
                <w:color w:val="000000"/>
                <w:spacing w:val="-2"/>
              </w:rPr>
              <w:t>Công văn số 3738/BTC-QLCS ngày 27/3/2026</w:t>
            </w:r>
            <w:r w:rsidR="00897266">
              <w:rPr>
                <w:rFonts w:ascii="Times New Roman" w:hAnsi="Times New Roman" w:cs="Times New Roman"/>
                <w:color w:val="000000"/>
                <w:spacing w:val="-2"/>
              </w:rPr>
              <w:t>)</w:t>
            </w:r>
            <w:r w:rsidRPr="00C539C7">
              <w:rPr>
                <w:rFonts w:ascii="Times New Roman" w:hAnsi="Times New Roman" w:cs="Times New Roman"/>
                <w:color w:val="000000"/>
                <w:spacing w:val="-2"/>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Cà Mau</w:t>
            </w:r>
          </w:p>
        </w:tc>
        <w:tc>
          <w:tcPr>
            <w:tcW w:w="7728" w:type="dxa"/>
          </w:tcPr>
          <w:p w:rsidR="00A429F4" w:rsidRPr="006C0077" w:rsidRDefault="00A429F4" w:rsidP="006C0077">
            <w:pPr>
              <w:spacing w:before="40" w:after="40"/>
              <w:jc w:val="both"/>
              <w:rPr>
                <w:rFonts w:ascii="Times New Roman" w:hAnsi="Times New Roman" w:cs="Times New Roman"/>
                <w:spacing w:val="-2"/>
              </w:rPr>
            </w:pPr>
            <w:r w:rsidRPr="006C0077">
              <w:rPr>
                <w:rFonts w:ascii="Times New Roman" w:hAnsi="Times New Roman" w:cs="Times New Roman"/>
                <w:spacing w:val="-2"/>
              </w:rPr>
              <w:t>Đề nghị Bộ Tài chính phối hợp các bộ chuyên ngành sớm ban hành định mức cụ thể để địa phương có cơ sở xây dựng và ban hành TCĐM diện tích chuyên dùng.</w:t>
            </w:r>
          </w:p>
        </w:tc>
        <w:tc>
          <w:tcPr>
            <w:tcW w:w="3685" w:type="dxa"/>
            <w:vMerge/>
          </w:tcPr>
          <w:p w:rsidR="00A429F4" w:rsidRPr="00C539C7" w:rsidRDefault="00A429F4" w:rsidP="006C0077">
            <w:pPr>
              <w:spacing w:before="40" w:after="40"/>
              <w:jc w:val="both"/>
              <w:rPr>
                <w:rFonts w:ascii="Times New Roman" w:hAnsi="Times New Roman" w:cs="Times New Roman"/>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TP Đà Nẵng</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Hướng dẫn cụ thể hơn đối với TCĐM diện tích chuyên dùng phù hợp với đặc thù từng lĩnh vực để địa phương có cơ sở ban hành quyết định TCĐM được đồng bộ, thống nhất. Các Bộ quản lý chuyên ngành sớm có văn bản quy định chi tiết hướng dẫn về TCĐM diện tích công trình sự nghiệp thuộc lĩnh vực quản lý nhà nước để địa phương có cơ sở ban hành TCĐM thống nhất, đồng bộ theo quy định.</w:t>
            </w:r>
          </w:p>
        </w:tc>
        <w:tc>
          <w:tcPr>
            <w:tcW w:w="3685" w:type="dxa"/>
            <w:vMerge/>
          </w:tcPr>
          <w:p w:rsidR="00A429F4" w:rsidRPr="00C539C7" w:rsidRDefault="00A429F4" w:rsidP="006C0077">
            <w:pPr>
              <w:spacing w:before="40" w:after="40"/>
              <w:jc w:val="both"/>
              <w:rPr>
                <w:rFonts w:ascii="Times New Roman" w:hAnsi="Times New Roman" w:cs="Times New Roman"/>
                <w:spacing w:val="-2"/>
              </w:rPr>
            </w:pPr>
          </w:p>
        </w:tc>
      </w:tr>
      <w:tr w:rsidR="00A429F4" w:rsidRPr="006C0077" w:rsidTr="00C067F9">
        <w:tc>
          <w:tcPr>
            <w:tcW w:w="1625" w:type="dxa"/>
            <w:vMerge w:val="restart"/>
          </w:tcPr>
          <w:p w:rsidR="00A429F4" w:rsidRPr="006C0077" w:rsidRDefault="00A429F4" w:rsidP="006C0077">
            <w:pPr>
              <w:spacing w:before="40" w:after="40"/>
              <w:rPr>
                <w:rFonts w:ascii="Times New Roman" w:hAnsi="Times New Roman" w:cs="Times New Roman"/>
                <w:b/>
                <w:bCs/>
                <w:spacing w:val="-2"/>
              </w:rPr>
            </w:pPr>
            <w:r>
              <w:rPr>
                <w:rFonts w:ascii="Times New Roman" w:hAnsi="Times New Roman" w:cs="Times New Roman"/>
                <w:b/>
                <w:bCs/>
                <w:spacing w:val="-2"/>
              </w:rPr>
              <w:lastRenderedPageBreak/>
              <w:t>5</w:t>
            </w:r>
            <w:r w:rsidRPr="006C0077">
              <w:rPr>
                <w:rFonts w:ascii="Times New Roman" w:hAnsi="Times New Roman" w:cs="Times New Roman"/>
                <w:b/>
                <w:bCs/>
                <w:spacing w:val="-2"/>
              </w:rPr>
              <w:t>. Về TCĐM diện tích công trình sự nghiệp</w:t>
            </w:r>
          </w:p>
        </w:tc>
        <w:tc>
          <w:tcPr>
            <w:tcW w:w="1812" w:type="dxa"/>
          </w:tcPr>
          <w:p w:rsidR="00A429F4" w:rsidRPr="006C0077" w:rsidRDefault="00A429F4" w:rsidP="006C0077">
            <w:pPr>
              <w:spacing w:before="40" w:after="40"/>
              <w:jc w:val="center"/>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HV Chính trị QGHCM</w:t>
            </w:r>
          </w:p>
        </w:tc>
        <w:tc>
          <w:tcPr>
            <w:tcW w:w="7728" w:type="dxa"/>
          </w:tcPr>
          <w:p w:rsidR="00A429F4" w:rsidRPr="006C0077" w:rsidRDefault="00A429F4" w:rsidP="006C0077">
            <w:pPr>
              <w:spacing w:before="40" w:after="40"/>
              <w:jc w:val="both"/>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Nâng diện tích phòng ở ký túc xá cho học viên là cán bộ cấp chiến lược từ 25-30 m²/người; của sinh viên là 12 m²/người</w:t>
            </w:r>
          </w:p>
        </w:tc>
        <w:tc>
          <w:tcPr>
            <w:tcW w:w="3685" w:type="dxa"/>
          </w:tcPr>
          <w:p w:rsidR="00A429F4" w:rsidRPr="00C539C7" w:rsidRDefault="00A429F4" w:rsidP="00183239">
            <w:pPr>
              <w:spacing w:before="40" w:after="40"/>
              <w:jc w:val="both"/>
              <w:rPr>
                <w:rFonts w:ascii="Times New Roman" w:hAnsi="Times New Roman" w:cs="Times New Roman"/>
                <w:color w:val="000000"/>
                <w:spacing w:val="-2"/>
              </w:rPr>
            </w:pPr>
            <w:r w:rsidRPr="006770B4">
              <w:rPr>
                <w:rFonts w:ascii="Times New Roman" w:hAnsi="Times New Roman" w:cs="Times New Roman"/>
                <w:b/>
              </w:rPr>
              <w:t>Giải trình</w:t>
            </w:r>
            <w:r w:rsidRPr="00C539C7">
              <w:rPr>
                <w:rFonts w:ascii="Times New Roman" w:hAnsi="Times New Roman" w:cs="Times New Roman"/>
              </w:rPr>
              <w:t xml:space="preserve">: </w:t>
            </w:r>
            <w:r w:rsidRPr="00C539C7">
              <w:rPr>
                <w:rFonts w:ascii="Times New Roman" w:hAnsi="Times New Roman" w:cs="Times New Roman"/>
                <w:color w:val="000000"/>
                <w:spacing w:val="-2"/>
              </w:rPr>
              <w:t xml:space="preserve">Tại K2 Đ12 NĐ155 quy định Bộ GD&amp;ĐT quy định chi tiết hướng dẫn về TCĐM diện tích CTSH trong lĩnh vực giáo dục và đào tạo, trường hợp Bộ GD&amp;ĐT chưa quy định chi tiết hướng dẫn thì cơ quan, người có thẩm quyền quyết định TCĐM diện tích CTSN trong lĩnh vực GD&amp;ĐT. </w:t>
            </w:r>
            <w:r w:rsidR="00183239">
              <w:rPr>
                <w:rFonts w:ascii="Times New Roman" w:hAnsi="Times New Roman" w:cs="Times New Roman"/>
                <w:color w:val="000000"/>
                <w:spacing w:val="-2"/>
              </w:rPr>
              <w:t>Đã c</w:t>
            </w:r>
            <w:r w:rsidR="00183239" w:rsidRPr="00C539C7">
              <w:rPr>
                <w:rFonts w:ascii="Times New Roman" w:hAnsi="Times New Roman" w:cs="Times New Roman"/>
                <w:color w:val="000000"/>
                <w:spacing w:val="-2"/>
              </w:rPr>
              <w:t>huyển kiến nghị tới Bộ GD&amp;ĐT</w:t>
            </w:r>
            <w:r w:rsidR="00183239">
              <w:rPr>
                <w:rFonts w:ascii="Times New Roman" w:hAnsi="Times New Roman" w:cs="Times New Roman"/>
                <w:color w:val="000000"/>
                <w:spacing w:val="-2"/>
              </w:rPr>
              <w:t xml:space="preserve"> (Công văn số 3738/BTC-QLCS ngày 27/3/2026)</w:t>
            </w:r>
            <w:r w:rsidRPr="00C539C7">
              <w:rPr>
                <w:rFonts w:ascii="Times New Roman" w:hAnsi="Times New Roman" w:cs="Times New Roman"/>
                <w:i/>
                <w:color w:val="000000"/>
                <w:spacing w:val="-2"/>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eastAsia="Times New Roman" w:hAnsi="Times New Roman" w:cs="Times New Roman"/>
                <w:color w:val="000000"/>
                <w:spacing w:val="-2"/>
              </w:rPr>
            </w:pPr>
            <w:r w:rsidRPr="002F7A98">
              <w:rPr>
                <w:rFonts w:ascii="Times New Roman" w:hAnsi="Times New Roman" w:cs="Times New Roman"/>
                <w:color w:val="000000"/>
                <w:spacing w:val="-2"/>
              </w:rPr>
              <w:t>Bộ Giáo dục và Đào tạo</w:t>
            </w:r>
          </w:p>
        </w:tc>
        <w:tc>
          <w:tcPr>
            <w:tcW w:w="7728" w:type="dxa"/>
          </w:tcPr>
          <w:p w:rsidR="00A429F4" w:rsidRPr="006C0077" w:rsidRDefault="00A429F4" w:rsidP="00D978FF">
            <w:pPr>
              <w:spacing w:before="40" w:after="40"/>
              <w:jc w:val="both"/>
              <w:rPr>
                <w:rFonts w:ascii="Times New Roman" w:eastAsia="Times New Roman" w:hAnsi="Times New Roman" w:cs="Times New Roman"/>
                <w:color w:val="000000"/>
                <w:spacing w:val="-2"/>
              </w:rPr>
            </w:pPr>
            <w:r w:rsidRPr="00D978FF">
              <w:rPr>
                <w:rFonts w:ascii="Times New Roman" w:eastAsia="Times New Roman" w:hAnsi="Times New Roman" w:cs="Times New Roman"/>
                <w:color w:val="000000"/>
                <w:spacing w:val="-2"/>
              </w:rPr>
              <w:t>Đề nghị thống nhất quy chuẩn giữa Nghị định 155/2025/NĐ-CP và các tiêu chuẩn quốc gia về thiết kế trường học hiện hành để tránh sự chồng chéo khi thẩm định thiết kế cơ sở.</w:t>
            </w:r>
          </w:p>
        </w:tc>
        <w:tc>
          <w:tcPr>
            <w:tcW w:w="3685" w:type="dxa"/>
          </w:tcPr>
          <w:p w:rsidR="00A429F4" w:rsidRPr="00F52C7C" w:rsidRDefault="002F7A98" w:rsidP="005B5426">
            <w:pPr>
              <w:spacing w:before="40" w:after="40"/>
              <w:jc w:val="both"/>
              <w:rPr>
                <w:rFonts w:ascii="Times New Roman" w:hAnsi="Times New Roman" w:cs="Times New Roman"/>
                <w:b/>
                <w:spacing w:val="-2"/>
                <w:highlight w:val="yellow"/>
              </w:rPr>
            </w:pPr>
            <w:r w:rsidRPr="006770B4">
              <w:rPr>
                <w:rFonts w:ascii="Times New Roman" w:hAnsi="Times New Roman" w:cs="Times New Roman"/>
                <w:b/>
                <w:spacing w:val="-2"/>
              </w:rPr>
              <w:t>Giải trình</w:t>
            </w:r>
            <w:r w:rsidRPr="002F7A98">
              <w:rPr>
                <w:rFonts w:ascii="Times New Roman" w:hAnsi="Times New Roman" w:cs="Times New Roman"/>
                <w:b/>
                <w:spacing w:val="-2"/>
              </w:rPr>
              <w:t xml:space="preserve">: </w:t>
            </w:r>
            <w:r w:rsidRPr="00C539C7">
              <w:rPr>
                <w:rFonts w:ascii="Times New Roman" w:hAnsi="Times New Roman" w:cs="Times New Roman"/>
                <w:color w:val="000000"/>
                <w:spacing w:val="-2"/>
              </w:rPr>
              <w:t>Tại K2 Đ12 NĐ155 quy định Bộ GD&amp;ĐT quy định chi tiết hướng dẫn về TCĐM diện tích CTSH trong lĩnh vực giáo dục và đào tạo</w:t>
            </w:r>
            <w:r>
              <w:rPr>
                <w:rFonts w:ascii="Times New Roman" w:hAnsi="Times New Roman" w:cs="Times New Roman"/>
                <w:color w:val="000000"/>
                <w:spacing w:val="-2"/>
              </w:rPr>
              <w:t xml:space="preserve">. Vì vậy, việc </w:t>
            </w:r>
            <w:r w:rsidRPr="00D978FF">
              <w:rPr>
                <w:rFonts w:ascii="Times New Roman" w:eastAsia="Times New Roman" w:hAnsi="Times New Roman" w:cs="Times New Roman"/>
                <w:color w:val="000000"/>
                <w:spacing w:val="-2"/>
              </w:rPr>
              <w:t xml:space="preserve">thống nhất quy </w:t>
            </w:r>
            <w:r w:rsidRPr="005B5426">
              <w:rPr>
                <w:rFonts w:ascii="Times New Roman" w:eastAsia="Times New Roman" w:hAnsi="Times New Roman" w:cs="Times New Roman"/>
                <w:color w:val="000000"/>
                <w:spacing w:val="-2"/>
              </w:rPr>
              <w:t xml:space="preserve">chuẩn giữa </w:t>
            </w:r>
            <w:r w:rsidR="005B5426" w:rsidRPr="005B5426">
              <w:rPr>
                <w:rFonts w:ascii="Times New Roman" w:eastAsia="Times New Roman" w:hAnsi="Times New Roman" w:cs="Times New Roman"/>
                <w:color w:val="000000"/>
                <w:spacing w:val="-2"/>
              </w:rPr>
              <w:t xml:space="preserve">diện tích </w:t>
            </w:r>
            <w:r w:rsidR="005B5426" w:rsidRPr="005B5426">
              <w:rPr>
                <w:rFonts w:ascii="Times New Roman" w:hAnsi="Times New Roman" w:cs="Times New Roman"/>
                <w:bCs/>
                <w:spacing w:val="-2"/>
              </w:rPr>
              <w:t xml:space="preserve">công trình sự nghiệp trong lĩnh vực giáo dục và đào tạo (quy định tại </w:t>
            </w:r>
            <w:r w:rsidR="005B5426" w:rsidRPr="005B5426">
              <w:rPr>
                <w:rFonts w:ascii="Times New Roman" w:hAnsi="Times New Roman" w:cs="Times New Roman"/>
                <w:color w:val="000000"/>
                <w:spacing w:val="-2"/>
              </w:rPr>
              <w:t xml:space="preserve">K2 Đ12 NĐ155) </w:t>
            </w:r>
            <w:r w:rsidRPr="005B5426">
              <w:rPr>
                <w:rFonts w:ascii="Times New Roman" w:eastAsia="Times New Roman" w:hAnsi="Times New Roman" w:cs="Times New Roman"/>
                <w:color w:val="000000"/>
                <w:spacing w:val="-2"/>
              </w:rPr>
              <w:t>và các</w:t>
            </w:r>
            <w:r w:rsidRPr="00D978FF">
              <w:rPr>
                <w:rFonts w:ascii="Times New Roman" w:eastAsia="Times New Roman" w:hAnsi="Times New Roman" w:cs="Times New Roman"/>
                <w:color w:val="000000"/>
                <w:spacing w:val="-2"/>
              </w:rPr>
              <w:t xml:space="preserve"> tiêu chuẩn quốc gia về thiết kế trường học hiện hành</w:t>
            </w:r>
            <w:r>
              <w:rPr>
                <w:rFonts w:ascii="Times New Roman" w:eastAsia="Times New Roman" w:hAnsi="Times New Roman" w:cs="Times New Roman"/>
                <w:color w:val="000000"/>
                <w:spacing w:val="-2"/>
              </w:rPr>
              <w:t xml:space="preserve"> thuộc thẩm quyền của </w:t>
            </w:r>
            <w:r w:rsidRPr="00C539C7">
              <w:rPr>
                <w:rFonts w:ascii="Times New Roman" w:hAnsi="Times New Roman" w:cs="Times New Roman"/>
                <w:color w:val="000000"/>
                <w:spacing w:val="-2"/>
              </w:rPr>
              <w:t>Bộ GD&amp;ĐT</w:t>
            </w:r>
            <w:r>
              <w:rPr>
                <w:rFonts w:ascii="Times New Roman" w:hAnsi="Times New Roman" w:cs="Times New Roman"/>
                <w:color w:val="000000"/>
                <w:spacing w:val="-2"/>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Quảng Ninh</w:t>
            </w:r>
          </w:p>
        </w:tc>
        <w:tc>
          <w:tcPr>
            <w:tcW w:w="7728" w:type="dxa"/>
          </w:tcPr>
          <w:p w:rsidR="00A429F4" w:rsidRPr="00FE142E" w:rsidRDefault="00A429F4" w:rsidP="00FE142E">
            <w:pPr>
              <w:spacing w:before="40" w:after="40"/>
              <w:jc w:val="both"/>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 xml:space="preserve">Đề nghị bổ sung quy định về TCĐM đối với các điểm trực, điểm chốt kiểm soát di sản ngoài hiện trường đối với </w:t>
            </w:r>
            <w:r>
              <w:rPr>
                <w:rFonts w:ascii="Times New Roman" w:eastAsia="Times New Roman" w:hAnsi="Times New Roman" w:cs="Times New Roman"/>
                <w:color w:val="000000"/>
                <w:spacing w:val="-2"/>
              </w:rPr>
              <w:t>ĐVSNCL.</w:t>
            </w:r>
          </w:p>
        </w:tc>
        <w:tc>
          <w:tcPr>
            <w:tcW w:w="3685" w:type="dxa"/>
          </w:tcPr>
          <w:p w:rsidR="00A429F4" w:rsidRPr="00C067F9" w:rsidRDefault="00A429F4" w:rsidP="00203C63">
            <w:pPr>
              <w:spacing w:before="40" w:after="40"/>
              <w:jc w:val="both"/>
              <w:rPr>
                <w:rFonts w:ascii="Times New Roman" w:hAnsi="Times New Roman" w:cs="Times New Roman"/>
              </w:rPr>
            </w:pPr>
            <w:r w:rsidRPr="00C067F9">
              <w:rPr>
                <w:rFonts w:ascii="Times New Roman" w:hAnsi="Times New Roman" w:cs="Times New Roman"/>
                <w:b/>
              </w:rPr>
              <w:t>Tiếp thu theo hướng:</w:t>
            </w:r>
            <w:r w:rsidR="009C1C37" w:rsidRPr="00C067F9">
              <w:rPr>
                <w:rFonts w:ascii="Times New Roman" w:hAnsi="Times New Roman" w:cs="Times New Roman"/>
                <w:b/>
              </w:rPr>
              <w:t xml:space="preserve"> </w:t>
            </w:r>
            <w:r w:rsidR="009C1C37" w:rsidRPr="00C067F9">
              <w:rPr>
                <w:rFonts w:ascii="Times New Roman" w:hAnsi="Times New Roman" w:cs="Times New Roman"/>
              </w:rPr>
              <w:t xml:space="preserve">dự kiến </w:t>
            </w:r>
            <w:r w:rsidR="00203C63" w:rsidRPr="00C067F9">
              <w:rPr>
                <w:rFonts w:ascii="Times New Roman" w:hAnsi="Times New Roman" w:cs="Times New Roman"/>
              </w:rPr>
              <w:t>sửa</w:t>
            </w:r>
            <w:r w:rsidR="009C1C37" w:rsidRPr="00C067F9">
              <w:rPr>
                <w:rFonts w:ascii="Times New Roman" w:hAnsi="Times New Roman" w:cs="Times New Roman"/>
              </w:rPr>
              <w:t xml:space="preserve">, bổ sung khoản </w:t>
            </w:r>
            <w:r w:rsidR="00C62B88" w:rsidRPr="00C067F9">
              <w:rPr>
                <w:rFonts w:ascii="Times New Roman" w:hAnsi="Times New Roman" w:cs="Times New Roman"/>
              </w:rPr>
              <w:t>3</w:t>
            </w:r>
            <w:r w:rsidR="008B6D02" w:rsidRPr="00C067F9">
              <w:rPr>
                <w:rFonts w:ascii="Times New Roman" w:hAnsi="Times New Roman" w:cs="Times New Roman"/>
              </w:rPr>
              <w:t>a</w:t>
            </w:r>
            <w:r w:rsidR="009C1C37" w:rsidRPr="00C067F9">
              <w:rPr>
                <w:rFonts w:ascii="Times New Roman" w:hAnsi="Times New Roman" w:cs="Times New Roman"/>
              </w:rPr>
              <w:t xml:space="preserve"> Điều 12 </w:t>
            </w:r>
            <w:r w:rsidR="009C1C37" w:rsidRPr="00C067F9">
              <w:rPr>
                <w:rFonts w:ascii="Times New Roman" w:hAnsi="Times New Roman" w:cs="Times New Roman"/>
                <w:color w:val="000000"/>
              </w:rPr>
              <w:t>NĐ155.</w:t>
            </w:r>
            <w:r w:rsidR="009C1C37" w:rsidRPr="00C067F9">
              <w:rPr>
                <w:rFonts w:ascii="Times New Roman" w:hAnsi="Times New Roman" w:cs="Times New Roman"/>
                <w:b/>
              </w:rPr>
              <w:t xml:space="preserve"> </w:t>
            </w:r>
          </w:p>
        </w:tc>
      </w:tr>
      <w:tr w:rsidR="00396E46" w:rsidRPr="006C0077" w:rsidTr="00C067F9">
        <w:tc>
          <w:tcPr>
            <w:tcW w:w="1625" w:type="dxa"/>
            <w:vMerge/>
          </w:tcPr>
          <w:p w:rsidR="00396E46" w:rsidRPr="006C0077" w:rsidRDefault="00396E46" w:rsidP="006C0077">
            <w:pPr>
              <w:spacing w:before="40" w:after="40"/>
              <w:rPr>
                <w:rFonts w:ascii="Times New Roman" w:hAnsi="Times New Roman" w:cs="Times New Roman"/>
                <w:b/>
                <w:bCs/>
                <w:spacing w:val="-2"/>
              </w:rPr>
            </w:pPr>
          </w:p>
        </w:tc>
        <w:tc>
          <w:tcPr>
            <w:tcW w:w="1812" w:type="dxa"/>
          </w:tcPr>
          <w:p w:rsidR="00396E46" w:rsidRDefault="00396E46" w:rsidP="00396E46">
            <w:pPr>
              <w:spacing w:before="40" w:after="40"/>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Bộ Ngoại giao</w:t>
            </w:r>
          </w:p>
        </w:tc>
        <w:tc>
          <w:tcPr>
            <w:tcW w:w="7728" w:type="dxa"/>
          </w:tcPr>
          <w:p w:rsidR="00396E46" w:rsidRPr="00B06B4A" w:rsidRDefault="00396E46" w:rsidP="00FE142E">
            <w:pPr>
              <w:spacing w:before="40" w:after="40"/>
              <w:jc w:val="both"/>
              <w:rPr>
                <w:rFonts w:ascii="Times New Roman" w:eastAsia="Times New Roman" w:hAnsi="Times New Roman" w:cs="Times New Roman"/>
                <w:color w:val="000000"/>
                <w:spacing w:val="-2"/>
              </w:rPr>
            </w:pPr>
            <w:r w:rsidRPr="00396E46">
              <w:rPr>
                <w:rFonts w:ascii="Times New Roman" w:eastAsia="Times New Roman" w:hAnsi="Times New Roman" w:cs="Times New Roman"/>
                <w:color w:val="000000"/>
                <w:spacing w:val="-2"/>
              </w:rPr>
              <w:t>Kiến nghị bổ sung cơ chế cho phép các đơn vị sự nghiệp công lập tự chủ tài chính được phép quyết định định mức diện tích công trình sự nghiệp cao hơn mức quy định nếu tự đảm bảo nguồn vốn đầu tư, nhằm nâng cao chất lượng dịch vụ sự nghiệp công. Điều này sẽ khuyến khích các đơn vị tự chủ dùng nguồn thu hợp pháp để nâng cấp cơ sở vật chất, giảm gánh nặng cho ngân sách nhà nước, tạo động lực phát triển dịch vụ chất lượng cao.</w:t>
            </w:r>
          </w:p>
        </w:tc>
        <w:tc>
          <w:tcPr>
            <w:tcW w:w="3685" w:type="dxa"/>
          </w:tcPr>
          <w:p w:rsidR="00396E46" w:rsidRPr="006770B4" w:rsidRDefault="00396E46" w:rsidP="00396E46">
            <w:pPr>
              <w:spacing w:before="40" w:after="40"/>
              <w:jc w:val="both"/>
              <w:rPr>
                <w:rFonts w:ascii="Times New Roman" w:hAnsi="Times New Roman" w:cs="Times New Roman"/>
                <w:b/>
                <w:spacing w:val="-2"/>
              </w:rPr>
            </w:pPr>
            <w:r w:rsidRPr="006770B4">
              <w:rPr>
                <w:rFonts w:ascii="Times New Roman" w:hAnsi="Times New Roman" w:cs="Times New Roman"/>
                <w:b/>
                <w:spacing w:val="-2"/>
              </w:rPr>
              <w:t>Giải trình</w:t>
            </w:r>
            <w:r w:rsidRPr="00C539C7">
              <w:rPr>
                <w:rFonts w:ascii="Times New Roman" w:hAnsi="Times New Roman" w:cs="Times New Roman"/>
                <w:spacing w:val="-2"/>
              </w:rPr>
              <w:t>: Tại Điều 12 NĐ 155 đã quy định diện tích CTSN trong lĩnh vực y tế, GD&amp;ĐT</w:t>
            </w:r>
            <w:r>
              <w:rPr>
                <w:rFonts w:ascii="Times New Roman" w:hAnsi="Times New Roman" w:cs="Times New Roman"/>
                <w:spacing w:val="-2"/>
              </w:rPr>
              <w:t xml:space="preserve"> thì thực hiện theo </w:t>
            </w:r>
            <w:r w:rsidRPr="00C539C7">
              <w:rPr>
                <w:rFonts w:ascii="Times New Roman" w:hAnsi="Times New Roman" w:cs="Times New Roman"/>
                <w:color w:val="000000"/>
                <w:spacing w:val="-2"/>
              </w:rPr>
              <w:t xml:space="preserve">hướng dẫn </w:t>
            </w:r>
            <w:r>
              <w:rPr>
                <w:rFonts w:ascii="Times New Roman" w:hAnsi="Times New Roman" w:cs="Times New Roman"/>
                <w:color w:val="000000"/>
                <w:spacing w:val="-2"/>
              </w:rPr>
              <w:t>của Bộ trưởng Bộ YT, Bộ trưởng Bộ GD&amp;ĐT</w:t>
            </w:r>
            <w:r w:rsidRPr="00C539C7">
              <w:rPr>
                <w:rFonts w:ascii="Times New Roman" w:hAnsi="Times New Roman" w:cs="Times New Roman"/>
                <w:color w:val="000000"/>
                <w:spacing w:val="-2"/>
              </w:rPr>
              <w:t xml:space="preserve">, trường hợp </w:t>
            </w:r>
            <w:r>
              <w:rPr>
                <w:rFonts w:ascii="Times New Roman" w:hAnsi="Times New Roman" w:cs="Times New Roman"/>
                <w:color w:val="000000"/>
                <w:spacing w:val="-2"/>
              </w:rPr>
              <w:t xml:space="preserve">Bộ YT, </w:t>
            </w:r>
            <w:r w:rsidRPr="00C539C7">
              <w:rPr>
                <w:rFonts w:ascii="Times New Roman" w:hAnsi="Times New Roman" w:cs="Times New Roman"/>
                <w:color w:val="000000"/>
                <w:spacing w:val="-2"/>
              </w:rPr>
              <w:t xml:space="preserve">Bộ GD&amp;ĐT chưa quy định chi tiết hướng dẫn thì cơ quan, người có thẩm quyền </w:t>
            </w:r>
            <w:r w:rsidRPr="00C539C7">
              <w:rPr>
                <w:rFonts w:ascii="Times New Roman" w:hAnsi="Times New Roman" w:cs="Times New Roman"/>
                <w:color w:val="000000"/>
                <w:spacing w:val="-2"/>
              </w:rPr>
              <w:lastRenderedPageBreak/>
              <w:t>quyết định TCĐM diện tích CTSN trong lĩnh vực GD&amp;ĐT</w:t>
            </w:r>
            <w:r w:rsidRPr="00C539C7">
              <w:rPr>
                <w:rFonts w:ascii="Times New Roman" w:hAnsi="Times New Roman" w:cs="Times New Roman"/>
                <w:spacing w:val="-2"/>
              </w:rPr>
              <w:t xml:space="preserve">; diện tích CTSN khác do cơ quan, người có thẩm quyền quyết định; </w:t>
            </w:r>
            <w:r w:rsidRPr="00C539C7">
              <w:rPr>
                <w:rFonts w:ascii="Times New Roman" w:hAnsi="Times New Roman" w:cs="Times New Roman"/>
                <w:color w:val="000000"/>
                <w:spacing w:val="-2"/>
              </w:rPr>
              <w:t>vì vậy, đề nghị giữ như quy định hiện hành.</w:t>
            </w:r>
          </w:p>
        </w:tc>
      </w:tr>
      <w:tr w:rsidR="00BA20B8" w:rsidRPr="006C0077" w:rsidTr="00C067F9">
        <w:tc>
          <w:tcPr>
            <w:tcW w:w="1625" w:type="dxa"/>
            <w:vMerge/>
          </w:tcPr>
          <w:p w:rsidR="00BA20B8" w:rsidRPr="006C0077" w:rsidRDefault="00BA20B8" w:rsidP="006C0077">
            <w:pPr>
              <w:spacing w:before="40" w:after="40"/>
              <w:rPr>
                <w:rFonts w:ascii="Times New Roman" w:hAnsi="Times New Roman" w:cs="Times New Roman"/>
                <w:b/>
                <w:bCs/>
                <w:spacing w:val="-2"/>
              </w:rPr>
            </w:pPr>
          </w:p>
        </w:tc>
        <w:tc>
          <w:tcPr>
            <w:tcW w:w="1812" w:type="dxa"/>
          </w:tcPr>
          <w:p w:rsidR="00BA20B8" w:rsidRPr="006C0077" w:rsidRDefault="00BA20B8" w:rsidP="006C0077">
            <w:pPr>
              <w:spacing w:before="40" w:after="40"/>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TP HCM</w:t>
            </w:r>
          </w:p>
        </w:tc>
        <w:tc>
          <w:tcPr>
            <w:tcW w:w="7728" w:type="dxa"/>
          </w:tcPr>
          <w:p w:rsidR="00BA20B8" w:rsidRPr="006C0077" w:rsidRDefault="00BA20B8" w:rsidP="00FE142E">
            <w:pPr>
              <w:spacing w:before="40" w:after="40"/>
              <w:jc w:val="both"/>
              <w:rPr>
                <w:rFonts w:ascii="Times New Roman" w:eastAsia="Times New Roman" w:hAnsi="Times New Roman" w:cs="Times New Roman"/>
                <w:color w:val="000000"/>
                <w:spacing w:val="-2"/>
              </w:rPr>
            </w:pPr>
            <w:r w:rsidRPr="00B06B4A">
              <w:rPr>
                <w:rFonts w:ascii="Times New Roman" w:eastAsia="Times New Roman" w:hAnsi="Times New Roman" w:cs="Times New Roman"/>
                <w:color w:val="000000"/>
                <w:spacing w:val="-2"/>
              </w:rPr>
              <w:t>Kiến nghị giao Bộ, ngành trung ương quản lý theo từng lĩnh vực văn hóa, giáo dục, y tế, khoa học công nghệ,…ban hành hướng dẫn về tiêu chuẩn, định mức sử dụng diện tích công trình sự nghiệp trong lĩnh vực văn hóa, y tế, giáo dục và đào tạo, khoa học công nghệ,…theo quy định.</w:t>
            </w:r>
          </w:p>
        </w:tc>
        <w:tc>
          <w:tcPr>
            <w:tcW w:w="3685" w:type="dxa"/>
            <w:vMerge w:val="restart"/>
          </w:tcPr>
          <w:p w:rsidR="00BA20B8" w:rsidRPr="001622D2" w:rsidRDefault="00BA20B8" w:rsidP="006C0077">
            <w:pPr>
              <w:spacing w:before="40" w:after="40"/>
              <w:jc w:val="both"/>
              <w:rPr>
                <w:rFonts w:ascii="Times New Roman" w:hAnsi="Times New Roman" w:cs="Times New Roman"/>
                <w:b/>
                <w:spacing w:val="-14"/>
              </w:rPr>
            </w:pPr>
            <w:r w:rsidRPr="006770B4">
              <w:rPr>
                <w:rFonts w:ascii="Times New Roman" w:hAnsi="Times New Roman" w:cs="Times New Roman"/>
                <w:b/>
                <w:spacing w:val="-2"/>
              </w:rPr>
              <w:t>Giải trình</w:t>
            </w:r>
            <w:r w:rsidRPr="00C539C7">
              <w:rPr>
                <w:rFonts w:ascii="Times New Roman" w:hAnsi="Times New Roman" w:cs="Times New Roman"/>
                <w:spacing w:val="-2"/>
              </w:rPr>
              <w:t xml:space="preserve">: Tại Điều 12 NĐ 155 đã quy định diện tích CTSN trong lĩnh vực y tế, GD&amp;ĐT; diện tích CTSN khác do cơ quan, người có thẩm quyền quyết định; </w:t>
            </w:r>
            <w:r w:rsidRPr="00C539C7">
              <w:rPr>
                <w:rFonts w:ascii="Times New Roman" w:hAnsi="Times New Roman" w:cs="Times New Roman"/>
                <w:color w:val="000000"/>
                <w:spacing w:val="-2"/>
              </w:rPr>
              <w:t>vì vậy, đề nghị giữ như quy định hiện hành.</w:t>
            </w:r>
          </w:p>
        </w:tc>
      </w:tr>
      <w:tr w:rsidR="00BA20B8" w:rsidRPr="006C0077" w:rsidTr="00C067F9">
        <w:tc>
          <w:tcPr>
            <w:tcW w:w="1625" w:type="dxa"/>
            <w:vMerge/>
          </w:tcPr>
          <w:p w:rsidR="00BA20B8" w:rsidRPr="006C0077" w:rsidRDefault="00BA20B8" w:rsidP="006C0077">
            <w:pPr>
              <w:spacing w:before="40" w:after="40"/>
              <w:rPr>
                <w:rFonts w:ascii="Times New Roman" w:hAnsi="Times New Roman" w:cs="Times New Roman"/>
                <w:b/>
                <w:bCs/>
                <w:spacing w:val="-2"/>
              </w:rPr>
            </w:pPr>
          </w:p>
        </w:tc>
        <w:tc>
          <w:tcPr>
            <w:tcW w:w="1812" w:type="dxa"/>
          </w:tcPr>
          <w:p w:rsidR="00BA20B8" w:rsidRPr="006C0077" w:rsidRDefault="00BA20B8" w:rsidP="006C0077">
            <w:pPr>
              <w:spacing w:before="40" w:after="40"/>
              <w:jc w:val="center"/>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Hưng Yên</w:t>
            </w:r>
          </w:p>
        </w:tc>
        <w:tc>
          <w:tcPr>
            <w:tcW w:w="7728" w:type="dxa"/>
          </w:tcPr>
          <w:p w:rsidR="00BA20B8" w:rsidRPr="006C0077" w:rsidRDefault="00BA20B8" w:rsidP="006C0077">
            <w:pPr>
              <w:spacing w:before="40" w:after="40"/>
              <w:jc w:val="both"/>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Sớm ban hành định mức riêng cho từng loại hình ĐVSNCL (trường học, bệnh viện, trung tâm văn hóa, trung tâm dịch vụ nông nghiệp…).</w:t>
            </w:r>
          </w:p>
        </w:tc>
        <w:tc>
          <w:tcPr>
            <w:tcW w:w="3685" w:type="dxa"/>
            <w:vMerge/>
          </w:tcPr>
          <w:p w:rsidR="00BA20B8" w:rsidRPr="00C539C7" w:rsidRDefault="00BA20B8" w:rsidP="006C0077">
            <w:pPr>
              <w:spacing w:before="40" w:after="40"/>
              <w:jc w:val="both"/>
              <w:rPr>
                <w:rFonts w:ascii="Times New Roman" w:hAnsi="Times New Roman" w:cs="Times New Roman"/>
                <w:spacing w:val="-2"/>
              </w:rPr>
            </w:pPr>
          </w:p>
        </w:tc>
      </w:tr>
      <w:tr w:rsidR="00BA20B8" w:rsidRPr="006C0077" w:rsidTr="00C067F9">
        <w:tc>
          <w:tcPr>
            <w:tcW w:w="1625" w:type="dxa"/>
            <w:vMerge/>
          </w:tcPr>
          <w:p w:rsidR="00BA20B8" w:rsidRPr="006C0077" w:rsidRDefault="00BA20B8" w:rsidP="006C0077">
            <w:pPr>
              <w:spacing w:before="40" w:after="40"/>
              <w:rPr>
                <w:rFonts w:ascii="Times New Roman" w:hAnsi="Times New Roman" w:cs="Times New Roman"/>
                <w:b/>
                <w:bCs/>
                <w:spacing w:val="-2"/>
              </w:rPr>
            </w:pPr>
          </w:p>
        </w:tc>
        <w:tc>
          <w:tcPr>
            <w:tcW w:w="1812" w:type="dxa"/>
          </w:tcPr>
          <w:p w:rsidR="00BA20B8" w:rsidRPr="006C0077" w:rsidRDefault="00BA20B8" w:rsidP="006C0077">
            <w:pPr>
              <w:spacing w:before="40" w:after="40"/>
              <w:jc w:val="center"/>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Nghệ An</w:t>
            </w:r>
          </w:p>
        </w:tc>
        <w:tc>
          <w:tcPr>
            <w:tcW w:w="7728" w:type="dxa"/>
          </w:tcPr>
          <w:p w:rsidR="00BA20B8" w:rsidRPr="006C0077" w:rsidRDefault="00BA20B8" w:rsidP="0084715B">
            <w:pPr>
              <w:spacing w:before="40" w:after="40"/>
              <w:jc w:val="both"/>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Đề</w:t>
            </w:r>
            <w:r>
              <w:rPr>
                <w:rFonts w:ascii="Times New Roman" w:eastAsia="Times New Roman" w:hAnsi="Times New Roman" w:cs="Times New Roman"/>
                <w:color w:val="000000"/>
                <w:spacing w:val="-2"/>
              </w:rPr>
              <w:t xml:space="preserve"> nghị có phụ lục riêng hướng </w:t>
            </w:r>
            <w:r w:rsidRPr="006C0077">
              <w:rPr>
                <w:rFonts w:ascii="Times New Roman" w:eastAsia="Times New Roman" w:hAnsi="Times New Roman" w:cs="Times New Roman"/>
                <w:color w:val="000000"/>
                <w:spacing w:val="-2"/>
              </w:rPr>
              <w:t>dẫn đối với từng lĩnh vực (giáo dục, y tế, văn hóa, đào tạo nghề...) để đảm bảo phù hợp thực tiễn.</w:t>
            </w:r>
          </w:p>
        </w:tc>
        <w:tc>
          <w:tcPr>
            <w:tcW w:w="3685" w:type="dxa"/>
            <w:vMerge/>
          </w:tcPr>
          <w:p w:rsidR="00BA20B8" w:rsidRPr="00C539C7" w:rsidRDefault="00BA20B8" w:rsidP="006C0077">
            <w:pPr>
              <w:spacing w:before="40" w:after="40"/>
              <w:jc w:val="both"/>
              <w:rPr>
                <w:rFonts w:ascii="Times New Roman" w:hAnsi="Times New Roman" w:cs="Times New Roman"/>
                <w:spacing w:val="-2"/>
              </w:rPr>
            </w:pPr>
          </w:p>
        </w:tc>
      </w:tr>
      <w:tr w:rsidR="00A429F4" w:rsidRPr="006C0077" w:rsidTr="00C067F9">
        <w:tc>
          <w:tcPr>
            <w:tcW w:w="1625" w:type="dxa"/>
            <w:vMerge w:val="restart"/>
          </w:tcPr>
          <w:p w:rsidR="00A429F4" w:rsidRPr="006C0077" w:rsidRDefault="00A429F4" w:rsidP="006C0077">
            <w:pPr>
              <w:spacing w:before="40" w:after="40"/>
              <w:rPr>
                <w:rFonts w:ascii="Times New Roman" w:hAnsi="Times New Roman" w:cs="Times New Roman"/>
                <w:b/>
                <w:bCs/>
                <w:spacing w:val="-2"/>
              </w:rPr>
            </w:pPr>
            <w:r>
              <w:rPr>
                <w:rFonts w:ascii="Times New Roman" w:hAnsi="Times New Roman" w:cs="Times New Roman"/>
                <w:b/>
                <w:bCs/>
                <w:spacing w:val="-2"/>
              </w:rPr>
              <w:t>6</w:t>
            </w:r>
            <w:r w:rsidRPr="006C0077">
              <w:rPr>
                <w:rFonts w:ascii="Times New Roman" w:hAnsi="Times New Roman" w:cs="Times New Roman"/>
                <w:b/>
                <w:bCs/>
                <w:spacing w:val="-2"/>
              </w:rPr>
              <w:t>. Về công tác tổ chức thực hiện, triển khai chính sách</w:t>
            </w:r>
          </w:p>
          <w:p w:rsidR="00A429F4" w:rsidRPr="006C0077" w:rsidRDefault="00A429F4" w:rsidP="006C0077">
            <w:pPr>
              <w:spacing w:before="40" w:after="40"/>
              <w:rPr>
                <w:rFonts w:ascii="Times New Roman" w:hAnsi="Times New Roman" w:cs="Times New Roman"/>
                <w:b/>
                <w:bCs/>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HV Chính trị QG HCM</w:t>
            </w:r>
          </w:p>
        </w:tc>
        <w:tc>
          <w:tcPr>
            <w:tcW w:w="7728" w:type="dxa"/>
          </w:tcPr>
          <w:p w:rsidR="00A429F4" w:rsidRPr="006C0077" w:rsidRDefault="00A429F4" w:rsidP="005C5B03">
            <w:pPr>
              <w:jc w:val="both"/>
              <w:rPr>
                <w:rFonts w:ascii="Times New Roman" w:hAnsi="Times New Roman" w:cs="Times New Roman"/>
                <w:color w:val="000000"/>
                <w:spacing w:val="-2"/>
              </w:rPr>
            </w:pPr>
            <w:r w:rsidRPr="00B25FEE">
              <w:rPr>
                <w:rFonts w:ascii="Times New Roman" w:hAnsi="Times New Roman" w:cs="Times New Roman"/>
                <w:b/>
                <w:color w:val="000000"/>
                <w:spacing w:val="-2"/>
              </w:rPr>
              <w:t>(i)</w:t>
            </w:r>
            <w:r w:rsidRPr="006C0077">
              <w:rPr>
                <w:rFonts w:ascii="Times New Roman" w:hAnsi="Times New Roman" w:cs="Times New Roman"/>
                <w:color w:val="000000"/>
                <w:spacing w:val="-2"/>
              </w:rPr>
              <w:t xml:space="preserve"> Bổ sung thẩm quyền của Giám đốc HVCTQG HCM đối với các cơ quan, đơn vị của Đảng thuộc </w:t>
            </w:r>
            <w:r>
              <w:rPr>
                <w:rFonts w:ascii="Times New Roman" w:hAnsi="Times New Roman" w:cs="Times New Roman"/>
                <w:color w:val="000000"/>
                <w:spacing w:val="-2"/>
              </w:rPr>
              <w:t>HVCT QG</w:t>
            </w:r>
            <w:r w:rsidRPr="006C0077">
              <w:rPr>
                <w:rFonts w:ascii="Times New Roman" w:hAnsi="Times New Roman" w:cs="Times New Roman"/>
                <w:color w:val="000000"/>
                <w:spacing w:val="-2"/>
              </w:rPr>
              <w:t xml:space="preserve"> Hồ Chí Minh tại khoản 2 Điều 7 và khoản 2 Điều 11 để đảm bảo thống nhất với quy định về quản lý, sử dụng tài sản tại cơ quan Đảng theo NĐ 52/2026/NĐ-CP. Cụ thể: “</w:t>
            </w:r>
            <w:r w:rsidRPr="00B25FEE">
              <w:rPr>
                <w:rFonts w:ascii="Times New Roman" w:hAnsi="Times New Roman" w:cs="Times New Roman"/>
                <w:i/>
                <w:color w:val="000000"/>
                <w:spacing w:val="-2"/>
              </w:rPr>
              <w:t>Giám đố</w:t>
            </w:r>
            <w:r w:rsidR="00373449">
              <w:rPr>
                <w:rFonts w:ascii="Times New Roman" w:hAnsi="Times New Roman" w:cs="Times New Roman"/>
                <w:i/>
                <w:color w:val="000000"/>
                <w:spacing w:val="-2"/>
              </w:rPr>
              <w:t>c HVCTQG HCM</w:t>
            </w:r>
            <w:r w:rsidRPr="00B25FEE">
              <w:rPr>
                <w:rFonts w:ascii="Times New Roman" w:hAnsi="Times New Roman" w:cs="Times New Roman"/>
                <w:i/>
                <w:color w:val="000000"/>
                <w:spacing w:val="-2"/>
              </w:rPr>
              <w:t xml:space="preserve"> quyết định hoặc phân cấp thẩm quyền quyết định đối với các CQ, ĐV thuộc HVCTQG HCM".</w:t>
            </w:r>
          </w:p>
          <w:p w:rsidR="00A429F4" w:rsidRPr="006C0077" w:rsidRDefault="00A429F4" w:rsidP="005C5B03">
            <w:pPr>
              <w:jc w:val="both"/>
              <w:rPr>
                <w:rFonts w:ascii="Times New Roman" w:hAnsi="Times New Roman" w:cs="Times New Roman"/>
                <w:color w:val="000000"/>
                <w:spacing w:val="-2"/>
              </w:rPr>
            </w:pPr>
            <w:r w:rsidRPr="00B25FEE">
              <w:rPr>
                <w:rFonts w:ascii="Times New Roman" w:hAnsi="Times New Roman" w:cs="Times New Roman"/>
                <w:b/>
                <w:color w:val="000000"/>
                <w:spacing w:val="-2"/>
              </w:rPr>
              <w:t>(ii)</w:t>
            </w:r>
            <w:r w:rsidRPr="006C0077">
              <w:rPr>
                <w:rFonts w:ascii="Times New Roman" w:hAnsi="Times New Roman" w:cs="Times New Roman"/>
                <w:color w:val="000000"/>
                <w:spacing w:val="-2"/>
              </w:rPr>
              <w:t xml:space="preserve"> Tại khoản 4 Điều 7 và khoản 4 Điều 11 về công khai Quyết định TCĐM chuyên dùng, đề nghị bổ sung đối tượng được công khai trên Cổng TTĐT: “</w:t>
            </w:r>
            <w:r w:rsidRPr="00D379ED">
              <w:rPr>
                <w:rFonts w:ascii="Times New Roman" w:hAnsi="Times New Roman" w:cs="Times New Roman"/>
                <w:i/>
                <w:color w:val="000000"/>
                <w:spacing w:val="-2"/>
              </w:rPr>
              <w:t>Quyết định TCĐM diện tích chuyên dùng quy định tại khoản 2 Điều 7 và khoản 2 Điều 11 được công khai trên Cổng thông tin điện tử của HVCTQG HCM</w:t>
            </w:r>
            <w:r w:rsidRPr="006C0077">
              <w:rPr>
                <w:rFonts w:ascii="Times New Roman" w:hAnsi="Times New Roman" w:cs="Times New Roman"/>
                <w:color w:val="000000"/>
                <w:spacing w:val="-2"/>
              </w:rPr>
              <w:t>".</w:t>
            </w:r>
          </w:p>
          <w:p w:rsidR="00A429F4" w:rsidRPr="006C0077" w:rsidRDefault="00A429F4" w:rsidP="005C5B03">
            <w:pPr>
              <w:jc w:val="both"/>
              <w:rPr>
                <w:rFonts w:ascii="Times New Roman" w:hAnsi="Times New Roman" w:cs="Times New Roman"/>
                <w:color w:val="000000"/>
                <w:spacing w:val="-2"/>
              </w:rPr>
            </w:pPr>
            <w:r w:rsidRPr="00B25FEE">
              <w:rPr>
                <w:rFonts w:ascii="Times New Roman" w:hAnsi="Times New Roman" w:cs="Times New Roman"/>
                <w:b/>
                <w:color w:val="000000"/>
                <w:spacing w:val="-2"/>
              </w:rPr>
              <w:t>(iii)</w:t>
            </w:r>
            <w:r w:rsidRPr="006C0077">
              <w:rPr>
                <w:rFonts w:ascii="Times New Roman" w:hAnsi="Times New Roman" w:cs="Times New Roman"/>
                <w:color w:val="000000"/>
                <w:spacing w:val="-2"/>
              </w:rPr>
              <w:t xml:space="preserve"> Bộ GD&amp;ĐT cần sớm ban hành hướng dẫn chi tiết về diện tích công trình sự nghiệp trong thời hạn 12 tháng (trước ngày 01/7/2026) để các đơn vị có căn cứ thực hiện đối với ĐVSN của Học viện thuộc lĩnh vực GD-ĐT.</w:t>
            </w:r>
          </w:p>
          <w:p w:rsidR="00A429F4" w:rsidRPr="006C0077" w:rsidRDefault="00A429F4" w:rsidP="005C5B03">
            <w:pPr>
              <w:jc w:val="both"/>
              <w:rPr>
                <w:rFonts w:ascii="Times New Roman" w:hAnsi="Times New Roman" w:cs="Times New Roman"/>
                <w:color w:val="000000"/>
                <w:spacing w:val="-2"/>
              </w:rPr>
            </w:pPr>
            <w:r w:rsidRPr="00B25FEE">
              <w:rPr>
                <w:rFonts w:ascii="Times New Roman" w:hAnsi="Times New Roman" w:cs="Times New Roman"/>
                <w:b/>
                <w:color w:val="000000"/>
                <w:spacing w:val="-2"/>
              </w:rPr>
              <w:t>(iv)</w:t>
            </w:r>
            <w:r w:rsidRPr="006C0077">
              <w:rPr>
                <w:rFonts w:ascii="Times New Roman" w:hAnsi="Times New Roman" w:cs="Times New Roman"/>
                <w:color w:val="000000"/>
                <w:spacing w:val="-2"/>
              </w:rPr>
              <w:t xml:space="preserve"> Ưu tiên tập trung nguồn lực NSNN để cải tạo, xây mới các công trình, các trụ sở hiện có đáp ứng được tiêu chuẩn diện tích mới, đặc biệt là các không gian làm việc chung và các dự </w:t>
            </w:r>
            <w:proofErr w:type="gramStart"/>
            <w:r w:rsidRPr="006C0077">
              <w:rPr>
                <w:rFonts w:ascii="Times New Roman" w:hAnsi="Times New Roman" w:cs="Times New Roman"/>
                <w:color w:val="000000"/>
                <w:spacing w:val="-2"/>
              </w:rPr>
              <w:t>án</w:t>
            </w:r>
            <w:proofErr w:type="gramEnd"/>
            <w:r w:rsidRPr="006C0077">
              <w:rPr>
                <w:rFonts w:ascii="Times New Roman" w:hAnsi="Times New Roman" w:cs="Times New Roman"/>
                <w:color w:val="000000"/>
                <w:spacing w:val="-2"/>
              </w:rPr>
              <w:t xml:space="preserve"> thuộc giai đoạn đầu tư trung hạn.</w:t>
            </w:r>
          </w:p>
        </w:tc>
        <w:tc>
          <w:tcPr>
            <w:tcW w:w="3685" w:type="dxa"/>
          </w:tcPr>
          <w:p w:rsidR="00A429F4" w:rsidRPr="00915ADC" w:rsidRDefault="00A429F4" w:rsidP="006C0077">
            <w:pPr>
              <w:spacing w:before="40" w:after="40"/>
              <w:jc w:val="both"/>
              <w:rPr>
                <w:rFonts w:ascii="Times New Roman" w:hAnsi="Times New Roman" w:cs="Times New Roman"/>
                <w:b/>
                <w:spacing w:val="-2"/>
              </w:rPr>
            </w:pPr>
            <w:r w:rsidRPr="00C539C7">
              <w:rPr>
                <w:rFonts w:ascii="Times New Roman" w:hAnsi="Times New Roman" w:cs="Times New Roman"/>
                <w:spacing w:val="-2"/>
              </w:rPr>
              <w:t>(i) (</w:t>
            </w:r>
            <w:proofErr w:type="gramStart"/>
            <w:r w:rsidRPr="00C539C7">
              <w:rPr>
                <w:rFonts w:ascii="Times New Roman" w:hAnsi="Times New Roman" w:cs="Times New Roman"/>
                <w:spacing w:val="-2"/>
              </w:rPr>
              <w:t>ii</w:t>
            </w:r>
            <w:proofErr w:type="gramEnd"/>
            <w:r w:rsidRPr="00C539C7">
              <w:rPr>
                <w:rFonts w:ascii="Times New Roman" w:hAnsi="Times New Roman" w:cs="Times New Roman"/>
                <w:spacing w:val="-2"/>
              </w:rPr>
              <w:t xml:space="preserve">) </w:t>
            </w:r>
            <w:r w:rsidRPr="00915ADC">
              <w:rPr>
                <w:rFonts w:ascii="Times New Roman" w:hAnsi="Times New Roman" w:cs="Times New Roman"/>
                <w:b/>
                <w:spacing w:val="-2"/>
              </w:rPr>
              <w:t>Tiếp thu, nghiên cứu.</w:t>
            </w:r>
          </w:p>
          <w:p w:rsidR="00A429F4" w:rsidRPr="00C539C7" w:rsidRDefault="00A429F4" w:rsidP="006C0077">
            <w:pPr>
              <w:spacing w:before="40" w:after="40"/>
              <w:jc w:val="both"/>
              <w:rPr>
                <w:rFonts w:ascii="Times New Roman" w:hAnsi="Times New Roman" w:cs="Times New Roman"/>
                <w:color w:val="000000"/>
                <w:spacing w:val="-2"/>
              </w:rPr>
            </w:pPr>
            <w:r w:rsidRPr="00C539C7">
              <w:rPr>
                <w:rFonts w:ascii="Times New Roman" w:hAnsi="Times New Roman" w:cs="Times New Roman"/>
                <w:spacing w:val="-2"/>
              </w:rPr>
              <w:t xml:space="preserve">(iii) </w:t>
            </w:r>
            <w:r w:rsidR="004A3121">
              <w:rPr>
                <w:rFonts w:ascii="Times New Roman" w:hAnsi="Times New Roman" w:cs="Times New Roman"/>
                <w:color w:val="000000"/>
                <w:spacing w:val="-2"/>
              </w:rPr>
              <w:t>Đã c</w:t>
            </w:r>
            <w:r w:rsidR="004A3121" w:rsidRPr="00C539C7">
              <w:rPr>
                <w:rFonts w:ascii="Times New Roman" w:hAnsi="Times New Roman" w:cs="Times New Roman"/>
                <w:color w:val="000000"/>
                <w:spacing w:val="-2"/>
              </w:rPr>
              <w:t>huyển kiến nghị tới Bộ GD&amp;ĐT</w:t>
            </w:r>
            <w:r w:rsidR="004A3121">
              <w:rPr>
                <w:rFonts w:ascii="Times New Roman" w:hAnsi="Times New Roman" w:cs="Times New Roman"/>
                <w:color w:val="000000"/>
                <w:spacing w:val="-2"/>
              </w:rPr>
              <w:t xml:space="preserve"> (Công văn số 3738/BTC-QLCS ngày 27/3/2026).</w:t>
            </w:r>
          </w:p>
          <w:p w:rsidR="00A429F4" w:rsidRPr="00C539C7" w:rsidRDefault="00A429F4" w:rsidP="00B25FEE">
            <w:pPr>
              <w:spacing w:before="40" w:after="40"/>
              <w:jc w:val="both"/>
              <w:rPr>
                <w:rFonts w:ascii="Times New Roman" w:hAnsi="Times New Roman" w:cs="Times New Roman"/>
                <w:color w:val="000000"/>
                <w:spacing w:val="-2"/>
              </w:rPr>
            </w:pPr>
            <w:r w:rsidRPr="00C539C7">
              <w:rPr>
                <w:rFonts w:ascii="Times New Roman" w:hAnsi="Times New Roman" w:cs="Times New Roman"/>
                <w:color w:val="000000"/>
                <w:spacing w:val="-2"/>
              </w:rPr>
              <w:t>(iv) Thực hiện theo quy định của pháp luật về NSNN, về đầu tư, pháp luật liên quan.</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color w:val="000000"/>
                <w:spacing w:val="-2"/>
              </w:rPr>
              <w:t>Viện HLKH&amp;XHVN</w:t>
            </w:r>
          </w:p>
        </w:tc>
        <w:tc>
          <w:tcPr>
            <w:tcW w:w="7728" w:type="dxa"/>
          </w:tcPr>
          <w:p w:rsidR="00A429F4" w:rsidRPr="006C0077" w:rsidRDefault="00A429F4" w:rsidP="006C0077">
            <w:pPr>
              <w:pStyle w:val="ListParagraph"/>
              <w:tabs>
                <w:tab w:val="left" w:pos="237"/>
              </w:tabs>
              <w:spacing w:before="40" w:after="40"/>
              <w:ind w:left="5"/>
              <w:jc w:val="both"/>
              <w:rPr>
                <w:rFonts w:ascii="Times New Roman" w:hAnsi="Times New Roman" w:cs="Times New Roman"/>
                <w:color w:val="000000"/>
                <w:spacing w:val="-2"/>
              </w:rPr>
            </w:pPr>
            <w:r w:rsidRPr="00B25FEE">
              <w:rPr>
                <w:rFonts w:ascii="Times New Roman" w:hAnsi="Times New Roman" w:cs="Times New Roman"/>
                <w:b/>
                <w:color w:val="000000"/>
                <w:spacing w:val="-2"/>
              </w:rPr>
              <w:t>(i)</w:t>
            </w:r>
            <w:r w:rsidRPr="006C0077">
              <w:rPr>
                <w:rFonts w:ascii="Times New Roman" w:hAnsi="Times New Roman" w:cs="Times New Roman"/>
                <w:color w:val="000000"/>
                <w:spacing w:val="-2"/>
              </w:rPr>
              <w:t xml:space="preserve"> Tiếp tục hoàn thiện cơ chế, chính sách về quản lý, sử dụng tài sản công theo hướng đồng bộ, minh bạch.</w:t>
            </w:r>
          </w:p>
          <w:p w:rsidR="00A429F4" w:rsidRPr="006C0077" w:rsidRDefault="00A429F4" w:rsidP="006C0077">
            <w:pPr>
              <w:spacing w:before="40" w:after="40"/>
              <w:jc w:val="both"/>
              <w:rPr>
                <w:rFonts w:ascii="Times New Roman" w:hAnsi="Times New Roman" w:cs="Times New Roman"/>
                <w:color w:val="000000"/>
                <w:spacing w:val="-2"/>
              </w:rPr>
            </w:pPr>
            <w:r w:rsidRPr="00B25FEE">
              <w:rPr>
                <w:rFonts w:ascii="Times New Roman" w:hAnsi="Times New Roman" w:cs="Times New Roman"/>
                <w:b/>
                <w:color w:val="000000"/>
                <w:spacing w:val="-2"/>
              </w:rPr>
              <w:t>(ii)</w:t>
            </w:r>
            <w:r w:rsidRPr="006C0077">
              <w:rPr>
                <w:rFonts w:ascii="Times New Roman" w:hAnsi="Times New Roman" w:cs="Times New Roman"/>
                <w:color w:val="000000"/>
                <w:spacing w:val="-2"/>
              </w:rPr>
              <w:t xml:space="preserve"> Hoàn thiện quy định và hướng dẫn thi hành. Nghiên cứu ban hành văn bản hướng dẫn chi tiết đối với các trường hợp đặc thù (bảo tàng, khảo cổ học).</w:t>
            </w:r>
          </w:p>
          <w:p w:rsidR="00A429F4" w:rsidRPr="006C0077" w:rsidRDefault="00A429F4" w:rsidP="006C0077">
            <w:pPr>
              <w:spacing w:before="40" w:after="40"/>
              <w:jc w:val="both"/>
              <w:rPr>
                <w:rFonts w:ascii="Times New Roman" w:hAnsi="Times New Roman" w:cs="Times New Roman"/>
                <w:color w:val="000000"/>
                <w:spacing w:val="-2"/>
              </w:rPr>
            </w:pPr>
            <w:r w:rsidRPr="00B25FEE">
              <w:rPr>
                <w:rFonts w:ascii="Times New Roman" w:hAnsi="Times New Roman" w:cs="Times New Roman"/>
                <w:b/>
                <w:color w:val="000000"/>
                <w:spacing w:val="-2"/>
              </w:rPr>
              <w:t>(iii)</w:t>
            </w:r>
            <w:r w:rsidRPr="006C0077">
              <w:rPr>
                <w:rFonts w:ascii="Times New Roman" w:hAnsi="Times New Roman" w:cs="Times New Roman"/>
                <w:color w:val="000000"/>
                <w:spacing w:val="-2"/>
              </w:rPr>
              <w:t xml:space="preserve"> Đơn giản hóa thủ tục điều chuyển, xử lý nhà, đất dôi dư.</w:t>
            </w:r>
          </w:p>
          <w:p w:rsidR="00A429F4" w:rsidRPr="006C0077" w:rsidRDefault="00A429F4" w:rsidP="006C0077">
            <w:pPr>
              <w:spacing w:before="40" w:after="40"/>
              <w:jc w:val="both"/>
              <w:rPr>
                <w:rFonts w:ascii="Times New Roman" w:hAnsi="Times New Roman" w:cs="Times New Roman"/>
                <w:color w:val="000000"/>
                <w:spacing w:val="-2"/>
              </w:rPr>
            </w:pPr>
            <w:r w:rsidRPr="00B25FEE">
              <w:rPr>
                <w:rFonts w:ascii="Times New Roman" w:hAnsi="Times New Roman" w:cs="Times New Roman"/>
                <w:b/>
                <w:color w:val="000000"/>
                <w:spacing w:val="-2"/>
              </w:rPr>
              <w:t>(iv)</w:t>
            </w:r>
            <w:r w:rsidRPr="006C0077">
              <w:rPr>
                <w:rFonts w:ascii="Times New Roman" w:hAnsi="Times New Roman" w:cs="Times New Roman"/>
                <w:color w:val="000000"/>
                <w:spacing w:val="-2"/>
              </w:rPr>
              <w:t xml:space="preserve"> Tổ chức tập huấn chuyên sâu cho cán bộ làm công tác quản lý tài sản công.</w:t>
            </w:r>
          </w:p>
          <w:p w:rsidR="00A429F4" w:rsidRPr="006C0077" w:rsidRDefault="00A429F4" w:rsidP="006C0077">
            <w:pPr>
              <w:spacing w:before="40" w:after="40"/>
              <w:jc w:val="both"/>
              <w:rPr>
                <w:rFonts w:ascii="Times New Roman" w:hAnsi="Times New Roman" w:cs="Times New Roman"/>
                <w:spacing w:val="-2"/>
              </w:rPr>
            </w:pPr>
            <w:r w:rsidRPr="00B25FEE">
              <w:rPr>
                <w:rFonts w:ascii="Times New Roman" w:hAnsi="Times New Roman" w:cs="Times New Roman"/>
                <w:b/>
                <w:color w:val="000000"/>
                <w:spacing w:val="-2"/>
              </w:rPr>
              <w:t>(v)</w:t>
            </w:r>
            <w:r w:rsidRPr="006C0077">
              <w:rPr>
                <w:rFonts w:ascii="Times New Roman" w:hAnsi="Times New Roman" w:cs="Times New Roman"/>
                <w:color w:val="000000"/>
                <w:spacing w:val="-2"/>
              </w:rPr>
              <w:t xml:space="preserve"> Nâng cao trách nhiệm người đứng đầu. Chủ động rà soát, đánh giá hiện trạng sử dụng diện tích. Kịp thời đề xuất phương </w:t>
            </w:r>
            <w:proofErr w:type="gramStart"/>
            <w:r w:rsidRPr="006C0077">
              <w:rPr>
                <w:rFonts w:ascii="Times New Roman" w:hAnsi="Times New Roman" w:cs="Times New Roman"/>
                <w:color w:val="000000"/>
                <w:spacing w:val="-2"/>
              </w:rPr>
              <w:t>án</w:t>
            </w:r>
            <w:proofErr w:type="gramEnd"/>
            <w:r w:rsidRPr="006C0077">
              <w:rPr>
                <w:rFonts w:ascii="Times New Roman" w:hAnsi="Times New Roman" w:cs="Times New Roman"/>
                <w:color w:val="000000"/>
                <w:spacing w:val="-2"/>
              </w:rPr>
              <w:t xml:space="preserve"> xử lý tiêu chuẩn thừa, thiếu định mức.</w:t>
            </w:r>
          </w:p>
        </w:tc>
        <w:tc>
          <w:tcPr>
            <w:tcW w:w="3685" w:type="dxa"/>
          </w:tcPr>
          <w:p w:rsidR="00A429F4" w:rsidRDefault="00A429F4" w:rsidP="006C0077">
            <w:pPr>
              <w:spacing w:before="40" w:after="40"/>
              <w:jc w:val="both"/>
              <w:rPr>
                <w:rFonts w:ascii="Times New Roman" w:hAnsi="Times New Roman" w:cs="Times New Roman"/>
              </w:rPr>
            </w:pPr>
            <w:r w:rsidRPr="006770B4">
              <w:rPr>
                <w:rFonts w:ascii="Times New Roman" w:hAnsi="Times New Roman" w:cs="Times New Roman"/>
                <w:b/>
              </w:rPr>
              <w:t>Giải trình</w:t>
            </w:r>
            <w:r w:rsidRPr="00C539C7">
              <w:rPr>
                <w:rFonts w:ascii="Times New Roman" w:hAnsi="Times New Roman" w:cs="Times New Roman"/>
              </w:rPr>
              <w:t xml:space="preserve">: </w:t>
            </w:r>
          </w:p>
          <w:p w:rsidR="00A429F4" w:rsidRPr="001A5B32" w:rsidRDefault="00A429F4" w:rsidP="006C0077">
            <w:pPr>
              <w:spacing w:before="40" w:after="40"/>
              <w:jc w:val="both"/>
              <w:rPr>
                <w:rFonts w:ascii="Times New Roman" w:hAnsi="Times New Roman" w:cs="Times New Roman"/>
                <w:color w:val="000000"/>
                <w:spacing w:val="-8"/>
                <w:lang w:val="nl-NL"/>
              </w:rPr>
            </w:pPr>
            <w:r w:rsidRPr="001A5B32">
              <w:rPr>
                <w:rFonts w:ascii="Times New Roman" w:hAnsi="Times New Roman" w:cs="Times New Roman"/>
                <w:b/>
                <w:color w:val="000000"/>
                <w:spacing w:val="-8"/>
              </w:rPr>
              <w:t>(i)</w:t>
            </w:r>
            <w:r w:rsidRPr="001A5B32">
              <w:rPr>
                <w:rFonts w:ascii="Times New Roman" w:hAnsi="Times New Roman" w:cs="Times New Roman"/>
                <w:color w:val="000000"/>
                <w:spacing w:val="-8"/>
              </w:rPr>
              <w:t xml:space="preserve"> </w:t>
            </w:r>
            <w:r w:rsidRPr="001A5B32">
              <w:rPr>
                <w:rFonts w:ascii="Times New Roman" w:hAnsi="Times New Roman" w:cs="Times New Roman"/>
                <w:color w:val="000000"/>
                <w:spacing w:val="-8"/>
                <w:lang w:val="nl-NL"/>
              </w:rPr>
              <w:t xml:space="preserve">Tại STT 51 Mục VI Phụ lục I kèm theo QĐ 125/QĐ-TTg ngày 16/01/2026, TTgCP giao Bộ Tài chính chủ trì thực hiện Đề </w:t>
            </w:r>
            <w:proofErr w:type="gramStart"/>
            <w:r w:rsidRPr="001A5B32">
              <w:rPr>
                <w:rFonts w:ascii="Times New Roman" w:hAnsi="Times New Roman" w:cs="Times New Roman"/>
                <w:color w:val="000000"/>
                <w:spacing w:val="-8"/>
                <w:lang w:val="nl-NL"/>
              </w:rPr>
              <w:t>án</w:t>
            </w:r>
            <w:proofErr w:type="gramEnd"/>
            <w:r w:rsidRPr="001A5B32">
              <w:rPr>
                <w:rFonts w:ascii="Times New Roman" w:hAnsi="Times New Roman" w:cs="Times New Roman"/>
                <w:color w:val="000000"/>
                <w:spacing w:val="-8"/>
                <w:lang w:val="nl-NL"/>
              </w:rPr>
              <w:t xml:space="preserve"> Nghị định sửa đổi, bổ sung NĐ155.</w:t>
            </w:r>
          </w:p>
          <w:p w:rsidR="00A429F4" w:rsidRPr="00C067F9" w:rsidRDefault="00A429F4" w:rsidP="006C0077">
            <w:pPr>
              <w:spacing w:before="40" w:after="40"/>
              <w:jc w:val="both"/>
              <w:rPr>
                <w:rFonts w:ascii="Times New Roman" w:hAnsi="Times New Roman" w:cs="Times New Roman"/>
                <w:color w:val="000000"/>
                <w:lang w:val="nl-NL"/>
              </w:rPr>
            </w:pPr>
            <w:r w:rsidRPr="00C067F9">
              <w:rPr>
                <w:rFonts w:ascii="Times New Roman" w:hAnsi="Times New Roman" w:cs="Times New Roman"/>
                <w:b/>
                <w:color w:val="000000"/>
                <w:lang w:val="nl-NL"/>
              </w:rPr>
              <w:t>(ii)</w:t>
            </w:r>
            <w:r w:rsidRPr="00C067F9">
              <w:rPr>
                <w:rFonts w:ascii="Times New Roman" w:hAnsi="Times New Roman" w:cs="Times New Roman"/>
              </w:rPr>
              <w:t xml:space="preserve"> Tại K3 Đ12 NĐ155 đã quy định diện tích CTSN khác lĩnh vực y tế, GD&amp;ĐT do cơ quan, người có thẩm </w:t>
            </w:r>
            <w:r w:rsidRPr="00C067F9">
              <w:rPr>
                <w:rFonts w:ascii="Times New Roman" w:hAnsi="Times New Roman" w:cs="Times New Roman"/>
              </w:rPr>
              <w:lastRenderedPageBreak/>
              <w:t xml:space="preserve">quyền quyết định; </w:t>
            </w:r>
            <w:r w:rsidRPr="00C067F9">
              <w:rPr>
                <w:rFonts w:ascii="Times New Roman" w:hAnsi="Times New Roman" w:cs="Times New Roman"/>
                <w:color w:val="000000"/>
              </w:rPr>
              <w:t>vì vậy, đề nghị giữ như quy định hiện hành.</w:t>
            </w:r>
            <w:r w:rsidRPr="00C067F9">
              <w:rPr>
                <w:rFonts w:ascii="Times New Roman" w:hAnsi="Times New Roman" w:cs="Times New Roman"/>
                <w:color w:val="000000"/>
                <w:lang w:val="nl-NL"/>
              </w:rPr>
              <w:t xml:space="preserve"> </w:t>
            </w:r>
          </w:p>
          <w:p w:rsidR="00A429F4" w:rsidRPr="001A5B32" w:rsidRDefault="00A429F4" w:rsidP="006C0077">
            <w:pPr>
              <w:spacing w:before="40" w:after="40"/>
              <w:jc w:val="both"/>
              <w:rPr>
                <w:rFonts w:ascii="Times New Roman" w:hAnsi="Times New Roman" w:cs="Times New Roman"/>
                <w:color w:val="000000"/>
                <w:spacing w:val="-8"/>
                <w:lang w:val="nl-NL"/>
              </w:rPr>
            </w:pPr>
            <w:r w:rsidRPr="001A5B32">
              <w:rPr>
                <w:rFonts w:ascii="Times New Roman" w:hAnsi="Times New Roman" w:cs="Times New Roman"/>
                <w:b/>
                <w:color w:val="000000"/>
                <w:spacing w:val="-8"/>
                <w:lang w:val="nl-NL"/>
              </w:rPr>
              <w:t>(iii)</w:t>
            </w:r>
            <w:r w:rsidRPr="001A5B32">
              <w:rPr>
                <w:rFonts w:ascii="Times New Roman" w:hAnsi="Times New Roman" w:cs="Times New Roman"/>
                <w:color w:val="000000"/>
                <w:spacing w:val="-8"/>
                <w:lang w:val="nl-NL"/>
              </w:rPr>
              <w:t xml:space="preserve"> Tại Luật QLSD TSC và các văn bản hướng dẫn thi hành đã quy định đơn giản hóa thủ tục điều chuyển, xử lý nhà, đất dôi dư như: phân cấp, phân quyền mạnh mẽ, chuyển thẩm quyền quyết định điều chuyển giữa Bộ, ngành, địa phương từ Bộ Tài chính cho các Bộ, ngành, địa phương; không bắt được sắp xếp lại trước khi xử lý trong một số trường hợp như điều chuyển nội bộ; đẩy mạnh ủy quyền gắn với trách nhiệm, tăng tính chủ động, linh hoạt;...</w:t>
            </w:r>
          </w:p>
          <w:p w:rsidR="00A429F4" w:rsidRPr="001915BA" w:rsidRDefault="00A429F4" w:rsidP="006C0077">
            <w:pPr>
              <w:spacing w:before="40" w:after="40"/>
              <w:jc w:val="both"/>
              <w:rPr>
                <w:rFonts w:ascii="Times New Roman" w:hAnsi="Times New Roman" w:cs="Times New Roman"/>
                <w:color w:val="000000"/>
              </w:rPr>
            </w:pPr>
            <w:r w:rsidRPr="001915BA">
              <w:rPr>
                <w:rFonts w:ascii="Times New Roman" w:hAnsi="Times New Roman" w:cs="Times New Roman"/>
                <w:b/>
                <w:color w:val="000000"/>
                <w:lang w:val="nl-NL"/>
              </w:rPr>
              <w:t>(iv)</w:t>
            </w:r>
            <w:r w:rsidRPr="001915BA">
              <w:rPr>
                <w:rFonts w:ascii="Times New Roman" w:hAnsi="Times New Roman" w:cs="Times New Roman"/>
                <w:color w:val="000000"/>
                <w:lang w:val="nl-NL"/>
              </w:rPr>
              <w:t xml:space="preserve"> </w:t>
            </w:r>
            <w:r w:rsidRPr="001915BA">
              <w:rPr>
                <w:rFonts w:ascii="Times New Roman" w:hAnsi="Times New Roman" w:cs="Times New Roman"/>
                <w:b/>
                <w:color w:val="000000"/>
              </w:rPr>
              <w:t>Tiếp thu</w:t>
            </w:r>
            <w:r w:rsidRPr="001915BA">
              <w:rPr>
                <w:rFonts w:ascii="Times New Roman" w:hAnsi="Times New Roman" w:cs="Times New Roman"/>
                <w:color w:val="000000"/>
              </w:rPr>
              <w:t>, Bộ Tài chính sẽ tiếp tục thực hiện công tác tập huấn, hướng dẫn triển khai thi hành chính sách.</w:t>
            </w:r>
          </w:p>
          <w:p w:rsidR="00A429F4" w:rsidRPr="001A5B32" w:rsidRDefault="00A429F4" w:rsidP="006C0077">
            <w:pPr>
              <w:spacing w:before="40" w:after="40"/>
              <w:jc w:val="both"/>
              <w:rPr>
                <w:rFonts w:ascii="Times New Roman" w:hAnsi="Times New Roman" w:cs="Times New Roman"/>
                <w:color w:val="000000"/>
                <w:spacing w:val="-8"/>
                <w:lang w:val="nl-NL"/>
              </w:rPr>
            </w:pPr>
            <w:r w:rsidRPr="001A5B32">
              <w:rPr>
                <w:rFonts w:ascii="Times New Roman" w:hAnsi="Times New Roman" w:cs="Times New Roman"/>
                <w:b/>
                <w:color w:val="000000"/>
                <w:spacing w:val="-8"/>
              </w:rPr>
              <w:t>(v)</w:t>
            </w:r>
            <w:r w:rsidRPr="001A5B32">
              <w:rPr>
                <w:rFonts w:ascii="Times New Roman" w:hAnsi="Times New Roman" w:cs="Times New Roman"/>
                <w:color w:val="000000"/>
                <w:spacing w:val="-8"/>
              </w:rPr>
              <w:t xml:space="preserve"> Tại Điều 15 đã quy định trách nhiệm thi hành, thuộc thẩm quyền của bộ, cơ quan trung ương;</w:t>
            </w:r>
            <w:r w:rsidRPr="001A5B32">
              <w:rPr>
                <w:rFonts w:ascii="Times New Roman" w:hAnsi="Times New Roman" w:cs="Times New Roman"/>
                <w:spacing w:val="-8"/>
              </w:rPr>
              <w:t xml:space="preserve"> </w:t>
            </w:r>
            <w:r w:rsidRPr="001A5B32">
              <w:rPr>
                <w:rFonts w:ascii="Times New Roman" w:hAnsi="Times New Roman" w:cs="Times New Roman"/>
                <w:color w:val="000000"/>
                <w:spacing w:val="-8"/>
              </w:rPr>
              <w:t>vì vậy, đề nghị giữ như quy định hiện hành.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C65D55" w:rsidRDefault="00A429F4" w:rsidP="006C0077">
            <w:pPr>
              <w:spacing w:before="40" w:after="40"/>
              <w:jc w:val="center"/>
              <w:rPr>
                <w:rFonts w:ascii="Times New Roman" w:hAnsi="Times New Roman" w:cs="Times New Roman"/>
                <w:color w:val="000000"/>
                <w:spacing w:val="-2"/>
              </w:rPr>
            </w:pPr>
            <w:r w:rsidRPr="00C65D55">
              <w:rPr>
                <w:rFonts w:ascii="Times New Roman" w:hAnsi="Times New Roman" w:cs="Times New Roman"/>
                <w:color w:val="000000"/>
                <w:spacing w:val="-2"/>
              </w:rPr>
              <w:t>Bộ NN&amp;MT</w:t>
            </w:r>
          </w:p>
        </w:tc>
        <w:tc>
          <w:tcPr>
            <w:tcW w:w="7728" w:type="dxa"/>
          </w:tcPr>
          <w:p w:rsidR="00A429F4" w:rsidRPr="00C65D55" w:rsidRDefault="00A429F4" w:rsidP="006C0077">
            <w:pPr>
              <w:spacing w:before="40" w:after="40"/>
              <w:jc w:val="both"/>
              <w:rPr>
                <w:rFonts w:ascii="Times New Roman" w:hAnsi="Times New Roman" w:cs="Times New Roman"/>
                <w:color w:val="000000"/>
                <w:spacing w:val="-2"/>
              </w:rPr>
            </w:pPr>
            <w:r w:rsidRPr="00C65D55">
              <w:rPr>
                <w:rFonts w:ascii="Times New Roman" w:hAnsi="Times New Roman" w:cs="Times New Roman"/>
                <w:color w:val="000000"/>
                <w:spacing w:val="-2"/>
              </w:rPr>
              <w:t>Quy định cụ thể thẩm quyền quyết định trong quản lý, sử dụng TSC tại Nghị định, do việc xây dựng Thông tư để phân cấp thẩm quyền quyết định trong quản lý, sử dụng TSC cần nhiều thời gian, dẫn đến chậm trễ trong việc triển khai Nghị định tại đơn vị.</w:t>
            </w:r>
          </w:p>
        </w:tc>
        <w:tc>
          <w:tcPr>
            <w:tcW w:w="3685" w:type="dxa"/>
          </w:tcPr>
          <w:p w:rsidR="00A429F4" w:rsidRPr="001A5B32" w:rsidRDefault="00A429F4" w:rsidP="003B2A0C">
            <w:pPr>
              <w:spacing w:before="40" w:after="40"/>
              <w:jc w:val="both"/>
              <w:rPr>
                <w:rFonts w:ascii="Times New Roman" w:hAnsi="Times New Roman" w:cs="Times New Roman"/>
                <w:color w:val="000000"/>
                <w:spacing w:val="-6"/>
              </w:rPr>
            </w:pPr>
            <w:r w:rsidRPr="001A5B32">
              <w:rPr>
                <w:rFonts w:ascii="Times New Roman" w:hAnsi="Times New Roman" w:cs="Times New Roman"/>
                <w:b/>
                <w:spacing w:val="-6"/>
              </w:rPr>
              <w:t>Giải trình</w:t>
            </w:r>
            <w:r w:rsidRPr="001A5B32">
              <w:rPr>
                <w:rStyle w:val="FootnoteReference"/>
                <w:rFonts w:ascii="Times New Roman" w:hAnsi="Times New Roman" w:cs="Times New Roman"/>
                <w:b/>
                <w:spacing w:val="-6"/>
              </w:rPr>
              <w:footnoteReference w:id="2"/>
            </w:r>
            <w:r w:rsidRPr="001A5B32">
              <w:rPr>
                <w:rFonts w:ascii="Times New Roman" w:hAnsi="Times New Roman" w:cs="Times New Roman"/>
                <w:spacing w:val="-6"/>
              </w:rPr>
              <w:t xml:space="preserve">: </w:t>
            </w:r>
            <w:r w:rsidRPr="001A5B32">
              <w:rPr>
                <w:rFonts w:ascii="Times New Roman" w:hAnsi="Times New Roman" w:cs="Times New Roman"/>
                <w:color w:val="000000"/>
                <w:spacing w:val="-6"/>
              </w:rPr>
              <w:t xml:space="preserve">Tại NĐ155 quy định </w:t>
            </w:r>
            <w:r w:rsidRPr="001A5B32">
              <w:rPr>
                <w:rFonts w:ascii="Times New Roman" w:hAnsi="Times New Roman" w:cs="Times New Roman"/>
                <w:color w:val="000000"/>
                <w:spacing w:val="-6"/>
                <w:u w:val="single"/>
              </w:rPr>
              <w:t>căn cứ chức năng, nhiệm vụ, văn bản thể hiện nhiệm vụ đặc thù của CQ, TC, ĐV, nhu cầu sử dụng thực tế và quy định khác có liên quan</w:t>
            </w:r>
            <w:r w:rsidRPr="001A5B32">
              <w:rPr>
                <w:rFonts w:ascii="Times New Roman" w:hAnsi="Times New Roman" w:cs="Times New Roman"/>
                <w:color w:val="000000"/>
                <w:spacing w:val="-6"/>
              </w:rPr>
              <w:t>, Bộ trưởng quyết định hoặc phân cấp thẩm quyền quyết định đối với các CQ, TC, ĐV thuộc phạm vi quản lý.</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C65D55" w:rsidRDefault="00A429F4" w:rsidP="006C0077">
            <w:pPr>
              <w:spacing w:before="40" w:after="40"/>
              <w:jc w:val="center"/>
              <w:rPr>
                <w:rFonts w:ascii="Times New Roman" w:hAnsi="Times New Roman" w:cs="Times New Roman"/>
                <w:color w:val="000000"/>
                <w:spacing w:val="-2"/>
              </w:rPr>
            </w:pPr>
            <w:r w:rsidRPr="00C65D55">
              <w:rPr>
                <w:rFonts w:ascii="Times New Roman" w:hAnsi="Times New Roman" w:cs="Times New Roman"/>
                <w:color w:val="000000"/>
                <w:spacing w:val="-2"/>
              </w:rPr>
              <w:t>Bộ Giáo dục và Đào tạo</w:t>
            </w:r>
          </w:p>
        </w:tc>
        <w:tc>
          <w:tcPr>
            <w:tcW w:w="7728" w:type="dxa"/>
          </w:tcPr>
          <w:p w:rsidR="00A429F4" w:rsidRPr="00C65D55" w:rsidRDefault="00A429F4" w:rsidP="006C0077">
            <w:pPr>
              <w:spacing w:before="40" w:after="40"/>
              <w:jc w:val="both"/>
              <w:rPr>
                <w:rFonts w:ascii="Times New Roman" w:hAnsi="Times New Roman" w:cs="Times New Roman"/>
                <w:color w:val="000000"/>
                <w:spacing w:val="-2"/>
              </w:rPr>
            </w:pPr>
            <w:r w:rsidRPr="00C65D55">
              <w:rPr>
                <w:rFonts w:ascii="Times New Roman" w:hAnsi="Times New Roman" w:cs="Times New Roman"/>
                <w:b/>
                <w:color w:val="000000"/>
                <w:spacing w:val="-2"/>
              </w:rPr>
              <w:t>(i)</w:t>
            </w:r>
            <w:r w:rsidRPr="00C65D55">
              <w:rPr>
                <w:rFonts w:ascii="Times New Roman" w:hAnsi="Times New Roman" w:cs="Times New Roman"/>
                <w:color w:val="000000"/>
                <w:spacing w:val="-2"/>
              </w:rPr>
              <w:t xml:space="preserve"> </w:t>
            </w:r>
            <w:r w:rsidR="00C65D55" w:rsidRPr="00C65D55">
              <w:rPr>
                <w:rFonts w:ascii="Times New Roman" w:hAnsi="Times New Roman" w:cs="Times New Roman"/>
                <w:color w:val="000000"/>
                <w:spacing w:val="-2"/>
              </w:rPr>
              <w:t>Về xây dựng cơ sở dữ liệu số: Chính phủ chỉ đạo sớm xây dựng hệ thống phần mềm quản lý tiêu chuẩn, định mức tài sản công tập trung. Việc này giúp các bộ ngành thuận lợi hơn trong việc tổng hợp, đánh giá tình hình thực tế các đơn vị trực thuộc.</w:t>
            </w:r>
          </w:p>
          <w:p w:rsidR="00A429F4" w:rsidRPr="00C65D55" w:rsidRDefault="00A429F4" w:rsidP="00B40B23">
            <w:pPr>
              <w:spacing w:before="40" w:after="40"/>
              <w:jc w:val="both"/>
              <w:rPr>
                <w:rFonts w:ascii="Times New Roman" w:hAnsi="Times New Roman" w:cs="Times New Roman"/>
                <w:color w:val="000000"/>
                <w:spacing w:val="-2"/>
              </w:rPr>
            </w:pPr>
            <w:r w:rsidRPr="00C65D55">
              <w:rPr>
                <w:rFonts w:ascii="Times New Roman" w:hAnsi="Times New Roman" w:cs="Times New Roman"/>
                <w:b/>
                <w:color w:val="000000"/>
                <w:spacing w:val="-2"/>
              </w:rPr>
              <w:t>(ii)</w:t>
            </w:r>
            <w:r w:rsidRPr="00C65D55">
              <w:rPr>
                <w:rFonts w:ascii="Times New Roman" w:hAnsi="Times New Roman" w:cs="Times New Roman"/>
                <w:color w:val="000000"/>
                <w:spacing w:val="-2"/>
              </w:rPr>
              <w:t xml:space="preserve"> Về tập huấn nghiệp vụ: Tổ chức các lớp bồi dưỡng cho cán bộ quản lý tài sản tại các cơ sở giáo dục để nắm bắt kịp thời các điểm mới theo quy định tại Nghị định 155/2025/NĐ-CP.</w:t>
            </w:r>
          </w:p>
        </w:tc>
        <w:tc>
          <w:tcPr>
            <w:tcW w:w="3685" w:type="dxa"/>
          </w:tcPr>
          <w:p w:rsidR="00A429F4" w:rsidRPr="00C65D55" w:rsidRDefault="00A429F4" w:rsidP="005C5B03">
            <w:pPr>
              <w:jc w:val="both"/>
              <w:rPr>
                <w:rFonts w:ascii="Times New Roman" w:hAnsi="Times New Roman" w:cs="Times New Roman"/>
                <w:b/>
                <w:color w:val="000000"/>
                <w:spacing w:val="-2"/>
                <w:lang w:val="nl-NL"/>
              </w:rPr>
            </w:pPr>
            <w:r w:rsidRPr="00C65D55">
              <w:rPr>
                <w:rFonts w:ascii="Times New Roman" w:hAnsi="Times New Roman" w:cs="Times New Roman"/>
                <w:b/>
                <w:color w:val="000000"/>
                <w:spacing w:val="-2"/>
                <w:lang w:val="nl-NL"/>
              </w:rPr>
              <w:t xml:space="preserve">(i) </w:t>
            </w:r>
            <w:r w:rsidR="00C65D55" w:rsidRPr="00C65D55">
              <w:rPr>
                <w:rFonts w:ascii="Times New Roman" w:hAnsi="Times New Roman" w:cs="Times New Roman"/>
                <w:color w:val="000000"/>
                <w:spacing w:val="-2"/>
              </w:rPr>
              <w:t>Bộ Tài chính đã có Phần mềm QLTSC, hiện đang được nghiên cứu đầu tư nâng cấp.</w:t>
            </w:r>
          </w:p>
          <w:p w:rsidR="00A429F4" w:rsidRPr="00C65D55" w:rsidRDefault="00A429F4" w:rsidP="005C5B03">
            <w:pPr>
              <w:jc w:val="both"/>
              <w:rPr>
                <w:rFonts w:ascii="Times New Roman" w:hAnsi="Times New Roman" w:cs="Times New Roman"/>
                <w:color w:val="000000"/>
                <w:spacing w:val="-2"/>
              </w:rPr>
            </w:pPr>
            <w:r w:rsidRPr="00C65D55">
              <w:rPr>
                <w:rFonts w:ascii="Times New Roman" w:hAnsi="Times New Roman" w:cs="Times New Roman"/>
                <w:b/>
                <w:color w:val="000000"/>
                <w:spacing w:val="-2"/>
                <w:lang w:val="nl-NL"/>
              </w:rPr>
              <w:t>(ii)</w:t>
            </w:r>
            <w:r w:rsidRPr="00C65D55">
              <w:rPr>
                <w:rFonts w:ascii="Times New Roman" w:hAnsi="Times New Roman" w:cs="Times New Roman"/>
                <w:color w:val="000000"/>
                <w:spacing w:val="-2"/>
                <w:lang w:val="nl-NL"/>
              </w:rPr>
              <w:t xml:space="preserve"> </w:t>
            </w:r>
            <w:r w:rsidRPr="00C65D55">
              <w:rPr>
                <w:rFonts w:ascii="Times New Roman" w:hAnsi="Times New Roman" w:cs="Times New Roman"/>
                <w:b/>
                <w:color w:val="000000"/>
                <w:spacing w:val="-2"/>
              </w:rPr>
              <w:t>Tiếp thu</w:t>
            </w:r>
            <w:r w:rsidRPr="00C65D55">
              <w:rPr>
                <w:rFonts w:ascii="Times New Roman" w:hAnsi="Times New Roman" w:cs="Times New Roman"/>
                <w:color w:val="000000"/>
                <w:spacing w:val="-2"/>
              </w:rPr>
              <w:t>, Bộ Tài chính sẽ tiếp tục thực hiện công tác tập huấn, hướng dẫn triển khai thi hành chính sách.</w:t>
            </w:r>
          </w:p>
        </w:tc>
      </w:tr>
      <w:tr w:rsidR="00FC4CED" w:rsidRPr="006C0077" w:rsidTr="00C067F9">
        <w:tc>
          <w:tcPr>
            <w:tcW w:w="1625" w:type="dxa"/>
            <w:vMerge/>
          </w:tcPr>
          <w:p w:rsidR="00FC4CED" w:rsidRPr="006C0077" w:rsidRDefault="00FC4CED" w:rsidP="006C0077">
            <w:pPr>
              <w:spacing w:before="40" w:after="40"/>
              <w:rPr>
                <w:rFonts w:ascii="Times New Roman" w:hAnsi="Times New Roman" w:cs="Times New Roman"/>
                <w:spacing w:val="-2"/>
              </w:rPr>
            </w:pPr>
          </w:p>
        </w:tc>
        <w:tc>
          <w:tcPr>
            <w:tcW w:w="1812" w:type="dxa"/>
          </w:tcPr>
          <w:p w:rsidR="00FC4CED" w:rsidRPr="006C0077" w:rsidRDefault="00FC4CED" w:rsidP="006C0077">
            <w:pPr>
              <w:spacing w:before="40" w:after="40"/>
              <w:jc w:val="center"/>
              <w:rPr>
                <w:rFonts w:ascii="Times New Roman" w:hAnsi="Times New Roman" w:cs="Times New Roman"/>
                <w:color w:val="000000"/>
                <w:spacing w:val="-2"/>
              </w:rPr>
            </w:pPr>
            <w:r>
              <w:rPr>
                <w:rFonts w:ascii="Times New Roman" w:hAnsi="Times New Roman" w:cs="Times New Roman"/>
                <w:color w:val="000000"/>
                <w:spacing w:val="-2"/>
              </w:rPr>
              <w:t>Bộ Ngoại giao</w:t>
            </w:r>
          </w:p>
        </w:tc>
        <w:tc>
          <w:tcPr>
            <w:tcW w:w="7728" w:type="dxa"/>
          </w:tcPr>
          <w:p w:rsidR="00FC4CED" w:rsidRDefault="00FC4CED" w:rsidP="006C0077">
            <w:pPr>
              <w:spacing w:before="40" w:after="40"/>
              <w:jc w:val="both"/>
              <w:rPr>
                <w:rFonts w:ascii="Times New Roman" w:hAnsi="Times New Roman" w:cs="Times New Roman"/>
                <w:color w:val="000000"/>
                <w:spacing w:val="-2"/>
              </w:rPr>
            </w:pPr>
            <w:r>
              <w:rPr>
                <w:rFonts w:ascii="Times New Roman" w:hAnsi="Times New Roman" w:cs="Times New Roman"/>
                <w:b/>
                <w:color w:val="000000"/>
                <w:spacing w:val="-2"/>
              </w:rPr>
              <w:t>(i)</w:t>
            </w:r>
            <w:r w:rsidRPr="00FC4CED">
              <w:rPr>
                <w:rFonts w:ascii="Times New Roman" w:hAnsi="Times New Roman" w:cs="Times New Roman"/>
                <w:b/>
                <w:color w:val="000000"/>
                <w:spacing w:val="-2"/>
              </w:rPr>
              <w:t xml:space="preserve"> </w:t>
            </w:r>
            <w:r w:rsidRPr="00FC4CED">
              <w:rPr>
                <w:rFonts w:ascii="Times New Roman" w:hAnsi="Times New Roman" w:cs="Times New Roman"/>
                <w:color w:val="000000"/>
                <w:spacing w:val="-2"/>
              </w:rPr>
              <w:t xml:space="preserve">Đẩy mạnh công tác rà soát và kiểm kê: Cập nhật kịp thời, chính xác dữ liệu vào Phần mềm Quản lý tài sản công quốc gia để làm cơ sở cho việc lập kế hoạch đầu tư công và xử lý tài sản. </w:t>
            </w:r>
          </w:p>
          <w:p w:rsidR="00460A89" w:rsidRDefault="00FC4CED" w:rsidP="00460A89">
            <w:pPr>
              <w:spacing w:before="40" w:after="40"/>
              <w:jc w:val="both"/>
              <w:rPr>
                <w:rFonts w:ascii="Times New Roman" w:hAnsi="Times New Roman" w:cs="Times New Roman"/>
                <w:color w:val="000000"/>
                <w:spacing w:val="-2"/>
              </w:rPr>
            </w:pPr>
            <w:r w:rsidRPr="00FC4CED">
              <w:rPr>
                <w:rFonts w:ascii="Times New Roman" w:hAnsi="Times New Roman" w:cs="Times New Roman"/>
                <w:b/>
                <w:color w:val="000000"/>
                <w:spacing w:val="-2"/>
              </w:rPr>
              <w:t>(ii)</w:t>
            </w:r>
            <w:r w:rsidRPr="00FC4CED">
              <w:rPr>
                <w:rFonts w:ascii="Times New Roman" w:hAnsi="Times New Roman" w:cs="Times New Roman"/>
                <w:color w:val="000000"/>
                <w:spacing w:val="-2"/>
              </w:rPr>
              <w:t xml:space="preserve"> Tăng cường ứng dụng công nghệ thông tin: Triển khai hệ thống quản lý văn phòng ảo và lưu trữ điện tử để giảm nhu cầu về diện tích khu lưu trữ giấy và phòng làm việc truyền thống. </w:t>
            </w:r>
          </w:p>
          <w:p w:rsidR="00FC4CED" w:rsidRDefault="00460A89" w:rsidP="00460A89">
            <w:pPr>
              <w:spacing w:before="40" w:after="40"/>
              <w:jc w:val="both"/>
              <w:rPr>
                <w:rFonts w:ascii="Times New Roman" w:hAnsi="Times New Roman" w:cs="Times New Roman"/>
                <w:color w:val="000000"/>
                <w:spacing w:val="-2"/>
              </w:rPr>
            </w:pPr>
            <w:r w:rsidRPr="00460A89">
              <w:rPr>
                <w:rFonts w:ascii="Times New Roman" w:hAnsi="Times New Roman" w:cs="Times New Roman"/>
                <w:b/>
                <w:color w:val="000000"/>
                <w:spacing w:val="-2"/>
              </w:rPr>
              <w:t>(iii</w:t>
            </w:r>
            <w:r w:rsidR="00FC4CED" w:rsidRPr="00460A89">
              <w:rPr>
                <w:rFonts w:ascii="Times New Roman" w:hAnsi="Times New Roman" w:cs="Times New Roman"/>
                <w:b/>
                <w:color w:val="000000"/>
                <w:spacing w:val="-2"/>
              </w:rPr>
              <w:t>)</w:t>
            </w:r>
            <w:r w:rsidR="00FC4CED" w:rsidRPr="00FC4CED">
              <w:rPr>
                <w:rFonts w:ascii="Times New Roman" w:hAnsi="Times New Roman" w:cs="Times New Roman"/>
                <w:color w:val="000000"/>
                <w:spacing w:val="-2"/>
              </w:rPr>
              <w:t xml:space="preserve"> Đào tạo và tập huấn nghiệp vụ: Tổ chức các lớp tập huấn chuyên sâu cho cán bộ làm công tác quản lý tài sản công, đặc biệt là cách xác định diện tích chuyên dùng và diện tích sự nghiệp theo quy định mới. Ban hành sổ tay hướng dẫn (Cẩm nang thực hiện Nghị định 155) để thống nhất cách hiểu và làm trên toàn địa bàn, toàn ngành.</w:t>
            </w:r>
          </w:p>
          <w:p w:rsidR="009D0990" w:rsidRDefault="008679B5" w:rsidP="009D0990">
            <w:pPr>
              <w:spacing w:before="40" w:after="40"/>
              <w:jc w:val="both"/>
              <w:rPr>
                <w:rFonts w:ascii="Times New Roman" w:hAnsi="Times New Roman" w:cs="Times New Roman"/>
                <w:color w:val="000000"/>
                <w:spacing w:val="-2"/>
              </w:rPr>
            </w:pPr>
            <w:r w:rsidRPr="008679B5">
              <w:rPr>
                <w:rFonts w:ascii="Times New Roman" w:hAnsi="Times New Roman" w:cs="Times New Roman"/>
                <w:b/>
                <w:color w:val="000000"/>
                <w:spacing w:val="-2"/>
              </w:rPr>
              <w:t>(iv)</w:t>
            </w:r>
            <w:r>
              <w:rPr>
                <w:rFonts w:ascii="Times New Roman" w:hAnsi="Times New Roman" w:cs="Times New Roman"/>
                <w:b/>
                <w:color w:val="000000"/>
                <w:spacing w:val="-2"/>
              </w:rPr>
              <w:t xml:space="preserve"> </w:t>
            </w:r>
            <w:r w:rsidRPr="008679B5">
              <w:rPr>
                <w:rFonts w:ascii="Times New Roman" w:hAnsi="Times New Roman" w:cs="Times New Roman"/>
                <w:color w:val="000000"/>
                <w:spacing w:val="-2"/>
              </w:rPr>
              <w:t>Đẩy mạnh rà soát, sắp xếp và sử dụng hiệu quả trụ sở</w:t>
            </w:r>
            <w:r w:rsidR="009D0990">
              <w:rPr>
                <w:rFonts w:ascii="Times New Roman" w:hAnsi="Times New Roman" w:cs="Times New Roman"/>
                <w:color w:val="000000"/>
                <w:spacing w:val="-2"/>
              </w:rPr>
              <w:t xml:space="preserve"> công; </w:t>
            </w:r>
          </w:p>
          <w:p w:rsidR="008679B5" w:rsidRPr="008679B5" w:rsidRDefault="009D0990" w:rsidP="009D0990">
            <w:pPr>
              <w:spacing w:before="40" w:after="40"/>
              <w:jc w:val="both"/>
              <w:rPr>
                <w:rFonts w:ascii="Times New Roman" w:hAnsi="Times New Roman" w:cs="Times New Roman"/>
                <w:b/>
                <w:color w:val="000000"/>
                <w:spacing w:val="-2"/>
              </w:rPr>
            </w:pPr>
            <w:r w:rsidRPr="009D0990">
              <w:rPr>
                <w:rFonts w:ascii="Times New Roman" w:hAnsi="Times New Roman" w:cs="Times New Roman"/>
                <w:b/>
                <w:color w:val="000000"/>
                <w:spacing w:val="-2"/>
              </w:rPr>
              <w:t>(v)</w:t>
            </w:r>
            <w:r>
              <w:rPr>
                <w:rFonts w:ascii="Times New Roman" w:hAnsi="Times New Roman" w:cs="Times New Roman"/>
                <w:color w:val="000000"/>
                <w:spacing w:val="-2"/>
              </w:rPr>
              <w:t xml:space="preserve"> </w:t>
            </w:r>
            <w:r w:rsidR="008679B5" w:rsidRPr="008679B5">
              <w:rPr>
                <w:rFonts w:ascii="Times New Roman" w:hAnsi="Times New Roman" w:cs="Times New Roman"/>
                <w:color w:val="000000"/>
                <w:spacing w:val="-2"/>
              </w:rPr>
              <w:t>Tăng cường thanh tra, kiểm tra việc quản lý tài sản công.</w:t>
            </w:r>
          </w:p>
        </w:tc>
        <w:tc>
          <w:tcPr>
            <w:tcW w:w="3685" w:type="dxa"/>
          </w:tcPr>
          <w:p w:rsidR="00FC4CED" w:rsidRDefault="00460A89" w:rsidP="005C5B03">
            <w:pPr>
              <w:jc w:val="both"/>
              <w:rPr>
                <w:rFonts w:ascii="Times New Roman" w:hAnsi="Times New Roman" w:cs="Times New Roman"/>
                <w:color w:val="000000"/>
                <w:spacing w:val="-2"/>
              </w:rPr>
            </w:pPr>
            <w:r w:rsidRPr="00460A89">
              <w:rPr>
                <w:rFonts w:ascii="Times New Roman" w:hAnsi="Times New Roman" w:cs="Times New Roman"/>
                <w:b/>
                <w:color w:val="000000"/>
                <w:spacing w:val="-2"/>
              </w:rPr>
              <w:t>(i)</w:t>
            </w:r>
            <w:r w:rsidRPr="002F4E28">
              <w:rPr>
                <w:rFonts w:ascii="Times New Roman" w:hAnsi="Times New Roman" w:cs="Times New Roman"/>
                <w:b/>
                <w:color w:val="000000"/>
                <w:spacing w:val="-2"/>
              </w:rPr>
              <w:t xml:space="preserve"> Tiếp thu theo hướng:</w:t>
            </w:r>
            <w:r>
              <w:rPr>
                <w:rFonts w:ascii="Times New Roman" w:hAnsi="Times New Roman" w:cs="Times New Roman"/>
                <w:color w:val="000000"/>
                <w:spacing w:val="-2"/>
              </w:rPr>
              <w:t xml:space="preserve"> </w:t>
            </w:r>
            <w:r w:rsidRPr="00C65D55">
              <w:rPr>
                <w:rFonts w:ascii="Times New Roman" w:hAnsi="Times New Roman" w:cs="Times New Roman"/>
                <w:color w:val="000000"/>
                <w:spacing w:val="-2"/>
              </w:rPr>
              <w:t>Bộ Tài chính đã có Phần mềm QLTSC, hiện đang được nghiên cứu đầu tư nâng cấp</w:t>
            </w:r>
            <w:r>
              <w:rPr>
                <w:rFonts w:ascii="Times New Roman" w:hAnsi="Times New Roman" w:cs="Times New Roman"/>
                <w:color w:val="000000"/>
                <w:spacing w:val="-2"/>
              </w:rPr>
              <w:t xml:space="preserve">; trong đó, dự kiến </w:t>
            </w:r>
            <w:r w:rsidRPr="00F04F97">
              <w:rPr>
                <w:rFonts w:ascii="Times New Roman" w:hAnsi="Times New Roman" w:cs="Times New Roman"/>
                <w:color w:val="000000"/>
                <w:spacing w:val="-2"/>
              </w:rPr>
              <w:t>tích hợp thông tin về xử lý tài sản công (trong đó có nhà, đất) vào Cơ sở dữ liệu quốc gia về tài sản công để khai thác dữ liệu phục vụ mục tiêu quản lý</w:t>
            </w:r>
            <w:r>
              <w:rPr>
                <w:rFonts w:ascii="Times New Roman" w:hAnsi="Times New Roman" w:cs="Times New Roman"/>
                <w:color w:val="000000"/>
                <w:spacing w:val="-2"/>
              </w:rPr>
              <w:t>.</w:t>
            </w:r>
          </w:p>
          <w:p w:rsidR="00460A89" w:rsidRDefault="00460A89" w:rsidP="005C5B03">
            <w:pPr>
              <w:jc w:val="both"/>
              <w:rPr>
                <w:rFonts w:ascii="Times New Roman" w:hAnsi="Times New Roman" w:cs="Times New Roman"/>
              </w:rPr>
            </w:pPr>
            <w:r>
              <w:rPr>
                <w:rFonts w:ascii="Times New Roman" w:hAnsi="Times New Roman" w:cs="Times New Roman"/>
                <w:b/>
                <w:color w:val="000000"/>
                <w:spacing w:val="-2"/>
              </w:rPr>
              <w:t>(ii)</w:t>
            </w:r>
            <w:r w:rsidR="009D0990">
              <w:rPr>
                <w:rFonts w:ascii="Times New Roman" w:hAnsi="Times New Roman" w:cs="Times New Roman"/>
                <w:b/>
                <w:color w:val="000000"/>
                <w:spacing w:val="-2"/>
              </w:rPr>
              <w:t xml:space="preserve"> (</w:t>
            </w:r>
            <w:proofErr w:type="gramStart"/>
            <w:r w:rsidR="009D0990">
              <w:rPr>
                <w:rFonts w:ascii="Times New Roman" w:hAnsi="Times New Roman" w:cs="Times New Roman"/>
                <w:b/>
                <w:color w:val="000000"/>
                <w:spacing w:val="-2"/>
              </w:rPr>
              <w:t>iv</w:t>
            </w:r>
            <w:proofErr w:type="gramEnd"/>
            <w:r w:rsidR="009D0990">
              <w:rPr>
                <w:rFonts w:ascii="Times New Roman" w:hAnsi="Times New Roman" w:cs="Times New Roman"/>
                <w:b/>
                <w:color w:val="000000"/>
                <w:spacing w:val="-2"/>
              </w:rPr>
              <w:t>)</w:t>
            </w:r>
            <w:r>
              <w:rPr>
                <w:rFonts w:ascii="Times New Roman" w:hAnsi="Times New Roman" w:cs="Times New Roman"/>
                <w:b/>
                <w:color w:val="000000"/>
                <w:spacing w:val="-2"/>
              </w:rPr>
              <w:t xml:space="preserve"> </w:t>
            </w:r>
            <w:r w:rsidRPr="006770B4">
              <w:rPr>
                <w:rFonts w:ascii="Times New Roman" w:hAnsi="Times New Roman" w:cs="Times New Roman"/>
                <w:b/>
              </w:rPr>
              <w:t>Giải trình</w:t>
            </w:r>
            <w:r>
              <w:rPr>
                <w:rFonts w:ascii="Times New Roman" w:hAnsi="Times New Roman" w:cs="Times New Roman"/>
                <w:b/>
              </w:rPr>
              <w:t xml:space="preserve">: </w:t>
            </w:r>
            <w:r w:rsidRPr="00460A89">
              <w:rPr>
                <w:rFonts w:ascii="Times New Roman" w:hAnsi="Times New Roman" w:cs="Times New Roman"/>
              </w:rPr>
              <w:t xml:space="preserve">Thuộc </w:t>
            </w:r>
            <w:r>
              <w:rPr>
                <w:rFonts w:ascii="Times New Roman" w:hAnsi="Times New Roman" w:cs="Times New Roman"/>
              </w:rPr>
              <w:t>thẩm quyền của Bộ, ngành, địa phương.</w:t>
            </w:r>
          </w:p>
          <w:p w:rsidR="00460A89" w:rsidRPr="005C5B03" w:rsidRDefault="00460A89" w:rsidP="005C5B03">
            <w:pPr>
              <w:jc w:val="both"/>
              <w:rPr>
                <w:rFonts w:ascii="Times New Roman" w:hAnsi="Times New Roman" w:cs="Times New Roman"/>
                <w:color w:val="000000"/>
              </w:rPr>
            </w:pPr>
            <w:r w:rsidRPr="005C5B03">
              <w:rPr>
                <w:rFonts w:ascii="Times New Roman" w:hAnsi="Times New Roman" w:cs="Times New Roman"/>
                <w:b/>
              </w:rPr>
              <w:t xml:space="preserve">(iii) </w:t>
            </w:r>
            <w:r w:rsidRPr="005C5B03">
              <w:rPr>
                <w:rFonts w:ascii="Times New Roman" w:hAnsi="Times New Roman" w:cs="Times New Roman"/>
                <w:b/>
                <w:color w:val="000000"/>
              </w:rPr>
              <w:t>Tiếp thu</w:t>
            </w:r>
            <w:r w:rsidRPr="005C5B03">
              <w:rPr>
                <w:rFonts w:ascii="Times New Roman" w:hAnsi="Times New Roman" w:cs="Times New Roman"/>
                <w:color w:val="000000"/>
              </w:rPr>
              <w:t>, Bộ Tài chính sẽ tiếp tục thực hiện công tác tập huấn, hướng dẫn triển khai thi hành chính sách.</w:t>
            </w:r>
          </w:p>
          <w:p w:rsidR="009D0990" w:rsidRPr="009D0990" w:rsidRDefault="009D0990" w:rsidP="005C5B03">
            <w:pPr>
              <w:jc w:val="both"/>
              <w:rPr>
                <w:rFonts w:ascii="Times New Roman" w:hAnsi="Times New Roman" w:cs="Times New Roman"/>
                <w:b/>
                <w:color w:val="000000"/>
                <w:spacing w:val="-10"/>
              </w:rPr>
            </w:pPr>
            <w:r w:rsidRPr="009D0990">
              <w:rPr>
                <w:rFonts w:ascii="Times New Roman" w:hAnsi="Times New Roman" w:cs="Times New Roman"/>
                <w:b/>
                <w:color w:val="000000"/>
                <w:spacing w:val="-10"/>
              </w:rPr>
              <w:t>(v)</w:t>
            </w:r>
            <w:r>
              <w:rPr>
                <w:rFonts w:ascii="Times New Roman" w:hAnsi="Times New Roman" w:cs="Times New Roman"/>
                <w:b/>
                <w:color w:val="000000"/>
                <w:spacing w:val="-10"/>
              </w:rPr>
              <w:t xml:space="preserve"> </w:t>
            </w:r>
            <w:r w:rsidR="00753AD2" w:rsidRPr="00753AD2">
              <w:rPr>
                <w:rFonts w:ascii="Times New Roman" w:hAnsi="Times New Roman" w:cs="Times New Roman"/>
                <w:color w:val="000000"/>
                <w:spacing w:val="-10"/>
              </w:rPr>
              <w:t>Bộ, ngành có trách nhiệm</w:t>
            </w:r>
            <w:r w:rsidRPr="009D0990">
              <w:rPr>
                <w:rFonts w:ascii="Times New Roman" w:hAnsi="Times New Roman" w:cs="Times New Roman"/>
                <w:b/>
                <w:color w:val="000000"/>
                <w:spacing w:val="-10"/>
              </w:rPr>
              <w:t xml:space="preserve"> </w:t>
            </w:r>
            <w:r w:rsidRPr="008679B5">
              <w:rPr>
                <w:rFonts w:ascii="Times New Roman" w:hAnsi="Times New Roman" w:cs="Times New Roman"/>
                <w:color w:val="000000"/>
                <w:spacing w:val="-2"/>
              </w:rPr>
              <w:t>kiểm tra việc quản lý tài sản công</w:t>
            </w:r>
            <w:r w:rsidR="00753AD2">
              <w:rPr>
                <w:rFonts w:ascii="Times New Roman" w:hAnsi="Times New Roman" w:cs="Times New Roman"/>
                <w:color w:val="000000"/>
                <w:spacing w:val="-2"/>
              </w:rPr>
              <w:t xml:space="preserve"> của CQ, TC, ĐV thuộc phạm vi quản lý của mình. Tiếp thu đối với trách nhiệm kiểm tra thuộc thẩm quyền của Bộ Tài chính </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Quảng Ninh</w:t>
            </w:r>
          </w:p>
        </w:tc>
        <w:tc>
          <w:tcPr>
            <w:tcW w:w="7728" w:type="dxa"/>
          </w:tcPr>
          <w:p w:rsidR="00A429F4" w:rsidRPr="006C0077" w:rsidRDefault="00A429F4" w:rsidP="005C5B03">
            <w:pPr>
              <w:jc w:val="both"/>
              <w:rPr>
                <w:rFonts w:ascii="Times New Roman" w:hAnsi="Times New Roman" w:cs="Times New Roman"/>
                <w:color w:val="000000"/>
                <w:spacing w:val="-2"/>
              </w:rPr>
            </w:pPr>
            <w:r w:rsidRPr="00AC005D">
              <w:rPr>
                <w:rFonts w:ascii="Times New Roman" w:hAnsi="Times New Roman" w:cs="Times New Roman"/>
                <w:b/>
                <w:color w:val="000000"/>
                <w:spacing w:val="-2"/>
              </w:rPr>
              <w:t>(i)</w:t>
            </w:r>
            <w:r w:rsidRPr="006C0077">
              <w:rPr>
                <w:rFonts w:ascii="Times New Roman" w:hAnsi="Times New Roman" w:cs="Times New Roman"/>
                <w:color w:val="000000"/>
                <w:spacing w:val="-2"/>
              </w:rPr>
              <w:t xml:space="preserve"> Đề nghị cấp có thẩm quyền sớm ban hành văn bản hướng dẫn chi tiết. </w:t>
            </w:r>
          </w:p>
          <w:p w:rsidR="00A429F4" w:rsidRPr="006C0077" w:rsidRDefault="00A429F4" w:rsidP="005C5B03">
            <w:pPr>
              <w:jc w:val="both"/>
              <w:rPr>
                <w:rFonts w:ascii="Times New Roman" w:hAnsi="Times New Roman" w:cs="Times New Roman"/>
                <w:color w:val="000000"/>
                <w:spacing w:val="-2"/>
              </w:rPr>
            </w:pPr>
            <w:r w:rsidRPr="00AC005D">
              <w:rPr>
                <w:rFonts w:ascii="Times New Roman" w:hAnsi="Times New Roman" w:cs="Times New Roman"/>
                <w:b/>
                <w:color w:val="000000"/>
                <w:spacing w:val="-2"/>
              </w:rPr>
              <w:t>(ii)</w:t>
            </w:r>
            <w:r w:rsidRPr="006C0077">
              <w:rPr>
                <w:rFonts w:ascii="Times New Roman" w:hAnsi="Times New Roman" w:cs="Times New Roman"/>
                <w:color w:val="000000"/>
                <w:spacing w:val="-2"/>
              </w:rPr>
              <w:t xml:space="preserve"> Tổ chức tập huấn, bồi dưỡng nghiệp vụ cho đội ngũ cán bộ làm công tác quản lý tài sản công tại cơ sở, nhằm nâng cao năng lực chuyên môn, kỹ năng thực hiện và bảo đảm việc áp dụng các quy định của Nghị định được thống nhất, đúng quy định.</w:t>
            </w:r>
          </w:p>
        </w:tc>
        <w:tc>
          <w:tcPr>
            <w:tcW w:w="3685" w:type="dxa"/>
          </w:tcPr>
          <w:p w:rsidR="00A429F4" w:rsidRPr="00C539C7" w:rsidRDefault="00A429F4" w:rsidP="006C0077">
            <w:pPr>
              <w:spacing w:before="40" w:after="40"/>
              <w:jc w:val="both"/>
              <w:rPr>
                <w:rFonts w:ascii="Times New Roman" w:hAnsi="Times New Roman" w:cs="Times New Roman"/>
                <w:color w:val="000000"/>
                <w:spacing w:val="-2"/>
              </w:rPr>
            </w:pPr>
            <w:r w:rsidRPr="00C539C7">
              <w:rPr>
                <w:rFonts w:ascii="Times New Roman" w:hAnsi="Times New Roman" w:cs="Times New Roman"/>
                <w:color w:val="000000"/>
                <w:spacing w:val="-2"/>
              </w:rPr>
              <w:t xml:space="preserve">(i) </w:t>
            </w:r>
            <w:r w:rsidRPr="006770B4">
              <w:rPr>
                <w:rFonts w:ascii="Times New Roman" w:hAnsi="Times New Roman" w:cs="Times New Roman"/>
                <w:b/>
              </w:rPr>
              <w:t>Giải trình</w:t>
            </w:r>
            <w:r w:rsidRPr="00C539C7">
              <w:rPr>
                <w:rFonts w:ascii="Times New Roman" w:hAnsi="Times New Roman" w:cs="Times New Roman"/>
              </w:rPr>
              <w:t xml:space="preserve">: </w:t>
            </w:r>
            <w:r w:rsidRPr="00C539C7">
              <w:rPr>
                <w:rFonts w:ascii="Times New Roman" w:hAnsi="Times New Roman" w:cs="Times New Roman"/>
                <w:color w:val="000000"/>
                <w:spacing w:val="-2"/>
              </w:rPr>
              <w:t>Tại điểm a K2 Đ12 NĐ155 quy định Bộ YT, Bộ GD&amp;ĐT quy định chi tiết hướng dẫn về TCĐM diện tích CTSH trong lĩnh vực y tế</w:t>
            </w:r>
            <w:r w:rsidR="0076731C">
              <w:rPr>
                <w:rFonts w:ascii="Times New Roman" w:hAnsi="Times New Roman" w:cs="Times New Roman"/>
                <w:color w:val="000000"/>
                <w:spacing w:val="-2"/>
              </w:rPr>
              <w:t>, GD&amp;ĐT. Đ</w:t>
            </w:r>
            <w:r w:rsidR="004F796D">
              <w:rPr>
                <w:rFonts w:ascii="Times New Roman" w:hAnsi="Times New Roman" w:cs="Times New Roman"/>
                <w:color w:val="000000"/>
                <w:spacing w:val="-2"/>
              </w:rPr>
              <w:t>ã c</w:t>
            </w:r>
            <w:r w:rsidR="004F796D" w:rsidRPr="00C539C7">
              <w:rPr>
                <w:rFonts w:ascii="Times New Roman" w:hAnsi="Times New Roman" w:cs="Times New Roman"/>
                <w:color w:val="000000"/>
                <w:spacing w:val="-2"/>
              </w:rPr>
              <w:t>huyển kiến nghị tới Bộ YT,</w:t>
            </w:r>
            <w:r w:rsidR="004F796D">
              <w:rPr>
                <w:rFonts w:ascii="Times New Roman" w:hAnsi="Times New Roman" w:cs="Times New Roman"/>
                <w:color w:val="000000"/>
                <w:spacing w:val="-2"/>
              </w:rPr>
              <w:t xml:space="preserve"> </w:t>
            </w:r>
            <w:r w:rsidR="004F796D" w:rsidRPr="00C539C7">
              <w:rPr>
                <w:rFonts w:ascii="Times New Roman" w:hAnsi="Times New Roman" w:cs="Times New Roman"/>
                <w:color w:val="000000"/>
                <w:spacing w:val="-2"/>
              </w:rPr>
              <w:t>Bộ GD&amp;ĐT</w:t>
            </w:r>
            <w:r w:rsidR="004F796D">
              <w:rPr>
                <w:rFonts w:ascii="Times New Roman" w:hAnsi="Times New Roman" w:cs="Times New Roman"/>
                <w:color w:val="000000"/>
                <w:spacing w:val="-2"/>
              </w:rPr>
              <w:t xml:space="preserve"> (Công văn số 3738/BTC-QLCS ngày 27/3/2026).</w:t>
            </w:r>
          </w:p>
          <w:p w:rsidR="00A429F4" w:rsidRPr="00C539C7" w:rsidRDefault="00A429F4" w:rsidP="006C0077">
            <w:pPr>
              <w:spacing w:before="40" w:after="40"/>
              <w:jc w:val="both"/>
              <w:rPr>
                <w:rFonts w:ascii="Times New Roman" w:hAnsi="Times New Roman" w:cs="Times New Roman"/>
                <w:color w:val="000000"/>
                <w:spacing w:val="-2"/>
              </w:rPr>
            </w:pPr>
            <w:r w:rsidRPr="00C539C7">
              <w:rPr>
                <w:rFonts w:ascii="Times New Roman" w:hAnsi="Times New Roman" w:cs="Times New Roman"/>
                <w:color w:val="000000"/>
                <w:spacing w:val="-2"/>
              </w:rPr>
              <w:t>(ii) Tiếp thu, Bộ Tài chính sẽ tiếp tục thực hiện công tác tập huấn, hướng dẫn triển khai thi hành chính sách.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color w:val="000000"/>
                <w:spacing w:val="-2"/>
              </w:rPr>
            </w:pPr>
            <w:r w:rsidRPr="006C0077">
              <w:rPr>
                <w:rFonts w:ascii="Times New Roman" w:hAnsi="Times New Roman" w:cs="Times New Roman"/>
                <w:color w:val="000000"/>
                <w:spacing w:val="-2"/>
              </w:rPr>
              <w:t>Tây Ninh</w:t>
            </w:r>
          </w:p>
        </w:tc>
        <w:tc>
          <w:tcPr>
            <w:tcW w:w="7728" w:type="dxa"/>
          </w:tcPr>
          <w:p w:rsidR="00A429F4" w:rsidRPr="006C0077" w:rsidRDefault="00A429F4" w:rsidP="006C0077">
            <w:pPr>
              <w:spacing w:before="40" w:after="40"/>
              <w:jc w:val="both"/>
              <w:rPr>
                <w:rFonts w:ascii="Times New Roman" w:hAnsi="Times New Roman" w:cs="Times New Roman"/>
                <w:spacing w:val="-2"/>
              </w:rPr>
            </w:pPr>
            <w:r w:rsidRPr="006C0077">
              <w:rPr>
                <w:rFonts w:ascii="Times New Roman" w:hAnsi="Times New Roman" w:cs="Times New Roman"/>
                <w:spacing w:val="-2"/>
              </w:rPr>
              <w:t>Đề nghị Bộ Tài chính tiếp tục phối hợp với các cơ quan chuyên ngành hoàn thiện có hướng dẫn chi tiết cho địa phương để dễ dàng tổ chức, triển khai thực hiện</w:t>
            </w:r>
          </w:p>
        </w:tc>
        <w:tc>
          <w:tcPr>
            <w:tcW w:w="3685" w:type="dxa"/>
          </w:tcPr>
          <w:p w:rsidR="00A429F4" w:rsidRPr="0076731C" w:rsidRDefault="00A429F4" w:rsidP="0076731C">
            <w:pPr>
              <w:spacing w:before="40" w:after="40"/>
              <w:jc w:val="both"/>
              <w:rPr>
                <w:rFonts w:ascii="Times New Roman" w:hAnsi="Times New Roman" w:cs="Times New Roman"/>
                <w:color w:val="000000"/>
                <w:spacing w:val="-4"/>
              </w:rPr>
            </w:pPr>
            <w:r w:rsidRPr="0076731C">
              <w:rPr>
                <w:rFonts w:ascii="Times New Roman" w:hAnsi="Times New Roman" w:cs="Times New Roman"/>
                <w:b/>
                <w:spacing w:val="-4"/>
              </w:rPr>
              <w:t>Giải trình</w:t>
            </w:r>
            <w:r w:rsidRPr="0076731C">
              <w:rPr>
                <w:rFonts w:ascii="Times New Roman" w:hAnsi="Times New Roman" w:cs="Times New Roman"/>
                <w:spacing w:val="-4"/>
              </w:rPr>
              <w:t xml:space="preserve">: </w:t>
            </w:r>
            <w:r w:rsidRPr="0076731C">
              <w:rPr>
                <w:rFonts w:ascii="Times New Roman" w:hAnsi="Times New Roman" w:cs="Times New Roman"/>
                <w:color w:val="000000"/>
                <w:spacing w:val="-4"/>
              </w:rPr>
              <w:t>Tại điểm a K2 Đ12 NĐ155 quy định Bộ YT, Bộ GD&amp;ĐT quy định chi tiết hướng dẫn về TCĐM diện tích CTSH trong lĩnh vực y tế, giáo dục và đào tạ</w:t>
            </w:r>
            <w:r w:rsidR="0076731C" w:rsidRPr="0076731C">
              <w:rPr>
                <w:rFonts w:ascii="Times New Roman" w:hAnsi="Times New Roman" w:cs="Times New Roman"/>
                <w:color w:val="000000"/>
                <w:spacing w:val="-4"/>
              </w:rPr>
              <w:t>o. Đã chuyển kiến nghị tới Bộ YT, Bộ GD&amp;ĐT (Công văn số 3738/BTC-QLCS ngày 27/3/2026)</w:t>
            </w:r>
            <w:r w:rsidRPr="0076731C">
              <w:rPr>
                <w:rFonts w:ascii="Times New Roman" w:hAnsi="Times New Roman" w:cs="Times New Roman"/>
                <w:color w:val="000000"/>
                <w:spacing w:val="-4"/>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Nghệ An</w:t>
            </w:r>
          </w:p>
        </w:tc>
        <w:tc>
          <w:tcPr>
            <w:tcW w:w="7728" w:type="dxa"/>
          </w:tcPr>
          <w:p w:rsidR="00A429F4" w:rsidRPr="006C0077" w:rsidRDefault="00A429F4" w:rsidP="006C0077">
            <w:pPr>
              <w:tabs>
                <w:tab w:val="left" w:pos="3410"/>
              </w:tabs>
              <w:spacing w:before="40" w:after="40"/>
              <w:jc w:val="both"/>
              <w:rPr>
                <w:rFonts w:ascii="Times New Roman" w:hAnsi="Times New Roman" w:cs="Times New Roman"/>
                <w:color w:val="000000"/>
                <w:spacing w:val="-2"/>
              </w:rPr>
            </w:pPr>
            <w:r w:rsidRPr="00AC005D">
              <w:rPr>
                <w:rFonts w:ascii="Times New Roman" w:hAnsi="Times New Roman" w:cs="Times New Roman"/>
                <w:b/>
                <w:color w:val="000000"/>
                <w:spacing w:val="-2"/>
              </w:rPr>
              <w:t>(i)</w:t>
            </w:r>
            <w:r w:rsidRPr="006C0077">
              <w:rPr>
                <w:rFonts w:ascii="Times New Roman" w:hAnsi="Times New Roman" w:cs="Times New Roman"/>
                <w:color w:val="000000"/>
                <w:spacing w:val="-2"/>
              </w:rPr>
              <w:t xml:space="preserve"> Đề nghị cấp  có  thẩm  quyền  sớm ban hành văn bản hướng  dẫn chi  tiết cũng như giải đáp một số vướng mắc phát sinh trong quá trình thực hiện;</w:t>
            </w:r>
          </w:p>
          <w:p w:rsidR="00A429F4" w:rsidRPr="006C0077" w:rsidRDefault="00A429F4" w:rsidP="006C0077">
            <w:pPr>
              <w:tabs>
                <w:tab w:val="left" w:pos="3410"/>
              </w:tabs>
              <w:spacing w:before="40" w:after="40"/>
              <w:jc w:val="both"/>
              <w:rPr>
                <w:rFonts w:ascii="Times New Roman" w:hAnsi="Times New Roman" w:cs="Times New Roman"/>
                <w:color w:val="000000"/>
                <w:spacing w:val="-2"/>
              </w:rPr>
            </w:pPr>
            <w:r w:rsidRPr="00AC005D">
              <w:rPr>
                <w:rFonts w:ascii="Times New Roman" w:hAnsi="Times New Roman" w:cs="Times New Roman"/>
                <w:b/>
                <w:color w:val="000000"/>
                <w:spacing w:val="-2"/>
              </w:rPr>
              <w:lastRenderedPageBreak/>
              <w:t xml:space="preserve">(ii) </w:t>
            </w:r>
            <w:r w:rsidRPr="006C0077">
              <w:rPr>
                <w:rFonts w:ascii="Times New Roman" w:hAnsi="Times New Roman" w:cs="Times New Roman"/>
                <w:color w:val="000000"/>
                <w:spacing w:val="-2"/>
              </w:rPr>
              <w:t>Tổ chức tập huấn chuyên đề cho các cơ quan, đơn vị về áp dụng tiêu chuẩn, định  mức trong lập, thẩm định dự án đầu tư xây dựng;</w:t>
            </w:r>
          </w:p>
          <w:p w:rsidR="00A429F4" w:rsidRPr="006C0077" w:rsidRDefault="00A429F4" w:rsidP="00E47C2F">
            <w:pPr>
              <w:tabs>
                <w:tab w:val="left" w:pos="3410"/>
              </w:tabs>
              <w:spacing w:before="40" w:after="40"/>
              <w:jc w:val="both"/>
              <w:rPr>
                <w:rFonts w:ascii="Times New Roman" w:hAnsi="Times New Roman" w:cs="Times New Roman"/>
                <w:color w:val="000000"/>
                <w:spacing w:val="-2"/>
              </w:rPr>
            </w:pPr>
            <w:r w:rsidRPr="00AC005D">
              <w:rPr>
                <w:rFonts w:ascii="Times New Roman" w:hAnsi="Times New Roman" w:cs="Times New Roman"/>
                <w:b/>
                <w:color w:val="000000"/>
                <w:spacing w:val="-2"/>
              </w:rPr>
              <w:t>(iii)</w:t>
            </w:r>
            <w:r w:rsidRPr="006C0077">
              <w:rPr>
                <w:rFonts w:ascii="Times New Roman" w:hAnsi="Times New Roman" w:cs="Times New Roman"/>
                <w:color w:val="000000"/>
                <w:spacing w:val="-2"/>
              </w:rPr>
              <w:t xml:space="preserve"> Tăng cường kiểm tra, rà soát hiện trạng sử dụng trụ sở làm việc; xây dựng cơ sở dữ liệu đồng bộ phục vụ quản lý.</w:t>
            </w:r>
          </w:p>
        </w:tc>
        <w:tc>
          <w:tcPr>
            <w:tcW w:w="3685" w:type="dxa"/>
          </w:tcPr>
          <w:p w:rsidR="00A429F4" w:rsidRPr="00C067F9" w:rsidRDefault="00A429F4" w:rsidP="006C0077">
            <w:pPr>
              <w:spacing w:before="40" w:after="40"/>
              <w:jc w:val="both"/>
              <w:rPr>
                <w:rFonts w:ascii="Times New Roman" w:hAnsi="Times New Roman" w:cs="Times New Roman"/>
                <w:color w:val="000000"/>
              </w:rPr>
            </w:pPr>
            <w:r w:rsidRPr="00C067F9">
              <w:rPr>
                <w:rFonts w:ascii="Times New Roman" w:hAnsi="Times New Roman" w:cs="Times New Roman"/>
                <w:b/>
                <w:color w:val="000000"/>
              </w:rPr>
              <w:lastRenderedPageBreak/>
              <w:t>(i)</w:t>
            </w:r>
            <w:r w:rsidRPr="00C067F9">
              <w:rPr>
                <w:rFonts w:ascii="Times New Roman" w:hAnsi="Times New Roman" w:cs="Times New Roman"/>
                <w:color w:val="000000"/>
              </w:rPr>
              <w:t xml:space="preserve"> Tại điểm a khoản 2 Điều 12 quy định Bộ YT, Bộ GD&amp;ĐT quy định chi </w:t>
            </w:r>
            <w:r w:rsidRPr="00C067F9">
              <w:rPr>
                <w:rFonts w:ascii="Times New Roman" w:hAnsi="Times New Roman" w:cs="Times New Roman"/>
                <w:color w:val="000000"/>
              </w:rPr>
              <w:lastRenderedPageBreak/>
              <w:t>tiết hướng dẫn về TCĐM diện tích CTSH trong lĩnh vực y tế</w:t>
            </w:r>
            <w:r w:rsidR="0021077C" w:rsidRPr="00C067F9">
              <w:rPr>
                <w:rFonts w:ascii="Times New Roman" w:hAnsi="Times New Roman" w:cs="Times New Roman"/>
                <w:color w:val="000000"/>
              </w:rPr>
              <w:t>, GD&amp;ĐT. Đã chuyển kiến nghị tới Bộ YT, Bộ GD&amp;ĐT (Công văn số 3738/BTC-QLCS ngày 27/3/2026).</w:t>
            </w:r>
          </w:p>
          <w:p w:rsidR="00A429F4" w:rsidRPr="00C067F9" w:rsidRDefault="00A429F4" w:rsidP="006C0077">
            <w:pPr>
              <w:spacing w:before="40" w:after="40"/>
              <w:jc w:val="both"/>
              <w:rPr>
                <w:rFonts w:ascii="Times New Roman" w:hAnsi="Times New Roman" w:cs="Times New Roman"/>
                <w:color w:val="000000"/>
              </w:rPr>
            </w:pPr>
            <w:r w:rsidRPr="00C067F9">
              <w:rPr>
                <w:rFonts w:ascii="Times New Roman" w:hAnsi="Times New Roman" w:cs="Times New Roman"/>
                <w:b/>
                <w:color w:val="000000"/>
              </w:rPr>
              <w:t>(ii)</w:t>
            </w:r>
            <w:r w:rsidRPr="00C067F9">
              <w:rPr>
                <w:rFonts w:ascii="Times New Roman" w:hAnsi="Times New Roman" w:cs="Times New Roman"/>
                <w:color w:val="000000"/>
              </w:rPr>
              <w:t xml:space="preserve"> </w:t>
            </w:r>
            <w:r w:rsidRPr="00C067F9">
              <w:rPr>
                <w:rFonts w:ascii="Times New Roman" w:hAnsi="Times New Roman" w:cs="Times New Roman"/>
                <w:b/>
                <w:color w:val="000000"/>
              </w:rPr>
              <w:t>Tiếp thu</w:t>
            </w:r>
            <w:r w:rsidRPr="00C067F9">
              <w:rPr>
                <w:rFonts w:ascii="Times New Roman" w:hAnsi="Times New Roman" w:cs="Times New Roman"/>
                <w:color w:val="000000"/>
              </w:rPr>
              <w:t>, Bộ Tài chính sẽ tiếp tục thực hiện công tác tập huấn, hướng dẫn triển khai thi hành chính sách.</w:t>
            </w:r>
          </w:p>
          <w:p w:rsidR="00A429F4" w:rsidRPr="00C067F9" w:rsidRDefault="00A429F4" w:rsidP="00AA15E5">
            <w:pPr>
              <w:spacing w:before="40" w:after="40"/>
              <w:jc w:val="both"/>
              <w:rPr>
                <w:rFonts w:ascii="Times New Roman" w:hAnsi="Times New Roman" w:cs="Times New Roman"/>
                <w:color w:val="000000"/>
              </w:rPr>
            </w:pPr>
            <w:r w:rsidRPr="00C067F9">
              <w:rPr>
                <w:rFonts w:ascii="Times New Roman" w:hAnsi="Times New Roman" w:cs="Times New Roman"/>
                <w:b/>
                <w:color w:val="000000"/>
              </w:rPr>
              <w:t>(iii)</w:t>
            </w:r>
            <w:r w:rsidRPr="00C067F9">
              <w:rPr>
                <w:rFonts w:ascii="Times New Roman" w:hAnsi="Times New Roman" w:cs="Times New Roman"/>
                <w:color w:val="000000"/>
              </w:rPr>
              <w:t xml:space="preserve"> Thuộc thẩm quyền của bộ, cơ quan trung ương, địa phương. Bộ Tài chính đã có Phần mềm QLTSC, hiện đang được nghiên cứu đầu tư nâng cấp.</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Thái Nguyên</w:t>
            </w:r>
          </w:p>
        </w:tc>
        <w:tc>
          <w:tcPr>
            <w:tcW w:w="7728" w:type="dxa"/>
          </w:tcPr>
          <w:p w:rsidR="00A429F4" w:rsidRPr="006C0077" w:rsidRDefault="00A429F4" w:rsidP="006C0077">
            <w:pPr>
              <w:tabs>
                <w:tab w:val="left" w:pos="1252"/>
              </w:tabs>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nghiên cứu bổ sung quy định về thẩm quyền quyết định TCĐM đối với cơ quan mặt trận tổ quốc Việt Nam các cấp để đồng bộ với các quy định khác.</w:t>
            </w:r>
          </w:p>
        </w:tc>
        <w:tc>
          <w:tcPr>
            <w:tcW w:w="3685" w:type="dxa"/>
          </w:tcPr>
          <w:p w:rsidR="00A429F4" w:rsidRPr="001A5B32" w:rsidRDefault="00A429F4" w:rsidP="00AC005D">
            <w:pPr>
              <w:tabs>
                <w:tab w:val="left" w:pos="1252"/>
              </w:tabs>
              <w:spacing w:before="40" w:after="40"/>
              <w:jc w:val="both"/>
              <w:rPr>
                <w:rFonts w:ascii="Times New Roman" w:hAnsi="Times New Roman" w:cs="Times New Roman"/>
                <w:color w:val="000000"/>
                <w:spacing w:val="-10"/>
              </w:rPr>
            </w:pPr>
            <w:r w:rsidRPr="001A5B32">
              <w:rPr>
                <w:rFonts w:ascii="Times New Roman" w:hAnsi="Times New Roman" w:cs="Times New Roman"/>
                <w:b/>
                <w:color w:val="000000"/>
                <w:spacing w:val="-10"/>
              </w:rPr>
              <w:t>Tiếp thu:</w:t>
            </w:r>
            <w:r w:rsidRPr="001A5B32">
              <w:rPr>
                <w:rFonts w:ascii="Times New Roman" w:hAnsi="Times New Roman" w:cs="Times New Roman"/>
                <w:color w:val="000000"/>
                <w:spacing w:val="-10"/>
              </w:rPr>
              <w:t xml:space="preserve"> Dự kiến sửa đổi theo hướng quy định </w:t>
            </w:r>
            <w:r w:rsidRPr="001A5B32">
              <w:rPr>
                <w:rFonts w:ascii="Times New Roman" w:hAnsi="Times New Roman" w:cs="Times New Roman"/>
                <w:i/>
                <w:color w:val="000000"/>
                <w:spacing w:val="-10"/>
              </w:rPr>
              <w:t>Ban Thường trực UB MTTQ VN (bao gồm cả trung ương và địa phương) quyết định hoặc phân cấp thẩm quyền quyết định.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Gia Lai</w:t>
            </w:r>
          </w:p>
        </w:tc>
        <w:tc>
          <w:tcPr>
            <w:tcW w:w="7728" w:type="dxa"/>
          </w:tcPr>
          <w:p w:rsidR="00A429F4" w:rsidRPr="006C0077" w:rsidRDefault="00A429F4" w:rsidP="006C0077">
            <w:pPr>
              <w:spacing w:before="40" w:after="40"/>
              <w:jc w:val="both"/>
              <w:rPr>
                <w:rFonts w:ascii="Times New Roman" w:hAnsi="Times New Roman" w:cs="Times New Roman"/>
                <w:spacing w:val="-2"/>
              </w:rPr>
            </w:pPr>
            <w:r w:rsidRPr="00AC005D">
              <w:rPr>
                <w:rFonts w:ascii="Times New Roman" w:hAnsi="Times New Roman" w:cs="Times New Roman"/>
                <w:b/>
                <w:spacing w:val="-2"/>
              </w:rPr>
              <w:t>(i)</w:t>
            </w:r>
            <w:r w:rsidRPr="006C0077">
              <w:rPr>
                <w:rFonts w:ascii="Times New Roman" w:hAnsi="Times New Roman" w:cs="Times New Roman"/>
                <w:spacing w:val="-2"/>
              </w:rPr>
              <w:t xml:space="preserve"> Tại điểm đ </w:t>
            </w:r>
            <w:r>
              <w:rPr>
                <w:rFonts w:ascii="Times New Roman" w:hAnsi="Times New Roman" w:cs="Times New Roman"/>
                <w:spacing w:val="-2"/>
              </w:rPr>
              <w:t>K</w:t>
            </w:r>
            <w:r w:rsidRPr="006C0077">
              <w:rPr>
                <w:rFonts w:ascii="Times New Roman" w:hAnsi="Times New Roman" w:cs="Times New Roman"/>
                <w:spacing w:val="-2"/>
              </w:rPr>
              <w:t xml:space="preserve">2 Đ11, </w:t>
            </w:r>
            <w:r>
              <w:rPr>
                <w:rFonts w:ascii="Times New Roman" w:hAnsi="Times New Roman" w:cs="Times New Roman"/>
                <w:spacing w:val="-2"/>
              </w:rPr>
              <w:t>K</w:t>
            </w:r>
            <w:r w:rsidRPr="006C0077">
              <w:rPr>
                <w:rFonts w:ascii="Times New Roman" w:hAnsi="Times New Roman" w:cs="Times New Roman"/>
                <w:spacing w:val="-2"/>
              </w:rPr>
              <w:t xml:space="preserve">3 Đ12 NĐ155 quy định thẩm quyền ban hành TCĐM diện tích chuyên dùng, diện tích công trình sự nghiệp: </w:t>
            </w:r>
            <w:r w:rsidRPr="00AC005D">
              <w:rPr>
                <w:rFonts w:ascii="Times New Roman" w:hAnsi="Times New Roman" w:cs="Times New Roman"/>
                <w:i/>
                <w:spacing w:val="-2"/>
              </w:rPr>
              <w:t>“UBND cấp tỉnh quyết định hoặc phân cấp thẩm quyền quyết định theo Luật Tổ chức chính quyền địa phương đối với đơn vị của địa phương (bao gồm MTTQVN cấp tỉnh, cấp xã)”.</w:t>
            </w:r>
            <w:r>
              <w:rPr>
                <w:rFonts w:ascii="Times New Roman" w:hAnsi="Times New Roman" w:cs="Times New Roman"/>
                <w:spacing w:val="-2"/>
              </w:rPr>
              <w:t xml:space="preserve"> </w:t>
            </w:r>
            <w:r w:rsidRPr="006C0077">
              <w:rPr>
                <w:rFonts w:ascii="Times New Roman" w:hAnsi="Times New Roman" w:cs="Times New Roman"/>
                <w:spacing w:val="-2"/>
              </w:rPr>
              <w:t xml:space="preserve">Tuy nhiên, theo Luật Tổ chức chính quyền địa phương, UBND tỉnh chỉ được phân cấp thẩm quyền ban hành cho các Sở, ban, đơn vị thuộc UBND tỉnh và UBND cấp xã, không quy định việc phân cấp cho MTTQVN cấp tỉnh, cấp xã. Vì vậy, Quyết định số 40/2025/QĐ-UBND ngày 28/10/2025 của UBND tỉnh không có đối tượng áp dụng là MTTQVN cấp tỉnh, cấp xã. Việc UBND tỉnh phải quyết định diện tích của MTTQVN cấp tỉnh, cấp xã mà không được phân cấp là nội dung bất cập, vướng mắc. Hiện nay, theo quy định tại điểm a </w:t>
            </w:r>
            <w:r>
              <w:rPr>
                <w:rFonts w:ascii="Times New Roman" w:hAnsi="Times New Roman" w:cs="Times New Roman"/>
                <w:spacing w:val="-2"/>
              </w:rPr>
              <w:t>K</w:t>
            </w:r>
            <w:r w:rsidRPr="006C0077">
              <w:rPr>
                <w:rFonts w:ascii="Times New Roman" w:hAnsi="Times New Roman" w:cs="Times New Roman"/>
                <w:spacing w:val="-2"/>
              </w:rPr>
              <w:t xml:space="preserve">2 Đ65 NĐ186 quy định: </w:t>
            </w:r>
            <w:r w:rsidRPr="00EF4CB8">
              <w:rPr>
                <w:rFonts w:ascii="Times New Roman" w:hAnsi="Times New Roman" w:cs="Times New Roman"/>
                <w:i/>
                <w:spacing w:val="-2"/>
              </w:rPr>
              <w:t>“Ban Thường trực Ủy ban MTTQVN cấp tỉnh, cấp xã quyết định hoặc phân cấp thẩm quyền quyết định khoán kinh phí sử dụng tài sản công, khai thác, xử lý tài sản công tại MTTQVN và các tổ chức chính trị - xã hội trực thuộc MTTQVN cấp tỉnh, cấp xã</w:t>
            </w:r>
            <w:r w:rsidRPr="006C0077">
              <w:rPr>
                <w:rFonts w:ascii="Times New Roman" w:hAnsi="Times New Roman" w:cs="Times New Roman"/>
                <w:spacing w:val="-2"/>
              </w:rPr>
              <w:t xml:space="preserve">”. </w:t>
            </w:r>
          </w:p>
          <w:p w:rsidR="00A429F4" w:rsidRPr="006C0077" w:rsidRDefault="00A429F4" w:rsidP="006C0077">
            <w:pPr>
              <w:spacing w:before="40" w:after="40"/>
              <w:jc w:val="both"/>
              <w:rPr>
                <w:rFonts w:ascii="Times New Roman" w:hAnsi="Times New Roman" w:cs="Times New Roman"/>
                <w:spacing w:val="-2"/>
              </w:rPr>
            </w:pPr>
            <w:r w:rsidRPr="006C0077">
              <w:rPr>
                <w:rFonts w:ascii="Times New Roman" w:hAnsi="Times New Roman" w:cs="Times New Roman"/>
                <w:spacing w:val="-2"/>
              </w:rPr>
              <w:t xml:space="preserve">Do đó, để đồng bộ, thống nhất về thẩm quyền quyết định trong quản lý, sử dụng tài sản công đối với MTTQVN cấp tỉnh, cấp xã, đề nghị xem xét, sửa đổi </w:t>
            </w:r>
            <w:r>
              <w:rPr>
                <w:rFonts w:ascii="Times New Roman" w:hAnsi="Times New Roman" w:cs="Times New Roman"/>
                <w:spacing w:val="-2"/>
              </w:rPr>
              <w:t xml:space="preserve">K2 Đ11 </w:t>
            </w:r>
            <w:r w:rsidRPr="006C0077">
              <w:rPr>
                <w:rFonts w:ascii="Times New Roman" w:hAnsi="Times New Roman" w:cs="Times New Roman"/>
                <w:spacing w:val="-2"/>
              </w:rPr>
              <w:t>NĐ155 để giao Ban Thường trực Ủy ban MTTQVN cấp tỉnh, cấp xã quyết định hoặc phân cấp thẩm quyền quyết định TCĐM diện tích chuyên dùng, diện tích công trình sự nghiệp.</w:t>
            </w:r>
          </w:p>
          <w:p w:rsidR="00A429F4" w:rsidRPr="00EF4CB8" w:rsidRDefault="00A429F4" w:rsidP="006C0077">
            <w:pPr>
              <w:spacing w:before="40" w:after="40"/>
              <w:jc w:val="both"/>
              <w:rPr>
                <w:rFonts w:ascii="Times New Roman" w:hAnsi="Times New Roman" w:cs="Times New Roman"/>
                <w:i/>
                <w:spacing w:val="-2"/>
              </w:rPr>
            </w:pPr>
            <w:r w:rsidRPr="00EF4CB8">
              <w:rPr>
                <w:rFonts w:ascii="Times New Roman" w:hAnsi="Times New Roman" w:cs="Times New Roman"/>
                <w:b/>
                <w:spacing w:val="-2"/>
              </w:rPr>
              <w:t>(ii)</w:t>
            </w:r>
            <w:r w:rsidRPr="006C0077">
              <w:rPr>
                <w:rFonts w:ascii="Times New Roman" w:hAnsi="Times New Roman" w:cs="Times New Roman"/>
                <w:spacing w:val="-2"/>
              </w:rPr>
              <w:t xml:space="preserve"> Xác định cơ quan chịu trách nhiệm rà soát tiêu chuẩn, định mức khi đầu tư xây dựng, cải tạo trụ sở làm việc, cơ sở hoạt động sự nghiệp): Trước đây, khi triển khai N</w:t>
            </w:r>
            <w:r>
              <w:rPr>
                <w:rFonts w:ascii="Times New Roman" w:hAnsi="Times New Roman" w:cs="Times New Roman"/>
                <w:spacing w:val="-2"/>
              </w:rPr>
              <w:t>Đ</w:t>
            </w:r>
            <w:r w:rsidRPr="006C0077">
              <w:rPr>
                <w:rFonts w:ascii="Times New Roman" w:hAnsi="Times New Roman" w:cs="Times New Roman"/>
                <w:spacing w:val="-2"/>
              </w:rPr>
              <w:t xml:space="preserve"> 114/2024/NĐ-CP về việc sửa đổi khoản 5 Điều 12 Nghị định số 152/2017/NĐ-CP, Bộ </w:t>
            </w:r>
            <w:r w:rsidRPr="006C0077">
              <w:rPr>
                <w:rFonts w:ascii="Times New Roman" w:hAnsi="Times New Roman" w:cs="Times New Roman"/>
                <w:spacing w:val="-2"/>
              </w:rPr>
              <w:lastRenderedPageBreak/>
              <w:t xml:space="preserve">Tài chính đã có Công văn số 11315/BTC-QLCS ngày 22/10/2024 hướng dẫn: </w:t>
            </w:r>
            <w:r w:rsidRPr="00EF4CB8">
              <w:rPr>
                <w:rFonts w:ascii="Times New Roman" w:hAnsi="Times New Roman" w:cs="Times New Roman"/>
                <w:i/>
                <w:spacing w:val="-2"/>
              </w:rPr>
              <w:t xml:space="preserve">“cơ quan, người có thẩm quyền phê duyệt thiết kế đầu tư xây dựng mới, nâng cấp, cải tạo TSLV, CSHĐSN chịu trách nhiệm rà soát, bảo đảm phù hợp TCĐM sử dụng TSLV, CSHĐSN được cơ quan, người có thẩm quyền ban hành”. </w:t>
            </w:r>
          </w:p>
          <w:p w:rsidR="00A429F4" w:rsidRPr="006C0077" w:rsidRDefault="00A429F4" w:rsidP="006C0077">
            <w:pPr>
              <w:spacing w:before="40" w:after="40"/>
              <w:jc w:val="both"/>
              <w:rPr>
                <w:rFonts w:ascii="Times New Roman" w:hAnsi="Times New Roman" w:cs="Times New Roman"/>
                <w:spacing w:val="-2"/>
              </w:rPr>
            </w:pPr>
            <w:r w:rsidRPr="006C0077">
              <w:rPr>
                <w:rFonts w:ascii="Times New Roman" w:hAnsi="Times New Roman" w:cs="Times New Roman"/>
                <w:spacing w:val="-2"/>
              </w:rPr>
              <w:t>Kể từ ngày 01/7/2025, Nghị định số 155/2025/NĐ-CP (thay thế Nghị định số 152/2017/NĐ-CP và Nghị định số 114/2024/NĐ-CP) không quy định cơ quan chịu trách nhiệm rà soát TCĐM khi đầu tư xây dựng, cải tạo TSLV, CSHĐSN. Do đó, xem xét, hướng dẫn để địa phương có cơ sở thực hiện.</w:t>
            </w:r>
          </w:p>
        </w:tc>
        <w:tc>
          <w:tcPr>
            <w:tcW w:w="3685" w:type="dxa"/>
          </w:tcPr>
          <w:p w:rsidR="00A429F4" w:rsidRPr="00C067F9" w:rsidRDefault="00A429F4" w:rsidP="005C5B03">
            <w:pPr>
              <w:jc w:val="both"/>
              <w:rPr>
                <w:rFonts w:ascii="Times New Roman" w:hAnsi="Times New Roman" w:cs="Times New Roman"/>
                <w:color w:val="000000"/>
                <w:spacing w:val="-6"/>
                <w:sz w:val="20"/>
                <w:szCs w:val="20"/>
              </w:rPr>
            </w:pPr>
            <w:r w:rsidRPr="00C067F9">
              <w:rPr>
                <w:rFonts w:ascii="Times New Roman" w:hAnsi="Times New Roman" w:cs="Times New Roman"/>
                <w:b/>
                <w:color w:val="000000"/>
                <w:spacing w:val="-6"/>
              </w:rPr>
              <w:lastRenderedPageBreak/>
              <w:t>(i)</w:t>
            </w:r>
            <w:r w:rsidRPr="00C067F9">
              <w:rPr>
                <w:rFonts w:ascii="Times New Roman" w:hAnsi="Times New Roman" w:cs="Times New Roman"/>
                <w:color w:val="000000"/>
                <w:spacing w:val="-6"/>
              </w:rPr>
              <w:t xml:space="preserve"> </w:t>
            </w:r>
            <w:r w:rsidRPr="00C067F9">
              <w:rPr>
                <w:rFonts w:ascii="Times New Roman" w:hAnsi="Times New Roman" w:cs="Times New Roman"/>
                <w:b/>
                <w:color w:val="000000"/>
                <w:spacing w:val="-6"/>
              </w:rPr>
              <w:t>Tiếp thu:</w:t>
            </w:r>
            <w:r w:rsidRPr="00C067F9">
              <w:rPr>
                <w:rFonts w:ascii="Times New Roman" w:hAnsi="Times New Roman" w:cs="Times New Roman"/>
                <w:color w:val="000000"/>
                <w:spacing w:val="-6"/>
              </w:rPr>
              <w:t xml:space="preserve"> Dự kiến sửa đổi theo </w:t>
            </w:r>
            <w:r w:rsidRPr="00C067F9">
              <w:rPr>
                <w:rFonts w:ascii="Times New Roman" w:hAnsi="Times New Roman" w:cs="Times New Roman"/>
                <w:color w:val="000000"/>
                <w:spacing w:val="-6"/>
                <w:sz w:val="20"/>
                <w:szCs w:val="20"/>
              </w:rPr>
              <w:t xml:space="preserve">hướng quy định </w:t>
            </w:r>
            <w:r w:rsidRPr="00C067F9">
              <w:rPr>
                <w:rFonts w:ascii="Times New Roman" w:hAnsi="Times New Roman" w:cs="Times New Roman"/>
                <w:i/>
                <w:color w:val="000000"/>
                <w:spacing w:val="-6"/>
                <w:sz w:val="20"/>
                <w:szCs w:val="20"/>
              </w:rPr>
              <w:t>Ban Thường trực UB MTTQ VN (bao gồm cả trung ương và địa phương) quyết định hoặc phân cấp thẩm quyền quyết định.</w:t>
            </w:r>
          </w:p>
          <w:p w:rsidR="00A429F4" w:rsidRPr="00C067F9" w:rsidRDefault="00A429F4" w:rsidP="005C5B03">
            <w:pPr>
              <w:jc w:val="both"/>
              <w:rPr>
                <w:rFonts w:ascii="Times New Roman" w:hAnsi="Times New Roman" w:cs="Times New Roman"/>
                <w:color w:val="000000"/>
                <w:sz w:val="20"/>
                <w:szCs w:val="20"/>
              </w:rPr>
            </w:pPr>
            <w:r w:rsidRPr="00C067F9">
              <w:rPr>
                <w:rFonts w:ascii="Times New Roman" w:hAnsi="Times New Roman" w:cs="Times New Roman"/>
                <w:b/>
                <w:color w:val="000000"/>
                <w:sz w:val="20"/>
                <w:szCs w:val="20"/>
              </w:rPr>
              <w:t>(ii)</w:t>
            </w:r>
            <w:r w:rsidRPr="00C067F9">
              <w:rPr>
                <w:rFonts w:ascii="Times New Roman" w:hAnsi="Times New Roman" w:cs="Times New Roman"/>
                <w:color w:val="000000"/>
                <w:sz w:val="20"/>
                <w:szCs w:val="20"/>
              </w:rPr>
              <w:t xml:space="preserve"> </w:t>
            </w:r>
            <w:r w:rsidRPr="00C067F9">
              <w:rPr>
                <w:rFonts w:ascii="Times New Roman" w:hAnsi="Times New Roman" w:cs="Times New Roman"/>
                <w:b/>
                <w:sz w:val="20"/>
                <w:szCs w:val="20"/>
              </w:rPr>
              <w:t>Giải trình</w:t>
            </w:r>
            <w:r w:rsidRPr="00C067F9">
              <w:rPr>
                <w:rFonts w:ascii="Times New Roman" w:hAnsi="Times New Roman" w:cs="Times New Roman"/>
                <w:sz w:val="20"/>
                <w:szCs w:val="20"/>
              </w:rPr>
              <w:t xml:space="preserve">: </w:t>
            </w:r>
            <w:r w:rsidRPr="00C067F9">
              <w:rPr>
                <w:rFonts w:ascii="Times New Roman" w:hAnsi="Times New Roman" w:cs="Times New Roman"/>
                <w:color w:val="000000"/>
                <w:sz w:val="20"/>
                <w:szCs w:val="20"/>
              </w:rPr>
              <w:t>NĐ155 quy định về TCĐM sử dụng TSLV, CSHĐSN tại các CQ, TC, ĐV; trong đó, quy định TCĐM sử dụng TSLV, CSHĐSN quy định tại Nghị định này được sử dụng làm một trong các căn cứ để lập kế hoạch và dự toán ngân sách; giao, đầu tư xây dựng, mua sắm, thuê, quản lý, sử dụng và xử lý TSLV, CSHĐSN. Việc thực hiện dự án đầu tư xây dựng mới hoặc cải tạo TSLV, CSHĐSN (</w:t>
            </w:r>
            <w:r w:rsidRPr="00C067F9">
              <w:rPr>
                <w:rFonts w:ascii="Times New Roman" w:hAnsi="Times New Roman" w:cs="Times New Roman"/>
                <w:i/>
                <w:color w:val="000000"/>
                <w:sz w:val="20"/>
                <w:szCs w:val="20"/>
              </w:rPr>
              <w:t>trong đó bao gồm rà soát TCĐM)</w:t>
            </w:r>
            <w:r w:rsidRPr="00C067F9">
              <w:rPr>
                <w:rFonts w:ascii="Times New Roman" w:hAnsi="Times New Roman" w:cs="Times New Roman"/>
                <w:color w:val="000000"/>
                <w:sz w:val="20"/>
                <w:szCs w:val="20"/>
              </w:rPr>
              <w:t xml:space="preserve"> theo pháp luật về đầu tư, pháp luật về NSNN, pháp luật về đất đai, pháp luật về QL,SD TSC và pháp luật có liên quan; </w:t>
            </w:r>
            <w:r w:rsidRPr="00C067F9">
              <w:rPr>
                <w:rFonts w:ascii="Times New Roman" w:hAnsi="Times New Roman" w:cs="Times New Roman"/>
                <w:sz w:val="20"/>
                <w:szCs w:val="20"/>
              </w:rPr>
              <w:t xml:space="preserve">vì vậy, </w:t>
            </w:r>
            <w:r w:rsidRPr="00C067F9">
              <w:rPr>
                <w:rFonts w:ascii="Times New Roman" w:hAnsi="Times New Roman" w:cs="Times New Roman"/>
                <w:color w:val="000000"/>
                <w:sz w:val="20"/>
                <w:szCs w:val="20"/>
              </w:rPr>
              <w:t>đề nghị giữ như quy định hiện hành.</w:t>
            </w:r>
          </w:p>
          <w:p w:rsidR="00A429F4" w:rsidRPr="00C539C7" w:rsidRDefault="00A429F4" w:rsidP="005C5B03">
            <w:pPr>
              <w:jc w:val="both"/>
              <w:rPr>
                <w:rFonts w:ascii="Times New Roman" w:hAnsi="Times New Roman" w:cs="Times New Roman"/>
                <w:color w:val="000000"/>
                <w:spacing w:val="-2"/>
              </w:rPr>
            </w:pPr>
            <w:r w:rsidRPr="005C5B03">
              <w:rPr>
                <w:rFonts w:ascii="Times New Roman" w:hAnsi="Times New Roman" w:cs="Times New Roman"/>
                <w:color w:val="000000"/>
                <w:spacing w:val="-2"/>
                <w:sz w:val="20"/>
                <w:szCs w:val="20"/>
              </w:rPr>
              <w:t>(</w:t>
            </w:r>
            <w:r w:rsidRPr="005C5B03">
              <w:rPr>
                <w:rFonts w:ascii="Times New Roman" w:hAnsi="Times New Roman" w:cs="Times New Roman"/>
                <w:b/>
                <w:color w:val="000000"/>
                <w:spacing w:val="-2"/>
                <w:sz w:val="20"/>
                <w:szCs w:val="20"/>
              </w:rPr>
              <w:t xml:space="preserve">iii) </w:t>
            </w:r>
            <w:r w:rsidR="0004468F" w:rsidRPr="005C5B03">
              <w:rPr>
                <w:rFonts w:ascii="Times New Roman" w:hAnsi="Times New Roman" w:cs="Times New Roman"/>
                <w:b/>
                <w:color w:val="000000"/>
                <w:spacing w:val="-2"/>
                <w:sz w:val="20"/>
                <w:szCs w:val="20"/>
              </w:rPr>
              <w:t>Giải trình</w:t>
            </w:r>
            <w:r w:rsidRPr="005C5B03">
              <w:rPr>
                <w:rFonts w:ascii="Times New Roman" w:hAnsi="Times New Roman" w:cs="Times New Roman"/>
                <w:b/>
                <w:color w:val="000000"/>
                <w:spacing w:val="-2"/>
                <w:sz w:val="20"/>
                <w:szCs w:val="20"/>
              </w:rPr>
              <w:t>:</w:t>
            </w:r>
            <w:r w:rsidRPr="005C5B03">
              <w:rPr>
                <w:rFonts w:ascii="Times New Roman" w:hAnsi="Times New Roman" w:cs="Times New Roman"/>
                <w:color w:val="000000"/>
                <w:spacing w:val="-2"/>
                <w:sz w:val="20"/>
                <w:szCs w:val="20"/>
              </w:rPr>
              <w:t xml:space="preserve"> </w:t>
            </w:r>
            <w:r w:rsidR="0004468F" w:rsidRPr="005C5B03">
              <w:rPr>
                <w:rFonts w:ascii="Times New Roman" w:hAnsi="Times New Roman" w:cs="Times New Roman"/>
                <w:color w:val="000000"/>
                <w:spacing w:val="-2"/>
                <w:sz w:val="20"/>
                <w:szCs w:val="20"/>
              </w:rPr>
              <w:t xml:space="preserve">Cơ quan, người có thẩm quyền phê duyệt thiết kế đầu tư xây dựng mới, nâng cấp, cải tạo có trách nhiệm bảo đảm thiết kế phù hợp với chủ trương đầu tư, </w:t>
            </w:r>
            <w:r w:rsidR="0004468F" w:rsidRPr="005C5B03">
              <w:rPr>
                <w:rFonts w:ascii="Times New Roman" w:hAnsi="Times New Roman" w:cs="Times New Roman"/>
                <w:color w:val="000000"/>
                <w:spacing w:val="-2"/>
                <w:sz w:val="20"/>
                <w:szCs w:val="20"/>
              </w:rPr>
              <w:lastRenderedPageBreak/>
              <w:t xml:space="preserve">quyết định đầu tư, tiêu chuẩn, định mức, quy chuẩn, tiêu chuẩn kỹ thuật và tổng mức đầu tư của dự án; chịu trách nhiệm trước pháp luật và cấp có thẩm quyền về việc phê duyệt, bảo đảm tiết kiệm, hiệu quả, tránh thất thoát, lãng phí vốn đầu tư công và tài sản công trách nhiệm rà soát; </w:t>
            </w:r>
            <w:r w:rsidR="0004468F" w:rsidRPr="005C5B03">
              <w:rPr>
                <w:rFonts w:ascii="Times New Roman" w:hAnsi="Times New Roman" w:cs="Times New Roman"/>
                <w:spacing w:val="-2"/>
                <w:sz w:val="20"/>
                <w:szCs w:val="20"/>
              </w:rPr>
              <w:t xml:space="preserve">vì vậy, </w:t>
            </w:r>
            <w:r w:rsidR="0004468F" w:rsidRPr="005C5B03">
              <w:rPr>
                <w:rFonts w:ascii="Times New Roman" w:hAnsi="Times New Roman" w:cs="Times New Roman"/>
                <w:color w:val="000000"/>
                <w:spacing w:val="-2"/>
                <w:sz w:val="20"/>
                <w:szCs w:val="20"/>
              </w:rPr>
              <w:t>đề nghị giữ như quy định hiện hành để tránh phát sinh thêm thủ tục hành chính</w:t>
            </w:r>
            <w:r w:rsidR="00553508" w:rsidRPr="005C5B03">
              <w:rPr>
                <w:rFonts w:ascii="Times New Roman" w:hAnsi="Times New Roman" w:cs="Times New Roman"/>
                <w:color w:val="000000"/>
                <w:spacing w:val="-2"/>
                <w:sz w:val="20"/>
                <w:szCs w:val="20"/>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Khánh Hòa</w:t>
            </w:r>
          </w:p>
        </w:tc>
        <w:tc>
          <w:tcPr>
            <w:tcW w:w="7728" w:type="dxa"/>
          </w:tcPr>
          <w:p w:rsidR="00A429F4" w:rsidRPr="006C0077" w:rsidRDefault="00A429F4" w:rsidP="00E7199C">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 xml:space="preserve">Tại </w:t>
            </w:r>
            <w:r>
              <w:rPr>
                <w:rFonts w:ascii="Times New Roman" w:hAnsi="Times New Roman" w:cs="Times New Roman"/>
                <w:color w:val="000000"/>
                <w:spacing w:val="-2"/>
              </w:rPr>
              <w:t>NĐ155</w:t>
            </w:r>
            <w:r w:rsidRPr="006C0077">
              <w:rPr>
                <w:rFonts w:ascii="Times New Roman" w:hAnsi="Times New Roman" w:cs="Times New Roman"/>
                <w:color w:val="000000"/>
                <w:spacing w:val="-2"/>
              </w:rPr>
              <w:t xml:space="preserve"> chưa phân quyền, phân cấp cho Ban Thường trực MTTQ cấp tỉnh và Chánh Văn phòng Đoàn ĐBQH và HĐND cấp tỉnh; vì vậy, để đồng bộ việc phân quyền, phân cấp với Nghị định 186/2025/NĐ-CP và dự thảo Quyết định sửa đổi, bổ sung Q</w:t>
            </w:r>
            <w:r>
              <w:rPr>
                <w:rFonts w:ascii="Times New Roman" w:hAnsi="Times New Roman" w:cs="Times New Roman"/>
                <w:color w:val="000000"/>
                <w:spacing w:val="-2"/>
              </w:rPr>
              <w:t>Đ</w:t>
            </w:r>
            <w:r w:rsidRPr="006C0077">
              <w:rPr>
                <w:rFonts w:ascii="Times New Roman" w:hAnsi="Times New Roman" w:cs="Times New Roman"/>
                <w:color w:val="000000"/>
                <w:spacing w:val="-2"/>
              </w:rPr>
              <w:t xml:space="preserve"> số 15/2025/QĐ-TTg, kiến nghị Bộ Tài chính nghiên cứu sửa đổi, bổ sung nội dung trên.</w:t>
            </w:r>
          </w:p>
        </w:tc>
        <w:tc>
          <w:tcPr>
            <w:tcW w:w="3685" w:type="dxa"/>
          </w:tcPr>
          <w:p w:rsidR="00A429F4" w:rsidRPr="00C539C7" w:rsidRDefault="00A429F4" w:rsidP="00EF4CB8">
            <w:pPr>
              <w:spacing w:before="40" w:after="40"/>
              <w:jc w:val="both"/>
              <w:rPr>
                <w:rFonts w:ascii="Times New Roman" w:hAnsi="Times New Roman" w:cs="Times New Roman"/>
                <w:color w:val="000000"/>
                <w:spacing w:val="-2"/>
              </w:rPr>
            </w:pPr>
            <w:r w:rsidRPr="00C539C7">
              <w:rPr>
                <w:rFonts w:ascii="Times New Roman" w:hAnsi="Times New Roman" w:cs="Times New Roman"/>
                <w:color w:val="000000"/>
                <w:spacing w:val="-2"/>
              </w:rPr>
              <w:t>Tiếp thu, dự kiến sửa đổi theo hướng quy định</w:t>
            </w:r>
            <w:r w:rsidRPr="00C539C7">
              <w:rPr>
                <w:rFonts w:ascii="Times New Roman" w:hAnsi="Times New Roman" w:cs="Times New Roman"/>
                <w:i/>
                <w:color w:val="000000"/>
                <w:spacing w:val="-2"/>
              </w:rPr>
              <w:t xml:space="preserve"> Ban Thường trực UB MTTQ VN (bao gồm cả trung ương và địa phương) quyết định hoặc phân cấp thẩm quyền quyết định; Chánh Văn phòng HĐND cấp tỉnh hoặc Chánh Văn phòng Đoàn ĐBQH và HĐND cấp tỉnh</w:t>
            </w:r>
            <w:r w:rsidRPr="00C539C7">
              <w:rPr>
                <w:rFonts w:ascii="Times New Roman" w:eastAsia="Times New Roman" w:hAnsi="Times New Roman" w:cs="Times New Roman"/>
                <w:i/>
                <w:color w:val="000000" w:themeColor="text1"/>
                <w:spacing w:val="-2"/>
              </w:rPr>
              <w:t xml:space="preserve"> </w:t>
            </w:r>
            <w:r w:rsidRPr="00C539C7">
              <w:rPr>
                <w:rFonts w:ascii="Times New Roman" w:hAnsi="Times New Roman" w:cs="Times New Roman"/>
                <w:i/>
                <w:color w:val="000000"/>
                <w:spacing w:val="-2"/>
              </w:rPr>
              <w:t>quyết định.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Pr>
                <w:rFonts w:ascii="Times New Roman" w:hAnsi="Times New Roman" w:cs="Times New Roman"/>
                <w:spacing w:val="-2"/>
              </w:rPr>
              <w:t>Bộ XD</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Pr>
                <w:rFonts w:ascii="Times New Roman" w:hAnsi="Times New Roman" w:cs="Times New Roman"/>
                <w:color w:val="000000"/>
                <w:spacing w:val="-2"/>
              </w:rPr>
              <w:t>TCĐM</w:t>
            </w:r>
            <w:r w:rsidRPr="006C0077">
              <w:rPr>
                <w:rFonts w:ascii="Times New Roman" w:hAnsi="Times New Roman" w:cs="Times New Roman"/>
                <w:color w:val="000000"/>
                <w:spacing w:val="-2"/>
              </w:rPr>
              <w:t xml:space="preserve"> diện tích công trình sự nghiệp: Đề nghị Bộ Y tế, Bộ GD&amp;ĐT cần khẩn trương ban hành </w:t>
            </w:r>
            <w:r>
              <w:rPr>
                <w:rFonts w:ascii="Times New Roman" w:hAnsi="Times New Roman" w:cs="Times New Roman"/>
                <w:color w:val="000000"/>
                <w:spacing w:val="-2"/>
              </w:rPr>
              <w:t>TCĐM</w:t>
            </w:r>
            <w:r w:rsidRPr="006C0077">
              <w:rPr>
                <w:rFonts w:ascii="Times New Roman" w:hAnsi="Times New Roman" w:cs="Times New Roman"/>
                <w:color w:val="000000"/>
                <w:spacing w:val="-2"/>
              </w:rPr>
              <w:t xml:space="preserve"> để các đơn vị của các Bộ có liên quan áp dụng.</w:t>
            </w:r>
          </w:p>
        </w:tc>
        <w:tc>
          <w:tcPr>
            <w:tcW w:w="3685" w:type="dxa"/>
            <w:vMerge w:val="restart"/>
          </w:tcPr>
          <w:p w:rsidR="004F2C44" w:rsidRPr="00C067F9" w:rsidRDefault="004F2C44" w:rsidP="004F2C44">
            <w:pPr>
              <w:spacing w:before="40" w:after="40"/>
              <w:jc w:val="both"/>
              <w:rPr>
                <w:rFonts w:ascii="Times New Roman" w:hAnsi="Times New Roman" w:cs="Times New Roman"/>
                <w:color w:val="000000"/>
              </w:rPr>
            </w:pPr>
            <w:r w:rsidRPr="00C067F9">
              <w:rPr>
                <w:rFonts w:ascii="Times New Roman" w:hAnsi="Times New Roman" w:cs="Times New Roman"/>
                <w:color w:val="000000"/>
              </w:rPr>
              <w:t>Đã chuyển kiến nghị tới Bộ YT, Bộ GD&amp;ĐT (Công văn số 3738/BTC-QLCS ngày 27/3/2026).</w:t>
            </w:r>
          </w:p>
          <w:p w:rsidR="00A429F4" w:rsidRPr="00C539C7" w:rsidRDefault="00A429F4" w:rsidP="006C0077">
            <w:pPr>
              <w:spacing w:before="40" w:after="40"/>
              <w:jc w:val="both"/>
              <w:rPr>
                <w:rFonts w:ascii="Times New Roman" w:hAnsi="Times New Roman" w:cs="Times New Roman"/>
                <w:color w:val="000000"/>
                <w:spacing w:val="-2"/>
              </w:rPr>
            </w:pPr>
          </w:p>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Tuyên Quang</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Kiến nghị Bộ Y tế, Bộ GD&amp;ĐT ban hành Thông tư hướng dẫn về TCĐM sử dụng CSHĐSN y tế, GD&amp;ĐT.</w:t>
            </w:r>
          </w:p>
        </w:tc>
        <w:tc>
          <w:tcPr>
            <w:tcW w:w="3685" w:type="dxa"/>
            <w:vMerge/>
          </w:tcPr>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Sơn La</w:t>
            </w:r>
          </w:p>
        </w:tc>
        <w:tc>
          <w:tcPr>
            <w:tcW w:w="7728" w:type="dxa"/>
          </w:tcPr>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Bộ Y tế và Bộ GD&amp;ĐT sớm ban hành thông tư quy định TCĐM</w:t>
            </w:r>
          </w:p>
        </w:tc>
        <w:tc>
          <w:tcPr>
            <w:tcW w:w="3685" w:type="dxa"/>
            <w:vMerge/>
          </w:tcPr>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Điện Biên</w:t>
            </w:r>
          </w:p>
        </w:tc>
        <w:tc>
          <w:tcPr>
            <w:tcW w:w="7728" w:type="dxa"/>
          </w:tcPr>
          <w:p w:rsidR="00A429F4" w:rsidRPr="006C0077" w:rsidRDefault="00A429F4" w:rsidP="006C0077">
            <w:pPr>
              <w:tabs>
                <w:tab w:val="left" w:pos="952"/>
              </w:tabs>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Bộ Y tế, Bộ GD&amp;ĐT sớm quy định chi tiết hướng dẫn về tiêu chuẩn, định mức diện tích công trình sự nghiệp trong lĩnh vực y tế, giáo dục và đào tạo thuộc lĩnh vực quản lý nhà nước của Bộ Y tế, Bộ GD&amp;ĐT.</w:t>
            </w:r>
          </w:p>
        </w:tc>
        <w:tc>
          <w:tcPr>
            <w:tcW w:w="3685" w:type="dxa"/>
            <w:vMerge/>
          </w:tcPr>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rPr>
          <w:trHeight w:val="377"/>
        </w:trPr>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Cao Bằng</w:t>
            </w:r>
          </w:p>
        </w:tc>
        <w:tc>
          <w:tcPr>
            <w:tcW w:w="7728" w:type="dxa"/>
          </w:tcPr>
          <w:p w:rsidR="00A429F4" w:rsidRPr="006C0077" w:rsidRDefault="00A429F4" w:rsidP="006C0077">
            <w:pPr>
              <w:tabs>
                <w:tab w:val="left" w:pos="1475"/>
              </w:tabs>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Bộ Y tế và Bộ GD&amp;ĐT sớm ban hành hướng dẫn thực hiện Nghị định số 155/2025/NĐ-CP để Sở Y tế và Sở GD&amp;ĐT có căn cứ, tham mưu triển khai đồng bộ, đồng nhất các tiêu chuẩn cùng với các địa phương khác trên toàn quốc</w:t>
            </w:r>
          </w:p>
        </w:tc>
        <w:tc>
          <w:tcPr>
            <w:tcW w:w="3685" w:type="dxa"/>
            <w:vMerge/>
          </w:tcPr>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Đồng Tháp</w:t>
            </w:r>
          </w:p>
        </w:tc>
        <w:tc>
          <w:tcPr>
            <w:tcW w:w="7728" w:type="dxa"/>
          </w:tcPr>
          <w:p w:rsidR="00A429F4" w:rsidRPr="006C0077" w:rsidRDefault="00A429F4" w:rsidP="006C0077">
            <w:pPr>
              <w:tabs>
                <w:tab w:val="left" w:pos="952"/>
              </w:tabs>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các Bộ Y tế, Bộ GD&amp;ĐT có hướng dẫn chi tiết quy định TCĐM diện tích công trình sự nghiệp lĩnh vực GD&amp;ĐT và lĩnh vực Y tế để các đơn vị, địa phương chưa có cơ sở ban hành TCĐM diện tích công trình sự nghiệp</w:t>
            </w:r>
          </w:p>
        </w:tc>
        <w:tc>
          <w:tcPr>
            <w:tcW w:w="3685" w:type="dxa"/>
            <w:vMerge/>
          </w:tcPr>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TP. Hà Nội</w:t>
            </w:r>
          </w:p>
        </w:tc>
        <w:tc>
          <w:tcPr>
            <w:tcW w:w="7728" w:type="dxa"/>
          </w:tcPr>
          <w:p w:rsidR="00A429F4" w:rsidRPr="006C0077" w:rsidRDefault="00A429F4" w:rsidP="006C0077">
            <w:pPr>
              <w:tabs>
                <w:tab w:val="left" w:pos="952"/>
              </w:tabs>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t xml:space="preserve">(i) Đề nghị Bộ trưởng Bộ Y tế, Bộ trưởng Bộ GD&amp;ĐT sớm ban hành quy định chi tiết hướng dẫn về TCĐM sử dụng diện tích công trình sự nghiệp trong lĩnh vực y tế, GD&amp;ĐT thuộc lĩnh vực quản lý nhà nước của Bộ Y tế, Bộ GD&amp;ĐT theo quy định tại Nghị định số 155/2025/NĐ-CP làm cơ sở để địa phương thuận tiện trong quá trình ban hành TCĐM. </w:t>
            </w:r>
          </w:p>
          <w:p w:rsidR="00A429F4" w:rsidRPr="006C0077" w:rsidRDefault="00A429F4" w:rsidP="006C0077">
            <w:pPr>
              <w:spacing w:before="40" w:after="40"/>
              <w:jc w:val="both"/>
              <w:rPr>
                <w:rFonts w:ascii="Times New Roman" w:hAnsi="Times New Roman" w:cs="Times New Roman"/>
                <w:color w:val="000000"/>
                <w:spacing w:val="-2"/>
              </w:rPr>
            </w:pPr>
            <w:r w:rsidRPr="006C0077">
              <w:rPr>
                <w:rFonts w:ascii="Times New Roman" w:hAnsi="Times New Roman" w:cs="Times New Roman"/>
                <w:color w:val="000000"/>
                <w:spacing w:val="-2"/>
              </w:rPr>
              <w:lastRenderedPageBreak/>
              <w:t>(ii) Đề nghị Bộ Tài chính tiếp tục tổ chức các buổi/chương trình tập huấn liên quan quy định tiêu chuẩn, định mức sử dụng tài sản công (trong đó bao gồm trụ sở làm việc, cơ sở hoạt động sự nghiệp) cho các cơ quan, tổ chức, đơn vị thuộc phạm vi quản lý của Thành phố để cập nhật kịp thời, đầy đủ cơ chế, chính sách hiện hành</w:t>
            </w:r>
          </w:p>
        </w:tc>
        <w:tc>
          <w:tcPr>
            <w:tcW w:w="3685" w:type="dxa"/>
          </w:tcPr>
          <w:p w:rsidR="00A429F4" w:rsidRPr="00C067F9" w:rsidRDefault="00A429F4" w:rsidP="006C0077">
            <w:pPr>
              <w:spacing w:before="40" w:after="40"/>
              <w:jc w:val="both"/>
              <w:rPr>
                <w:rFonts w:ascii="Times New Roman" w:hAnsi="Times New Roman" w:cs="Times New Roman"/>
                <w:color w:val="000000"/>
              </w:rPr>
            </w:pPr>
            <w:r w:rsidRPr="00C067F9">
              <w:rPr>
                <w:rFonts w:ascii="Times New Roman" w:hAnsi="Times New Roman" w:cs="Times New Roman"/>
                <w:b/>
                <w:color w:val="000000"/>
              </w:rPr>
              <w:lastRenderedPageBreak/>
              <w:t>(i)</w:t>
            </w:r>
            <w:r w:rsidRPr="00C067F9">
              <w:rPr>
                <w:rFonts w:ascii="Times New Roman" w:hAnsi="Times New Roman" w:cs="Times New Roman"/>
                <w:color w:val="000000"/>
              </w:rPr>
              <w:t xml:space="preserve"> </w:t>
            </w:r>
            <w:r w:rsidR="000A79B4" w:rsidRPr="00C067F9">
              <w:rPr>
                <w:rFonts w:ascii="Times New Roman" w:hAnsi="Times New Roman" w:cs="Times New Roman"/>
                <w:color w:val="000000"/>
              </w:rPr>
              <w:t>Đã chuyển kiến nghị tới Bộ YT, Bộ GD&amp;ĐT (Công văn số 3738/BTC-QLCS ngày 27/3/2026).</w:t>
            </w:r>
          </w:p>
          <w:p w:rsidR="00A429F4" w:rsidRPr="00C539C7" w:rsidRDefault="00A429F4" w:rsidP="006C0077">
            <w:pPr>
              <w:spacing w:before="40" w:after="40"/>
              <w:jc w:val="both"/>
              <w:rPr>
                <w:rFonts w:ascii="Times New Roman" w:hAnsi="Times New Roman" w:cs="Times New Roman"/>
                <w:color w:val="000000"/>
                <w:spacing w:val="-2"/>
              </w:rPr>
            </w:pPr>
            <w:r w:rsidRPr="00FA577E">
              <w:rPr>
                <w:rFonts w:ascii="Times New Roman" w:hAnsi="Times New Roman" w:cs="Times New Roman"/>
                <w:b/>
                <w:color w:val="000000"/>
                <w:spacing w:val="-2"/>
              </w:rPr>
              <w:t>(ii)</w:t>
            </w:r>
            <w:r w:rsidRPr="00C539C7">
              <w:rPr>
                <w:rFonts w:ascii="Times New Roman" w:hAnsi="Times New Roman" w:cs="Times New Roman"/>
                <w:color w:val="000000"/>
                <w:spacing w:val="-2"/>
              </w:rPr>
              <w:t xml:space="preserve"> </w:t>
            </w:r>
            <w:r w:rsidRPr="00715E3C">
              <w:rPr>
                <w:rFonts w:ascii="Times New Roman" w:hAnsi="Times New Roman" w:cs="Times New Roman"/>
                <w:b/>
                <w:color w:val="000000"/>
                <w:spacing w:val="-2"/>
              </w:rPr>
              <w:t>Tiếp thu</w:t>
            </w:r>
            <w:r w:rsidRPr="00C539C7">
              <w:rPr>
                <w:rFonts w:ascii="Times New Roman" w:hAnsi="Times New Roman" w:cs="Times New Roman"/>
                <w:color w:val="000000"/>
                <w:spacing w:val="-2"/>
              </w:rPr>
              <w:t xml:space="preserve">, Bộ Tài chính sẽ tiếp tục thực hiện công tác tập huấn, hướng dẫn </w:t>
            </w:r>
            <w:r w:rsidRPr="00C539C7">
              <w:rPr>
                <w:rFonts w:ascii="Times New Roman" w:hAnsi="Times New Roman" w:cs="Times New Roman"/>
                <w:color w:val="000000"/>
                <w:spacing w:val="-2"/>
              </w:rPr>
              <w:lastRenderedPageBreak/>
              <w:t>triển khai thi hành chính sách.</w:t>
            </w:r>
          </w:p>
        </w:tc>
      </w:tr>
      <w:tr w:rsidR="00A429F4" w:rsidRPr="006C0077" w:rsidTr="00C067F9">
        <w:tc>
          <w:tcPr>
            <w:tcW w:w="1625" w:type="dxa"/>
            <w:vMerge w:val="restart"/>
          </w:tcPr>
          <w:p w:rsidR="00A429F4" w:rsidRPr="006C0077" w:rsidRDefault="00A429F4" w:rsidP="006C0077">
            <w:pPr>
              <w:spacing w:before="40" w:after="40"/>
              <w:rPr>
                <w:rFonts w:ascii="Times New Roman" w:hAnsi="Times New Roman" w:cs="Times New Roman"/>
                <w:b/>
                <w:spacing w:val="-2"/>
              </w:rPr>
            </w:pPr>
            <w:r>
              <w:rPr>
                <w:rFonts w:ascii="Times New Roman" w:hAnsi="Times New Roman" w:cs="Times New Roman"/>
                <w:b/>
                <w:spacing w:val="-2"/>
              </w:rPr>
              <w:lastRenderedPageBreak/>
              <w:t>7</w:t>
            </w:r>
            <w:r w:rsidRPr="006C0077">
              <w:rPr>
                <w:rFonts w:ascii="Times New Roman" w:hAnsi="Times New Roman" w:cs="Times New Roman"/>
                <w:b/>
                <w:spacing w:val="-2"/>
              </w:rPr>
              <w:t>. Về các nội dung khác</w:t>
            </w: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color w:val="000000"/>
                <w:spacing w:val="-2"/>
              </w:rPr>
              <w:t>VP TƯ Đảng</w:t>
            </w:r>
          </w:p>
        </w:tc>
        <w:tc>
          <w:tcPr>
            <w:tcW w:w="7728" w:type="dxa"/>
          </w:tcPr>
          <w:p w:rsidR="00A429F4" w:rsidRPr="006C0077" w:rsidRDefault="00A429F4" w:rsidP="005C5B03">
            <w:pPr>
              <w:jc w:val="both"/>
              <w:rPr>
                <w:rFonts w:ascii="Times New Roman" w:hAnsi="Times New Roman" w:cs="Times New Roman"/>
                <w:color w:val="000000"/>
                <w:spacing w:val="-2"/>
              </w:rPr>
            </w:pPr>
            <w:r w:rsidRPr="006C0077">
              <w:rPr>
                <w:rFonts w:ascii="Times New Roman" w:hAnsi="Times New Roman" w:cs="Times New Roman"/>
                <w:color w:val="000000"/>
                <w:spacing w:val="-2"/>
              </w:rPr>
              <w:t>Đối với công trình đã xây dựng trước thời điểm Nghị định có hiệu lực, cho phép thực hiện điều chỉnh theo lộ trình phù hợp với khả năng cân đối ngân sách.</w:t>
            </w:r>
          </w:p>
        </w:tc>
        <w:tc>
          <w:tcPr>
            <w:tcW w:w="3685" w:type="dxa"/>
            <w:vMerge w:val="restart"/>
          </w:tcPr>
          <w:p w:rsidR="00A429F4" w:rsidRPr="00C067F9" w:rsidRDefault="00A429F4" w:rsidP="00C955E5">
            <w:pPr>
              <w:spacing w:before="40" w:after="40"/>
              <w:jc w:val="both"/>
              <w:rPr>
                <w:rFonts w:ascii="Times New Roman" w:hAnsi="Times New Roman" w:cs="Times New Roman"/>
                <w:color w:val="000000"/>
                <w:sz w:val="20"/>
                <w:szCs w:val="20"/>
              </w:rPr>
            </w:pPr>
            <w:r w:rsidRPr="00C067F9">
              <w:rPr>
                <w:rFonts w:ascii="Times New Roman" w:hAnsi="Times New Roman" w:cs="Times New Roman"/>
                <w:b/>
                <w:sz w:val="20"/>
                <w:szCs w:val="20"/>
              </w:rPr>
              <w:t>Tiếp thu theo hướng</w:t>
            </w:r>
            <w:r w:rsidRPr="00C067F9">
              <w:rPr>
                <w:rFonts w:ascii="Times New Roman" w:hAnsi="Times New Roman" w:cs="Times New Roman"/>
                <w:sz w:val="20"/>
                <w:szCs w:val="20"/>
              </w:rPr>
              <w:t>: Quy định xử lý chuyển tiếp đối với các trường hợp trụ sở làm việc, cơ sở hoạt động sự nghiệp đang chuẩn bị đầu tư hoặc đang đầu tư trước ngày Nghị định này có hiệu lực thi hành; Đối với trụ sở làm việc, cơ sở hoạt động sự nghiệp đã được đầu tư xây dựng, mua sắm, tiếp nhận, bố trí sử dụng trước ngày Nghị định này có hiệu lực thi hành.</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spacing w:val="-2"/>
              </w:rPr>
            </w:pPr>
          </w:p>
        </w:tc>
        <w:tc>
          <w:tcPr>
            <w:tcW w:w="1812" w:type="dxa"/>
          </w:tcPr>
          <w:p w:rsidR="00A429F4" w:rsidRPr="006C0077" w:rsidRDefault="00A429F4" w:rsidP="006C0077">
            <w:pPr>
              <w:spacing w:before="40" w:after="40"/>
              <w:jc w:val="center"/>
              <w:rPr>
                <w:rFonts w:ascii="Times New Roman" w:hAnsi="Times New Roman" w:cs="Times New Roman"/>
                <w:spacing w:val="-2"/>
              </w:rPr>
            </w:pPr>
            <w:r w:rsidRPr="006C0077">
              <w:rPr>
                <w:rFonts w:ascii="Times New Roman" w:hAnsi="Times New Roman" w:cs="Times New Roman"/>
                <w:spacing w:val="-2"/>
              </w:rPr>
              <w:t>Bộ KH&amp;CN</w:t>
            </w:r>
          </w:p>
        </w:tc>
        <w:tc>
          <w:tcPr>
            <w:tcW w:w="7728" w:type="dxa"/>
          </w:tcPr>
          <w:p w:rsidR="00A429F4" w:rsidRPr="006C0077" w:rsidRDefault="00A429F4" w:rsidP="005C5B03">
            <w:pPr>
              <w:jc w:val="both"/>
              <w:rPr>
                <w:rFonts w:ascii="Times New Roman" w:hAnsi="Times New Roman" w:cs="Times New Roman"/>
                <w:color w:val="000000"/>
                <w:spacing w:val="-2"/>
              </w:rPr>
            </w:pPr>
            <w:r w:rsidRPr="006C0077">
              <w:rPr>
                <w:rFonts w:ascii="Times New Roman" w:hAnsi="Times New Roman" w:cs="Times New Roman"/>
                <w:color w:val="000000"/>
                <w:spacing w:val="-2"/>
              </w:rPr>
              <w:t>Đề nghị có quy định chuyển tiếp việc áp dụng TCĐM trong trường hợp trụ sở cũ (đã được xây dựng trước ngày Nghị định có hiệu lực).</w:t>
            </w:r>
          </w:p>
        </w:tc>
        <w:tc>
          <w:tcPr>
            <w:tcW w:w="3685" w:type="dxa"/>
            <w:vMerge/>
          </w:tcPr>
          <w:p w:rsidR="00A429F4" w:rsidRPr="00C539C7" w:rsidRDefault="00A429F4" w:rsidP="006C0077">
            <w:pPr>
              <w:spacing w:before="40" w:after="40"/>
              <w:jc w:val="both"/>
              <w:rPr>
                <w:rFonts w:ascii="Times New Roman" w:hAnsi="Times New Roman" w:cs="Times New Roman"/>
                <w:color w:val="000000"/>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spacing w:val="-2"/>
              </w:rPr>
            </w:pPr>
          </w:p>
        </w:tc>
        <w:tc>
          <w:tcPr>
            <w:tcW w:w="1812" w:type="dxa"/>
          </w:tcPr>
          <w:p w:rsidR="00A429F4" w:rsidRPr="006C0077" w:rsidRDefault="00A429F4" w:rsidP="006C0077">
            <w:pPr>
              <w:spacing w:before="40" w:after="40"/>
              <w:jc w:val="center"/>
              <w:rPr>
                <w:rFonts w:ascii="Times New Roman" w:eastAsia="Times New Roman" w:hAnsi="Times New Roman" w:cs="Times New Roman"/>
                <w:color w:val="000000"/>
                <w:spacing w:val="-2"/>
              </w:rPr>
            </w:pPr>
            <w:r w:rsidRPr="006C0077">
              <w:rPr>
                <w:rFonts w:ascii="Times New Roman" w:eastAsia="Times New Roman" w:hAnsi="Times New Roman" w:cs="Times New Roman"/>
                <w:color w:val="000000"/>
                <w:spacing w:val="-2"/>
              </w:rPr>
              <w:t>Ninh Bình</w:t>
            </w:r>
          </w:p>
        </w:tc>
        <w:tc>
          <w:tcPr>
            <w:tcW w:w="7728" w:type="dxa"/>
          </w:tcPr>
          <w:p w:rsidR="00A429F4" w:rsidRPr="005C5B03" w:rsidRDefault="00A429F4" w:rsidP="005C5B03">
            <w:pPr>
              <w:jc w:val="both"/>
              <w:rPr>
                <w:rFonts w:ascii="Times New Roman" w:eastAsia="Times New Roman" w:hAnsi="Times New Roman" w:cs="Times New Roman"/>
                <w:color w:val="000000"/>
                <w:spacing w:val="-2"/>
                <w:sz w:val="20"/>
                <w:szCs w:val="20"/>
              </w:rPr>
            </w:pPr>
            <w:r w:rsidRPr="005C5B03">
              <w:rPr>
                <w:rFonts w:ascii="Times New Roman" w:eastAsia="Times New Roman" w:hAnsi="Times New Roman" w:cs="Times New Roman"/>
                <w:color w:val="000000"/>
                <w:spacing w:val="-2"/>
                <w:sz w:val="20"/>
                <w:szCs w:val="20"/>
              </w:rPr>
              <w:t>Đề nghị bổ sung quy định chuyển tiếp đối với công trình đã xây dựng trước năm 2025, cho phép thực hiện điều chỉnh theo lộ trình phù hợp với khả năng cân đối ngân sách. Giải pháp này giúp giảm áp lực ngân sách trong ngắn hạn nhưng vẫn bảo đảm mục tiêu chuẩn hóa lâu dài.</w:t>
            </w:r>
          </w:p>
        </w:tc>
        <w:tc>
          <w:tcPr>
            <w:tcW w:w="3685" w:type="dxa"/>
            <w:vMerge/>
          </w:tcPr>
          <w:p w:rsidR="00A429F4" w:rsidRPr="00C539C7" w:rsidRDefault="00A429F4" w:rsidP="006C0077">
            <w:pPr>
              <w:spacing w:before="40" w:after="40"/>
              <w:jc w:val="both"/>
              <w:rPr>
                <w:rFonts w:ascii="Times New Roman" w:hAnsi="Times New Roman" w:cs="Times New Roman"/>
                <w:spacing w:val="-2"/>
              </w:rPr>
            </w:pP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spacing w:val="-2"/>
              </w:rPr>
            </w:pPr>
          </w:p>
        </w:tc>
        <w:tc>
          <w:tcPr>
            <w:tcW w:w="1812" w:type="dxa"/>
          </w:tcPr>
          <w:p w:rsidR="00A429F4" w:rsidRDefault="00A429F4" w:rsidP="006C0077">
            <w:pPr>
              <w:spacing w:before="40" w:after="40"/>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Nghệ An</w:t>
            </w:r>
          </w:p>
        </w:tc>
        <w:tc>
          <w:tcPr>
            <w:tcW w:w="7728" w:type="dxa"/>
          </w:tcPr>
          <w:p w:rsidR="00A429F4" w:rsidRPr="001A5B32" w:rsidRDefault="00A429F4" w:rsidP="005C5B03">
            <w:pPr>
              <w:jc w:val="both"/>
              <w:rPr>
                <w:rFonts w:ascii="Times New Roman" w:hAnsi="Times New Roman" w:cs="Times New Roman"/>
                <w:spacing w:val="-10"/>
              </w:rPr>
            </w:pPr>
            <w:r w:rsidRPr="001A5B32">
              <w:rPr>
                <w:rFonts w:ascii="Times New Roman" w:hAnsi="Times New Roman" w:cs="Times New Roman"/>
                <w:color w:val="000000"/>
                <w:spacing w:val="-10"/>
              </w:rPr>
              <w:t>Đề nghị có quy định hoặc hướng dẫn cụ thể đối với các trụ sở, công trình đã được đầu tư xây dựng từ nhiều năm trước nhưng chưa phù hợp với tiêu chuẩn, định mức mới; tạo điều kiện để các đơn vị tiếp tục sử dụng hiệu quả trong khi chưa đủ điều kiện cải tạo, nâng cấp, tránh lãng phí.</w:t>
            </w:r>
          </w:p>
        </w:tc>
        <w:tc>
          <w:tcPr>
            <w:tcW w:w="3685" w:type="dxa"/>
            <w:vMerge/>
          </w:tcPr>
          <w:p w:rsidR="00A429F4" w:rsidRPr="00C539C7" w:rsidRDefault="00A429F4" w:rsidP="000148B3">
            <w:pPr>
              <w:spacing w:before="40" w:after="40"/>
              <w:jc w:val="center"/>
              <w:rPr>
                <w:rFonts w:ascii="Times New Roman" w:hAnsi="Times New Roman" w:cs="Times New Roman"/>
                <w:spacing w:val="-2"/>
              </w:rPr>
            </w:pPr>
          </w:p>
        </w:tc>
      </w:tr>
      <w:tr w:rsidR="000F15D0" w:rsidRPr="006C0077" w:rsidTr="00C067F9">
        <w:tc>
          <w:tcPr>
            <w:tcW w:w="1625" w:type="dxa"/>
            <w:vMerge/>
          </w:tcPr>
          <w:p w:rsidR="000F15D0" w:rsidRPr="006C0077" w:rsidRDefault="000F15D0" w:rsidP="006C0077">
            <w:pPr>
              <w:spacing w:before="40" w:after="40"/>
              <w:rPr>
                <w:rFonts w:ascii="Times New Roman" w:hAnsi="Times New Roman" w:cs="Times New Roman"/>
                <w:b/>
                <w:spacing w:val="-2"/>
              </w:rPr>
            </w:pPr>
          </w:p>
        </w:tc>
        <w:tc>
          <w:tcPr>
            <w:tcW w:w="1812" w:type="dxa"/>
          </w:tcPr>
          <w:p w:rsidR="000F15D0" w:rsidRPr="00EF74BF" w:rsidRDefault="000F15D0" w:rsidP="006C0077">
            <w:pPr>
              <w:spacing w:before="40" w:after="40"/>
              <w:jc w:val="center"/>
              <w:rPr>
                <w:rFonts w:ascii="Times New Roman" w:eastAsia="Times New Roman" w:hAnsi="Times New Roman" w:cs="Times New Roman"/>
                <w:color w:val="FF0000"/>
                <w:spacing w:val="-2"/>
              </w:rPr>
            </w:pPr>
            <w:r w:rsidRPr="00EF74BF">
              <w:rPr>
                <w:rFonts w:ascii="Times New Roman" w:eastAsia="Times New Roman" w:hAnsi="Times New Roman" w:cs="Times New Roman"/>
                <w:color w:val="FF0000"/>
                <w:spacing w:val="-2"/>
              </w:rPr>
              <w:t>TP HCM</w:t>
            </w:r>
          </w:p>
        </w:tc>
        <w:tc>
          <w:tcPr>
            <w:tcW w:w="7728" w:type="dxa"/>
          </w:tcPr>
          <w:p w:rsidR="0024310E" w:rsidRPr="005C5B03" w:rsidRDefault="0024310E" w:rsidP="0024310E">
            <w:pPr>
              <w:spacing w:before="40" w:after="40"/>
              <w:jc w:val="both"/>
              <w:rPr>
                <w:rFonts w:ascii="Times New Roman" w:hAnsi="Times New Roman" w:cs="Times New Roman"/>
                <w:color w:val="FF0000"/>
                <w:spacing w:val="-2"/>
              </w:rPr>
            </w:pPr>
            <w:r w:rsidRPr="00EF74BF">
              <w:rPr>
                <w:rFonts w:ascii="Times New Roman" w:hAnsi="Times New Roman" w:cs="Times New Roman"/>
                <w:b/>
                <w:color w:val="FF0000"/>
                <w:spacing w:val="-10"/>
              </w:rPr>
              <w:t>(i)</w:t>
            </w:r>
            <w:r w:rsidRPr="00EF74BF">
              <w:rPr>
                <w:rFonts w:ascii="Times New Roman" w:hAnsi="Times New Roman" w:cs="Times New Roman"/>
                <w:color w:val="FF0000"/>
                <w:spacing w:val="-10"/>
              </w:rPr>
              <w:t xml:space="preserve"> </w:t>
            </w:r>
            <w:r w:rsidRPr="005C5B03">
              <w:rPr>
                <w:rFonts w:ascii="Times New Roman" w:hAnsi="Times New Roman" w:cs="Times New Roman"/>
                <w:color w:val="FF0000"/>
                <w:spacing w:val="-2"/>
              </w:rPr>
              <w:t>Hiện nay, sau khi sắp xếp bộ máy và hoạt động theo mô hình chính quyền địa phương 02 cấp, số lượng khu phố tại cấp xã tăng nhiều hơn và thực tế các địa phương đang kiến nghị sử dụng các trụ sở dôi dư để bố trí cho Ban điều hành khu phố, ấp làm nơi sinh hoạt tổ chức hội họp. Tuy nhiên, Ban điều hành khu phố, ấp không phải là một cấp hành chính mà là tổ chức tự quản của cộng đồng dân cư được thành lập theo quy định pháp luật; do đó không có cơ sở để giao tài sản cũng như tiêu chuẩn, định mức để làm cơ sở xác định diện tích bố trí.</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color w:val="FF0000"/>
                <w:spacing w:val="-2"/>
              </w:rPr>
              <w:t>Do đó, Sở Tài chính kiến nghị bổ sung nội dung quy định khoản 3 vào Điều 6 – Diện tích sử dụng chung như sau:</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color w:val="FF0000"/>
                <w:spacing w:val="-2"/>
              </w:rPr>
              <w:t>“3. Diện tích phục vụ hoạt động của Ban điều hành khu phố được bố trí trong phạm vi diện tích sử dụng chung của trụ sở làm việc của Ủy ban nhân dân cấp xã, nhà sinh hoạt cộng đồng, nhà văn hóa hoặc các trụ sở hiện có của địa phương.</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color w:val="FF0000"/>
                <w:spacing w:val="-2"/>
              </w:rPr>
              <w:t>Việc bố trí diện tích quy định tại khoản này phải bảo đảm nguyên tắc:</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color w:val="FF0000"/>
                <w:spacing w:val="-2"/>
              </w:rPr>
              <w:t>a) Phù hợp với điều kiện cơ sở vật chất hiện có của địa phương;</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color w:val="FF0000"/>
                <w:spacing w:val="-2"/>
              </w:rPr>
              <w:t>b) Không làm phát sinh việc đầu tư xây dựng trụ sở làm việc riêng cho Ban điều hành khu phố/ấp;</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color w:val="FF0000"/>
                <w:spacing w:val="-2"/>
              </w:rPr>
              <w:t>c) Bảo đảm sử dụng hiệu quả, tiết kiệm tài sản công theo quy định của pháp luật về quản lý, sử dụng tài sản công và diện tích bố trí tối đa không vượt quá 250m2.”</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b/>
                <w:color w:val="FF0000"/>
                <w:spacing w:val="-2"/>
              </w:rPr>
              <w:t>(ii)</w:t>
            </w:r>
            <w:r w:rsidRPr="005C5B03">
              <w:rPr>
                <w:rFonts w:ascii="Times New Roman" w:hAnsi="Times New Roman" w:cs="Times New Roman"/>
                <w:color w:val="FF0000"/>
                <w:spacing w:val="-2"/>
              </w:rPr>
              <w:t xml:space="preserve"> Giao cơ quan chuyên môn trực thuộc UBND cấp tỉnh về lĩnh vực xây dựng báo cáo UBND cấp tỉnh quyết định tiêu chuẩn, định mức sử dụng diện tích chuyên dùng, diện tích công trình sự nghiệp thuộc cơ sở hoạt động sự nghiệp.</w:t>
            </w:r>
          </w:p>
          <w:p w:rsidR="0024310E" w:rsidRPr="005C5B03" w:rsidRDefault="0024310E" w:rsidP="0024310E">
            <w:pPr>
              <w:spacing w:before="40" w:after="40"/>
              <w:jc w:val="both"/>
              <w:rPr>
                <w:rFonts w:ascii="Times New Roman" w:hAnsi="Times New Roman" w:cs="Times New Roman"/>
                <w:color w:val="FF0000"/>
                <w:spacing w:val="-2"/>
              </w:rPr>
            </w:pPr>
            <w:r w:rsidRPr="005C5B03">
              <w:rPr>
                <w:rFonts w:ascii="Times New Roman" w:hAnsi="Times New Roman" w:cs="Times New Roman"/>
                <w:color w:val="FF0000"/>
                <w:spacing w:val="-2"/>
              </w:rPr>
              <w:t xml:space="preserve">Hoặc lược bỏ quy định về việc ban hành tiêu chuẩn, định mức sử dụng diện tích </w:t>
            </w:r>
            <w:r w:rsidRPr="005C5B03">
              <w:rPr>
                <w:rFonts w:ascii="Times New Roman" w:hAnsi="Times New Roman" w:cs="Times New Roman"/>
                <w:color w:val="FF0000"/>
                <w:spacing w:val="-2"/>
              </w:rPr>
              <w:lastRenderedPageBreak/>
              <w:t>chuyên dùng, diện tích công trình sự nghiệp. Lý do: Khi xây dựng, các công trình phải đáp ứng về quy mô diện tích, cấp công trình, thiết kế công trình</w:t>
            </w:r>
            <w:proofErr w:type="gramStart"/>
            <w:r w:rsidRPr="005C5B03">
              <w:rPr>
                <w:rFonts w:ascii="Times New Roman" w:hAnsi="Times New Roman" w:cs="Times New Roman"/>
                <w:color w:val="FF0000"/>
                <w:spacing w:val="-2"/>
              </w:rPr>
              <w:t>,…</w:t>
            </w:r>
            <w:proofErr w:type="gramEnd"/>
            <w:r w:rsidRPr="005C5B03">
              <w:rPr>
                <w:rFonts w:ascii="Times New Roman" w:hAnsi="Times New Roman" w:cs="Times New Roman"/>
                <w:color w:val="FF0000"/>
                <w:spacing w:val="-2"/>
              </w:rPr>
              <w:t>và được cơ quan có thẩm quyền thẩm định, phê duyệt theo quy định theo tiêu chuẩn, quy chuẩn kỹ thuật quốc gia về xây dựng và theo pháp luật chuyên ngành.</w:t>
            </w:r>
          </w:p>
          <w:p w:rsidR="000F15D0" w:rsidRPr="00EF74BF" w:rsidRDefault="0024310E" w:rsidP="00CC3372">
            <w:pPr>
              <w:spacing w:before="40" w:after="40"/>
              <w:jc w:val="both"/>
              <w:rPr>
                <w:rFonts w:ascii="Times New Roman" w:hAnsi="Times New Roman" w:cs="Times New Roman"/>
                <w:color w:val="FF0000"/>
                <w:spacing w:val="-10"/>
              </w:rPr>
            </w:pPr>
            <w:r w:rsidRPr="005C5B03">
              <w:rPr>
                <w:rFonts w:ascii="Times New Roman" w:hAnsi="Times New Roman" w:cs="Times New Roman"/>
                <w:b/>
                <w:color w:val="FF0000"/>
                <w:spacing w:val="-2"/>
              </w:rPr>
              <w:t>(iii)</w:t>
            </w:r>
            <w:r w:rsidRPr="005C5B03">
              <w:rPr>
                <w:rFonts w:ascii="Times New Roman" w:hAnsi="Times New Roman" w:cs="Times New Roman"/>
                <w:color w:val="FF0000"/>
                <w:spacing w:val="-2"/>
              </w:rPr>
              <w:t xml:space="preserve"> Quy định diện tích làm việc theo biên độ dao động.</w:t>
            </w:r>
          </w:p>
        </w:tc>
        <w:tc>
          <w:tcPr>
            <w:tcW w:w="3685" w:type="dxa"/>
          </w:tcPr>
          <w:p w:rsidR="0024448F" w:rsidRPr="00C067F9" w:rsidRDefault="00EF74BF" w:rsidP="00EF74BF">
            <w:pPr>
              <w:spacing w:before="40" w:after="40"/>
              <w:jc w:val="both"/>
              <w:rPr>
                <w:rFonts w:ascii="Times New Roman" w:hAnsi="Times New Roman" w:cs="Times New Roman"/>
                <w:color w:val="FF0000"/>
              </w:rPr>
            </w:pPr>
            <w:r w:rsidRPr="00C067F9">
              <w:rPr>
                <w:rFonts w:ascii="Times New Roman" w:hAnsi="Times New Roman" w:cs="Times New Roman"/>
                <w:b/>
                <w:color w:val="FF0000"/>
              </w:rPr>
              <w:lastRenderedPageBreak/>
              <w:t>(i)</w:t>
            </w:r>
            <w:r w:rsidRPr="00C067F9">
              <w:rPr>
                <w:rFonts w:ascii="Times New Roman" w:hAnsi="Times New Roman" w:cs="Times New Roman"/>
                <w:color w:val="FF0000"/>
              </w:rPr>
              <w:t xml:space="preserve"> </w:t>
            </w:r>
            <w:r w:rsidRPr="00C067F9">
              <w:rPr>
                <w:rFonts w:ascii="Times New Roman" w:hAnsi="Times New Roman" w:cs="Times New Roman"/>
                <w:color w:val="FF0000"/>
                <w:spacing w:val="-4"/>
              </w:rPr>
              <w:t>Nghiên cứu, tiếp thu theo hướng bổ sung khoản 4 Điều 1 phạm vi điều chỉnh</w:t>
            </w:r>
            <w:r w:rsidR="003224D6" w:rsidRPr="00C067F9">
              <w:rPr>
                <w:rFonts w:ascii="Times New Roman" w:hAnsi="Times New Roman" w:cs="Times New Roman"/>
                <w:color w:val="FF0000"/>
                <w:spacing w:val="-4"/>
              </w:rPr>
              <w:t>.</w:t>
            </w:r>
          </w:p>
          <w:p w:rsidR="000F15D0" w:rsidRPr="00C067F9" w:rsidRDefault="00DF3283" w:rsidP="009B0354">
            <w:pPr>
              <w:spacing w:before="40" w:after="40"/>
              <w:jc w:val="both"/>
              <w:rPr>
                <w:rFonts w:ascii="Times New Roman" w:hAnsi="Times New Roman" w:cs="Times New Roman"/>
                <w:color w:val="FF0000"/>
              </w:rPr>
            </w:pPr>
            <w:r w:rsidRPr="00C067F9">
              <w:rPr>
                <w:rFonts w:ascii="Times New Roman" w:hAnsi="Times New Roman" w:cs="Times New Roman"/>
                <w:b/>
                <w:color w:val="FF0000"/>
              </w:rPr>
              <w:t>(ii) Việc g</w:t>
            </w:r>
            <w:r w:rsidRPr="00C067F9">
              <w:rPr>
                <w:rFonts w:ascii="Times New Roman" w:hAnsi="Times New Roman" w:cs="Times New Roman"/>
                <w:color w:val="FF0000"/>
              </w:rPr>
              <w:t xml:space="preserve">iao cơ quan chuyên môn trực thuộc UBND cấp tỉnh báo cáo UBND cấp tỉnh quyết định tiêu chuẩn, định mức sử dụng diện tích chuyên dùng, diện tích công trình sự nghiệp thuộc cơ sở hoạt động sự nghiệp thuộc </w:t>
            </w:r>
            <w:r w:rsidR="009B0354" w:rsidRPr="00C067F9">
              <w:rPr>
                <w:rFonts w:ascii="Times New Roman" w:hAnsi="Times New Roman" w:cs="Times New Roman"/>
                <w:color w:val="FF0000"/>
              </w:rPr>
              <w:t>thẩm quyền của UBND cấp tỉnh.</w:t>
            </w:r>
          </w:p>
          <w:p w:rsidR="009B0354" w:rsidRPr="009B0354" w:rsidRDefault="009B0354" w:rsidP="002128FE">
            <w:pPr>
              <w:spacing w:before="40" w:after="40"/>
              <w:jc w:val="both"/>
              <w:rPr>
                <w:rFonts w:ascii="Times New Roman" w:hAnsi="Times New Roman" w:cs="Times New Roman"/>
                <w:b/>
                <w:color w:val="FF0000"/>
                <w:spacing w:val="-2"/>
              </w:rPr>
            </w:pPr>
            <w:r w:rsidRPr="00C067F9">
              <w:rPr>
                <w:rFonts w:ascii="Times New Roman" w:hAnsi="Times New Roman" w:cs="Times New Roman"/>
                <w:b/>
                <w:color w:val="FF0000"/>
              </w:rPr>
              <w:t xml:space="preserve">(iii) </w:t>
            </w:r>
            <w:r w:rsidRPr="00C067F9">
              <w:rPr>
                <w:rFonts w:ascii="Times New Roman" w:hAnsi="Times New Roman" w:cs="Times New Roman"/>
                <w:color w:val="FF0000"/>
              </w:rPr>
              <w:t>Theo quy định tại khoản 3 Điều 5</w:t>
            </w:r>
            <w:r w:rsidR="00BB1FAA" w:rsidRPr="00C067F9">
              <w:rPr>
                <w:rFonts w:ascii="Times New Roman" w:hAnsi="Times New Roman" w:cs="Times New Roman"/>
                <w:color w:val="FF0000"/>
              </w:rPr>
              <w:t>, khoản 1 Điều 9</w:t>
            </w:r>
            <w:r w:rsidRPr="00C067F9">
              <w:rPr>
                <w:rFonts w:ascii="Times New Roman" w:hAnsi="Times New Roman" w:cs="Times New Roman"/>
                <w:color w:val="FF0000"/>
              </w:rPr>
              <w:t xml:space="preserve"> và Phụ lục kèm theo </w:t>
            </w:r>
            <w:r w:rsidRPr="00C067F9">
              <w:rPr>
                <w:rFonts w:ascii="Times New Roman" w:hAnsi="Times New Roman" w:cs="Times New Roman"/>
                <w:color w:val="000000"/>
              </w:rPr>
              <w:t>NĐ155</w:t>
            </w:r>
            <w:r w:rsidRPr="00C067F9">
              <w:rPr>
                <w:rFonts w:ascii="Times New Roman" w:hAnsi="Times New Roman" w:cs="Times New Roman"/>
                <w:color w:val="FF0000"/>
              </w:rPr>
              <w:t xml:space="preserve"> thì diện tích làm việc của các chức danh là diện tích tối đa và Thủ trưởng cơ quan, tổ chức</w:t>
            </w:r>
            <w:r w:rsidR="00E01659" w:rsidRPr="00C067F9">
              <w:rPr>
                <w:rFonts w:ascii="Times New Roman" w:hAnsi="Times New Roman" w:cs="Times New Roman"/>
                <w:color w:val="FF0000"/>
              </w:rPr>
              <w:t>, đơn vị</w:t>
            </w:r>
            <w:r w:rsidRPr="00C067F9">
              <w:rPr>
                <w:rFonts w:ascii="Times New Roman" w:hAnsi="Times New Roman" w:cs="Times New Roman"/>
                <w:color w:val="FF0000"/>
              </w:rPr>
              <w:t xml:space="preserve"> quyết định phân bổ diện tích làm việc cụ thể cho các chức danh </w:t>
            </w:r>
            <w:r w:rsidR="002128FE" w:rsidRPr="00C067F9">
              <w:rPr>
                <w:rFonts w:ascii="Times New Roman" w:hAnsi="Times New Roman" w:cs="Times New Roman"/>
                <w:color w:val="FF0000"/>
              </w:rPr>
              <w:t>trong tổng diện tích làm việc của các chức danh của cơ quan, tổ chức, đơn vị</w:t>
            </w:r>
            <w:r w:rsidR="00CF6037" w:rsidRPr="00C067F9">
              <w:rPr>
                <w:rFonts w:ascii="Times New Roman" w:hAnsi="Times New Roman" w:cs="Times New Roman"/>
                <w:color w:val="FF0000"/>
              </w:rPr>
              <w:t>;</w:t>
            </w:r>
            <w:r w:rsidR="002128FE" w:rsidRPr="00C067F9">
              <w:rPr>
                <w:rFonts w:ascii="Times New Roman" w:hAnsi="Times New Roman" w:cs="Times New Roman"/>
                <w:color w:val="FF0000"/>
              </w:rPr>
              <w:t xml:space="preserve"> </w:t>
            </w:r>
            <w:r w:rsidRPr="00C067F9">
              <w:rPr>
                <w:rFonts w:ascii="Times New Roman" w:hAnsi="Times New Roman" w:cs="Times New Roman"/>
                <w:color w:val="FF0000"/>
              </w:rPr>
              <w:t>căn cứ thiết kế</w:t>
            </w:r>
            <w:r w:rsidR="00CF6037" w:rsidRPr="00C067F9">
              <w:rPr>
                <w:rFonts w:ascii="Times New Roman" w:hAnsi="Times New Roman" w:cs="Times New Roman"/>
                <w:color w:val="FF0000"/>
              </w:rPr>
              <w:t>,</w:t>
            </w:r>
            <w:r w:rsidRPr="00C067F9">
              <w:rPr>
                <w:rFonts w:ascii="Times New Roman" w:hAnsi="Times New Roman" w:cs="Times New Roman"/>
                <w:color w:val="FF0000"/>
              </w:rPr>
              <w:t xml:space="preserve"> hiện trạng của trụ sở làm việc</w:t>
            </w:r>
            <w:r w:rsidR="00CF6037" w:rsidRPr="00C067F9">
              <w:rPr>
                <w:rFonts w:ascii="Times New Roman" w:hAnsi="Times New Roman" w:cs="Times New Roman"/>
                <w:color w:val="FF0000"/>
              </w:rPr>
              <w:t xml:space="preserve"> và </w:t>
            </w:r>
            <w:r w:rsidRPr="00C067F9">
              <w:rPr>
                <w:rFonts w:ascii="Times New Roman" w:hAnsi="Times New Roman" w:cs="Times New Roman"/>
                <w:color w:val="FF0000"/>
              </w:rPr>
              <w:t>phù hợp với thực tế.</w:t>
            </w:r>
          </w:p>
        </w:tc>
      </w:tr>
      <w:tr w:rsidR="000A40F7" w:rsidRPr="006C0077" w:rsidTr="00C067F9">
        <w:tc>
          <w:tcPr>
            <w:tcW w:w="1625" w:type="dxa"/>
            <w:vMerge/>
          </w:tcPr>
          <w:p w:rsidR="000A40F7" w:rsidRPr="006C0077" w:rsidRDefault="000A40F7" w:rsidP="006C0077">
            <w:pPr>
              <w:spacing w:before="40" w:after="40"/>
              <w:rPr>
                <w:rFonts w:ascii="Times New Roman" w:hAnsi="Times New Roman" w:cs="Times New Roman"/>
                <w:b/>
                <w:spacing w:val="-2"/>
              </w:rPr>
            </w:pPr>
          </w:p>
        </w:tc>
        <w:tc>
          <w:tcPr>
            <w:tcW w:w="1812" w:type="dxa"/>
          </w:tcPr>
          <w:p w:rsidR="000A40F7" w:rsidRPr="00017EA5" w:rsidRDefault="000A40F7" w:rsidP="000F15D0">
            <w:pPr>
              <w:spacing w:before="40" w:after="40"/>
              <w:jc w:val="center"/>
              <w:rPr>
                <w:rFonts w:ascii="Times New Roman" w:eastAsia="Times New Roman" w:hAnsi="Times New Roman" w:cs="Times New Roman"/>
                <w:color w:val="FF0000"/>
                <w:spacing w:val="-2"/>
              </w:rPr>
            </w:pPr>
            <w:r w:rsidRPr="00017EA5">
              <w:rPr>
                <w:rFonts w:ascii="Times New Roman" w:eastAsia="Times New Roman" w:hAnsi="Times New Roman" w:cs="Times New Roman"/>
                <w:color w:val="FF0000"/>
                <w:spacing w:val="-2"/>
              </w:rPr>
              <w:t>Đại học QG Hà Nội</w:t>
            </w:r>
          </w:p>
        </w:tc>
        <w:tc>
          <w:tcPr>
            <w:tcW w:w="7728" w:type="dxa"/>
          </w:tcPr>
          <w:p w:rsidR="000A40F7" w:rsidRPr="00017EA5" w:rsidRDefault="000A40F7" w:rsidP="00E27B7D">
            <w:pPr>
              <w:spacing w:before="40" w:after="40"/>
              <w:jc w:val="both"/>
              <w:rPr>
                <w:rFonts w:ascii="Times New Roman" w:eastAsia="Times New Roman" w:hAnsi="Times New Roman" w:cs="Times New Roman"/>
                <w:color w:val="FF0000"/>
                <w:spacing w:val="-2"/>
              </w:rPr>
            </w:pPr>
            <w:r w:rsidRPr="00017EA5">
              <w:rPr>
                <w:rFonts w:ascii="Times New Roman" w:eastAsia="Times New Roman" w:hAnsi="Times New Roman" w:cs="Times New Roman"/>
                <w:color w:val="FF0000"/>
                <w:spacing w:val="-2"/>
              </w:rPr>
              <w:t>Cho phép các đại học đang trong quá trình đầu tư xây dựng quy mô lớn được áp dụng định mức diện tích theo Quy hoạch chi tiết 1/500 đã được cấp có thẩm quyền phê duyệt nhằm đảm bảo tính đồng bộ và tầm nhìn phát triển dài hạn.</w:t>
            </w:r>
          </w:p>
        </w:tc>
        <w:tc>
          <w:tcPr>
            <w:tcW w:w="3685" w:type="dxa"/>
          </w:tcPr>
          <w:p w:rsidR="000A40F7" w:rsidRPr="00C067F9" w:rsidRDefault="000A40F7" w:rsidP="000A40F7">
            <w:pPr>
              <w:spacing w:before="40" w:after="40"/>
              <w:jc w:val="both"/>
              <w:rPr>
                <w:rFonts w:ascii="Times New Roman" w:hAnsi="Times New Roman" w:cs="Times New Roman"/>
                <w:b/>
                <w:color w:val="FF0000"/>
              </w:rPr>
            </w:pPr>
            <w:r w:rsidRPr="00C067F9">
              <w:rPr>
                <w:rFonts w:ascii="Times New Roman" w:hAnsi="Times New Roman" w:cs="Times New Roman"/>
                <w:b/>
                <w:color w:val="FF0000"/>
              </w:rPr>
              <w:t xml:space="preserve">Giải trình: </w:t>
            </w:r>
            <w:r w:rsidRPr="00C067F9">
              <w:rPr>
                <w:rFonts w:ascii="Times New Roman" w:hAnsi="Times New Roman" w:cs="Times New Roman"/>
                <w:color w:val="FF0000"/>
              </w:rPr>
              <w:t>Tại khoản 2 Điều 4, khoản 2 Điều 8 NĐ155 đã quy định</w:t>
            </w:r>
            <w:r w:rsidRPr="00C067F9">
              <w:rPr>
                <w:rFonts w:ascii="Times New Roman" w:hAnsi="Times New Roman" w:cs="Times New Roman"/>
                <w:b/>
                <w:color w:val="FF0000"/>
              </w:rPr>
              <w:t xml:space="preserve"> </w:t>
            </w:r>
            <w:r w:rsidRPr="00C067F9">
              <w:rPr>
                <w:rFonts w:ascii="Times New Roman" w:hAnsi="Times New Roman" w:cs="Times New Roman"/>
                <w:color w:val="FF0000"/>
              </w:rPr>
              <w:t>diện tích đất thuộc trụ sở làm việc, CSHĐSN của cơ quan, tổ chức, đơn vị được xác định căn cứ diện tích nhà làm việc quy định tại khoản 1 Điều này, quy hoạch sử dụng đất, quy hoạch xây dựng theo quy định của pháp luật về đất đai, pháp luật về xây dựng và pháp luật khác có liên quan.</w:t>
            </w:r>
          </w:p>
        </w:tc>
      </w:tr>
      <w:tr w:rsidR="00777B59" w:rsidRPr="006C0077" w:rsidTr="00C067F9">
        <w:tc>
          <w:tcPr>
            <w:tcW w:w="1625" w:type="dxa"/>
            <w:vMerge/>
          </w:tcPr>
          <w:p w:rsidR="00777B59" w:rsidRPr="006C0077" w:rsidRDefault="00777B59" w:rsidP="006C0077">
            <w:pPr>
              <w:spacing w:before="40" w:after="40"/>
              <w:rPr>
                <w:rFonts w:ascii="Times New Roman" w:hAnsi="Times New Roman" w:cs="Times New Roman"/>
                <w:b/>
                <w:spacing w:val="-2"/>
              </w:rPr>
            </w:pPr>
          </w:p>
        </w:tc>
        <w:tc>
          <w:tcPr>
            <w:tcW w:w="1812" w:type="dxa"/>
          </w:tcPr>
          <w:p w:rsidR="00777B59" w:rsidRDefault="00777B59" w:rsidP="000F15D0">
            <w:pPr>
              <w:spacing w:before="40" w:after="40"/>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Bộ Tư pháp</w:t>
            </w:r>
          </w:p>
        </w:tc>
        <w:tc>
          <w:tcPr>
            <w:tcW w:w="7728" w:type="dxa"/>
          </w:tcPr>
          <w:p w:rsidR="00777B59" w:rsidRPr="00A52E5A" w:rsidRDefault="00E27B7D" w:rsidP="00E27B7D">
            <w:pPr>
              <w:spacing w:before="40" w:after="40"/>
              <w:jc w:val="both"/>
              <w:rPr>
                <w:rFonts w:ascii="Times New Roman" w:eastAsia="Times New Roman" w:hAnsi="Times New Roman" w:cs="Times New Roman"/>
                <w:color w:val="000000"/>
                <w:spacing w:val="-2"/>
              </w:rPr>
            </w:pPr>
            <w:r w:rsidRPr="00E27B7D">
              <w:rPr>
                <w:rFonts w:ascii="Times New Roman" w:eastAsia="Times New Roman" w:hAnsi="Times New Roman" w:cs="Times New Roman"/>
                <w:color w:val="000000"/>
                <w:spacing w:val="-2"/>
              </w:rPr>
              <w:t>Đề nghị cân nhắc quy định về việc xây dựng cơ sở dữ liệu quốc gia về tài sản công, tài sản dôi dư để các đơn vị thiếu trụ sở có thông tin để đề xuất, tiếp nhận các trụ sở phù hợp với nhu cầu.</w:t>
            </w:r>
          </w:p>
        </w:tc>
        <w:tc>
          <w:tcPr>
            <w:tcW w:w="3685" w:type="dxa"/>
          </w:tcPr>
          <w:p w:rsidR="00777B59" w:rsidRPr="00C067F9" w:rsidRDefault="002F4E28" w:rsidP="006C0077">
            <w:pPr>
              <w:spacing w:before="40" w:after="40"/>
              <w:jc w:val="both"/>
              <w:rPr>
                <w:rFonts w:ascii="Times New Roman" w:hAnsi="Times New Roman" w:cs="Times New Roman"/>
                <w:b/>
                <w:color w:val="000000"/>
                <w:lang w:val="nl-NL"/>
              </w:rPr>
            </w:pPr>
            <w:r w:rsidRPr="00C067F9">
              <w:rPr>
                <w:rFonts w:ascii="Times New Roman" w:hAnsi="Times New Roman" w:cs="Times New Roman"/>
                <w:b/>
                <w:color w:val="000000"/>
              </w:rPr>
              <w:t>Tiếp thu theo hướng:</w:t>
            </w:r>
            <w:r w:rsidRPr="00C067F9">
              <w:rPr>
                <w:rFonts w:ascii="Times New Roman" w:hAnsi="Times New Roman" w:cs="Times New Roman"/>
                <w:color w:val="000000"/>
              </w:rPr>
              <w:t xml:space="preserve"> </w:t>
            </w:r>
            <w:r w:rsidR="009A5C20" w:rsidRPr="00C067F9">
              <w:rPr>
                <w:rFonts w:ascii="Times New Roman" w:hAnsi="Times New Roman" w:cs="Times New Roman"/>
                <w:color w:val="000000"/>
              </w:rPr>
              <w:t>Bộ Tài chính đã có Phần mềm QLTSC, hiện đang được nghiên cứu đầu tư nâng cấp</w:t>
            </w:r>
            <w:r w:rsidR="00F04F97" w:rsidRPr="00C067F9">
              <w:rPr>
                <w:rFonts w:ascii="Times New Roman" w:hAnsi="Times New Roman" w:cs="Times New Roman"/>
                <w:color w:val="000000"/>
              </w:rPr>
              <w:t>; trong đó, dự kiến tích hợp thông tin về xử lý tài sản công (trong đó có nhà, đất) vào Cơ sở dữ liệu quốc gia về tài sản công để khai thác dữ liệu phục vụ mục tiêu quản lý</w:t>
            </w:r>
            <w:r w:rsidRPr="00C067F9">
              <w:rPr>
                <w:rFonts w:ascii="Times New Roman" w:hAnsi="Times New Roman" w:cs="Times New Roman"/>
                <w:color w:val="000000"/>
              </w:rPr>
              <w:t>.</w:t>
            </w:r>
          </w:p>
        </w:tc>
      </w:tr>
      <w:tr w:rsidR="00A429F4" w:rsidRPr="006C0077" w:rsidTr="00C067F9">
        <w:tc>
          <w:tcPr>
            <w:tcW w:w="1625" w:type="dxa"/>
            <w:vMerge/>
          </w:tcPr>
          <w:p w:rsidR="00A429F4" w:rsidRPr="006C0077" w:rsidRDefault="00A429F4" w:rsidP="006C0077">
            <w:pPr>
              <w:spacing w:before="40" w:after="40"/>
              <w:rPr>
                <w:rFonts w:ascii="Times New Roman" w:hAnsi="Times New Roman" w:cs="Times New Roman"/>
                <w:b/>
                <w:spacing w:val="-2"/>
              </w:rPr>
            </w:pPr>
          </w:p>
        </w:tc>
        <w:tc>
          <w:tcPr>
            <w:tcW w:w="1812" w:type="dxa"/>
          </w:tcPr>
          <w:p w:rsidR="000F15D0" w:rsidRPr="006C0077" w:rsidRDefault="00A429F4" w:rsidP="000F15D0">
            <w:pPr>
              <w:spacing w:before="40" w:after="40"/>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Bộ Tài chính</w:t>
            </w:r>
            <w:r w:rsidR="000F15D0">
              <w:rPr>
                <w:rFonts w:ascii="Times New Roman" w:eastAsia="Times New Roman" w:hAnsi="Times New Roman" w:cs="Times New Roman"/>
                <w:color w:val="000000"/>
                <w:spacing w:val="-2"/>
              </w:rPr>
              <w:t xml:space="preserve"> quản lý ngành</w:t>
            </w:r>
          </w:p>
        </w:tc>
        <w:tc>
          <w:tcPr>
            <w:tcW w:w="7728" w:type="dxa"/>
          </w:tcPr>
          <w:p w:rsidR="00A429F4" w:rsidRPr="006C0077" w:rsidRDefault="00A429F4" w:rsidP="006C0077">
            <w:pPr>
              <w:spacing w:before="40" w:after="40"/>
              <w:jc w:val="both"/>
              <w:rPr>
                <w:rFonts w:ascii="Times New Roman" w:eastAsia="Times New Roman" w:hAnsi="Times New Roman" w:cs="Times New Roman"/>
                <w:color w:val="000000"/>
                <w:spacing w:val="-2"/>
              </w:rPr>
            </w:pPr>
            <w:r w:rsidRPr="00A52E5A">
              <w:rPr>
                <w:rFonts w:ascii="Times New Roman" w:eastAsia="Times New Roman" w:hAnsi="Times New Roman" w:cs="Times New Roman"/>
                <w:color w:val="000000"/>
                <w:spacing w:val="-2"/>
              </w:rPr>
              <w:t>Đề nghị thống nhất trong quy định cách tính tiêu chuẩn, định mức sử dụng diện tích trụ sở làm việc của cơ quan và tính diện tích trụ sở làm việc được quản lý trên phần mềm quản lý tài sản.</w:t>
            </w:r>
          </w:p>
        </w:tc>
        <w:tc>
          <w:tcPr>
            <w:tcW w:w="3685" w:type="dxa"/>
          </w:tcPr>
          <w:p w:rsidR="00A429F4" w:rsidRPr="00C067F9" w:rsidRDefault="00A429F4" w:rsidP="006C0077">
            <w:pPr>
              <w:spacing w:before="40" w:after="40"/>
              <w:jc w:val="both"/>
              <w:rPr>
                <w:rFonts w:ascii="Times New Roman" w:hAnsi="Times New Roman" w:cs="Times New Roman"/>
                <w:spacing w:val="2"/>
              </w:rPr>
            </w:pPr>
            <w:r w:rsidRPr="00C067F9">
              <w:rPr>
                <w:rFonts w:ascii="Times New Roman" w:hAnsi="Times New Roman" w:cs="Times New Roman"/>
                <w:b/>
                <w:spacing w:val="2"/>
              </w:rPr>
              <w:t>Giải trình</w:t>
            </w:r>
            <w:r w:rsidRPr="00C067F9">
              <w:rPr>
                <w:rFonts w:ascii="Times New Roman" w:hAnsi="Times New Roman" w:cs="Times New Roman"/>
                <w:spacing w:val="2"/>
              </w:rPr>
              <w:t>: Phần mềm QLTSC chỉ phản ánh số liệu thực tế trên sổ sách kế toán.</w:t>
            </w:r>
          </w:p>
        </w:tc>
      </w:tr>
    </w:tbl>
    <w:p w:rsidR="002E0990" w:rsidRPr="006C0077" w:rsidRDefault="002E0990" w:rsidP="006C0077">
      <w:pPr>
        <w:spacing w:before="40" w:after="40" w:line="240" w:lineRule="auto"/>
        <w:rPr>
          <w:spacing w:val="-2"/>
        </w:rPr>
      </w:pPr>
    </w:p>
    <w:sectPr w:rsidR="002E0990" w:rsidRPr="006C0077" w:rsidSect="00C067F9">
      <w:headerReference w:type="default" r:id="rId8"/>
      <w:pgSz w:w="16834" w:h="11909" w:orient="landscape" w:code="9"/>
      <w:pgMar w:top="851" w:right="964" w:bottom="8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990" w:rsidRDefault="009D0990" w:rsidP="00762D0B">
      <w:pPr>
        <w:spacing w:after="0" w:line="240" w:lineRule="auto"/>
      </w:pPr>
      <w:r>
        <w:separator/>
      </w:r>
    </w:p>
  </w:endnote>
  <w:endnote w:type="continuationSeparator" w:id="0">
    <w:p w:rsidR="009D0990" w:rsidRDefault="009D0990" w:rsidP="00762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990" w:rsidRDefault="009D0990" w:rsidP="00762D0B">
      <w:pPr>
        <w:spacing w:after="0" w:line="240" w:lineRule="auto"/>
      </w:pPr>
      <w:r>
        <w:separator/>
      </w:r>
    </w:p>
  </w:footnote>
  <w:footnote w:type="continuationSeparator" w:id="0">
    <w:p w:rsidR="009D0990" w:rsidRDefault="009D0990" w:rsidP="00762D0B">
      <w:pPr>
        <w:spacing w:after="0" w:line="240" w:lineRule="auto"/>
      </w:pPr>
      <w:r>
        <w:continuationSeparator/>
      </w:r>
    </w:p>
  </w:footnote>
  <w:footnote w:id="1">
    <w:p w:rsidR="009D0990" w:rsidRDefault="009D0990">
      <w:pPr>
        <w:pStyle w:val="FootnoteText"/>
      </w:pPr>
      <w:r>
        <w:rPr>
          <w:rStyle w:val="FootnoteReference"/>
        </w:rPr>
        <w:footnoteRef/>
      </w:r>
      <w:r>
        <w:t xml:space="preserve"> 02 Bộ, CQTW chưa có báo cáo đánh giá: VPCP, Bộ VH</w:t>
      </w:r>
      <w:proofErr w:type="gramStart"/>
      <w:r>
        <w:t>,TT</w:t>
      </w:r>
      <w:proofErr w:type="gramEnd"/>
      <w:r>
        <w:t>&amp;DL. BTC đã có Công văn số 3886/BTC-QLCS ngày 30/3/2026 đôn đốc (lần 2) các đơn vị báo cáo.</w:t>
      </w:r>
    </w:p>
  </w:footnote>
  <w:footnote w:id="2">
    <w:p w:rsidR="009D0990" w:rsidRDefault="009D0990">
      <w:pPr>
        <w:pStyle w:val="FootnoteText"/>
      </w:pPr>
      <w:r>
        <w:rPr>
          <w:rStyle w:val="FootnoteReference"/>
        </w:rPr>
        <w:footnoteRef/>
      </w:r>
      <w:r>
        <w:t xml:space="preserve"> Theo quy định tại khoản 1 Điều 8 Luật Tổ chức Chính phủ số 63/2025/QH15; khoản 2 Điều 13 Luật Tổ chức chính quyền địa phương số 72/2025/QH15 của Quốc hội thì việc phân cấp phải được quy định trong văn bản quy phạm pháp luật của cơ quan, người có thẩm quyền phân cấp.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486532"/>
      <w:docPartObj>
        <w:docPartGallery w:val="Page Numbers (Top of Page)"/>
        <w:docPartUnique/>
      </w:docPartObj>
    </w:sdtPr>
    <w:sdtContent>
      <w:p w:rsidR="00C067F9" w:rsidRDefault="00C067F9">
        <w:pPr>
          <w:pStyle w:val="Header"/>
          <w:jc w:val="center"/>
        </w:pPr>
        <w:r w:rsidRPr="00C067F9">
          <w:rPr>
            <w:rFonts w:ascii="Times New Roman" w:hAnsi="Times New Roman" w:cs="Times New Roman"/>
          </w:rPr>
          <w:fldChar w:fldCharType="begin"/>
        </w:r>
        <w:r w:rsidRPr="00C067F9">
          <w:rPr>
            <w:rFonts w:ascii="Times New Roman" w:hAnsi="Times New Roman" w:cs="Times New Roman"/>
          </w:rPr>
          <w:instrText xml:space="preserve"> PAGE   \* MERGEFORMAT </w:instrText>
        </w:r>
        <w:r w:rsidRPr="00C067F9">
          <w:rPr>
            <w:rFonts w:ascii="Times New Roman" w:hAnsi="Times New Roman" w:cs="Times New Roman"/>
          </w:rPr>
          <w:fldChar w:fldCharType="separate"/>
        </w:r>
        <w:r>
          <w:rPr>
            <w:rFonts w:ascii="Times New Roman" w:hAnsi="Times New Roman" w:cs="Times New Roman"/>
            <w:noProof/>
          </w:rPr>
          <w:t>2</w:t>
        </w:r>
        <w:r w:rsidRPr="00C067F9">
          <w:rPr>
            <w:rFonts w:ascii="Times New Roman" w:hAnsi="Times New Roman" w:cs="Times New Roman"/>
          </w:rPr>
          <w:fldChar w:fldCharType="end"/>
        </w:r>
      </w:p>
    </w:sdtContent>
  </w:sdt>
  <w:p w:rsidR="00C067F9" w:rsidRDefault="00C067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5F0"/>
    <w:multiLevelType w:val="hybridMultilevel"/>
    <w:tmpl w:val="E4120C88"/>
    <w:lvl w:ilvl="0" w:tplc="0C768F7E">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7667F"/>
    <w:multiLevelType w:val="hybridMultilevel"/>
    <w:tmpl w:val="A0AED554"/>
    <w:lvl w:ilvl="0" w:tplc="7A661FBA">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36308"/>
    <w:multiLevelType w:val="hybridMultilevel"/>
    <w:tmpl w:val="16C4C4B2"/>
    <w:lvl w:ilvl="0" w:tplc="FFFFFFFF">
      <w:start w:val="1"/>
      <w:numFmt w:val="low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7774B40"/>
    <w:multiLevelType w:val="hybridMultilevel"/>
    <w:tmpl w:val="A1B06198"/>
    <w:lvl w:ilvl="0" w:tplc="5456C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E1259"/>
    <w:multiLevelType w:val="hybridMultilevel"/>
    <w:tmpl w:val="04B87060"/>
    <w:lvl w:ilvl="0" w:tplc="6F5811B0">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56A5C"/>
    <w:multiLevelType w:val="hybridMultilevel"/>
    <w:tmpl w:val="A53ED77C"/>
    <w:lvl w:ilvl="0" w:tplc="AB8EFF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1107AD"/>
    <w:multiLevelType w:val="hybridMultilevel"/>
    <w:tmpl w:val="062E7B82"/>
    <w:lvl w:ilvl="0" w:tplc="B7968EA8">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55950"/>
    <w:rsid w:val="000008F9"/>
    <w:rsid w:val="0001248A"/>
    <w:rsid w:val="0001254D"/>
    <w:rsid w:val="0001341D"/>
    <w:rsid w:val="000137B7"/>
    <w:rsid w:val="000148B3"/>
    <w:rsid w:val="00014FF7"/>
    <w:rsid w:val="00017EA5"/>
    <w:rsid w:val="000243F5"/>
    <w:rsid w:val="00027429"/>
    <w:rsid w:val="0002754C"/>
    <w:rsid w:val="00031349"/>
    <w:rsid w:val="0004208F"/>
    <w:rsid w:val="0004468F"/>
    <w:rsid w:val="00045A5B"/>
    <w:rsid w:val="00052A68"/>
    <w:rsid w:val="000543E4"/>
    <w:rsid w:val="00063DF7"/>
    <w:rsid w:val="00064CE0"/>
    <w:rsid w:val="000720FA"/>
    <w:rsid w:val="00074CD5"/>
    <w:rsid w:val="00076E54"/>
    <w:rsid w:val="0008206D"/>
    <w:rsid w:val="00092580"/>
    <w:rsid w:val="00092D6B"/>
    <w:rsid w:val="000961D0"/>
    <w:rsid w:val="000A0791"/>
    <w:rsid w:val="000A40F7"/>
    <w:rsid w:val="000A42EA"/>
    <w:rsid w:val="000A79B4"/>
    <w:rsid w:val="000B17F3"/>
    <w:rsid w:val="000B2E1C"/>
    <w:rsid w:val="000B4B26"/>
    <w:rsid w:val="000C787F"/>
    <w:rsid w:val="000C7B1A"/>
    <w:rsid w:val="000D3156"/>
    <w:rsid w:val="000D79F6"/>
    <w:rsid w:val="000E00BF"/>
    <w:rsid w:val="000E1EC4"/>
    <w:rsid w:val="000E2437"/>
    <w:rsid w:val="000E3C78"/>
    <w:rsid w:val="000F15D0"/>
    <w:rsid w:val="000F421D"/>
    <w:rsid w:val="000F4362"/>
    <w:rsid w:val="0010567C"/>
    <w:rsid w:val="00106288"/>
    <w:rsid w:val="001165C6"/>
    <w:rsid w:val="001213F0"/>
    <w:rsid w:val="00124B0C"/>
    <w:rsid w:val="001330C5"/>
    <w:rsid w:val="00133195"/>
    <w:rsid w:val="001331F7"/>
    <w:rsid w:val="0013468B"/>
    <w:rsid w:val="00135915"/>
    <w:rsid w:val="0014137B"/>
    <w:rsid w:val="00153DBD"/>
    <w:rsid w:val="00154D01"/>
    <w:rsid w:val="00155EE6"/>
    <w:rsid w:val="00156D14"/>
    <w:rsid w:val="0016113F"/>
    <w:rsid w:val="001622D2"/>
    <w:rsid w:val="00162A93"/>
    <w:rsid w:val="00164506"/>
    <w:rsid w:val="00165DDC"/>
    <w:rsid w:val="00172203"/>
    <w:rsid w:val="0018084C"/>
    <w:rsid w:val="0018240B"/>
    <w:rsid w:val="00183239"/>
    <w:rsid w:val="0018559C"/>
    <w:rsid w:val="00185FF1"/>
    <w:rsid w:val="001915BA"/>
    <w:rsid w:val="001A0BB2"/>
    <w:rsid w:val="001A4A7A"/>
    <w:rsid w:val="001A5B32"/>
    <w:rsid w:val="001A6160"/>
    <w:rsid w:val="001B0DEF"/>
    <w:rsid w:val="001B1FED"/>
    <w:rsid w:val="001B4B1A"/>
    <w:rsid w:val="001B6A74"/>
    <w:rsid w:val="001C6B52"/>
    <w:rsid w:val="001C6C96"/>
    <w:rsid w:val="001C7720"/>
    <w:rsid w:val="001D3EBA"/>
    <w:rsid w:val="001D43E2"/>
    <w:rsid w:val="001D5B64"/>
    <w:rsid w:val="001D6EEA"/>
    <w:rsid w:val="001E331D"/>
    <w:rsid w:val="001E4622"/>
    <w:rsid w:val="001E5C4C"/>
    <w:rsid w:val="001E70E1"/>
    <w:rsid w:val="001F076A"/>
    <w:rsid w:val="001F732E"/>
    <w:rsid w:val="001F7E94"/>
    <w:rsid w:val="00202BC4"/>
    <w:rsid w:val="00203C63"/>
    <w:rsid w:val="0021077C"/>
    <w:rsid w:val="002128FE"/>
    <w:rsid w:val="00214486"/>
    <w:rsid w:val="00220486"/>
    <w:rsid w:val="00226143"/>
    <w:rsid w:val="00226969"/>
    <w:rsid w:val="00231167"/>
    <w:rsid w:val="00234CDF"/>
    <w:rsid w:val="0023622A"/>
    <w:rsid w:val="002368B8"/>
    <w:rsid w:val="00236D81"/>
    <w:rsid w:val="00236DAF"/>
    <w:rsid w:val="00237A2F"/>
    <w:rsid w:val="00237DF5"/>
    <w:rsid w:val="0024310E"/>
    <w:rsid w:val="0024448F"/>
    <w:rsid w:val="0024572C"/>
    <w:rsid w:val="00254E63"/>
    <w:rsid w:val="00255E94"/>
    <w:rsid w:val="002637D8"/>
    <w:rsid w:val="00263E5E"/>
    <w:rsid w:val="00264A4F"/>
    <w:rsid w:val="00266240"/>
    <w:rsid w:val="00271577"/>
    <w:rsid w:val="00282828"/>
    <w:rsid w:val="00282D1E"/>
    <w:rsid w:val="00294F26"/>
    <w:rsid w:val="002A0BD6"/>
    <w:rsid w:val="002A13E8"/>
    <w:rsid w:val="002A44C5"/>
    <w:rsid w:val="002B631E"/>
    <w:rsid w:val="002B70A3"/>
    <w:rsid w:val="002C2ADF"/>
    <w:rsid w:val="002D5F9A"/>
    <w:rsid w:val="002D61FC"/>
    <w:rsid w:val="002D62A8"/>
    <w:rsid w:val="002E0990"/>
    <w:rsid w:val="002E1520"/>
    <w:rsid w:val="002E685A"/>
    <w:rsid w:val="002F4E28"/>
    <w:rsid w:val="002F59F6"/>
    <w:rsid w:val="002F62AF"/>
    <w:rsid w:val="002F7378"/>
    <w:rsid w:val="002F7A98"/>
    <w:rsid w:val="00303317"/>
    <w:rsid w:val="003069C0"/>
    <w:rsid w:val="003079D9"/>
    <w:rsid w:val="003140A9"/>
    <w:rsid w:val="003217B9"/>
    <w:rsid w:val="00321F9F"/>
    <w:rsid w:val="003224D6"/>
    <w:rsid w:val="00330BC2"/>
    <w:rsid w:val="0033203F"/>
    <w:rsid w:val="00333747"/>
    <w:rsid w:val="00336EF5"/>
    <w:rsid w:val="00337A54"/>
    <w:rsid w:val="00342E1D"/>
    <w:rsid w:val="003430A9"/>
    <w:rsid w:val="00351AAC"/>
    <w:rsid w:val="00351FDC"/>
    <w:rsid w:val="00354200"/>
    <w:rsid w:val="003545BF"/>
    <w:rsid w:val="0035696F"/>
    <w:rsid w:val="00357264"/>
    <w:rsid w:val="003626BA"/>
    <w:rsid w:val="00362A66"/>
    <w:rsid w:val="00362FB3"/>
    <w:rsid w:val="00366546"/>
    <w:rsid w:val="00366DFE"/>
    <w:rsid w:val="00372B62"/>
    <w:rsid w:val="00373449"/>
    <w:rsid w:val="00380398"/>
    <w:rsid w:val="003807B0"/>
    <w:rsid w:val="0038197D"/>
    <w:rsid w:val="00382FEF"/>
    <w:rsid w:val="003850D8"/>
    <w:rsid w:val="00387687"/>
    <w:rsid w:val="0039126F"/>
    <w:rsid w:val="003956BF"/>
    <w:rsid w:val="00396E46"/>
    <w:rsid w:val="003A03E8"/>
    <w:rsid w:val="003A507F"/>
    <w:rsid w:val="003A669C"/>
    <w:rsid w:val="003B2A0C"/>
    <w:rsid w:val="003B5A2C"/>
    <w:rsid w:val="003B7B21"/>
    <w:rsid w:val="003C3FB7"/>
    <w:rsid w:val="003C425F"/>
    <w:rsid w:val="003C4655"/>
    <w:rsid w:val="003C6725"/>
    <w:rsid w:val="003D247B"/>
    <w:rsid w:val="003D2659"/>
    <w:rsid w:val="003D3243"/>
    <w:rsid w:val="003D6E32"/>
    <w:rsid w:val="003D74B7"/>
    <w:rsid w:val="003E46CA"/>
    <w:rsid w:val="003E5BE8"/>
    <w:rsid w:val="003F0412"/>
    <w:rsid w:val="003F2D18"/>
    <w:rsid w:val="003F2E76"/>
    <w:rsid w:val="003F76F7"/>
    <w:rsid w:val="00402015"/>
    <w:rsid w:val="00404098"/>
    <w:rsid w:val="004048DB"/>
    <w:rsid w:val="004060A0"/>
    <w:rsid w:val="00411B73"/>
    <w:rsid w:val="00415C82"/>
    <w:rsid w:val="00417FA7"/>
    <w:rsid w:val="00427072"/>
    <w:rsid w:val="0042718A"/>
    <w:rsid w:val="00430521"/>
    <w:rsid w:val="00437B77"/>
    <w:rsid w:val="00437D31"/>
    <w:rsid w:val="004428E1"/>
    <w:rsid w:val="004474D3"/>
    <w:rsid w:val="004538F7"/>
    <w:rsid w:val="00460A89"/>
    <w:rsid w:val="004719A3"/>
    <w:rsid w:val="00480282"/>
    <w:rsid w:val="00481127"/>
    <w:rsid w:val="00494289"/>
    <w:rsid w:val="00495395"/>
    <w:rsid w:val="00497E07"/>
    <w:rsid w:val="004A20A2"/>
    <w:rsid w:val="004A3121"/>
    <w:rsid w:val="004A3250"/>
    <w:rsid w:val="004A4045"/>
    <w:rsid w:val="004A430D"/>
    <w:rsid w:val="004B045E"/>
    <w:rsid w:val="004B3ADE"/>
    <w:rsid w:val="004B48A8"/>
    <w:rsid w:val="004B570C"/>
    <w:rsid w:val="004D5D45"/>
    <w:rsid w:val="004E0F9F"/>
    <w:rsid w:val="004E1136"/>
    <w:rsid w:val="004E2F78"/>
    <w:rsid w:val="004E69E2"/>
    <w:rsid w:val="004E7C73"/>
    <w:rsid w:val="004F1DAE"/>
    <w:rsid w:val="004F2C44"/>
    <w:rsid w:val="004F5590"/>
    <w:rsid w:val="004F7396"/>
    <w:rsid w:val="004F796D"/>
    <w:rsid w:val="00507F31"/>
    <w:rsid w:val="005108B8"/>
    <w:rsid w:val="00514CBD"/>
    <w:rsid w:val="00520480"/>
    <w:rsid w:val="00521BD7"/>
    <w:rsid w:val="00522252"/>
    <w:rsid w:val="005276AD"/>
    <w:rsid w:val="00527A36"/>
    <w:rsid w:val="005433E2"/>
    <w:rsid w:val="00543CE2"/>
    <w:rsid w:val="005517A4"/>
    <w:rsid w:val="005519F7"/>
    <w:rsid w:val="00553508"/>
    <w:rsid w:val="00554944"/>
    <w:rsid w:val="005615AF"/>
    <w:rsid w:val="00565916"/>
    <w:rsid w:val="00571276"/>
    <w:rsid w:val="00571D2C"/>
    <w:rsid w:val="005763A6"/>
    <w:rsid w:val="00576E57"/>
    <w:rsid w:val="0057766B"/>
    <w:rsid w:val="00585935"/>
    <w:rsid w:val="00592285"/>
    <w:rsid w:val="00595199"/>
    <w:rsid w:val="00596D44"/>
    <w:rsid w:val="005A384D"/>
    <w:rsid w:val="005A4728"/>
    <w:rsid w:val="005A4EF7"/>
    <w:rsid w:val="005B0549"/>
    <w:rsid w:val="005B0B54"/>
    <w:rsid w:val="005B5426"/>
    <w:rsid w:val="005C0EF2"/>
    <w:rsid w:val="005C3088"/>
    <w:rsid w:val="005C4095"/>
    <w:rsid w:val="005C5B03"/>
    <w:rsid w:val="005C774B"/>
    <w:rsid w:val="005D1FF5"/>
    <w:rsid w:val="005D6BAB"/>
    <w:rsid w:val="005E5670"/>
    <w:rsid w:val="005E77D5"/>
    <w:rsid w:val="005F46CB"/>
    <w:rsid w:val="005F533A"/>
    <w:rsid w:val="005F6DFE"/>
    <w:rsid w:val="006000F5"/>
    <w:rsid w:val="00600561"/>
    <w:rsid w:val="006006F9"/>
    <w:rsid w:val="0060237A"/>
    <w:rsid w:val="00603B28"/>
    <w:rsid w:val="00607D72"/>
    <w:rsid w:val="006134A4"/>
    <w:rsid w:val="006157B8"/>
    <w:rsid w:val="006169E9"/>
    <w:rsid w:val="006264C7"/>
    <w:rsid w:val="00626ACC"/>
    <w:rsid w:val="0062741C"/>
    <w:rsid w:val="00627F53"/>
    <w:rsid w:val="0063132A"/>
    <w:rsid w:val="00636623"/>
    <w:rsid w:val="006431C2"/>
    <w:rsid w:val="00645E71"/>
    <w:rsid w:val="00647FCB"/>
    <w:rsid w:val="00653FD9"/>
    <w:rsid w:val="006562A1"/>
    <w:rsid w:val="00656A0A"/>
    <w:rsid w:val="00663553"/>
    <w:rsid w:val="00666416"/>
    <w:rsid w:val="006673C9"/>
    <w:rsid w:val="00674691"/>
    <w:rsid w:val="006760FD"/>
    <w:rsid w:val="006770B4"/>
    <w:rsid w:val="00684B58"/>
    <w:rsid w:val="006872B0"/>
    <w:rsid w:val="00692C59"/>
    <w:rsid w:val="00693CCF"/>
    <w:rsid w:val="0069446C"/>
    <w:rsid w:val="006A33A7"/>
    <w:rsid w:val="006A4216"/>
    <w:rsid w:val="006B22C7"/>
    <w:rsid w:val="006B36FD"/>
    <w:rsid w:val="006B4900"/>
    <w:rsid w:val="006B6464"/>
    <w:rsid w:val="006C0077"/>
    <w:rsid w:val="006C31A0"/>
    <w:rsid w:val="006C3D5A"/>
    <w:rsid w:val="006C6918"/>
    <w:rsid w:val="006D1404"/>
    <w:rsid w:val="006D1591"/>
    <w:rsid w:val="006D1EF9"/>
    <w:rsid w:val="006D4FFB"/>
    <w:rsid w:val="006E31CA"/>
    <w:rsid w:val="006E405D"/>
    <w:rsid w:val="006E61DA"/>
    <w:rsid w:val="006E7137"/>
    <w:rsid w:val="006F0180"/>
    <w:rsid w:val="006F1581"/>
    <w:rsid w:val="006F5B1C"/>
    <w:rsid w:val="00705C11"/>
    <w:rsid w:val="00707474"/>
    <w:rsid w:val="007105E4"/>
    <w:rsid w:val="00710633"/>
    <w:rsid w:val="00712C2F"/>
    <w:rsid w:val="00715E3C"/>
    <w:rsid w:val="00720A3E"/>
    <w:rsid w:val="00721F65"/>
    <w:rsid w:val="00727A80"/>
    <w:rsid w:val="00730D05"/>
    <w:rsid w:val="00736B52"/>
    <w:rsid w:val="0073751D"/>
    <w:rsid w:val="00745B62"/>
    <w:rsid w:val="00747E4E"/>
    <w:rsid w:val="007513A5"/>
    <w:rsid w:val="0075291E"/>
    <w:rsid w:val="00753AD2"/>
    <w:rsid w:val="00762D0B"/>
    <w:rsid w:val="00766C83"/>
    <w:rsid w:val="0076731C"/>
    <w:rsid w:val="007675CF"/>
    <w:rsid w:val="0077647C"/>
    <w:rsid w:val="00777B59"/>
    <w:rsid w:val="00777DB8"/>
    <w:rsid w:val="00782F00"/>
    <w:rsid w:val="00786096"/>
    <w:rsid w:val="00787DE3"/>
    <w:rsid w:val="007907AC"/>
    <w:rsid w:val="00790993"/>
    <w:rsid w:val="007A1C6F"/>
    <w:rsid w:val="007A38B6"/>
    <w:rsid w:val="007A5EE2"/>
    <w:rsid w:val="007A66E7"/>
    <w:rsid w:val="007B0913"/>
    <w:rsid w:val="007B1006"/>
    <w:rsid w:val="007B34E0"/>
    <w:rsid w:val="007B5876"/>
    <w:rsid w:val="007B5C5B"/>
    <w:rsid w:val="007B5F12"/>
    <w:rsid w:val="007C329E"/>
    <w:rsid w:val="007C4B7B"/>
    <w:rsid w:val="007C5665"/>
    <w:rsid w:val="007D07D0"/>
    <w:rsid w:val="007E42C5"/>
    <w:rsid w:val="007F0C9C"/>
    <w:rsid w:val="007F2F63"/>
    <w:rsid w:val="008001A8"/>
    <w:rsid w:val="0080420C"/>
    <w:rsid w:val="00804C9B"/>
    <w:rsid w:val="0080573C"/>
    <w:rsid w:val="00805A32"/>
    <w:rsid w:val="00813CA0"/>
    <w:rsid w:val="00815DF1"/>
    <w:rsid w:val="00816289"/>
    <w:rsid w:val="00825831"/>
    <w:rsid w:val="00834DB6"/>
    <w:rsid w:val="00836053"/>
    <w:rsid w:val="00837804"/>
    <w:rsid w:val="008420CD"/>
    <w:rsid w:val="0084715B"/>
    <w:rsid w:val="00853CCD"/>
    <w:rsid w:val="00853D21"/>
    <w:rsid w:val="00861008"/>
    <w:rsid w:val="00866E04"/>
    <w:rsid w:val="008679B5"/>
    <w:rsid w:val="00873253"/>
    <w:rsid w:val="0087759E"/>
    <w:rsid w:val="00880644"/>
    <w:rsid w:val="008808BA"/>
    <w:rsid w:val="00882663"/>
    <w:rsid w:val="00883247"/>
    <w:rsid w:val="008844D4"/>
    <w:rsid w:val="00885703"/>
    <w:rsid w:val="00886600"/>
    <w:rsid w:val="008901C9"/>
    <w:rsid w:val="00892256"/>
    <w:rsid w:val="00892700"/>
    <w:rsid w:val="00893A30"/>
    <w:rsid w:val="00893B8A"/>
    <w:rsid w:val="00897266"/>
    <w:rsid w:val="00897413"/>
    <w:rsid w:val="008A5871"/>
    <w:rsid w:val="008A5AEC"/>
    <w:rsid w:val="008B45DA"/>
    <w:rsid w:val="008B4E93"/>
    <w:rsid w:val="008B50EA"/>
    <w:rsid w:val="008B5D0E"/>
    <w:rsid w:val="008B6368"/>
    <w:rsid w:val="008B6D02"/>
    <w:rsid w:val="008C2CBC"/>
    <w:rsid w:val="008D0D59"/>
    <w:rsid w:val="008F1017"/>
    <w:rsid w:val="008F4BD5"/>
    <w:rsid w:val="00901A40"/>
    <w:rsid w:val="00906E1B"/>
    <w:rsid w:val="00912209"/>
    <w:rsid w:val="0091308F"/>
    <w:rsid w:val="00915ADC"/>
    <w:rsid w:val="00917D8C"/>
    <w:rsid w:val="0093114E"/>
    <w:rsid w:val="00931B6A"/>
    <w:rsid w:val="00952069"/>
    <w:rsid w:val="00960D75"/>
    <w:rsid w:val="00963496"/>
    <w:rsid w:val="0096492D"/>
    <w:rsid w:val="00967BF9"/>
    <w:rsid w:val="00971291"/>
    <w:rsid w:val="009736B4"/>
    <w:rsid w:val="0098454D"/>
    <w:rsid w:val="00987DB8"/>
    <w:rsid w:val="009909D5"/>
    <w:rsid w:val="00997191"/>
    <w:rsid w:val="009A2DBF"/>
    <w:rsid w:val="009A4216"/>
    <w:rsid w:val="009A5C20"/>
    <w:rsid w:val="009A6945"/>
    <w:rsid w:val="009B0354"/>
    <w:rsid w:val="009B54A9"/>
    <w:rsid w:val="009C1C37"/>
    <w:rsid w:val="009C380E"/>
    <w:rsid w:val="009C3E7F"/>
    <w:rsid w:val="009D0990"/>
    <w:rsid w:val="009D0DEF"/>
    <w:rsid w:val="009D3DBE"/>
    <w:rsid w:val="009E79A1"/>
    <w:rsid w:val="00A030CB"/>
    <w:rsid w:val="00A045C8"/>
    <w:rsid w:val="00A05B46"/>
    <w:rsid w:val="00A1011A"/>
    <w:rsid w:val="00A149F4"/>
    <w:rsid w:val="00A150FD"/>
    <w:rsid w:val="00A17A23"/>
    <w:rsid w:val="00A225C1"/>
    <w:rsid w:val="00A23E33"/>
    <w:rsid w:val="00A24F8D"/>
    <w:rsid w:val="00A30008"/>
    <w:rsid w:val="00A314B8"/>
    <w:rsid w:val="00A31670"/>
    <w:rsid w:val="00A34383"/>
    <w:rsid w:val="00A36092"/>
    <w:rsid w:val="00A426E7"/>
    <w:rsid w:val="00A429F4"/>
    <w:rsid w:val="00A44994"/>
    <w:rsid w:val="00A52E5A"/>
    <w:rsid w:val="00A53B0D"/>
    <w:rsid w:val="00A65926"/>
    <w:rsid w:val="00A70950"/>
    <w:rsid w:val="00A70B12"/>
    <w:rsid w:val="00A72B90"/>
    <w:rsid w:val="00A741C9"/>
    <w:rsid w:val="00A7758A"/>
    <w:rsid w:val="00A81722"/>
    <w:rsid w:val="00A959B4"/>
    <w:rsid w:val="00A97D7F"/>
    <w:rsid w:val="00AA15E5"/>
    <w:rsid w:val="00AA30BD"/>
    <w:rsid w:val="00AA3B90"/>
    <w:rsid w:val="00AA5C09"/>
    <w:rsid w:val="00AA5D9B"/>
    <w:rsid w:val="00AA72F5"/>
    <w:rsid w:val="00AA74B5"/>
    <w:rsid w:val="00AB61B6"/>
    <w:rsid w:val="00AB6CF1"/>
    <w:rsid w:val="00AC005D"/>
    <w:rsid w:val="00AC3BC2"/>
    <w:rsid w:val="00AD76AE"/>
    <w:rsid w:val="00AE3938"/>
    <w:rsid w:val="00B05D0C"/>
    <w:rsid w:val="00B06B4A"/>
    <w:rsid w:val="00B07AEC"/>
    <w:rsid w:val="00B12BB8"/>
    <w:rsid w:val="00B1790B"/>
    <w:rsid w:val="00B20002"/>
    <w:rsid w:val="00B202BF"/>
    <w:rsid w:val="00B23EA9"/>
    <w:rsid w:val="00B25FEE"/>
    <w:rsid w:val="00B2774E"/>
    <w:rsid w:val="00B31DCD"/>
    <w:rsid w:val="00B33A5C"/>
    <w:rsid w:val="00B35F12"/>
    <w:rsid w:val="00B3611E"/>
    <w:rsid w:val="00B40B23"/>
    <w:rsid w:val="00B433E6"/>
    <w:rsid w:val="00B43ACC"/>
    <w:rsid w:val="00B5260B"/>
    <w:rsid w:val="00B53608"/>
    <w:rsid w:val="00B53F9B"/>
    <w:rsid w:val="00B54971"/>
    <w:rsid w:val="00B57FD6"/>
    <w:rsid w:val="00B62490"/>
    <w:rsid w:val="00B6370F"/>
    <w:rsid w:val="00B63C4A"/>
    <w:rsid w:val="00B641A9"/>
    <w:rsid w:val="00B72A83"/>
    <w:rsid w:val="00B74C6D"/>
    <w:rsid w:val="00B8206E"/>
    <w:rsid w:val="00B8237A"/>
    <w:rsid w:val="00B854DC"/>
    <w:rsid w:val="00B92102"/>
    <w:rsid w:val="00B92845"/>
    <w:rsid w:val="00B95B7A"/>
    <w:rsid w:val="00B95F05"/>
    <w:rsid w:val="00BA20B8"/>
    <w:rsid w:val="00BA61B0"/>
    <w:rsid w:val="00BA6D2C"/>
    <w:rsid w:val="00BB070A"/>
    <w:rsid w:val="00BB1FAA"/>
    <w:rsid w:val="00BB353B"/>
    <w:rsid w:val="00BB6597"/>
    <w:rsid w:val="00BC0F07"/>
    <w:rsid w:val="00BC2DA0"/>
    <w:rsid w:val="00BD1DBC"/>
    <w:rsid w:val="00BD21AE"/>
    <w:rsid w:val="00BD23D9"/>
    <w:rsid w:val="00BD3226"/>
    <w:rsid w:val="00BD4DB9"/>
    <w:rsid w:val="00BD7D21"/>
    <w:rsid w:val="00BE1936"/>
    <w:rsid w:val="00BE3963"/>
    <w:rsid w:val="00BE77CF"/>
    <w:rsid w:val="00BE7EF5"/>
    <w:rsid w:val="00BF26E7"/>
    <w:rsid w:val="00BF32C9"/>
    <w:rsid w:val="00C005DC"/>
    <w:rsid w:val="00C02EED"/>
    <w:rsid w:val="00C04726"/>
    <w:rsid w:val="00C06293"/>
    <w:rsid w:val="00C067F9"/>
    <w:rsid w:val="00C11553"/>
    <w:rsid w:val="00C1377F"/>
    <w:rsid w:val="00C13D23"/>
    <w:rsid w:val="00C15370"/>
    <w:rsid w:val="00C156C9"/>
    <w:rsid w:val="00C17D13"/>
    <w:rsid w:val="00C2433C"/>
    <w:rsid w:val="00C24CDC"/>
    <w:rsid w:val="00C3787E"/>
    <w:rsid w:val="00C41D9F"/>
    <w:rsid w:val="00C4256B"/>
    <w:rsid w:val="00C4453A"/>
    <w:rsid w:val="00C50C94"/>
    <w:rsid w:val="00C51B0B"/>
    <w:rsid w:val="00C52FD8"/>
    <w:rsid w:val="00C539C7"/>
    <w:rsid w:val="00C540AE"/>
    <w:rsid w:val="00C55950"/>
    <w:rsid w:val="00C60C02"/>
    <w:rsid w:val="00C62B88"/>
    <w:rsid w:val="00C64DB9"/>
    <w:rsid w:val="00C65311"/>
    <w:rsid w:val="00C65D55"/>
    <w:rsid w:val="00C65DF8"/>
    <w:rsid w:val="00C7242A"/>
    <w:rsid w:val="00C765E3"/>
    <w:rsid w:val="00C810AA"/>
    <w:rsid w:val="00C8316D"/>
    <w:rsid w:val="00C86D13"/>
    <w:rsid w:val="00C90459"/>
    <w:rsid w:val="00C91E1B"/>
    <w:rsid w:val="00C930FE"/>
    <w:rsid w:val="00C955E5"/>
    <w:rsid w:val="00C966D1"/>
    <w:rsid w:val="00C96A48"/>
    <w:rsid w:val="00C97FBB"/>
    <w:rsid w:val="00CA46C9"/>
    <w:rsid w:val="00CA5B83"/>
    <w:rsid w:val="00CA71FE"/>
    <w:rsid w:val="00CB0802"/>
    <w:rsid w:val="00CB0ED4"/>
    <w:rsid w:val="00CB1A4E"/>
    <w:rsid w:val="00CB4145"/>
    <w:rsid w:val="00CB5947"/>
    <w:rsid w:val="00CC3372"/>
    <w:rsid w:val="00CD4329"/>
    <w:rsid w:val="00CD65FB"/>
    <w:rsid w:val="00CE2B35"/>
    <w:rsid w:val="00CE2F33"/>
    <w:rsid w:val="00CF0A63"/>
    <w:rsid w:val="00CF0F1E"/>
    <w:rsid w:val="00CF2291"/>
    <w:rsid w:val="00CF3A21"/>
    <w:rsid w:val="00CF6037"/>
    <w:rsid w:val="00CF793A"/>
    <w:rsid w:val="00D00C6C"/>
    <w:rsid w:val="00D06825"/>
    <w:rsid w:val="00D1118C"/>
    <w:rsid w:val="00D202C4"/>
    <w:rsid w:val="00D21406"/>
    <w:rsid w:val="00D262DB"/>
    <w:rsid w:val="00D3197D"/>
    <w:rsid w:val="00D32ABB"/>
    <w:rsid w:val="00D3434E"/>
    <w:rsid w:val="00D3658A"/>
    <w:rsid w:val="00D37255"/>
    <w:rsid w:val="00D372BF"/>
    <w:rsid w:val="00D379ED"/>
    <w:rsid w:val="00D41C7D"/>
    <w:rsid w:val="00D47B3B"/>
    <w:rsid w:val="00D549DC"/>
    <w:rsid w:val="00D6197A"/>
    <w:rsid w:val="00D632DB"/>
    <w:rsid w:val="00D72AC6"/>
    <w:rsid w:val="00D74BAB"/>
    <w:rsid w:val="00D82031"/>
    <w:rsid w:val="00D82C29"/>
    <w:rsid w:val="00D8489C"/>
    <w:rsid w:val="00D91890"/>
    <w:rsid w:val="00D926F4"/>
    <w:rsid w:val="00D95AEE"/>
    <w:rsid w:val="00D95FC8"/>
    <w:rsid w:val="00D978FF"/>
    <w:rsid w:val="00DA0B5A"/>
    <w:rsid w:val="00DA210D"/>
    <w:rsid w:val="00DA43DE"/>
    <w:rsid w:val="00DA4EA8"/>
    <w:rsid w:val="00DA527B"/>
    <w:rsid w:val="00DB3F7D"/>
    <w:rsid w:val="00DC43BE"/>
    <w:rsid w:val="00DC770B"/>
    <w:rsid w:val="00DD00CB"/>
    <w:rsid w:val="00DD51F9"/>
    <w:rsid w:val="00DD70B4"/>
    <w:rsid w:val="00DF0BBC"/>
    <w:rsid w:val="00DF1570"/>
    <w:rsid w:val="00DF3283"/>
    <w:rsid w:val="00DF3908"/>
    <w:rsid w:val="00DF55D5"/>
    <w:rsid w:val="00E01659"/>
    <w:rsid w:val="00E02C55"/>
    <w:rsid w:val="00E033DE"/>
    <w:rsid w:val="00E06510"/>
    <w:rsid w:val="00E10ED5"/>
    <w:rsid w:val="00E129CC"/>
    <w:rsid w:val="00E131C7"/>
    <w:rsid w:val="00E14AF1"/>
    <w:rsid w:val="00E16C5B"/>
    <w:rsid w:val="00E26240"/>
    <w:rsid w:val="00E262AE"/>
    <w:rsid w:val="00E273E3"/>
    <w:rsid w:val="00E27B7D"/>
    <w:rsid w:val="00E3021B"/>
    <w:rsid w:val="00E32396"/>
    <w:rsid w:val="00E345CF"/>
    <w:rsid w:val="00E37249"/>
    <w:rsid w:val="00E37819"/>
    <w:rsid w:val="00E43DC2"/>
    <w:rsid w:val="00E43F8A"/>
    <w:rsid w:val="00E47C2F"/>
    <w:rsid w:val="00E50FB1"/>
    <w:rsid w:val="00E54193"/>
    <w:rsid w:val="00E5653B"/>
    <w:rsid w:val="00E62FB9"/>
    <w:rsid w:val="00E63D41"/>
    <w:rsid w:val="00E64C85"/>
    <w:rsid w:val="00E65C7B"/>
    <w:rsid w:val="00E7199C"/>
    <w:rsid w:val="00E71EB8"/>
    <w:rsid w:val="00E72ECD"/>
    <w:rsid w:val="00E7685E"/>
    <w:rsid w:val="00E7748C"/>
    <w:rsid w:val="00E91082"/>
    <w:rsid w:val="00E96169"/>
    <w:rsid w:val="00E965A3"/>
    <w:rsid w:val="00EA0DA2"/>
    <w:rsid w:val="00EA37BA"/>
    <w:rsid w:val="00EB0F52"/>
    <w:rsid w:val="00EB3688"/>
    <w:rsid w:val="00EB61B5"/>
    <w:rsid w:val="00EB7A80"/>
    <w:rsid w:val="00EC410F"/>
    <w:rsid w:val="00EC5FE2"/>
    <w:rsid w:val="00EC7C5C"/>
    <w:rsid w:val="00ED7B4A"/>
    <w:rsid w:val="00EE7BCA"/>
    <w:rsid w:val="00EF186D"/>
    <w:rsid w:val="00EF1DCA"/>
    <w:rsid w:val="00EF299B"/>
    <w:rsid w:val="00EF30BD"/>
    <w:rsid w:val="00EF4CB8"/>
    <w:rsid w:val="00EF74BF"/>
    <w:rsid w:val="00F04F97"/>
    <w:rsid w:val="00F05F5F"/>
    <w:rsid w:val="00F065E5"/>
    <w:rsid w:val="00F10B50"/>
    <w:rsid w:val="00F15497"/>
    <w:rsid w:val="00F20740"/>
    <w:rsid w:val="00F27F6D"/>
    <w:rsid w:val="00F3048C"/>
    <w:rsid w:val="00F356B4"/>
    <w:rsid w:val="00F37404"/>
    <w:rsid w:val="00F379F2"/>
    <w:rsid w:val="00F447DE"/>
    <w:rsid w:val="00F45A11"/>
    <w:rsid w:val="00F52A24"/>
    <w:rsid w:val="00F52C7C"/>
    <w:rsid w:val="00F54344"/>
    <w:rsid w:val="00F72098"/>
    <w:rsid w:val="00F72B01"/>
    <w:rsid w:val="00F73BB3"/>
    <w:rsid w:val="00F75F75"/>
    <w:rsid w:val="00F8551F"/>
    <w:rsid w:val="00F92F85"/>
    <w:rsid w:val="00FA112D"/>
    <w:rsid w:val="00FA1499"/>
    <w:rsid w:val="00FA1ACC"/>
    <w:rsid w:val="00FA2639"/>
    <w:rsid w:val="00FA318C"/>
    <w:rsid w:val="00FA4ACE"/>
    <w:rsid w:val="00FA5532"/>
    <w:rsid w:val="00FA577E"/>
    <w:rsid w:val="00FA68E3"/>
    <w:rsid w:val="00FB19AD"/>
    <w:rsid w:val="00FB4FFD"/>
    <w:rsid w:val="00FB50D5"/>
    <w:rsid w:val="00FC0B4C"/>
    <w:rsid w:val="00FC0DB7"/>
    <w:rsid w:val="00FC4CED"/>
    <w:rsid w:val="00FE109E"/>
    <w:rsid w:val="00FE142E"/>
    <w:rsid w:val="00FF6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5950"/>
    <w:rPr>
      <w:color w:val="0000FF"/>
      <w:u w:val="single"/>
    </w:rPr>
  </w:style>
  <w:style w:type="character" w:styleId="FollowedHyperlink">
    <w:name w:val="FollowedHyperlink"/>
    <w:basedOn w:val="DefaultParagraphFont"/>
    <w:uiPriority w:val="99"/>
    <w:semiHidden/>
    <w:unhideWhenUsed/>
    <w:rsid w:val="00C55950"/>
    <w:rPr>
      <w:color w:val="800080"/>
      <w:u w:val="single"/>
    </w:rPr>
  </w:style>
  <w:style w:type="paragraph" w:customStyle="1" w:styleId="xl65">
    <w:name w:val="xl65"/>
    <w:basedOn w:val="Normal"/>
    <w:rsid w:val="00C55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Normal"/>
    <w:rsid w:val="00C559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55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8">
    <w:name w:val="xl68"/>
    <w:basedOn w:val="Normal"/>
    <w:rsid w:val="00C55950"/>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9">
    <w:name w:val="xl69"/>
    <w:basedOn w:val="Normal"/>
    <w:rsid w:val="00C559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559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8B8"/>
    <w:pPr>
      <w:ind w:left="720"/>
      <w:contextualSpacing/>
    </w:pPr>
  </w:style>
  <w:style w:type="paragraph" w:styleId="Header">
    <w:name w:val="header"/>
    <w:basedOn w:val="Normal"/>
    <w:link w:val="HeaderChar"/>
    <w:uiPriority w:val="99"/>
    <w:unhideWhenUsed/>
    <w:rsid w:val="0076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D0B"/>
  </w:style>
  <w:style w:type="paragraph" w:styleId="Footer">
    <w:name w:val="footer"/>
    <w:basedOn w:val="Normal"/>
    <w:link w:val="FooterChar"/>
    <w:uiPriority w:val="99"/>
    <w:unhideWhenUsed/>
    <w:rsid w:val="0076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D0B"/>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t,A, Cha"/>
    <w:basedOn w:val="Normal"/>
    <w:link w:val="FootnoteTextChar"/>
    <w:uiPriority w:val="99"/>
    <w:qFormat/>
    <w:rsid w:val="004719A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4719A3"/>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basedOn w:val="DefaultParagraphFont"/>
    <w:uiPriority w:val="99"/>
    <w:qFormat/>
    <w:rsid w:val="004719A3"/>
    <w:rPr>
      <w:vertAlign w:val="superscript"/>
    </w:rPr>
  </w:style>
</w:styles>
</file>

<file path=word/webSettings.xml><?xml version="1.0" encoding="utf-8"?>
<w:webSettings xmlns:r="http://schemas.openxmlformats.org/officeDocument/2006/relationships" xmlns:w="http://schemas.openxmlformats.org/wordprocessingml/2006/main">
  <w:divs>
    <w:div w:id="51387330">
      <w:bodyDiv w:val="1"/>
      <w:marLeft w:val="0"/>
      <w:marRight w:val="0"/>
      <w:marTop w:val="0"/>
      <w:marBottom w:val="0"/>
      <w:divBdr>
        <w:top w:val="none" w:sz="0" w:space="0" w:color="auto"/>
        <w:left w:val="none" w:sz="0" w:space="0" w:color="auto"/>
        <w:bottom w:val="none" w:sz="0" w:space="0" w:color="auto"/>
        <w:right w:val="none" w:sz="0" w:space="0" w:color="auto"/>
      </w:divBdr>
    </w:div>
    <w:div w:id="64495114">
      <w:bodyDiv w:val="1"/>
      <w:marLeft w:val="0"/>
      <w:marRight w:val="0"/>
      <w:marTop w:val="0"/>
      <w:marBottom w:val="0"/>
      <w:divBdr>
        <w:top w:val="none" w:sz="0" w:space="0" w:color="auto"/>
        <w:left w:val="none" w:sz="0" w:space="0" w:color="auto"/>
        <w:bottom w:val="none" w:sz="0" w:space="0" w:color="auto"/>
        <w:right w:val="none" w:sz="0" w:space="0" w:color="auto"/>
      </w:divBdr>
    </w:div>
    <w:div w:id="69816536">
      <w:bodyDiv w:val="1"/>
      <w:marLeft w:val="0"/>
      <w:marRight w:val="0"/>
      <w:marTop w:val="0"/>
      <w:marBottom w:val="0"/>
      <w:divBdr>
        <w:top w:val="none" w:sz="0" w:space="0" w:color="auto"/>
        <w:left w:val="none" w:sz="0" w:space="0" w:color="auto"/>
        <w:bottom w:val="none" w:sz="0" w:space="0" w:color="auto"/>
        <w:right w:val="none" w:sz="0" w:space="0" w:color="auto"/>
      </w:divBdr>
    </w:div>
    <w:div w:id="97221324">
      <w:bodyDiv w:val="1"/>
      <w:marLeft w:val="0"/>
      <w:marRight w:val="0"/>
      <w:marTop w:val="0"/>
      <w:marBottom w:val="0"/>
      <w:divBdr>
        <w:top w:val="none" w:sz="0" w:space="0" w:color="auto"/>
        <w:left w:val="none" w:sz="0" w:space="0" w:color="auto"/>
        <w:bottom w:val="none" w:sz="0" w:space="0" w:color="auto"/>
        <w:right w:val="none" w:sz="0" w:space="0" w:color="auto"/>
      </w:divBdr>
    </w:div>
    <w:div w:id="99226863">
      <w:bodyDiv w:val="1"/>
      <w:marLeft w:val="0"/>
      <w:marRight w:val="0"/>
      <w:marTop w:val="0"/>
      <w:marBottom w:val="0"/>
      <w:divBdr>
        <w:top w:val="none" w:sz="0" w:space="0" w:color="auto"/>
        <w:left w:val="none" w:sz="0" w:space="0" w:color="auto"/>
        <w:bottom w:val="none" w:sz="0" w:space="0" w:color="auto"/>
        <w:right w:val="none" w:sz="0" w:space="0" w:color="auto"/>
      </w:divBdr>
    </w:div>
    <w:div w:id="107892946">
      <w:bodyDiv w:val="1"/>
      <w:marLeft w:val="0"/>
      <w:marRight w:val="0"/>
      <w:marTop w:val="0"/>
      <w:marBottom w:val="0"/>
      <w:divBdr>
        <w:top w:val="none" w:sz="0" w:space="0" w:color="auto"/>
        <w:left w:val="none" w:sz="0" w:space="0" w:color="auto"/>
        <w:bottom w:val="none" w:sz="0" w:space="0" w:color="auto"/>
        <w:right w:val="none" w:sz="0" w:space="0" w:color="auto"/>
      </w:divBdr>
    </w:div>
    <w:div w:id="117333396">
      <w:bodyDiv w:val="1"/>
      <w:marLeft w:val="0"/>
      <w:marRight w:val="0"/>
      <w:marTop w:val="0"/>
      <w:marBottom w:val="0"/>
      <w:divBdr>
        <w:top w:val="none" w:sz="0" w:space="0" w:color="auto"/>
        <w:left w:val="none" w:sz="0" w:space="0" w:color="auto"/>
        <w:bottom w:val="none" w:sz="0" w:space="0" w:color="auto"/>
        <w:right w:val="none" w:sz="0" w:space="0" w:color="auto"/>
      </w:divBdr>
    </w:div>
    <w:div w:id="129059300">
      <w:bodyDiv w:val="1"/>
      <w:marLeft w:val="0"/>
      <w:marRight w:val="0"/>
      <w:marTop w:val="0"/>
      <w:marBottom w:val="0"/>
      <w:divBdr>
        <w:top w:val="none" w:sz="0" w:space="0" w:color="auto"/>
        <w:left w:val="none" w:sz="0" w:space="0" w:color="auto"/>
        <w:bottom w:val="none" w:sz="0" w:space="0" w:color="auto"/>
        <w:right w:val="none" w:sz="0" w:space="0" w:color="auto"/>
      </w:divBdr>
    </w:div>
    <w:div w:id="160700254">
      <w:bodyDiv w:val="1"/>
      <w:marLeft w:val="0"/>
      <w:marRight w:val="0"/>
      <w:marTop w:val="0"/>
      <w:marBottom w:val="0"/>
      <w:divBdr>
        <w:top w:val="none" w:sz="0" w:space="0" w:color="auto"/>
        <w:left w:val="none" w:sz="0" w:space="0" w:color="auto"/>
        <w:bottom w:val="none" w:sz="0" w:space="0" w:color="auto"/>
        <w:right w:val="none" w:sz="0" w:space="0" w:color="auto"/>
      </w:divBdr>
    </w:div>
    <w:div w:id="181018047">
      <w:bodyDiv w:val="1"/>
      <w:marLeft w:val="0"/>
      <w:marRight w:val="0"/>
      <w:marTop w:val="0"/>
      <w:marBottom w:val="0"/>
      <w:divBdr>
        <w:top w:val="none" w:sz="0" w:space="0" w:color="auto"/>
        <w:left w:val="none" w:sz="0" w:space="0" w:color="auto"/>
        <w:bottom w:val="none" w:sz="0" w:space="0" w:color="auto"/>
        <w:right w:val="none" w:sz="0" w:space="0" w:color="auto"/>
      </w:divBdr>
    </w:div>
    <w:div w:id="198473313">
      <w:bodyDiv w:val="1"/>
      <w:marLeft w:val="0"/>
      <w:marRight w:val="0"/>
      <w:marTop w:val="0"/>
      <w:marBottom w:val="0"/>
      <w:divBdr>
        <w:top w:val="none" w:sz="0" w:space="0" w:color="auto"/>
        <w:left w:val="none" w:sz="0" w:space="0" w:color="auto"/>
        <w:bottom w:val="none" w:sz="0" w:space="0" w:color="auto"/>
        <w:right w:val="none" w:sz="0" w:space="0" w:color="auto"/>
      </w:divBdr>
    </w:div>
    <w:div w:id="206570515">
      <w:bodyDiv w:val="1"/>
      <w:marLeft w:val="0"/>
      <w:marRight w:val="0"/>
      <w:marTop w:val="0"/>
      <w:marBottom w:val="0"/>
      <w:divBdr>
        <w:top w:val="none" w:sz="0" w:space="0" w:color="auto"/>
        <w:left w:val="none" w:sz="0" w:space="0" w:color="auto"/>
        <w:bottom w:val="none" w:sz="0" w:space="0" w:color="auto"/>
        <w:right w:val="none" w:sz="0" w:space="0" w:color="auto"/>
      </w:divBdr>
    </w:div>
    <w:div w:id="242377660">
      <w:bodyDiv w:val="1"/>
      <w:marLeft w:val="0"/>
      <w:marRight w:val="0"/>
      <w:marTop w:val="0"/>
      <w:marBottom w:val="0"/>
      <w:divBdr>
        <w:top w:val="none" w:sz="0" w:space="0" w:color="auto"/>
        <w:left w:val="none" w:sz="0" w:space="0" w:color="auto"/>
        <w:bottom w:val="none" w:sz="0" w:space="0" w:color="auto"/>
        <w:right w:val="none" w:sz="0" w:space="0" w:color="auto"/>
      </w:divBdr>
    </w:div>
    <w:div w:id="242764177">
      <w:bodyDiv w:val="1"/>
      <w:marLeft w:val="0"/>
      <w:marRight w:val="0"/>
      <w:marTop w:val="0"/>
      <w:marBottom w:val="0"/>
      <w:divBdr>
        <w:top w:val="none" w:sz="0" w:space="0" w:color="auto"/>
        <w:left w:val="none" w:sz="0" w:space="0" w:color="auto"/>
        <w:bottom w:val="none" w:sz="0" w:space="0" w:color="auto"/>
        <w:right w:val="none" w:sz="0" w:space="0" w:color="auto"/>
      </w:divBdr>
    </w:div>
    <w:div w:id="283466334">
      <w:bodyDiv w:val="1"/>
      <w:marLeft w:val="0"/>
      <w:marRight w:val="0"/>
      <w:marTop w:val="0"/>
      <w:marBottom w:val="0"/>
      <w:divBdr>
        <w:top w:val="none" w:sz="0" w:space="0" w:color="auto"/>
        <w:left w:val="none" w:sz="0" w:space="0" w:color="auto"/>
        <w:bottom w:val="none" w:sz="0" w:space="0" w:color="auto"/>
        <w:right w:val="none" w:sz="0" w:space="0" w:color="auto"/>
      </w:divBdr>
    </w:div>
    <w:div w:id="340205243">
      <w:bodyDiv w:val="1"/>
      <w:marLeft w:val="0"/>
      <w:marRight w:val="0"/>
      <w:marTop w:val="0"/>
      <w:marBottom w:val="0"/>
      <w:divBdr>
        <w:top w:val="none" w:sz="0" w:space="0" w:color="auto"/>
        <w:left w:val="none" w:sz="0" w:space="0" w:color="auto"/>
        <w:bottom w:val="none" w:sz="0" w:space="0" w:color="auto"/>
        <w:right w:val="none" w:sz="0" w:space="0" w:color="auto"/>
      </w:divBdr>
    </w:div>
    <w:div w:id="355615173">
      <w:bodyDiv w:val="1"/>
      <w:marLeft w:val="0"/>
      <w:marRight w:val="0"/>
      <w:marTop w:val="0"/>
      <w:marBottom w:val="0"/>
      <w:divBdr>
        <w:top w:val="none" w:sz="0" w:space="0" w:color="auto"/>
        <w:left w:val="none" w:sz="0" w:space="0" w:color="auto"/>
        <w:bottom w:val="none" w:sz="0" w:space="0" w:color="auto"/>
        <w:right w:val="none" w:sz="0" w:space="0" w:color="auto"/>
      </w:divBdr>
    </w:div>
    <w:div w:id="360282147">
      <w:bodyDiv w:val="1"/>
      <w:marLeft w:val="0"/>
      <w:marRight w:val="0"/>
      <w:marTop w:val="0"/>
      <w:marBottom w:val="0"/>
      <w:divBdr>
        <w:top w:val="none" w:sz="0" w:space="0" w:color="auto"/>
        <w:left w:val="none" w:sz="0" w:space="0" w:color="auto"/>
        <w:bottom w:val="none" w:sz="0" w:space="0" w:color="auto"/>
        <w:right w:val="none" w:sz="0" w:space="0" w:color="auto"/>
      </w:divBdr>
    </w:div>
    <w:div w:id="403839289">
      <w:bodyDiv w:val="1"/>
      <w:marLeft w:val="0"/>
      <w:marRight w:val="0"/>
      <w:marTop w:val="0"/>
      <w:marBottom w:val="0"/>
      <w:divBdr>
        <w:top w:val="none" w:sz="0" w:space="0" w:color="auto"/>
        <w:left w:val="none" w:sz="0" w:space="0" w:color="auto"/>
        <w:bottom w:val="none" w:sz="0" w:space="0" w:color="auto"/>
        <w:right w:val="none" w:sz="0" w:space="0" w:color="auto"/>
      </w:divBdr>
    </w:div>
    <w:div w:id="434710252">
      <w:bodyDiv w:val="1"/>
      <w:marLeft w:val="0"/>
      <w:marRight w:val="0"/>
      <w:marTop w:val="0"/>
      <w:marBottom w:val="0"/>
      <w:divBdr>
        <w:top w:val="none" w:sz="0" w:space="0" w:color="auto"/>
        <w:left w:val="none" w:sz="0" w:space="0" w:color="auto"/>
        <w:bottom w:val="none" w:sz="0" w:space="0" w:color="auto"/>
        <w:right w:val="none" w:sz="0" w:space="0" w:color="auto"/>
      </w:divBdr>
      <w:divsChild>
        <w:div w:id="1106998507">
          <w:marLeft w:val="0"/>
          <w:marRight w:val="0"/>
          <w:marTop w:val="0"/>
          <w:marBottom w:val="0"/>
          <w:divBdr>
            <w:top w:val="none" w:sz="0" w:space="0" w:color="auto"/>
            <w:left w:val="none" w:sz="0" w:space="0" w:color="auto"/>
            <w:bottom w:val="none" w:sz="0" w:space="0" w:color="auto"/>
            <w:right w:val="none" w:sz="0" w:space="0" w:color="auto"/>
          </w:divBdr>
        </w:div>
        <w:div w:id="2021393756">
          <w:marLeft w:val="0"/>
          <w:marRight w:val="0"/>
          <w:marTop w:val="0"/>
          <w:marBottom w:val="0"/>
          <w:divBdr>
            <w:top w:val="none" w:sz="0" w:space="0" w:color="auto"/>
            <w:left w:val="none" w:sz="0" w:space="0" w:color="auto"/>
            <w:bottom w:val="none" w:sz="0" w:space="0" w:color="auto"/>
            <w:right w:val="none" w:sz="0" w:space="0" w:color="auto"/>
          </w:divBdr>
        </w:div>
      </w:divsChild>
    </w:div>
    <w:div w:id="438723854">
      <w:bodyDiv w:val="1"/>
      <w:marLeft w:val="0"/>
      <w:marRight w:val="0"/>
      <w:marTop w:val="0"/>
      <w:marBottom w:val="0"/>
      <w:divBdr>
        <w:top w:val="none" w:sz="0" w:space="0" w:color="auto"/>
        <w:left w:val="none" w:sz="0" w:space="0" w:color="auto"/>
        <w:bottom w:val="none" w:sz="0" w:space="0" w:color="auto"/>
        <w:right w:val="none" w:sz="0" w:space="0" w:color="auto"/>
      </w:divBdr>
    </w:div>
    <w:div w:id="548492088">
      <w:bodyDiv w:val="1"/>
      <w:marLeft w:val="0"/>
      <w:marRight w:val="0"/>
      <w:marTop w:val="0"/>
      <w:marBottom w:val="0"/>
      <w:divBdr>
        <w:top w:val="none" w:sz="0" w:space="0" w:color="auto"/>
        <w:left w:val="none" w:sz="0" w:space="0" w:color="auto"/>
        <w:bottom w:val="none" w:sz="0" w:space="0" w:color="auto"/>
        <w:right w:val="none" w:sz="0" w:space="0" w:color="auto"/>
      </w:divBdr>
    </w:div>
    <w:div w:id="584530958">
      <w:bodyDiv w:val="1"/>
      <w:marLeft w:val="0"/>
      <w:marRight w:val="0"/>
      <w:marTop w:val="0"/>
      <w:marBottom w:val="0"/>
      <w:divBdr>
        <w:top w:val="none" w:sz="0" w:space="0" w:color="auto"/>
        <w:left w:val="none" w:sz="0" w:space="0" w:color="auto"/>
        <w:bottom w:val="none" w:sz="0" w:space="0" w:color="auto"/>
        <w:right w:val="none" w:sz="0" w:space="0" w:color="auto"/>
      </w:divBdr>
    </w:div>
    <w:div w:id="666790140">
      <w:bodyDiv w:val="1"/>
      <w:marLeft w:val="0"/>
      <w:marRight w:val="0"/>
      <w:marTop w:val="0"/>
      <w:marBottom w:val="0"/>
      <w:divBdr>
        <w:top w:val="none" w:sz="0" w:space="0" w:color="auto"/>
        <w:left w:val="none" w:sz="0" w:space="0" w:color="auto"/>
        <w:bottom w:val="none" w:sz="0" w:space="0" w:color="auto"/>
        <w:right w:val="none" w:sz="0" w:space="0" w:color="auto"/>
      </w:divBdr>
    </w:div>
    <w:div w:id="687953083">
      <w:bodyDiv w:val="1"/>
      <w:marLeft w:val="0"/>
      <w:marRight w:val="0"/>
      <w:marTop w:val="0"/>
      <w:marBottom w:val="0"/>
      <w:divBdr>
        <w:top w:val="none" w:sz="0" w:space="0" w:color="auto"/>
        <w:left w:val="none" w:sz="0" w:space="0" w:color="auto"/>
        <w:bottom w:val="none" w:sz="0" w:space="0" w:color="auto"/>
        <w:right w:val="none" w:sz="0" w:space="0" w:color="auto"/>
      </w:divBdr>
    </w:div>
    <w:div w:id="694157789">
      <w:bodyDiv w:val="1"/>
      <w:marLeft w:val="0"/>
      <w:marRight w:val="0"/>
      <w:marTop w:val="0"/>
      <w:marBottom w:val="0"/>
      <w:divBdr>
        <w:top w:val="none" w:sz="0" w:space="0" w:color="auto"/>
        <w:left w:val="none" w:sz="0" w:space="0" w:color="auto"/>
        <w:bottom w:val="none" w:sz="0" w:space="0" w:color="auto"/>
        <w:right w:val="none" w:sz="0" w:space="0" w:color="auto"/>
      </w:divBdr>
    </w:div>
    <w:div w:id="725493254">
      <w:bodyDiv w:val="1"/>
      <w:marLeft w:val="0"/>
      <w:marRight w:val="0"/>
      <w:marTop w:val="0"/>
      <w:marBottom w:val="0"/>
      <w:divBdr>
        <w:top w:val="none" w:sz="0" w:space="0" w:color="auto"/>
        <w:left w:val="none" w:sz="0" w:space="0" w:color="auto"/>
        <w:bottom w:val="none" w:sz="0" w:space="0" w:color="auto"/>
        <w:right w:val="none" w:sz="0" w:space="0" w:color="auto"/>
      </w:divBdr>
    </w:div>
    <w:div w:id="726414037">
      <w:bodyDiv w:val="1"/>
      <w:marLeft w:val="0"/>
      <w:marRight w:val="0"/>
      <w:marTop w:val="0"/>
      <w:marBottom w:val="0"/>
      <w:divBdr>
        <w:top w:val="none" w:sz="0" w:space="0" w:color="auto"/>
        <w:left w:val="none" w:sz="0" w:space="0" w:color="auto"/>
        <w:bottom w:val="none" w:sz="0" w:space="0" w:color="auto"/>
        <w:right w:val="none" w:sz="0" w:space="0" w:color="auto"/>
      </w:divBdr>
    </w:div>
    <w:div w:id="741098318">
      <w:bodyDiv w:val="1"/>
      <w:marLeft w:val="0"/>
      <w:marRight w:val="0"/>
      <w:marTop w:val="0"/>
      <w:marBottom w:val="0"/>
      <w:divBdr>
        <w:top w:val="none" w:sz="0" w:space="0" w:color="auto"/>
        <w:left w:val="none" w:sz="0" w:space="0" w:color="auto"/>
        <w:bottom w:val="none" w:sz="0" w:space="0" w:color="auto"/>
        <w:right w:val="none" w:sz="0" w:space="0" w:color="auto"/>
      </w:divBdr>
    </w:div>
    <w:div w:id="761268479">
      <w:bodyDiv w:val="1"/>
      <w:marLeft w:val="0"/>
      <w:marRight w:val="0"/>
      <w:marTop w:val="0"/>
      <w:marBottom w:val="0"/>
      <w:divBdr>
        <w:top w:val="none" w:sz="0" w:space="0" w:color="auto"/>
        <w:left w:val="none" w:sz="0" w:space="0" w:color="auto"/>
        <w:bottom w:val="none" w:sz="0" w:space="0" w:color="auto"/>
        <w:right w:val="none" w:sz="0" w:space="0" w:color="auto"/>
      </w:divBdr>
    </w:div>
    <w:div w:id="773594786">
      <w:bodyDiv w:val="1"/>
      <w:marLeft w:val="0"/>
      <w:marRight w:val="0"/>
      <w:marTop w:val="0"/>
      <w:marBottom w:val="0"/>
      <w:divBdr>
        <w:top w:val="none" w:sz="0" w:space="0" w:color="auto"/>
        <w:left w:val="none" w:sz="0" w:space="0" w:color="auto"/>
        <w:bottom w:val="none" w:sz="0" w:space="0" w:color="auto"/>
        <w:right w:val="none" w:sz="0" w:space="0" w:color="auto"/>
      </w:divBdr>
    </w:div>
    <w:div w:id="824053412">
      <w:bodyDiv w:val="1"/>
      <w:marLeft w:val="0"/>
      <w:marRight w:val="0"/>
      <w:marTop w:val="0"/>
      <w:marBottom w:val="0"/>
      <w:divBdr>
        <w:top w:val="none" w:sz="0" w:space="0" w:color="auto"/>
        <w:left w:val="none" w:sz="0" w:space="0" w:color="auto"/>
        <w:bottom w:val="none" w:sz="0" w:space="0" w:color="auto"/>
        <w:right w:val="none" w:sz="0" w:space="0" w:color="auto"/>
      </w:divBdr>
    </w:div>
    <w:div w:id="837886506">
      <w:bodyDiv w:val="1"/>
      <w:marLeft w:val="0"/>
      <w:marRight w:val="0"/>
      <w:marTop w:val="0"/>
      <w:marBottom w:val="0"/>
      <w:divBdr>
        <w:top w:val="none" w:sz="0" w:space="0" w:color="auto"/>
        <w:left w:val="none" w:sz="0" w:space="0" w:color="auto"/>
        <w:bottom w:val="none" w:sz="0" w:space="0" w:color="auto"/>
        <w:right w:val="none" w:sz="0" w:space="0" w:color="auto"/>
      </w:divBdr>
    </w:div>
    <w:div w:id="843128578">
      <w:bodyDiv w:val="1"/>
      <w:marLeft w:val="0"/>
      <w:marRight w:val="0"/>
      <w:marTop w:val="0"/>
      <w:marBottom w:val="0"/>
      <w:divBdr>
        <w:top w:val="none" w:sz="0" w:space="0" w:color="auto"/>
        <w:left w:val="none" w:sz="0" w:space="0" w:color="auto"/>
        <w:bottom w:val="none" w:sz="0" w:space="0" w:color="auto"/>
        <w:right w:val="none" w:sz="0" w:space="0" w:color="auto"/>
      </w:divBdr>
    </w:div>
    <w:div w:id="860122955">
      <w:bodyDiv w:val="1"/>
      <w:marLeft w:val="0"/>
      <w:marRight w:val="0"/>
      <w:marTop w:val="0"/>
      <w:marBottom w:val="0"/>
      <w:divBdr>
        <w:top w:val="none" w:sz="0" w:space="0" w:color="auto"/>
        <w:left w:val="none" w:sz="0" w:space="0" w:color="auto"/>
        <w:bottom w:val="none" w:sz="0" w:space="0" w:color="auto"/>
        <w:right w:val="none" w:sz="0" w:space="0" w:color="auto"/>
      </w:divBdr>
    </w:div>
    <w:div w:id="869495695">
      <w:bodyDiv w:val="1"/>
      <w:marLeft w:val="0"/>
      <w:marRight w:val="0"/>
      <w:marTop w:val="0"/>
      <w:marBottom w:val="0"/>
      <w:divBdr>
        <w:top w:val="none" w:sz="0" w:space="0" w:color="auto"/>
        <w:left w:val="none" w:sz="0" w:space="0" w:color="auto"/>
        <w:bottom w:val="none" w:sz="0" w:space="0" w:color="auto"/>
        <w:right w:val="none" w:sz="0" w:space="0" w:color="auto"/>
      </w:divBdr>
    </w:div>
    <w:div w:id="872888170">
      <w:bodyDiv w:val="1"/>
      <w:marLeft w:val="0"/>
      <w:marRight w:val="0"/>
      <w:marTop w:val="0"/>
      <w:marBottom w:val="0"/>
      <w:divBdr>
        <w:top w:val="none" w:sz="0" w:space="0" w:color="auto"/>
        <w:left w:val="none" w:sz="0" w:space="0" w:color="auto"/>
        <w:bottom w:val="none" w:sz="0" w:space="0" w:color="auto"/>
        <w:right w:val="none" w:sz="0" w:space="0" w:color="auto"/>
      </w:divBdr>
    </w:div>
    <w:div w:id="949974850">
      <w:bodyDiv w:val="1"/>
      <w:marLeft w:val="0"/>
      <w:marRight w:val="0"/>
      <w:marTop w:val="0"/>
      <w:marBottom w:val="0"/>
      <w:divBdr>
        <w:top w:val="none" w:sz="0" w:space="0" w:color="auto"/>
        <w:left w:val="none" w:sz="0" w:space="0" w:color="auto"/>
        <w:bottom w:val="none" w:sz="0" w:space="0" w:color="auto"/>
        <w:right w:val="none" w:sz="0" w:space="0" w:color="auto"/>
      </w:divBdr>
    </w:div>
    <w:div w:id="973829329">
      <w:bodyDiv w:val="1"/>
      <w:marLeft w:val="0"/>
      <w:marRight w:val="0"/>
      <w:marTop w:val="0"/>
      <w:marBottom w:val="0"/>
      <w:divBdr>
        <w:top w:val="none" w:sz="0" w:space="0" w:color="auto"/>
        <w:left w:val="none" w:sz="0" w:space="0" w:color="auto"/>
        <w:bottom w:val="none" w:sz="0" w:space="0" w:color="auto"/>
        <w:right w:val="none" w:sz="0" w:space="0" w:color="auto"/>
      </w:divBdr>
    </w:div>
    <w:div w:id="1002970732">
      <w:bodyDiv w:val="1"/>
      <w:marLeft w:val="0"/>
      <w:marRight w:val="0"/>
      <w:marTop w:val="0"/>
      <w:marBottom w:val="0"/>
      <w:divBdr>
        <w:top w:val="none" w:sz="0" w:space="0" w:color="auto"/>
        <w:left w:val="none" w:sz="0" w:space="0" w:color="auto"/>
        <w:bottom w:val="none" w:sz="0" w:space="0" w:color="auto"/>
        <w:right w:val="none" w:sz="0" w:space="0" w:color="auto"/>
      </w:divBdr>
    </w:div>
    <w:div w:id="1012688878">
      <w:bodyDiv w:val="1"/>
      <w:marLeft w:val="0"/>
      <w:marRight w:val="0"/>
      <w:marTop w:val="0"/>
      <w:marBottom w:val="0"/>
      <w:divBdr>
        <w:top w:val="none" w:sz="0" w:space="0" w:color="auto"/>
        <w:left w:val="none" w:sz="0" w:space="0" w:color="auto"/>
        <w:bottom w:val="none" w:sz="0" w:space="0" w:color="auto"/>
        <w:right w:val="none" w:sz="0" w:space="0" w:color="auto"/>
      </w:divBdr>
    </w:div>
    <w:div w:id="1034813606">
      <w:bodyDiv w:val="1"/>
      <w:marLeft w:val="0"/>
      <w:marRight w:val="0"/>
      <w:marTop w:val="0"/>
      <w:marBottom w:val="0"/>
      <w:divBdr>
        <w:top w:val="none" w:sz="0" w:space="0" w:color="auto"/>
        <w:left w:val="none" w:sz="0" w:space="0" w:color="auto"/>
        <w:bottom w:val="none" w:sz="0" w:space="0" w:color="auto"/>
        <w:right w:val="none" w:sz="0" w:space="0" w:color="auto"/>
      </w:divBdr>
    </w:div>
    <w:div w:id="1049452944">
      <w:bodyDiv w:val="1"/>
      <w:marLeft w:val="0"/>
      <w:marRight w:val="0"/>
      <w:marTop w:val="0"/>
      <w:marBottom w:val="0"/>
      <w:divBdr>
        <w:top w:val="none" w:sz="0" w:space="0" w:color="auto"/>
        <w:left w:val="none" w:sz="0" w:space="0" w:color="auto"/>
        <w:bottom w:val="none" w:sz="0" w:space="0" w:color="auto"/>
        <w:right w:val="none" w:sz="0" w:space="0" w:color="auto"/>
      </w:divBdr>
    </w:div>
    <w:div w:id="1070542325">
      <w:bodyDiv w:val="1"/>
      <w:marLeft w:val="0"/>
      <w:marRight w:val="0"/>
      <w:marTop w:val="0"/>
      <w:marBottom w:val="0"/>
      <w:divBdr>
        <w:top w:val="none" w:sz="0" w:space="0" w:color="auto"/>
        <w:left w:val="none" w:sz="0" w:space="0" w:color="auto"/>
        <w:bottom w:val="none" w:sz="0" w:space="0" w:color="auto"/>
        <w:right w:val="none" w:sz="0" w:space="0" w:color="auto"/>
      </w:divBdr>
    </w:div>
    <w:div w:id="1080103433">
      <w:bodyDiv w:val="1"/>
      <w:marLeft w:val="0"/>
      <w:marRight w:val="0"/>
      <w:marTop w:val="0"/>
      <w:marBottom w:val="0"/>
      <w:divBdr>
        <w:top w:val="none" w:sz="0" w:space="0" w:color="auto"/>
        <w:left w:val="none" w:sz="0" w:space="0" w:color="auto"/>
        <w:bottom w:val="none" w:sz="0" w:space="0" w:color="auto"/>
        <w:right w:val="none" w:sz="0" w:space="0" w:color="auto"/>
      </w:divBdr>
    </w:div>
    <w:div w:id="1098326795">
      <w:bodyDiv w:val="1"/>
      <w:marLeft w:val="0"/>
      <w:marRight w:val="0"/>
      <w:marTop w:val="0"/>
      <w:marBottom w:val="0"/>
      <w:divBdr>
        <w:top w:val="none" w:sz="0" w:space="0" w:color="auto"/>
        <w:left w:val="none" w:sz="0" w:space="0" w:color="auto"/>
        <w:bottom w:val="none" w:sz="0" w:space="0" w:color="auto"/>
        <w:right w:val="none" w:sz="0" w:space="0" w:color="auto"/>
      </w:divBdr>
    </w:div>
    <w:div w:id="1106198076">
      <w:bodyDiv w:val="1"/>
      <w:marLeft w:val="0"/>
      <w:marRight w:val="0"/>
      <w:marTop w:val="0"/>
      <w:marBottom w:val="0"/>
      <w:divBdr>
        <w:top w:val="none" w:sz="0" w:space="0" w:color="auto"/>
        <w:left w:val="none" w:sz="0" w:space="0" w:color="auto"/>
        <w:bottom w:val="none" w:sz="0" w:space="0" w:color="auto"/>
        <w:right w:val="none" w:sz="0" w:space="0" w:color="auto"/>
      </w:divBdr>
    </w:div>
    <w:div w:id="1167942539">
      <w:bodyDiv w:val="1"/>
      <w:marLeft w:val="0"/>
      <w:marRight w:val="0"/>
      <w:marTop w:val="0"/>
      <w:marBottom w:val="0"/>
      <w:divBdr>
        <w:top w:val="none" w:sz="0" w:space="0" w:color="auto"/>
        <w:left w:val="none" w:sz="0" w:space="0" w:color="auto"/>
        <w:bottom w:val="none" w:sz="0" w:space="0" w:color="auto"/>
        <w:right w:val="none" w:sz="0" w:space="0" w:color="auto"/>
      </w:divBdr>
    </w:div>
    <w:div w:id="1191534081">
      <w:bodyDiv w:val="1"/>
      <w:marLeft w:val="0"/>
      <w:marRight w:val="0"/>
      <w:marTop w:val="0"/>
      <w:marBottom w:val="0"/>
      <w:divBdr>
        <w:top w:val="none" w:sz="0" w:space="0" w:color="auto"/>
        <w:left w:val="none" w:sz="0" w:space="0" w:color="auto"/>
        <w:bottom w:val="none" w:sz="0" w:space="0" w:color="auto"/>
        <w:right w:val="none" w:sz="0" w:space="0" w:color="auto"/>
      </w:divBdr>
    </w:div>
    <w:div w:id="1251430300">
      <w:bodyDiv w:val="1"/>
      <w:marLeft w:val="0"/>
      <w:marRight w:val="0"/>
      <w:marTop w:val="0"/>
      <w:marBottom w:val="0"/>
      <w:divBdr>
        <w:top w:val="none" w:sz="0" w:space="0" w:color="auto"/>
        <w:left w:val="none" w:sz="0" w:space="0" w:color="auto"/>
        <w:bottom w:val="none" w:sz="0" w:space="0" w:color="auto"/>
        <w:right w:val="none" w:sz="0" w:space="0" w:color="auto"/>
      </w:divBdr>
    </w:div>
    <w:div w:id="1265000032">
      <w:bodyDiv w:val="1"/>
      <w:marLeft w:val="0"/>
      <w:marRight w:val="0"/>
      <w:marTop w:val="0"/>
      <w:marBottom w:val="0"/>
      <w:divBdr>
        <w:top w:val="none" w:sz="0" w:space="0" w:color="auto"/>
        <w:left w:val="none" w:sz="0" w:space="0" w:color="auto"/>
        <w:bottom w:val="none" w:sz="0" w:space="0" w:color="auto"/>
        <w:right w:val="none" w:sz="0" w:space="0" w:color="auto"/>
      </w:divBdr>
    </w:div>
    <w:div w:id="1292396768">
      <w:bodyDiv w:val="1"/>
      <w:marLeft w:val="0"/>
      <w:marRight w:val="0"/>
      <w:marTop w:val="0"/>
      <w:marBottom w:val="0"/>
      <w:divBdr>
        <w:top w:val="none" w:sz="0" w:space="0" w:color="auto"/>
        <w:left w:val="none" w:sz="0" w:space="0" w:color="auto"/>
        <w:bottom w:val="none" w:sz="0" w:space="0" w:color="auto"/>
        <w:right w:val="none" w:sz="0" w:space="0" w:color="auto"/>
      </w:divBdr>
      <w:divsChild>
        <w:div w:id="236209950">
          <w:marLeft w:val="0"/>
          <w:marRight w:val="0"/>
          <w:marTop w:val="0"/>
          <w:marBottom w:val="0"/>
          <w:divBdr>
            <w:top w:val="none" w:sz="0" w:space="0" w:color="auto"/>
            <w:left w:val="none" w:sz="0" w:space="0" w:color="auto"/>
            <w:bottom w:val="none" w:sz="0" w:space="0" w:color="auto"/>
            <w:right w:val="none" w:sz="0" w:space="0" w:color="auto"/>
          </w:divBdr>
        </w:div>
        <w:div w:id="2043826627">
          <w:marLeft w:val="0"/>
          <w:marRight w:val="0"/>
          <w:marTop w:val="0"/>
          <w:marBottom w:val="0"/>
          <w:divBdr>
            <w:top w:val="none" w:sz="0" w:space="0" w:color="auto"/>
            <w:left w:val="none" w:sz="0" w:space="0" w:color="auto"/>
            <w:bottom w:val="none" w:sz="0" w:space="0" w:color="auto"/>
            <w:right w:val="none" w:sz="0" w:space="0" w:color="auto"/>
          </w:divBdr>
        </w:div>
      </w:divsChild>
    </w:div>
    <w:div w:id="1349215150">
      <w:bodyDiv w:val="1"/>
      <w:marLeft w:val="0"/>
      <w:marRight w:val="0"/>
      <w:marTop w:val="0"/>
      <w:marBottom w:val="0"/>
      <w:divBdr>
        <w:top w:val="none" w:sz="0" w:space="0" w:color="auto"/>
        <w:left w:val="none" w:sz="0" w:space="0" w:color="auto"/>
        <w:bottom w:val="none" w:sz="0" w:space="0" w:color="auto"/>
        <w:right w:val="none" w:sz="0" w:space="0" w:color="auto"/>
      </w:divBdr>
    </w:div>
    <w:div w:id="1375352662">
      <w:bodyDiv w:val="1"/>
      <w:marLeft w:val="0"/>
      <w:marRight w:val="0"/>
      <w:marTop w:val="0"/>
      <w:marBottom w:val="0"/>
      <w:divBdr>
        <w:top w:val="none" w:sz="0" w:space="0" w:color="auto"/>
        <w:left w:val="none" w:sz="0" w:space="0" w:color="auto"/>
        <w:bottom w:val="none" w:sz="0" w:space="0" w:color="auto"/>
        <w:right w:val="none" w:sz="0" w:space="0" w:color="auto"/>
      </w:divBdr>
    </w:div>
    <w:div w:id="1376737911">
      <w:bodyDiv w:val="1"/>
      <w:marLeft w:val="0"/>
      <w:marRight w:val="0"/>
      <w:marTop w:val="0"/>
      <w:marBottom w:val="0"/>
      <w:divBdr>
        <w:top w:val="none" w:sz="0" w:space="0" w:color="auto"/>
        <w:left w:val="none" w:sz="0" w:space="0" w:color="auto"/>
        <w:bottom w:val="none" w:sz="0" w:space="0" w:color="auto"/>
        <w:right w:val="none" w:sz="0" w:space="0" w:color="auto"/>
      </w:divBdr>
    </w:div>
    <w:div w:id="1382944819">
      <w:bodyDiv w:val="1"/>
      <w:marLeft w:val="0"/>
      <w:marRight w:val="0"/>
      <w:marTop w:val="0"/>
      <w:marBottom w:val="0"/>
      <w:divBdr>
        <w:top w:val="none" w:sz="0" w:space="0" w:color="auto"/>
        <w:left w:val="none" w:sz="0" w:space="0" w:color="auto"/>
        <w:bottom w:val="none" w:sz="0" w:space="0" w:color="auto"/>
        <w:right w:val="none" w:sz="0" w:space="0" w:color="auto"/>
      </w:divBdr>
    </w:div>
    <w:div w:id="1423992389">
      <w:bodyDiv w:val="1"/>
      <w:marLeft w:val="0"/>
      <w:marRight w:val="0"/>
      <w:marTop w:val="0"/>
      <w:marBottom w:val="0"/>
      <w:divBdr>
        <w:top w:val="none" w:sz="0" w:space="0" w:color="auto"/>
        <w:left w:val="none" w:sz="0" w:space="0" w:color="auto"/>
        <w:bottom w:val="none" w:sz="0" w:space="0" w:color="auto"/>
        <w:right w:val="none" w:sz="0" w:space="0" w:color="auto"/>
      </w:divBdr>
    </w:div>
    <w:div w:id="1438673973">
      <w:bodyDiv w:val="1"/>
      <w:marLeft w:val="0"/>
      <w:marRight w:val="0"/>
      <w:marTop w:val="0"/>
      <w:marBottom w:val="0"/>
      <w:divBdr>
        <w:top w:val="none" w:sz="0" w:space="0" w:color="auto"/>
        <w:left w:val="none" w:sz="0" w:space="0" w:color="auto"/>
        <w:bottom w:val="none" w:sz="0" w:space="0" w:color="auto"/>
        <w:right w:val="none" w:sz="0" w:space="0" w:color="auto"/>
      </w:divBdr>
    </w:div>
    <w:div w:id="1463772496">
      <w:bodyDiv w:val="1"/>
      <w:marLeft w:val="0"/>
      <w:marRight w:val="0"/>
      <w:marTop w:val="0"/>
      <w:marBottom w:val="0"/>
      <w:divBdr>
        <w:top w:val="none" w:sz="0" w:space="0" w:color="auto"/>
        <w:left w:val="none" w:sz="0" w:space="0" w:color="auto"/>
        <w:bottom w:val="none" w:sz="0" w:space="0" w:color="auto"/>
        <w:right w:val="none" w:sz="0" w:space="0" w:color="auto"/>
      </w:divBdr>
    </w:div>
    <w:div w:id="1492209591">
      <w:bodyDiv w:val="1"/>
      <w:marLeft w:val="0"/>
      <w:marRight w:val="0"/>
      <w:marTop w:val="0"/>
      <w:marBottom w:val="0"/>
      <w:divBdr>
        <w:top w:val="none" w:sz="0" w:space="0" w:color="auto"/>
        <w:left w:val="none" w:sz="0" w:space="0" w:color="auto"/>
        <w:bottom w:val="none" w:sz="0" w:space="0" w:color="auto"/>
        <w:right w:val="none" w:sz="0" w:space="0" w:color="auto"/>
      </w:divBdr>
    </w:div>
    <w:div w:id="1495608937">
      <w:bodyDiv w:val="1"/>
      <w:marLeft w:val="0"/>
      <w:marRight w:val="0"/>
      <w:marTop w:val="0"/>
      <w:marBottom w:val="0"/>
      <w:divBdr>
        <w:top w:val="none" w:sz="0" w:space="0" w:color="auto"/>
        <w:left w:val="none" w:sz="0" w:space="0" w:color="auto"/>
        <w:bottom w:val="none" w:sz="0" w:space="0" w:color="auto"/>
        <w:right w:val="none" w:sz="0" w:space="0" w:color="auto"/>
      </w:divBdr>
    </w:div>
    <w:div w:id="1518540200">
      <w:bodyDiv w:val="1"/>
      <w:marLeft w:val="0"/>
      <w:marRight w:val="0"/>
      <w:marTop w:val="0"/>
      <w:marBottom w:val="0"/>
      <w:divBdr>
        <w:top w:val="none" w:sz="0" w:space="0" w:color="auto"/>
        <w:left w:val="none" w:sz="0" w:space="0" w:color="auto"/>
        <w:bottom w:val="none" w:sz="0" w:space="0" w:color="auto"/>
        <w:right w:val="none" w:sz="0" w:space="0" w:color="auto"/>
      </w:divBdr>
    </w:div>
    <w:div w:id="1519461330">
      <w:bodyDiv w:val="1"/>
      <w:marLeft w:val="0"/>
      <w:marRight w:val="0"/>
      <w:marTop w:val="0"/>
      <w:marBottom w:val="0"/>
      <w:divBdr>
        <w:top w:val="none" w:sz="0" w:space="0" w:color="auto"/>
        <w:left w:val="none" w:sz="0" w:space="0" w:color="auto"/>
        <w:bottom w:val="none" w:sz="0" w:space="0" w:color="auto"/>
        <w:right w:val="none" w:sz="0" w:space="0" w:color="auto"/>
      </w:divBdr>
    </w:div>
    <w:div w:id="1535968244">
      <w:bodyDiv w:val="1"/>
      <w:marLeft w:val="0"/>
      <w:marRight w:val="0"/>
      <w:marTop w:val="0"/>
      <w:marBottom w:val="0"/>
      <w:divBdr>
        <w:top w:val="none" w:sz="0" w:space="0" w:color="auto"/>
        <w:left w:val="none" w:sz="0" w:space="0" w:color="auto"/>
        <w:bottom w:val="none" w:sz="0" w:space="0" w:color="auto"/>
        <w:right w:val="none" w:sz="0" w:space="0" w:color="auto"/>
      </w:divBdr>
    </w:div>
    <w:div w:id="1558276169">
      <w:bodyDiv w:val="1"/>
      <w:marLeft w:val="0"/>
      <w:marRight w:val="0"/>
      <w:marTop w:val="0"/>
      <w:marBottom w:val="0"/>
      <w:divBdr>
        <w:top w:val="none" w:sz="0" w:space="0" w:color="auto"/>
        <w:left w:val="none" w:sz="0" w:space="0" w:color="auto"/>
        <w:bottom w:val="none" w:sz="0" w:space="0" w:color="auto"/>
        <w:right w:val="none" w:sz="0" w:space="0" w:color="auto"/>
      </w:divBdr>
    </w:div>
    <w:div w:id="1605653133">
      <w:bodyDiv w:val="1"/>
      <w:marLeft w:val="0"/>
      <w:marRight w:val="0"/>
      <w:marTop w:val="0"/>
      <w:marBottom w:val="0"/>
      <w:divBdr>
        <w:top w:val="none" w:sz="0" w:space="0" w:color="auto"/>
        <w:left w:val="none" w:sz="0" w:space="0" w:color="auto"/>
        <w:bottom w:val="none" w:sz="0" w:space="0" w:color="auto"/>
        <w:right w:val="none" w:sz="0" w:space="0" w:color="auto"/>
      </w:divBdr>
    </w:div>
    <w:div w:id="1617370713">
      <w:bodyDiv w:val="1"/>
      <w:marLeft w:val="0"/>
      <w:marRight w:val="0"/>
      <w:marTop w:val="0"/>
      <w:marBottom w:val="0"/>
      <w:divBdr>
        <w:top w:val="none" w:sz="0" w:space="0" w:color="auto"/>
        <w:left w:val="none" w:sz="0" w:space="0" w:color="auto"/>
        <w:bottom w:val="none" w:sz="0" w:space="0" w:color="auto"/>
        <w:right w:val="none" w:sz="0" w:space="0" w:color="auto"/>
      </w:divBdr>
    </w:div>
    <w:div w:id="1648315053">
      <w:bodyDiv w:val="1"/>
      <w:marLeft w:val="0"/>
      <w:marRight w:val="0"/>
      <w:marTop w:val="0"/>
      <w:marBottom w:val="0"/>
      <w:divBdr>
        <w:top w:val="none" w:sz="0" w:space="0" w:color="auto"/>
        <w:left w:val="none" w:sz="0" w:space="0" w:color="auto"/>
        <w:bottom w:val="none" w:sz="0" w:space="0" w:color="auto"/>
        <w:right w:val="none" w:sz="0" w:space="0" w:color="auto"/>
      </w:divBdr>
    </w:div>
    <w:div w:id="1696928373">
      <w:bodyDiv w:val="1"/>
      <w:marLeft w:val="0"/>
      <w:marRight w:val="0"/>
      <w:marTop w:val="0"/>
      <w:marBottom w:val="0"/>
      <w:divBdr>
        <w:top w:val="none" w:sz="0" w:space="0" w:color="auto"/>
        <w:left w:val="none" w:sz="0" w:space="0" w:color="auto"/>
        <w:bottom w:val="none" w:sz="0" w:space="0" w:color="auto"/>
        <w:right w:val="none" w:sz="0" w:space="0" w:color="auto"/>
      </w:divBdr>
    </w:div>
    <w:div w:id="1769618095">
      <w:bodyDiv w:val="1"/>
      <w:marLeft w:val="0"/>
      <w:marRight w:val="0"/>
      <w:marTop w:val="0"/>
      <w:marBottom w:val="0"/>
      <w:divBdr>
        <w:top w:val="none" w:sz="0" w:space="0" w:color="auto"/>
        <w:left w:val="none" w:sz="0" w:space="0" w:color="auto"/>
        <w:bottom w:val="none" w:sz="0" w:space="0" w:color="auto"/>
        <w:right w:val="none" w:sz="0" w:space="0" w:color="auto"/>
      </w:divBdr>
    </w:div>
    <w:div w:id="1769886560">
      <w:bodyDiv w:val="1"/>
      <w:marLeft w:val="0"/>
      <w:marRight w:val="0"/>
      <w:marTop w:val="0"/>
      <w:marBottom w:val="0"/>
      <w:divBdr>
        <w:top w:val="none" w:sz="0" w:space="0" w:color="auto"/>
        <w:left w:val="none" w:sz="0" w:space="0" w:color="auto"/>
        <w:bottom w:val="none" w:sz="0" w:space="0" w:color="auto"/>
        <w:right w:val="none" w:sz="0" w:space="0" w:color="auto"/>
      </w:divBdr>
    </w:div>
    <w:div w:id="1823540388">
      <w:bodyDiv w:val="1"/>
      <w:marLeft w:val="0"/>
      <w:marRight w:val="0"/>
      <w:marTop w:val="0"/>
      <w:marBottom w:val="0"/>
      <w:divBdr>
        <w:top w:val="none" w:sz="0" w:space="0" w:color="auto"/>
        <w:left w:val="none" w:sz="0" w:space="0" w:color="auto"/>
        <w:bottom w:val="none" w:sz="0" w:space="0" w:color="auto"/>
        <w:right w:val="none" w:sz="0" w:space="0" w:color="auto"/>
      </w:divBdr>
    </w:div>
    <w:div w:id="1834833065">
      <w:bodyDiv w:val="1"/>
      <w:marLeft w:val="0"/>
      <w:marRight w:val="0"/>
      <w:marTop w:val="0"/>
      <w:marBottom w:val="0"/>
      <w:divBdr>
        <w:top w:val="none" w:sz="0" w:space="0" w:color="auto"/>
        <w:left w:val="none" w:sz="0" w:space="0" w:color="auto"/>
        <w:bottom w:val="none" w:sz="0" w:space="0" w:color="auto"/>
        <w:right w:val="none" w:sz="0" w:space="0" w:color="auto"/>
      </w:divBdr>
    </w:div>
    <w:div w:id="1883711184">
      <w:bodyDiv w:val="1"/>
      <w:marLeft w:val="0"/>
      <w:marRight w:val="0"/>
      <w:marTop w:val="0"/>
      <w:marBottom w:val="0"/>
      <w:divBdr>
        <w:top w:val="none" w:sz="0" w:space="0" w:color="auto"/>
        <w:left w:val="none" w:sz="0" w:space="0" w:color="auto"/>
        <w:bottom w:val="none" w:sz="0" w:space="0" w:color="auto"/>
        <w:right w:val="none" w:sz="0" w:space="0" w:color="auto"/>
      </w:divBdr>
    </w:div>
    <w:div w:id="1897037123">
      <w:bodyDiv w:val="1"/>
      <w:marLeft w:val="0"/>
      <w:marRight w:val="0"/>
      <w:marTop w:val="0"/>
      <w:marBottom w:val="0"/>
      <w:divBdr>
        <w:top w:val="none" w:sz="0" w:space="0" w:color="auto"/>
        <w:left w:val="none" w:sz="0" w:space="0" w:color="auto"/>
        <w:bottom w:val="none" w:sz="0" w:space="0" w:color="auto"/>
        <w:right w:val="none" w:sz="0" w:space="0" w:color="auto"/>
      </w:divBdr>
    </w:div>
    <w:div w:id="1900552268">
      <w:bodyDiv w:val="1"/>
      <w:marLeft w:val="0"/>
      <w:marRight w:val="0"/>
      <w:marTop w:val="0"/>
      <w:marBottom w:val="0"/>
      <w:divBdr>
        <w:top w:val="none" w:sz="0" w:space="0" w:color="auto"/>
        <w:left w:val="none" w:sz="0" w:space="0" w:color="auto"/>
        <w:bottom w:val="none" w:sz="0" w:space="0" w:color="auto"/>
        <w:right w:val="none" w:sz="0" w:space="0" w:color="auto"/>
      </w:divBdr>
    </w:div>
    <w:div w:id="1984040192">
      <w:bodyDiv w:val="1"/>
      <w:marLeft w:val="0"/>
      <w:marRight w:val="0"/>
      <w:marTop w:val="0"/>
      <w:marBottom w:val="0"/>
      <w:divBdr>
        <w:top w:val="none" w:sz="0" w:space="0" w:color="auto"/>
        <w:left w:val="none" w:sz="0" w:space="0" w:color="auto"/>
        <w:bottom w:val="none" w:sz="0" w:space="0" w:color="auto"/>
        <w:right w:val="none" w:sz="0" w:space="0" w:color="auto"/>
      </w:divBdr>
    </w:div>
    <w:div w:id="1999187181">
      <w:bodyDiv w:val="1"/>
      <w:marLeft w:val="0"/>
      <w:marRight w:val="0"/>
      <w:marTop w:val="0"/>
      <w:marBottom w:val="0"/>
      <w:divBdr>
        <w:top w:val="none" w:sz="0" w:space="0" w:color="auto"/>
        <w:left w:val="none" w:sz="0" w:space="0" w:color="auto"/>
        <w:bottom w:val="none" w:sz="0" w:space="0" w:color="auto"/>
        <w:right w:val="none" w:sz="0" w:space="0" w:color="auto"/>
      </w:divBdr>
    </w:div>
    <w:div w:id="2065788391">
      <w:bodyDiv w:val="1"/>
      <w:marLeft w:val="0"/>
      <w:marRight w:val="0"/>
      <w:marTop w:val="0"/>
      <w:marBottom w:val="0"/>
      <w:divBdr>
        <w:top w:val="none" w:sz="0" w:space="0" w:color="auto"/>
        <w:left w:val="none" w:sz="0" w:space="0" w:color="auto"/>
        <w:bottom w:val="none" w:sz="0" w:space="0" w:color="auto"/>
        <w:right w:val="none" w:sz="0" w:space="0" w:color="auto"/>
      </w:divBdr>
    </w:div>
    <w:div w:id="2066295787">
      <w:bodyDiv w:val="1"/>
      <w:marLeft w:val="0"/>
      <w:marRight w:val="0"/>
      <w:marTop w:val="0"/>
      <w:marBottom w:val="0"/>
      <w:divBdr>
        <w:top w:val="none" w:sz="0" w:space="0" w:color="auto"/>
        <w:left w:val="none" w:sz="0" w:space="0" w:color="auto"/>
        <w:bottom w:val="none" w:sz="0" w:space="0" w:color="auto"/>
        <w:right w:val="none" w:sz="0" w:space="0" w:color="auto"/>
      </w:divBdr>
    </w:div>
    <w:div w:id="2079132762">
      <w:bodyDiv w:val="1"/>
      <w:marLeft w:val="0"/>
      <w:marRight w:val="0"/>
      <w:marTop w:val="0"/>
      <w:marBottom w:val="0"/>
      <w:divBdr>
        <w:top w:val="none" w:sz="0" w:space="0" w:color="auto"/>
        <w:left w:val="none" w:sz="0" w:space="0" w:color="auto"/>
        <w:bottom w:val="none" w:sz="0" w:space="0" w:color="auto"/>
        <w:right w:val="none" w:sz="0" w:space="0" w:color="auto"/>
      </w:divBdr>
    </w:div>
    <w:div w:id="21279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5B300-C716-4ABA-8BA1-97F4EE4F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7219</Words>
  <Characters>41151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48274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ngodinhlong</dc:creator>
  <cp:lastModifiedBy>Truong Vu Phuong Nhung</cp:lastModifiedBy>
  <cp:revision>3</cp:revision>
  <cp:lastPrinted>2026-04-20T08:07:00Z</cp:lastPrinted>
  <dcterms:created xsi:type="dcterms:W3CDTF">2026-04-20T07:50:00Z</dcterms:created>
  <dcterms:modified xsi:type="dcterms:W3CDTF">2026-04-20T08:07:00Z</dcterms:modified>
</cp:coreProperties>
</file>