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558" w:type="dxa"/>
        <w:tblInd w:w="-34" w:type="dxa"/>
        <w:tblLook w:val="01E0"/>
      </w:tblPr>
      <w:tblGrid>
        <w:gridCol w:w="3970"/>
        <w:gridCol w:w="4886"/>
        <w:gridCol w:w="6702"/>
      </w:tblGrid>
      <w:tr w:rsidR="0070681D" w:rsidRPr="009F7D7C" w:rsidTr="0070681D">
        <w:trPr>
          <w:trHeight w:val="291"/>
        </w:trPr>
        <w:tc>
          <w:tcPr>
            <w:tcW w:w="3970" w:type="dxa"/>
          </w:tcPr>
          <w:p w:rsidR="0070681D" w:rsidRPr="00F02884" w:rsidRDefault="00304689" w:rsidP="00F02884">
            <w:pPr>
              <w:ind w:firstLine="42"/>
              <w:jc w:val="center"/>
              <w:rPr>
                <w:b/>
                <w:bCs/>
                <w:spacing w:val="-4"/>
                <w:lang w:val="nl-NL"/>
              </w:rPr>
            </w:pPr>
            <w:r w:rsidRPr="00304689">
              <w:rPr>
                <w:noProof/>
                <w:spacing w:val="-4"/>
                <w:sz w:val="22"/>
                <w:szCs w:val="22"/>
                <w:lang w:val="vi-VN" w:eastAsia="vi-VN"/>
              </w:rPr>
              <w:pict>
                <v:shapetype id="_x0000_t32" coordsize="21600,21600" o:spt="32" o:oned="t" path="m,l21600,21600e" filled="f">
                  <v:path arrowok="t" fillok="f" o:connecttype="none"/>
                  <o:lock v:ext="edit" shapetype="t"/>
                </v:shapetype>
                <v:shape id="AutoShape 7" o:spid="_x0000_s1028" type="#_x0000_t32" style="position:absolute;left:0;text-align:left;margin-left:66.3pt;margin-top:14.25pt;width:47pt;height:0;z-index:251662336;visibility:visible">
                  <o:lock v:ext="edit" shapetype="f"/>
                </v:shape>
              </w:pict>
            </w:r>
            <w:r w:rsidR="0070681D" w:rsidRPr="00512553">
              <w:rPr>
                <w:b/>
                <w:bCs/>
                <w:spacing w:val="-4"/>
                <w:sz w:val="22"/>
                <w:szCs w:val="22"/>
                <w:lang w:val="nl-NL"/>
              </w:rPr>
              <w:t>BỘ TÀI CHÍNH</w:t>
            </w:r>
          </w:p>
        </w:tc>
        <w:tc>
          <w:tcPr>
            <w:tcW w:w="4886" w:type="dxa"/>
          </w:tcPr>
          <w:p w:rsidR="0070681D" w:rsidRPr="009F7D7C" w:rsidRDefault="0070681D" w:rsidP="0070681D">
            <w:pPr>
              <w:tabs>
                <w:tab w:val="center" w:pos="4320"/>
                <w:tab w:val="right" w:pos="8640"/>
              </w:tabs>
              <w:ind w:firstLine="34"/>
              <w:jc w:val="center"/>
              <w:rPr>
                <w:b/>
                <w:spacing w:val="-4"/>
                <w:lang w:val="nl-NL"/>
              </w:rPr>
            </w:pPr>
          </w:p>
        </w:tc>
        <w:tc>
          <w:tcPr>
            <w:tcW w:w="6702" w:type="dxa"/>
          </w:tcPr>
          <w:p w:rsidR="0070681D" w:rsidRPr="0070681D" w:rsidRDefault="0070681D" w:rsidP="0070681D">
            <w:pPr>
              <w:tabs>
                <w:tab w:val="center" w:pos="4320"/>
                <w:tab w:val="right" w:pos="8640"/>
              </w:tabs>
              <w:ind w:firstLine="34"/>
              <w:jc w:val="center"/>
              <w:rPr>
                <w:b/>
                <w:spacing w:val="-3"/>
                <w:lang w:val="nl-NL"/>
              </w:rPr>
            </w:pPr>
            <w:r w:rsidRPr="0070681D">
              <w:rPr>
                <w:b/>
                <w:spacing w:val="-4"/>
                <w:sz w:val="22"/>
                <w:szCs w:val="22"/>
                <w:lang w:val="nl-NL"/>
              </w:rPr>
              <w:t xml:space="preserve">   </w:t>
            </w:r>
            <w:r w:rsidRPr="0070681D">
              <w:rPr>
                <w:b/>
                <w:spacing w:val="-3"/>
                <w:sz w:val="22"/>
                <w:szCs w:val="22"/>
                <w:lang w:val="nl-NL"/>
              </w:rPr>
              <w:t>CỘNG HÒA XÃ HỘI CHỦ NGHĨA VIỆT NAM</w:t>
            </w:r>
          </w:p>
          <w:p w:rsidR="0070681D" w:rsidRPr="0070681D" w:rsidRDefault="00304689" w:rsidP="0070681D">
            <w:pPr>
              <w:widowControl w:val="0"/>
              <w:spacing w:after="60"/>
              <w:jc w:val="center"/>
              <w:rPr>
                <w:b/>
                <w:spacing w:val="-3"/>
                <w:lang w:val="nl-NL"/>
              </w:rPr>
            </w:pPr>
            <w:r w:rsidRPr="00304689">
              <w:rPr>
                <w:rFonts w:asciiTheme="minorHAnsi" w:eastAsiaTheme="minorHAnsi" w:hAnsiTheme="minorHAnsi" w:cstheme="minorBidi"/>
                <w:noProof/>
              </w:rPr>
              <w:pict>
                <v:line id="Straight Connector 2" o:spid="_x0000_s1029" style="position:absolute;left:0;text-align:left;z-index:251663360;visibility:visible;mso-wrap-style:square;mso-height-percent:0;mso-wrap-distance-left:9pt;mso-wrap-distance-right:9pt;mso-position-horizontal-relative:text;mso-position-vertical-relative:text;mso-height-percent:0;mso-width-relative:page;mso-height-relative:page" from="98.45pt,15.15pt" to="230.35pt,15.15pt"/>
              </w:pict>
            </w:r>
            <w:r w:rsidR="0070681D" w:rsidRPr="0070681D">
              <w:rPr>
                <w:b/>
                <w:spacing w:val="-3"/>
                <w:lang w:val="nl-NL"/>
              </w:rPr>
              <w:t>Độc lập - Tự do - Hạnh phúc</w:t>
            </w:r>
          </w:p>
          <w:p w:rsidR="0070681D" w:rsidRPr="0070681D" w:rsidRDefault="00AD740E" w:rsidP="006D6DDF">
            <w:pPr>
              <w:jc w:val="center"/>
              <w:rPr>
                <w:spacing w:val="-4"/>
                <w:lang w:val="vi-VN"/>
              </w:rPr>
            </w:pPr>
            <w:r>
              <w:rPr>
                <w:i/>
                <w:spacing w:val="-3"/>
                <w:lang w:val="nl-NL"/>
              </w:rPr>
              <w:t xml:space="preserve">Hà Nội, ngày      tháng </w:t>
            </w:r>
            <w:r w:rsidR="006D6DDF">
              <w:rPr>
                <w:i/>
                <w:spacing w:val="-3"/>
                <w:lang w:val="nl-NL"/>
              </w:rPr>
              <w:t xml:space="preserve"> </w:t>
            </w:r>
            <w:r w:rsidR="0070681D" w:rsidRPr="0070681D">
              <w:rPr>
                <w:i/>
                <w:spacing w:val="-3"/>
                <w:lang w:val="nl-NL"/>
              </w:rPr>
              <w:t xml:space="preserve"> năm 2026</w:t>
            </w:r>
          </w:p>
        </w:tc>
      </w:tr>
    </w:tbl>
    <w:p w:rsidR="00512553" w:rsidRPr="00512553" w:rsidRDefault="00512553" w:rsidP="00F20DAF">
      <w:pPr>
        <w:jc w:val="center"/>
        <w:outlineLvl w:val="0"/>
        <w:rPr>
          <w:b/>
          <w:sz w:val="26"/>
          <w:szCs w:val="26"/>
          <w:lang w:val="vi-VN"/>
        </w:rPr>
      </w:pPr>
    </w:p>
    <w:p w:rsidR="00FD319B" w:rsidRDefault="00512553" w:rsidP="00FD319B">
      <w:pPr>
        <w:spacing w:line="264" w:lineRule="auto"/>
        <w:jc w:val="center"/>
        <w:outlineLvl w:val="0"/>
        <w:rPr>
          <w:b/>
          <w:iCs/>
          <w:spacing w:val="-6"/>
          <w:sz w:val="26"/>
          <w:szCs w:val="26"/>
        </w:rPr>
      </w:pPr>
      <w:r w:rsidRPr="007D23EF">
        <w:rPr>
          <w:b/>
          <w:iCs/>
          <w:spacing w:val="-6"/>
          <w:sz w:val="26"/>
          <w:szCs w:val="26"/>
          <w:lang w:val="vi-VN"/>
        </w:rPr>
        <w:t xml:space="preserve">BẢNG SO SÁNH, THUYẾT MINH NỘI DUNG DỰ THẢO </w:t>
      </w:r>
      <w:r w:rsidR="00AD740E">
        <w:rPr>
          <w:b/>
          <w:iCs/>
          <w:spacing w:val="-6"/>
          <w:sz w:val="26"/>
          <w:szCs w:val="26"/>
        </w:rPr>
        <w:t>NGHỊ</w:t>
      </w:r>
      <w:r w:rsidR="00D20D04" w:rsidRPr="007D23EF">
        <w:rPr>
          <w:b/>
          <w:iCs/>
          <w:spacing w:val="-6"/>
          <w:sz w:val="26"/>
          <w:szCs w:val="26"/>
        </w:rPr>
        <w:t xml:space="preserve"> ĐỊNH CỦA CHÍNH PHỦ SỬA ĐỔI, BỔ SUNG </w:t>
      </w:r>
    </w:p>
    <w:p w:rsidR="00FD319B" w:rsidRDefault="00D20D04" w:rsidP="00FD319B">
      <w:pPr>
        <w:spacing w:line="264" w:lineRule="auto"/>
        <w:jc w:val="center"/>
        <w:outlineLvl w:val="0"/>
        <w:rPr>
          <w:b/>
          <w:iCs/>
          <w:spacing w:val="-6"/>
          <w:sz w:val="26"/>
          <w:szCs w:val="26"/>
        </w:rPr>
      </w:pPr>
      <w:r w:rsidRPr="007D23EF">
        <w:rPr>
          <w:b/>
          <w:iCs/>
          <w:spacing w:val="-6"/>
          <w:sz w:val="26"/>
          <w:szCs w:val="26"/>
        </w:rPr>
        <w:t xml:space="preserve">MỘT SỐ ĐIỀU CỦA </w:t>
      </w:r>
      <w:r w:rsidR="00AD740E">
        <w:rPr>
          <w:b/>
          <w:iCs/>
          <w:spacing w:val="-6"/>
          <w:sz w:val="26"/>
          <w:szCs w:val="26"/>
        </w:rPr>
        <w:t>NGHỊ</w:t>
      </w:r>
      <w:r w:rsidRPr="007D23EF">
        <w:rPr>
          <w:b/>
          <w:iCs/>
          <w:spacing w:val="-6"/>
          <w:sz w:val="26"/>
          <w:szCs w:val="26"/>
        </w:rPr>
        <w:t xml:space="preserve"> ĐỊNH SỐ 1</w:t>
      </w:r>
      <w:r w:rsidR="00AD740E">
        <w:rPr>
          <w:b/>
          <w:iCs/>
          <w:spacing w:val="-6"/>
          <w:sz w:val="26"/>
          <w:szCs w:val="26"/>
        </w:rPr>
        <w:t>5</w:t>
      </w:r>
      <w:r w:rsidRPr="007D23EF">
        <w:rPr>
          <w:b/>
          <w:iCs/>
          <w:spacing w:val="-6"/>
          <w:sz w:val="26"/>
          <w:szCs w:val="26"/>
        </w:rPr>
        <w:t>5/2025/</w:t>
      </w:r>
      <w:r w:rsidR="00AD740E">
        <w:rPr>
          <w:b/>
          <w:iCs/>
          <w:spacing w:val="-6"/>
          <w:sz w:val="26"/>
          <w:szCs w:val="26"/>
        </w:rPr>
        <w:t>NĐ-CP NGÀY 16</w:t>
      </w:r>
      <w:r w:rsidRPr="007D23EF">
        <w:rPr>
          <w:b/>
          <w:iCs/>
          <w:spacing w:val="-6"/>
          <w:sz w:val="26"/>
          <w:szCs w:val="26"/>
        </w:rPr>
        <w:t>/6/2025 QUY ĐỊ</w:t>
      </w:r>
      <w:r w:rsidR="00FD319B">
        <w:rPr>
          <w:b/>
          <w:iCs/>
          <w:spacing w:val="-6"/>
          <w:sz w:val="26"/>
          <w:szCs w:val="26"/>
        </w:rPr>
        <w:t>NH TIÊU CHUẨN, ĐỊNH MỨC SỬ DỤNG</w:t>
      </w:r>
    </w:p>
    <w:p w:rsidR="007D23EF" w:rsidRDefault="00AD740E" w:rsidP="00FD319B">
      <w:pPr>
        <w:spacing w:line="264" w:lineRule="auto"/>
        <w:jc w:val="center"/>
        <w:outlineLvl w:val="0"/>
        <w:rPr>
          <w:b/>
          <w:iCs/>
          <w:spacing w:val="-6"/>
          <w:sz w:val="26"/>
          <w:szCs w:val="26"/>
        </w:rPr>
      </w:pPr>
      <w:r>
        <w:rPr>
          <w:b/>
          <w:iCs/>
          <w:spacing w:val="-6"/>
          <w:sz w:val="26"/>
          <w:szCs w:val="26"/>
        </w:rPr>
        <w:t>TRỤ SỞ LÀM VIỆC, CƠ SỞ HOẠT ĐỘNG SỰ NGHIỆP</w:t>
      </w:r>
    </w:p>
    <w:p w:rsidR="0070681D" w:rsidRPr="002C2005" w:rsidRDefault="0070681D" w:rsidP="00FD319B">
      <w:pPr>
        <w:widowControl w:val="0"/>
        <w:tabs>
          <w:tab w:val="left" w:pos="8960"/>
        </w:tabs>
        <w:spacing w:after="240"/>
        <w:jc w:val="center"/>
        <w:rPr>
          <w:i/>
          <w:sz w:val="26"/>
          <w:szCs w:val="26"/>
        </w:rPr>
      </w:pPr>
      <w:r w:rsidRPr="002C2005">
        <w:rPr>
          <w:i/>
          <w:sz w:val="26"/>
          <w:szCs w:val="26"/>
        </w:rPr>
        <w:t xml:space="preserve">(Kèm </w:t>
      </w:r>
      <w:proofErr w:type="gramStart"/>
      <w:r w:rsidRPr="002C2005">
        <w:rPr>
          <w:i/>
          <w:sz w:val="26"/>
          <w:szCs w:val="26"/>
        </w:rPr>
        <w:t>theo</w:t>
      </w:r>
      <w:proofErr w:type="gramEnd"/>
      <w:r w:rsidRPr="002C2005">
        <w:rPr>
          <w:i/>
          <w:sz w:val="26"/>
          <w:szCs w:val="26"/>
        </w:rPr>
        <w:t xml:space="preserve"> </w:t>
      </w:r>
      <w:r>
        <w:rPr>
          <w:i/>
          <w:sz w:val="26"/>
          <w:szCs w:val="26"/>
        </w:rPr>
        <w:t>Tờ trình</w:t>
      </w:r>
      <w:r w:rsidRPr="002C2005">
        <w:rPr>
          <w:i/>
          <w:sz w:val="26"/>
          <w:szCs w:val="26"/>
        </w:rPr>
        <w:t xml:space="preserve"> số           /</w:t>
      </w:r>
      <w:r>
        <w:rPr>
          <w:i/>
          <w:sz w:val="26"/>
          <w:szCs w:val="26"/>
        </w:rPr>
        <w:t>TTr-BTC</w:t>
      </w:r>
      <w:r w:rsidRPr="002C2005">
        <w:rPr>
          <w:i/>
          <w:sz w:val="26"/>
          <w:szCs w:val="26"/>
        </w:rPr>
        <w:t xml:space="preserve"> ngày      /</w:t>
      </w:r>
      <w:r w:rsidR="001279CA">
        <w:rPr>
          <w:i/>
          <w:sz w:val="26"/>
          <w:szCs w:val="26"/>
        </w:rPr>
        <w:t>4</w:t>
      </w:r>
      <w:r w:rsidRPr="002C2005">
        <w:rPr>
          <w:i/>
          <w:sz w:val="26"/>
          <w:szCs w:val="26"/>
        </w:rPr>
        <w:t>/202</w:t>
      </w:r>
      <w:r>
        <w:rPr>
          <w:i/>
          <w:sz w:val="26"/>
          <w:szCs w:val="26"/>
        </w:rPr>
        <w:t>6</w:t>
      </w:r>
      <w:r w:rsidRPr="002C2005">
        <w:rPr>
          <w:i/>
          <w:sz w:val="26"/>
          <w:szCs w:val="26"/>
        </w:rPr>
        <w:t xml:space="preserve"> của Bộ Tài chính)</w:t>
      </w:r>
    </w:p>
    <w:p w:rsidR="00953655" w:rsidRDefault="0023159B" w:rsidP="0070681D">
      <w:pPr>
        <w:spacing w:before="120" w:after="120"/>
        <w:ind w:firstLine="680"/>
        <w:jc w:val="both"/>
        <w:rPr>
          <w:sz w:val="22"/>
          <w:szCs w:val="22"/>
          <w:lang w:val="pt-BR"/>
        </w:rPr>
      </w:pPr>
      <w:r>
        <w:rPr>
          <w:sz w:val="22"/>
          <w:szCs w:val="22"/>
          <w:lang w:val="pt-BR"/>
        </w:rPr>
        <w:tab/>
      </w:r>
      <w:r w:rsidR="0070681D">
        <w:rPr>
          <w:sz w:val="22"/>
          <w:szCs w:val="22"/>
          <w:lang w:val="pt-BR"/>
        </w:rPr>
        <w:tab/>
      </w:r>
      <w:r w:rsidR="0070681D">
        <w:rPr>
          <w:sz w:val="22"/>
          <w:szCs w:val="22"/>
          <w:lang w:val="pt-BR"/>
        </w:rPr>
        <w:tab/>
      </w:r>
      <w:r w:rsidRPr="00953655">
        <w:rPr>
          <w:b/>
          <w:sz w:val="22"/>
          <w:szCs w:val="22"/>
          <w:lang w:val="pt-BR"/>
        </w:rPr>
        <w:t>A. NỘI DUNG DỰ THẢO:</w:t>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17"/>
        <w:gridCol w:w="4287"/>
        <w:gridCol w:w="5953"/>
        <w:gridCol w:w="3544"/>
      </w:tblGrid>
      <w:tr w:rsidR="0075446D" w:rsidRPr="0023159B" w:rsidTr="005F7B7C">
        <w:tc>
          <w:tcPr>
            <w:tcW w:w="534" w:type="dxa"/>
          </w:tcPr>
          <w:p w:rsidR="00F20DAF" w:rsidRPr="0023159B" w:rsidRDefault="00F20DAF" w:rsidP="007D23EF">
            <w:pPr>
              <w:pStyle w:val="ListParagraph"/>
              <w:ind w:left="28" w:right="28"/>
              <w:jc w:val="center"/>
              <w:rPr>
                <w:b/>
                <w:lang w:val="pt-BR"/>
              </w:rPr>
            </w:pPr>
            <w:r w:rsidRPr="0023159B">
              <w:rPr>
                <w:b/>
                <w:lang w:val="pt-BR"/>
              </w:rPr>
              <w:t>TT</w:t>
            </w:r>
          </w:p>
        </w:tc>
        <w:tc>
          <w:tcPr>
            <w:tcW w:w="1417" w:type="dxa"/>
            <w:vAlign w:val="center"/>
          </w:tcPr>
          <w:p w:rsidR="00F20DAF" w:rsidRPr="00FD319B" w:rsidRDefault="00512553" w:rsidP="00DE24B5">
            <w:pPr>
              <w:ind w:left="28" w:right="28"/>
              <w:jc w:val="center"/>
              <w:rPr>
                <w:rFonts w:ascii="Times New Roman Bold" w:hAnsi="Times New Roman Bold"/>
                <w:b/>
                <w:spacing w:val="-12"/>
                <w:lang w:val="vi-VN"/>
              </w:rPr>
            </w:pPr>
            <w:r w:rsidRPr="00FD319B">
              <w:rPr>
                <w:rFonts w:ascii="Times New Roman Bold" w:hAnsi="Times New Roman Bold"/>
                <w:b/>
                <w:spacing w:val="-12"/>
                <w:lang w:val="vi-VN"/>
              </w:rPr>
              <w:t>Điều, khoản, điểm</w:t>
            </w:r>
          </w:p>
        </w:tc>
        <w:tc>
          <w:tcPr>
            <w:tcW w:w="4287" w:type="dxa"/>
            <w:vAlign w:val="center"/>
          </w:tcPr>
          <w:p w:rsidR="00F20DAF" w:rsidRPr="0023159B" w:rsidRDefault="00512553" w:rsidP="00DE24B5">
            <w:pPr>
              <w:ind w:left="28" w:right="28"/>
              <w:jc w:val="center"/>
              <w:rPr>
                <w:b/>
                <w:lang w:val="vi-VN"/>
              </w:rPr>
            </w:pPr>
            <w:r w:rsidRPr="0023159B">
              <w:rPr>
                <w:b/>
                <w:lang w:val="vi-VN"/>
              </w:rPr>
              <w:t>Nội dung quy định hiện hành</w:t>
            </w:r>
          </w:p>
        </w:tc>
        <w:tc>
          <w:tcPr>
            <w:tcW w:w="5953" w:type="dxa"/>
            <w:vAlign w:val="center"/>
          </w:tcPr>
          <w:p w:rsidR="00F20DAF" w:rsidRPr="0023159B" w:rsidRDefault="00512553" w:rsidP="001F0046">
            <w:pPr>
              <w:ind w:left="28" w:right="28"/>
              <w:jc w:val="center"/>
              <w:rPr>
                <w:b/>
                <w:lang w:val="vi-VN"/>
              </w:rPr>
            </w:pPr>
            <w:r w:rsidRPr="0023159B">
              <w:rPr>
                <w:b/>
                <w:lang w:val="vi-VN"/>
              </w:rPr>
              <w:t>N</w:t>
            </w:r>
            <w:r w:rsidR="00F20DAF" w:rsidRPr="0023159B">
              <w:rPr>
                <w:b/>
                <w:lang w:val="pt-BR"/>
              </w:rPr>
              <w:t>ội dung sửa đổi, bổ sung</w:t>
            </w:r>
          </w:p>
        </w:tc>
        <w:tc>
          <w:tcPr>
            <w:tcW w:w="3544" w:type="dxa"/>
            <w:vAlign w:val="center"/>
          </w:tcPr>
          <w:p w:rsidR="00F20DAF" w:rsidRPr="0023159B" w:rsidRDefault="00512553" w:rsidP="00DE24B5">
            <w:pPr>
              <w:ind w:left="28" w:right="28"/>
              <w:jc w:val="center"/>
              <w:rPr>
                <w:b/>
                <w:lang w:val="vi-VN"/>
              </w:rPr>
            </w:pPr>
            <w:r w:rsidRPr="0023159B">
              <w:rPr>
                <w:b/>
                <w:lang w:val="vi-VN"/>
              </w:rPr>
              <w:t>Thuyết minh</w:t>
            </w:r>
          </w:p>
        </w:tc>
      </w:tr>
      <w:tr w:rsidR="00C50AD9" w:rsidRPr="0023159B" w:rsidTr="005F7B7C">
        <w:tc>
          <w:tcPr>
            <w:tcW w:w="534" w:type="dxa"/>
          </w:tcPr>
          <w:p w:rsidR="00C50AD9" w:rsidRPr="0023159B" w:rsidRDefault="00C50AD9" w:rsidP="007D23EF">
            <w:pPr>
              <w:pStyle w:val="ListParagraph"/>
              <w:numPr>
                <w:ilvl w:val="0"/>
                <w:numId w:val="10"/>
              </w:numPr>
              <w:ind w:left="28" w:right="28"/>
              <w:jc w:val="center"/>
              <w:rPr>
                <w:lang w:val="vi-VN"/>
              </w:rPr>
            </w:pPr>
          </w:p>
        </w:tc>
        <w:tc>
          <w:tcPr>
            <w:tcW w:w="1417" w:type="dxa"/>
          </w:tcPr>
          <w:p w:rsidR="00C50AD9" w:rsidRPr="0023159B" w:rsidRDefault="001F0046" w:rsidP="00AD740E">
            <w:pPr>
              <w:ind w:left="28" w:right="28"/>
              <w:rPr>
                <w:color w:val="000000" w:themeColor="text1"/>
              </w:rPr>
            </w:pPr>
            <w:r w:rsidRPr="0023159B">
              <w:rPr>
                <w:color w:val="000000" w:themeColor="text1"/>
              </w:rPr>
              <w:t xml:space="preserve">Khoản </w:t>
            </w:r>
            <w:r w:rsidR="00AD740E">
              <w:rPr>
                <w:color w:val="000000" w:themeColor="text1"/>
              </w:rPr>
              <w:t>2</w:t>
            </w:r>
            <w:r w:rsidRPr="0023159B">
              <w:rPr>
                <w:color w:val="000000" w:themeColor="text1"/>
              </w:rPr>
              <w:t xml:space="preserve"> Điều 3</w:t>
            </w:r>
          </w:p>
        </w:tc>
        <w:tc>
          <w:tcPr>
            <w:tcW w:w="4287" w:type="dxa"/>
          </w:tcPr>
          <w:p w:rsidR="001F0046" w:rsidRPr="0023159B" w:rsidRDefault="001F0046" w:rsidP="00247BF6">
            <w:pPr>
              <w:ind w:left="28" w:right="28"/>
              <w:jc w:val="both"/>
              <w:rPr>
                <w:b/>
                <w:bCs/>
              </w:rPr>
            </w:pPr>
            <w:r w:rsidRPr="0023159B">
              <w:rPr>
                <w:b/>
                <w:bCs/>
              </w:rPr>
              <w:t xml:space="preserve">Điều 3. Nguyên tắc áp dụng tiêu chuẩn, định mức </w:t>
            </w:r>
          </w:p>
          <w:p w:rsidR="00FD319B" w:rsidRPr="00FD319B" w:rsidRDefault="00FD319B" w:rsidP="00FD319B">
            <w:pPr>
              <w:ind w:left="28" w:right="28"/>
              <w:jc w:val="both"/>
              <w:rPr>
                <w:bCs/>
              </w:rPr>
            </w:pPr>
            <w:r w:rsidRPr="00FD319B">
              <w:rPr>
                <w:bCs/>
              </w:rPr>
              <w:t>2. Tiêu chuẩn, định mức sử dụng diện tích làm việc phục vụ công tác các chức danh được xác định theo từng chức danh, chức vụ. Trường hợp một người giữ nhiều chức danh, chức vụ thì được áp dụng tiêu chuẩn cao nhất.</w:t>
            </w:r>
          </w:p>
          <w:p w:rsidR="00FD319B" w:rsidRPr="00FD319B" w:rsidRDefault="00FD319B" w:rsidP="00FD319B">
            <w:pPr>
              <w:ind w:left="28" w:right="28"/>
              <w:jc w:val="both"/>
              <w:rPr>
                <w:bCs/>
              </w:rPr>
            </w:pPr>
            <w:r w:rsidRPr="00FD319B">
              <w:rPr>
                <w:bCs/>
              </w:rPr>
              <w:t>Ủy viên Trung ương Đảng dự khuyết đang đảm nhiệm vị trí công tác nào thì được áp dụng tiêu chuẩn, định mức sử dụng diện tích làm việc theo chức vụ đang công tác.</w:t>
            </w:r>
          </w:p>
          <w:p w:rsidR="00C50AD9" w:rsidRPr="0023159B" w:rsidRDefault="00FD319B" w:rsidP="00FD319B">
            <w:pPr>
              <w:ind w:left="28" w:right="28"/>
              <w:jc w:val="both"/>
              <w:rPr>
                <w:bCs/>
              </w:rPr>
            </w:pPr>
            <w:r w:rsidRPr="00FD319B">
              <w:rPr>
                <w:bCs/>
              </w:rPr>
              <w:t xml:space="preserve">Đối với các chức danh, chức vụ trong các cơ quan, tổ chức, đơn vị không quy định cụ thể tại Phụ lục I, Phụ lục II ban hành kèm theo Nghị định này thì xác định tiêu chuẩn, định mức căn cứ quy định của cơ quan, người có thẩm quyền về chức danh, chức vụ đó tương đương với chức danh, chức vụ nào quy định tại Phụ lục I, Phụ lục II ban hành kèm theo Nghị định này hoặc xác định chức danh, chức vụ tương đương theo mức lương chức vụ hoặc hệ số phụ cấp chức vụ tương đương </w:t>
            </w:r>
            <w:r w:rsidRPr="00FD319B">
              <w:rPr>
                <w:bCs/>
              </w:rPr>
              <w:lastRenderedPageBreak/>
              <w:t>với các chức danh, chức vụ quy định tại Phụ lục I, Phụ lục II ban hành kèm theo Nghị định này.</w:t>
            </w:r>
          </w:p>
        </w:tc>
        <w:tc>
          <w:tcPr>
            <w:tcW w:w="5953" w:type="dxa"/>
          </w:tcPr>
          <w:p w:rsidR="00582710" w:rsidRPr="00582710" w:rsidRDefault="00582710" w:rsidP="00582710">
            <w:pPr>
              <w:ind w:left="28" w:right="28"/>
              <w:jc w:val="both"/>
              <w:rPr>
                <w:b/>
                <w:bCs/>
              </w:rPr>
            </w:pPr>
            <w:r w:rsidRPr="0023159B">
              <w:rPr>
                <w:b/>
                <w:bCs/>
              </w:rPr>
              <w:lastRenderedPageBreak/>
              <w:t>Điều 3. Nguyên t</w:t>
            </w:r>
            <w:r>
              <w:rPr>
                <w:b/>
                <w:bCs/>
              </w:rPr>
              <w:t>ắc áp dụng tiêu chuẩn, định mức</w:t>
            </w:r>
          </w:p>
          <w:p w:rsidR="00582710" w:rsidRPr="00582710" w:rsidRDefault="00582710" w:rsidP="00582710">
            <w:pPr>
              <w:jc w:val="both"/>
              <w:rPr>
                <w:bCs/>
                <w:iCs/>
                <w:lang w:val="nl-NL"/>
              </w:rPr>
            </w:pPr>
            <w:r w:rsidRPr="00582710">
              <w:rPr>
                <w:bCs/>
                <w:iCs/>
                <w:lang w:val="nl-NL"/>
              </w:rPr>
              <w:t xml:space="preserve">2. Tiêu chuẩn, định mức sử dụng diện tích làm việc phục vụ công tác các chức danh được xác định theo từng chức danh, chức vụ. Trường hợp một người giữ nhiều chức danh, chức vụ thì được áp dụng tiêu chuẩn cao nhất. </w:t>
            </w:r>
            <w:r w:rsidRPr="00582710">
              <w:rPr>
                <w:b/>
                <w:bCs/>
                <w:iCs/>
                <w:lang w:val="nl-NL"/>
              </w:rPr>
              <w:t>Trường hợp chức danh, chức vụ cần bố trí cao hơn so với diện tích tối đa do tính chất công việc hoặc thực hiện công việc kiêm nhiệm thì được bố trí diện tích cao hơn trong tổng diện tích làm việc các chức danh, chức vụ của cơ quan, tổ chức, đơn vị.</w:t>
            </w:r>
          </w:p>
          <w:p w:rsidR="00582710" w:rsidRPr="00582710" w:rsidRDefault="00582710" w:rsidP="00582710">
            <w:pPr>
              <w:jc w:val="both"/>
              <w:rPr>
                <w:bCs/>
                <w:iCs/>
                <w:lang w:val="nl-NL"/>
              </w:rPr>
            </w:pPr>
            <w:r w:rsidRPr="00582710">
              <w:rPr>
                <w:bCs/>
                <w:iCs/>
                <w:lang w:val="nl-NL"/>
              </w:rPr>
              <w:t>Ủy viên Trung ương Đảng dự khuyết đang đảm nhiệm vị trí công tác nào thì được áp dụng tiêu chuẩn, định mức sử dụng diện tích làm việc theo chức vụ đang công tác.</w:t>
            </w:r>
          </w:p>
          <w:p w:rsidR="00582710" w:rsidRPr="00582710" w:rsidRDefault="00582710" w:rsidP="00582710">
            <w:pPr>
              <w:jc w:val="both"/>
              <w:rPr>
                <w:b/>
                <w:bCs/>
                <w:iCs/>
                <w:lang w:val="nl-NL"/>
              </w:rPr>
            </w:pPr>
            <w:r w:rsidRPr="00582710">
              <w:rPr>
                <w:b/>
                <w:bCs/>
                <w:iCs/>
                <w:lang w:val="nl-NL"/>
              </w:rPr>
              <w:t>Đối với các chức danh, chức vụ trong các cơ quan, tổ chức, đơn vị chưa có quy định cụ thể tại Phụ lục ban hành kèm theo Nghị định này và tại Quy định số 368</w:t>
            </w:r>
            <w:r w:rsidRPr="00582710">
              <w:rPr>
                <w:b/>
                <w:bCs/>
                <w:iCs/>
                <w:lang w:val="vi-VN"/>
              </w:rPr>
              <w:t>-QĐ/TW</w:t>
            </w:r>
            <w:r w:rsidRPr="00582710">
              <w:rPr>
                <w:b/>
                <w:bCs/>
                <w:iCs/>
                <w:lang w:val="nl-NL"/>
              </w:rPr>
              <w:t xml:space="preserve"> ngày 08 tháng 9 năm 2025 của Bộ Chính trị quy định về Danh mục vị trí chức danh, nhóm chức danh, chức vụ lãnh đạo của hệ thống chính trị (sau đây gọi là Quy định số 368</w:t>
            </w:r>
            <w:r w:rsidRPr="00582710">
              <w:rPr>
                <w:b/>
                <w:bCs/>
                <w:iCs/>
                <w:lang w:val="vi-VN"/>
              </w:rPr>
              <w:t>-QĐ/TW</w:t>
            </w:r>
            <w:r w:rsidRPr="00582710">
              <w:rPr>
                <w:b/>
                <w:bCs/>
                <w:iCs/>
                <w:lang w:val="nl-NL"/>
              </w:rPr>
              <w:t>) thì căn cứ quy định, quyết định, kết luận, thông báo của cơ quan, người có thẩm quyền về chức danh, chức vụ đó tương đương với chức danh, chức vụ nào quy định tại Phụ lục ban hành kèm theo Nghị định này hoặc tương đương bậc nào tại Quy định số 368</w:t>
            </w:r>
            <w:r w:rsidRPr="00582710">
              <w:rPr>
                <w:b/>
                <w:bCs/>
                <w:iCs/>
                <w:lang w:val="vi-VN"/>
              </w:rPr>
              <w:t>-QĐ/TW</w:t>
            </w:r>
            <w:r w:rsidRPr="00582710">
              <w:rPr>
                <w:b/>
                <w:bCs/>
                <w:iCs/>
                <w:lang w:val="nl-NL"/>
              </w:rPr>
              <w:t xml:space="preserve"> để xác định định mức diện </w:t>
            </w:r>
            <w:r w:rsidRPr="00582710">
              <w:rPr>
                <w:b/>
                <w:bCs/>
                <w:iCs/>
                <w:lang w:val="nl-NL"/>
              </w:rPr>
              <w:lastRenderedPageBreak/>
              <w:t>tích làm việc tương ứng.</w:t>
            </w:r>
          </w:p>
          <w:p w:rsidR="00C50AD9" w:rsidRPr="00FD319B" w:rsidRDefault="00582710" w:rsidP="00582710">
            <w:pPr>
              <w:jc w:val="both"/>
              <w:rPr>
                <w:bCs/>
              </w:rPr>
            </w:pPr>
            <w:r w:rsidRPr="00582710">
              <w:rPr>
                <w:b/>
                <w:bCs/>
                <w:iCs/>
                <w:lang w:val="nl-NL"/>
              </w:rPr>
              <w:t>Căn cứ điều kiện cơ sở vật chất hiện có và tình hình thực tế tại địa phương, các cơ quan, tổ chức, đơn vị xem xét bố trí diện tích làm việc cho các tổ chức tự quản của cộng đồng dân cư (như: thôn, ấp, bản, tổ dân phố, khu phố,...) tại nhà văn hoá, nhà sinh hoạt cộng đồng của tổ chức tự quản hoặc tại trụ sở của Đảng ủy, Ủy ban nhân dân cấp xã. Trường hợp bố trí diện tích làm việc tại trụ sở của Đảng ủy, Ủy ban nhân dân cấp xã thì diện tích tối đa không quá 75m</w:t>
            </w:r>
            <w:r w:rsidRPr="00582710">
              <w:rPr>
                <w:b/>
                <w:bCs/>
                <w:iCs/>
                <w:vertAlign w:val="superscript"/>
                <w:lang w:val="nl-NL"/>
              </w:rPr>
              <w:t>2</w:t>
            </w:r>
            <w:r w:rsidRPr="00582710">
              <w:rPr>
                <w:b/>
                <w:bCs/>
                <w:iCs/>
                <w:lang w:val="nl-NL"/>
              </w:rPr>
              <w:t>.</w:t>
            </w:r>
          </w:p>
        </w:tc>
        <w:tc>
          <w:tcPr>
            <w:tcW w:w="3544" w:type="dxa"/>
          </w:tcPr>
          <w:p w:rsidR="00582710" w:rsidRPr="005F7B7C" w:rsidRDefault="00582710" w:rsidP="00582710">
            <w:pPr>
              <w:ind w:left="28" w:right="28"/>
              <w:jc w:val="both"/>
              <w:rPr>
                <w:iCs/>
                <w:spacing w:val="2"/>
                <w:lang w:val="nl-NL"/>
              </w:rPr>
            </w:pPr>
            <w:r w:rsidRPr="005F7B7C">
              <w:rPr>
                <w:iCs/>
                <w:spacing w:val="2"/>
                <w:lang w:val="nl-NL"/>
              </w:rPr>
              <w:lastRenderedPageBreak/>
              <w:t>- Để đảm bảo bao quát các trường hợp trong thực tế theo đề xuất của tỉnh Nghệ An tại Công văn số 1345/STC-QLG&amp;CS ngày 27/02/2026: Đề nghị nghiên cứu quy định linh hoạt hơn đối với một số chức danh kiêm nhiệm nhiều nhiệm vụ chuyên môn đặc thù.</w:t>
            </w:r>
          </w:p>
          <w:p w:rsidR="00C50AD9" w:rsidRPr="0023159B" w:rsidRDefault="00582710" w:rsidP="00582710">
            <w:pPr>
              <w:ind w:left="28" w:right="28"/>
              <w:jc w:val="both"/>
            </w:pPr>
            <w:r w:rsidRPr="00582710">
              <w:rPr>
                <w:iCs/>
                <w:lang w:val="nl-NL"/>
              </w:rPr>
              <w:t>-</w:t>
            </w:r>
            <w:r w:rsidRPr="00582710">
              <w:rPr>
                <w:bCs/>
                <w:iCs/>
                <w:lang w:val="nl-NL"/>
              </w:rPr>
              <w:t xml:space="preserve"> Để làm cơ sở để bố trí diện tích phục vụ hoạt động của các tổ chức tự quản của cộng đồng dân cư (là cầu nối giữa chính quyền và người dân, tham gia hỗ trợ quản lý nhà nước, thực hiện dân chủ ở cơ sở, hòa giải mâu thuẫn và góp phần bảo đảm an ninh, trật tự, phát triển cộng đồng) và đề xuất của Thành phố Hồ Chí Minh tại Công văn số 6102/STC-QLCS ngày 16/3/2026.</w:t>
            </w:r>
          </w:p>
        </w:tc>
      </w:tr>
      <w:tr w:rsidR="00C50AD9" w:rsidRPr="0023159B" w:rsidTr="005F7B7C">
        <w:tc>
          <w:tcPr>
            <w:tcW w:w="534" w:type="dxa"/>
          </w:tcPr>
          <w:p w:rsidR="00C50AD9" w:rsidRPr="0023159B" w:rsidRDefault="00C50AD9" w:rsidP="007D23EF">
            <w:pPr>
              <w:pStyle w:val="ListParagraph"/>
              <w:numPr>
                <w:ilvl w:val="0"/>
                <w:numId w:val="10"/>
              </w:numPr>
              <w:ind w:left="28" w:right="28"/>
              <w:jc w:val="center"/>
              <w:rPr>
                <w:lang w:val="vi-VN"/>
              </w:rPr>
            </w:pPr>
          </w:p>
        </w:tc>
        <w:tc>
          <w:tcPr>
            <w:tcW w:w="1417" w:type="dxa"/>
          </w:tcPr>
          <w:p w:rsidR="00C50AD9" w:rsidRPr="0023159B" w:rsidRDefault="00A02376" w:rsidP="00402E97">
            <w:pPr>
              <w:ind w:left="28" w:right="28"/>
              <w:rPr>
                <w:color w:val="000000" w:themeColor="text1"/>
              </w:rPr>
            </w:pPr>
            <w:r>
              <w:rPr>
                <w:iCs/>
                <w:color w:val="000000" w:themeColor="text1"/>
                <w:lang w:val="nl-NL"/>
              </w:rPr>
              <w:t>K</w:t>
            </w:r>
            <w:r w:rsidR="00FD319B" w:rsidRPr="00FD319B">
              <w:rPr>
                <w:iCs/>
                <w:color w:val="000000" w:themeColor="text1"/>
                <w:lang w:val="nl-NL"/>
              </w:rPr>
              <w:t>hoản 5 Điều 3</w:t>
            </w:r>
          </w:p>
        </w:tc>
        <w:tc>
          <w:tcPr>
            <w:tcW w:w="4287" w:type="dxa"/>
          </w:tcPr>
          <w:p w:rsidR="003957DE" w:rsidRDefault="003957DE" w:rsidP="003957DE">
            <w:pPr>
              <w:ind w:left="28" w:right="28"/>
              <w:jc w:val="both"/>
              <w:rPr>
                <w:b/>
                <w:bCs/>
              </w:rPr>
            </w:pPr>
            <w:bookmarkStart w:id="0" w:name="dieu_3"/>
            <w:r w:rsidRPr="003957DE">
              <w:rPr>
                <w:b/>
                <w:bCs/>
              </w:rPr>
              <w:t>Điều 3. Nguyên tắc áp dụng tiêu chuẩn, định mức</w:t>
            </w:r>
            <w:bookmarkEnd w:id="0"/>
          </w:p>
          <w:p w:rsidR="003957DE" w:rsidRPr="003957DE" w:rsidRDefault="003957DE" w:rsidP="003957DE">
            <w:pPr>
              <w:ind w:left="28" w:right="28"/>
              <w:jc w:val="both"/>
              <w:rPr>
                <w:bCs/>
              </w:rPr>
            </w:pPr>
            <w:r w:rsidRPr="003957DE">
              <w:rPr>
                <w:bCs/>
              </w:rPr>
              <w:t>5. Đối với trụ sở làm việc, cơ sở hoạt động sự nghiệp hiện có đang quản lý, sử dụng hoặc thực hiện giao, điều chuyển hoặc xử lý sau khi thực hiện sáp nhập, hợp nhất, chia tách, giải thể, chấm dứt hoạt động, cơ quan, tổ chức, đơn vị đang quản lý, sử dụng hoặc tiếp nhận trụ sở làm việc, cơ sở hoạt động sự nghiệp được quản lý, sử dụng đối với phần diện tích theo tiêu chuẩn, định mức quy định tại Nghị định này.</w:t>
            </w:r>
          </w:p>
          <w:p w:rsidR="00FD319B" w:rsidRPr="0023159B" w:rsidRDefault="003957DE" w:rsidP="003957DE">
            <w:pPr>
              <w:ind w:left="28" w:right="28"/>
              <w:jc w:val="both"/>
              <w:rPr>
                <w:bCs/>
              </w:rPr>
            </w:pPr>
            <w:r w:rsidRPr="003957DE">
              <w:rPr>
                <w:bCs/>
              </w:rPr>
              <w:t xml:space="preserve">Đối với phần diện tích lớn hơn so với tiêu chuẩn, định mức (nếu có), cơ quan, người có thẩm quyền giao, điều chuyển quy định tại pháp luật về quản lý, sử dụng tài sản công quyết định giao, điều chuyển phần diện tích này cho cơ quan, tổ chức, đơn vị khác quản lý, sử dụng nếu phù hợp với tiêu chuẩn, định mức và nhu cầu sử dụng của cơ quan, tổ chức, đơn vị đó; trong thời gian cơ quan, người có thẩm quyền chưa giao, điều chuyển cho cơ quan, tổ chức, đơn vị khác thì cơ quan, tổ chức, đơn vị đang quản lý, sử dụng hoặc cơ quan, tổ chức, đơn vị tiếp nhận tài sản có trách nhiệm quản lý, bảo </w:t>
            </w:r>
            <w:r w:rsidRPr="003957DE">
              <w:rPr>
                <w:bCs/>
              </w:rPr>
              <w:lastRenderedPageBreak/>
              <w:t>quản, bảo vệ đối với phần diện tích này. Trường hợp không có cơ quan, tổ chức, đơn vị phù hợp để giao, điều chuyển thì cơ quan, người có thẩm quyền giao, điều chuyển quy định tại pháp luật về quản lý, sử dụng tài sản công quyết định giao, điều chuyển cho cơ quan, tổ chức, đơn vị đang quản lý, sử dụng hoặc cơ quan, tổ chức, đơn vị tiếp nhận trụ sở làm việc, cơ sở hoạt động sự nghiệp quản lý, sử dụng bảo đảm tiết kiệm, hiệu quả.</w:t>
            </w:r>
          </w:p>
        </w:tc>
        <w:tc>
          <w:tcPr>
            <w:tcW w:w="5953" w:type="dxa"/>
          </w:tcPr>
          <w:p w:rsidR="003957DE" w:rsidRDefault="003957DE" w:rsidP="003957DE">
            <w:pPr>
              <w:ind w:left="28" w:right="28"/>
              <w:jc w:val="both"/>
              <w:rPr>
                <w:b/>
                <w:bCs/>
              </w:rPr>
            </w:pPr>
            <w:r w:rsidRPr="003957DE">
              <w:rPr>
                <w:b/>
                <w:bCs/>
              </w:rPr>
              <w:lastRenderedPageBreak/>
              <w:t>Điều 3. Nguyên tắc áp dụng tiêu chuẩn, định mức</w:t>
            </w:r>
          </w:p>
          <w:p w:rsidR="00582710" w:rsidRPr="00582710" w:rsidRDefault="00582710" w:rsidP="00582710">
            <w:pPr>
              <w:ind w:left="28" w:right="28"/>
              <w:jc w:val="both"/>
              <w:rPr>
                <w:b/>
                <w:bCs/>
                <w:iCs/>
                <w:lang w:val="nl-NL"/>
              </w:rPr>
            </w:pPr>
            <w:r w:rsidRPr="00582710">
              <w:rPr>
                <w:b/>
                <w:bCs/>
                <w:iCs/>
                <w:lang w:val="nl-NL"/>
              </w:rPr>
              <w:t>5. Việc rà soát tiêu chuẩn, định mức, xử lý đối với phần diện tích lớn hơn so với tiêu chuẩn, định mức (nếu có)</w:t>
            </w:r>
          </w:p>
          <w:p w:rsidR="00B35823" w:rsidRPr="00F003B1" w:rsidRDefault="00B35823" w:rsidP="00B35823">
            <w:pPr>
              <w:ind w:left="28" w:right="28"/>
              <w:jc w:val="both"/>
              <w:rPr>
                <w:bCs/>
                <w:iCs/>
                <w:spacing w:val="-2"/>
                <w:lang w:val="nl-NL"/>
              </w:rPr>
            </w:pPr>
            <w:r w:rsidRPr="00F003B1">
              <w:rPr>
                <w:bCs/>
                <w:iCs/>
                <w:spacing w:val="-2"/>
                <w:lang w:val="nl-NL"/>
              </w:rPr>
              <w:t>a) Đối với trường hợp thực hiện sáp nhập, hợp nhất, chia tách, giải thể, chấm dứt hoạt động, thay đổi về cơ quan quản lý, phân cấp quản lý, cơ quan, tổ chức, đơn vị có trách nhiệm tiếp nhận nguyên trạng trụ sở làm việc, cơ sở hoạt động sự nghiệp; thực hiện rà soát, xác định phần diện tích làm việc theo tiêu chuẩn, định mức quy định tại Nghị định này để trình cơ quan, người có thẩm quyền quyết định giao theo quy định của pháp luật về quản lý, sử dụng tài sản công. Đối với phần diện tích lớn hơn so với tiêu chuẩn, định mức (nếu có)</w:t>
            </w:r>
            <w:r w:rsidR="005500C1" w:rsidRPr="00F003B1">
              <w:rPr>
                <w:bCs/>
                <w:iCs/>
                <w:spacing w:val="-2"/>
                <w:lang w:val="nl-NL"/>
              </w:rPr>
              <w:t>,</w:t>
            </w:r>
            <w:r w:rsidRPr="00F003B1">
              <w:rPr>
                <w:bCs/>
                <w:iCs/>
                <w:spacing w:val="-2"/>
                <w:lang w:val="nl-NL"/>
              </w:rPr>
              <w:t xml:space="preserve"> cơ quan, tổ chức, đơn vị báo cáo cơ quan, người có thẩm quyền giao, điều chuyển theo quy định của pháp luật về quản lý, sử dụng tài sản công để quyết định giao, điều chuyển phần diện tích này cho cơ quan, tổ chức, đơn vị khác quản lý, sử dụng nếu phù hợp với tiêu chuẩn, định mức và nhu cầu sử dụng của cơ quan, tổ chức, đơn vị đó. Trường hợp không có cơ quan, tổ chức, đơn vị phù hợp có nhu cầu tiếp nhận phần diện tích này, cơ quan, tổ chức, đơn vị báo cáo cơ quan, người có thẩm quyền giao, điều chuyển tài sản theo quy định của pháp luật về quản lý, sử dụng tài sản công để xem xét, quyết định giao, điều chuyển cho cơ quan, tổ chức, đơn vị mình quản lý, sử dụng phần diện tích lớn hơn so với tiêu chuẩn, định mức này</w:t>
            </w:r>
            <w:r w:rsidR="005500C1" w:rsidRPr="00F003B1">
              <w:rPr>
                <w:bCs/>
                <w:iCs/>
                <w:spacing w:val="-2"/>
                <w:lang w:val="nl-NL"/>
              </w:rPr>
              <w:t xml:space="preserve"> và được xác định là không vượt tiêu chuẩn, định mức</w:t>
            </w:r>
            <w:r w:rsidRPr="00F003B1">
              <w:rPr>
                <w:bCs/>
                <w:iCs/>
                <w:spacing w:val="-2"/>
                <w:lang w:val="nl-NL"/>
              </w:rPr>
              <w:t>.</w:t>
            </w:r>
          </w:p>
          <w:p w:rsidR="00B35823" w:rsidRPr="00717800" w:rsidRDefault="00B35823" w:rsidP="00B35823">
            <w:pPr>
              <w:ind w:left="28" w:right="28"/>
              <w:jc w:val="both"/>
              <w:rPr>
                <w:bCs/>
                <w:iCs/>
                <w:spacing w:val="-4"/>
                <w:lang w:val="nl-NL"/>
              </w:rPr>
            </w:pPr>
            <w:r w:rsidRPr="00717800">
              <w:rPr>
                <w:bCs/>
                <w:iCs/>
                <w:lang w:val="nl-NL"/>
              </w:rPr>
              <w:t>b) Đối với trụ sở làm việc, cơ sở hoạt động sự nghiệp thực hiện giao, điều chuyển không thuộc trường hợp quy định</w:t>
            </w:r>
            <w:r w:rsidRPr="00717800">
              <w:rPr>
                <w:bCs/>
                <w:iCs/>
                <w:spacing w:val="-4"/>
                <w:lang w:val="nl-NL"/>
              </w:rPr>
              <w:t xml:space="preserve"> </w:t>
            </w:r>
            <w:r w:rsidR="007C3A1D" w:rsidRPr="00717800">
              <w:rPr>
                <w:bCs/>
                <w:iCs/>
                <w:spacing w:val="-4"/>
                <w:lang w:val="nl-NL"/>
              </w:rPr>
              <w:lastRenderedPageBreak/>
              <w:t>tại điểm a khoản này, trường hợp diện tích của trụ sở làm việc, cơ sở hoạt động sự nghiệp dự kiến giao, điều chuyển lớn hơn tiêu chuẩn, định mức nhưng không thể tách riêng phần diện tích theo tiêu chuẩn, định mức để giao, điều chuyển hoặc không có cơ quan, tổ chức, đơn vị khác có nhu cầu tiếp nhận tại thời điểm quyết định giao, điều chuyển thì trên cơ sở đề nghị tiếp nhận nguyên trạng của cơ quan, tổ chức, đơn vị có nhu cầu tiếp nhận, cơ quan quản lý cấp trên (nếu có) thì cơ quan, người có thẩm quyền quyết định giao, điều chuyển theo nguyên trạng. Sau khi tiếp nhận, cơ quan, tổ chức, đơn vị tiếp nhận thực hiện rà soát để xử lý theo quy định tại điểm a khoản này. Trường hợp điều chuyển ra ngoài phạm vi của Bộ, cơ quan trung ương thì phải có ý kiến thống nhất tiếp nhận của Bộ trưởng, Thủ trưởng cơ quan trung ương, Chủ tịch Ủy ban nhân dân cấp tỉnh.</w:t>
            </w:r>
          </w:p>
          <w:p w:rsidR="00C50AD9" w:rsidRPr="0023159B" w:rsidRDefault="00B35823" w:rsidP="008A49D6">
            <w:pPr>
              <w:ind w:left="28" w:right="28"/>
              <w:jc w:val="both"/>
              <w:rPr>
                <w:bCs/>
              </w:rPr>
            </w:pPr>
            <w:r w:rsidRPr="00B35823">
              <w:rPr>
                <w:bCs/>
                <w:iCs/>
                <w:lang w:val="nl-NL"/>
              </w:rPr>
              <w:t>c) Định kỳ 05 năm (bắt đầu từ năm 2026), cơ quan, tổ chức, đơn vị đang quản lý, sử dụng trụ sở làm việc, cơ sở hoạt động sự nghiệp, bao gồm cả trường hợp quy định tại điểm a và điểm b khoản này, có trách nhiệm thực hiện rà soát diện tích trụ sở làm việc, cơ sở hoạt động sự nghiệp để đánh giá việc quản lý, sử dụng theo tiêu chuẩn, định mức. Trường hợp diện tích trụ sở làm việc, cơ sở hoạt động sự nghiệp lớn hơn tiêu chuẩn, định mức, cơ quan, tổ chức, đơn vị đang quản lý, sử dụng trụ sở làm việc, cơ sở hoạt động sự nghiệp thực hiện rà soát để xử lý theo quy định tại điểm a khoản này. Trong 05 năm sau khi rà soát thì tiêu chuẩn, định mức của cơ quan, tổ chức, đơn vị được xác định theo kết quả rà soát đầu kỳ, trừ trường hợp sắp xếp tổ chức bộ máy, sắp xếp đơn vị hành chính theo quyết định của cấp có thẩm quyền.</w:t>
            </w:r>
          </w:p>
        </w:tc>
        <w:tc>
          <w:tcPr>
            <w:tcW w:w="3544" w:type="dxa"/>
          </w:tcPr>
          <w:p w:rsidR="00C50AD9" w:rsidRPr="00402E97" w:rsidRDefault="00582710" w:rsidP="006D6DDF">
            <w:pPr>
              <w:ind w:left="28" w:right="28"/>
              <w:jc w:val="both"/>
              <w:rPr>
                <w:spacing w:val="-2"/>
              </w:rPr>
            </w:pPr>
            <w:r w:rsidRPr="00582710">
              <w:rPr>
                <w:bCs/>
                <w:iCs/>
                <w:spacing w:val="-2"/>
                <w:lang w:val="nl-NL"/>
              </w:rPr>
              <w:lastRenderedPageBreak/>
              <w:t>Để thống nhất trong quá trình triển khai chính sách theo đề xuất của Bộ Tài chính quản lý ngành tại Công văn số 2981/BTC-KHTC ngày 13/3/2026 và trên cơ sở nội dung tại điểm c mục 1 Công điện số 19/CĐ-TTg ngày 26/02/2026 của Thủ tướng Chính phủ về việc nâng cao hiệu lực, hiệu quả sắp xếp, xử lý, khai thác tài sản công và mục 4 Công văn số 2740/BTC-QLCS ngày 09/3/2026 của Bộ Tài chính về việc triển khi thực hiện một số nội dung về quản lý, khai thác, xử lý tài sản công theo chỉ đạo của Thủ tướng Chính phủ tại Công điện số 19/CĐ-TTg ngày 26/02/2026.</w:t>
            </w:r>
          </w:p>
        </w:tc>
      </w:tr>
      <w:tr w:rsidR="008E1A24" w:rsidRPr="0023159B" w:rsidTr="005F7B7C">
        <w:tc>
          <w:tcPr>
            <w:tcW w:w="534" w:type="dxa"/>
          </w:tcPr>
          <w:p w:rsidR="008E1A24" w:rsidRPr="0023159B" w:rsidRDefault="008E1A24" w:rsidP="007D23EF">
            <w:pPr>
              <w:pStyle w:val="ListParagraph"/>
              <w:numPr>
                <w:ilvl w:val="0"/>
                <w:numId w:val="10"/>
              </w:numPr>
              <w:ind w:left="28" w:right="28"/>
              <w:jc w:val="center"/>
              <w:rPr>
                <w:lang w:val="vi-VN"/>
              </w:rPr>
            </w:pPr>
          </w:p>
        </w:tc>
        <w:tc>
          <w:tcPr>
            <w:tcW w:w="1417" w:type="dxa"/>
          </w:tcPr>
          <w:p w:rsidR="008E1A24" w:rsidRDefault="008E1A24" w:rsidP="00402E97">
            <w:pPr>
              <w:ind w:left="28" w:right="28"/>
              <w:rPr>
                <w:iCs/>
                <w:color w:val="000000" w:themeColor="text1"/>
                <w:lang w:val="nl-NL"/>
              </w:rPr>
            </w:pPr>
            <w:r w:rsidRPr="008E1A24">
              <w:rPr>
                <w:bCs/>
                <w:iCs/>
                <w:color w:val="000000" w:themeColor="text1"/>
                <w:lang w:val="vi-VN"/>
              </w:rPr>
              <w:t xml:space="preserve">Bổ sung khoản </w:t>
            </w:r>
            <w:r w:rsidRPr="008E1A24">
              <w:rPr>
                <w:bCs/>
                <w:iCs/>
                <w:color w:val="000000" w:themeColor="text1"/>
              </w:rPr>
              <w:t>6</w:t>
            </w:r>
            <w:r>
              <w:rPr>
                <w:bCs/>
                <w:iCs/>
                <w:color w:val="000000" w:themeColor="text1"/>
              </w:rPr>
              <w:t xml:space="preserve"> Điều 3</w:t>
            </w:r>
          </w:p>
        </w:tc>
        <w:tc>
          <w:tcPr>
            <w:tcW w:w="4287" w:type="dxa"/>
          </w:tcPr>
          <w:p w:rsidR="008E1A24" w:rsidRPr="008E1A24" w:rsidRDefault="008E1A24" w:rsidP="003957DE">
            <w:pPr>
              <w:ind w:left="28" w:right="28"/>
              <w:jc w:val="both"/>
              <w:rPr>
                <w:bCs/>
              </w:rPr>
            </w:pPr>
            <w:r w:rsidRPr="008E1A24">
              <w:rPr>
                <w:bCs/>
              </w:rPr>
              <w:t>Chưa có quy định</w:t>
            </w:r>
          </w:p>
        </w:tc>
        <w:tc>
          <w:tcPr>
            <w:tcW w:w="5953" w:type="dxa"/>
          </w:tcPr>
          <w:p w:rsidR="008E1A24" w:rsidRPr="008E1A24" w:rsidRDefault="008E1A24" w:rsidP="003957DE">
            <w:pPr>
              <w:ind w:left="28" w:right="28"/>
              <w:jc w:val="both"/>
              <w:rPr>
                <w:bCs/>
              </w:rPr>
            </w:pPr>
            <w:r w:rsidRPr="008E1A24">
              <w:rPr>
                <w:bCs/>
              </w:rPr>
              <w:t>6. Học viện Chính trị Quốc gia Hồ Chí Minh áp dụng tiêu chuẩn, định mức quy định tại Chương III Nghị định này.</w:t>
            </w:r>
          </w:p>
        </w:tc>
        <w:tc>
          <w:tcPr>
            <w:tcW w:w="3544" w:type="dxa"/>
          </w:tcPr>
          <w:p w:rsidR="008E1A24" w:rsidRPr="00582710" w:rsidRDefault="008E1A24" w:rsidP="002C4B08">
            <w:pPr>
              <w:ind w:left="28" w:right="28"/>
              <w:jc w:val="both"/>
              <w:rPr>
                <w:bCs/>
                <w:iCs/>
                <w:spacing w:val="-2"/>
                <w:lang w:val="nl-NL"/>
              </w:rPr>
            </w:pPr>
            <w:r w:rsidRPr="008E1A24">
              <w:rPr>
                <w:bCs/>
                <w:iCs/>
                <w:spacing w:val="-2"/>
              </w:rPr>
              <w:t xml:space="preserve">Theo quy định tại Quyết định số 214-QĐ/TW ngày 28/12/2024 của Bộ Chính trị về chức năng, nhiệm vụ, tổ chức bộ máy của Học viện Chính trị Quốc gia Hồ Chí Minh thì Học viện Chính trị Quốc gia Hồ Chí Minh là cơ quan trực thuộc Ban Chấp hành Trung ương </w:t>
            </w:r>
            <w:r w:rsidRPr="008E1A24">
              <w:rPr>
                <w:bCs/>
                <w:iCs/>
                <w:spacing w:val="-2"/>
              </w:rPr>
              <w:lastRenderedPageBreak/>
              <w:t>Đảng có nhiệm vụ, quyền hạn:</w:t>
            </w:r>
            <w:r w:rsidRPr="005F7B7C">
              <w:rPr>
                <w:bCs/>
                <w:iCs/>
                <w:spacing w:val="-4"/>
              </w:rPr>
              <w:t xml:space="preserve"> </w:t>
            </w:r>
            <w:r w:rsidRPr="005F7B7C">
              <w:rPr>
                <w:b/>
                <w:bCs/>
                <w:iCs/>
                <w:spacing w:val="-4"/>
              </w:rPr>
              <w:t>(1)</w:t>
            </w:r>
            <w:r w:rsidRPr="005F7B7C">
              <w:rPr>
                <w:bCs/>
                <w:iCs/>
                <w:spacing w:val="-4"/>
              </w:rPr>
              <w:t xml:space="preserve"> Đào tạo, bồi dưỡng cán bộ, công chức, viên chức của hệ thống chính trị; </w:t>
            </w:r>
            <w:r w:rsidRPr="005F7B7C">
              <w:rPr>
                <w:b/>
                <w:bCs/>
                <w:iCs/>
                <w:spacing w:val="-4"/>
              </w:rPr>
              <w:t>(2)</w:t>
            </w:r>
            <w:r w:rsidRPr="005F7B7C">
              <w:rPr>
                <w:bCs/>
                <w:iCs/>
                <w:spacing w:val="-4"/>
              </w:rPr>
              <w:t xml:space="preserve"> Nghiên cứu khoa học, ... Do đó, việc bổ sung quy định Học viện Chính trị Quốc gia Hồ Chí Minh được áp dụng tiêu chuẩn, định mức </w:t>
            </w:r>
            <w:r w:rsidR="002C4B08">
              <w:rPr>
                <w:bCs/>
                <w:iCs/>
                <w:spacing w:val="-4"/>
              </w:rPr>
              <w:t>như</w:t>
            </w:r>
            <w:r w:rsidRPr="005F7B7C">
              <w:rPr>
                <w:bCs/>
                <w:iCs/>
                <w:spacing w:val="-4"/>
              </w:rPr>
              <w:t xml:space="preserve"> đơn vị sự nghiệp công lập quy định tại Chương III Nghị định số 155/2025/NĐ-CP là đảm bảo</w:t>
            </w:r>
            <w:r w:rsidRPr="005F7B7C">
              <w:rPr>
                <w:bCs/>
                <w:iCs/>
                <w:spacing w:val="-4"/>
                <w:lang w:val="vi-VN"/>
              </w:rPr>
              <w:t xml:space="preserve"> phù hợp với tính chất đặc thù </w:t>
            </w:r>
            <w:r w:rsidRPr="005F7B7C">
              <w:rPr>
                <w:bCs/>
                <w:iCs/>
                <w:spacing w:val="-4"/>
              </w:rPr>
              <w:t>của Học viện Chính trị Quốc gia Hồ Chí Minh.</w:t>
            </w:r>
          </w:p>
        </w:tc>
      </w:tr>
      <w:tr w:rsidR="00D16A74" w:rsidRPr="0023159B" w:rsidTr="005F7B7C">
        <w:tc>
          <w:tcPr>
            <w:tcW w:w="534" w:type="dxa"/>
          </w:tcPr>
          <w:p w:rsidR="00D16A74" w:rsidRPr="0023159B" w:rsidRDefault="00D16A74" w:rsidP="007D23EF">
            <w:pPr>
              <w:pStyle w:val="ListParagraph"/>
              <w:numPr>
                <w:ilvl w:val="0"/>
                <w:numId w:val="10"/>
              </w:numPr>
              <w:ind w:left="28" w:right="28"/>
              <w:jc w:val="center"/>
              <w:rPr>
                <w:lang w:val="vi-VN"/>
              </w:rPr>
            </w:pPr>
          </w:p>
        </w:tc>
        <w:tc>
          <w:tcPr>
            <w:tcW w:w="1417" w:type="dxa"/>
          </w:tcPr>
          <w:p w:rsidR="00D16A74" w:rsidRPr="00D16A74" w:rsidRDefault="00D16A74" w:rsidP="00402E97">
            <w:pPr>
              <w:ind w:left="28" w:right="28"/>
              <w:rPr>
                <w:bCs/>
                <w:iCs/>
                <w:color w:val="000000" w:themeColor="text1"/>
              </w:rPr>
            </w:pPr>
            <w:r>
              <w:rPr>
                <w:color w:val="000000" w:themeColor="text1"/>
              </w:rPr>
              <w:t xml:space="preserve">Sửa đổi </w:t>
            </w:r>
            <w:r w:rsidRPr="004C7F90">
              <w:rPr>
                <w:color w:val="000000" w:themeColor="text1"/>
                <w:lang w:val="vi-VN"/>
              </w:rPr>
              <w:t>khoản 1, khoản 3 Điều 5</w:t>
            </w:r>
          </w:p>
        </w:tc>
        <w:tc>
          <w:tcPr>
            <w:tcW w:w="4287" w:type="dxa"/>
          </w:tcPr>
          <w:p w:rsidR="00D16A74" w:rsidRDefault="00D16A74" w:rsidP="00D16A74">
            <w:pPr>
              <w:ind w:left="28" w:right="28"/>
              <w:jc w:val="both"/>
              <w:rPr>
                <w:b/>
                <w:bCs/>
              </w:rPr>
            </w:pPr>
            <w:bookmarkStart w:id="1" w:name="dieu_5"/>
            <w:r w:rsidRPr="004C7F90">
              <w:rPr>
                <w:b/>
                <w:bCs/>
              </w:rPr>
              <w:t>Điều 5. Diện tích làm việc phục vụ công tác các chức danh</w:t>
            </w:r>
            <w:bookmarkEnd w:id="1"/>
          </w:p>
          <w:p w:rsidR="00D16A74" w:rsidRPr="004C7F90" w:rsidRDefault="00D16A74" w:rsidP="00D16A74">
            <w:pPr>
              <w:ind w:left="28" w:right="28"/>
              <w:jc w:val="both"/>
              <w:rPr>
                <w:bCs/>
              </w:rPr>
            </w:pPr>
            <w:r w:rsidRPr="004C7F90">
              <w:rPr>
                <w:bCs/>
              </w:rPr>
              <w:t>1. Tiêu chuẩn, định mức sử dụng diện tích làm việc phục vụ công tác các chức danh thuộc trung ương và địa phương được quy định tại Phụ lục I, Phụ lục II kèm theo Nghị định này.</w:t>
            </w:r>
          </w:p>
          <w:p w:rsidR="00D16A74" w:rsidRPr="004C7F90" w:rsidRDefault="00D16A74" w:rsidP="00D16A74">
            <w:pPr>
              <w:ind w:left="28" w:right="28"/>
              <w:jc w:val="both"/>
              <w:rPr>
                <w:bCs/>
              </w:rPr>
            </w:pPr>
            <w:r w:rsidRPr="004C7F90">
              <w:rPr>
                <w:bCs/>
              </w:rPr>
              <w:t>3. Căn cứ thiết kế và hiện trạng của trụ sở làm việc, Thủ trưởng cơ quan, tổ chức quyết định bố trí diện tích làm việc cụ thể cho các chức danh cho phù hợp với tình hình thực tế, có thể cao hơn hoặc thấp hơn diện tích theo tiêu chuẩn, định mức quy định tại Phụ lục I, Phụ lục II kèm theo Nghị định này nhưng bảo đảm tổng diện tích bố trí cho các chức danh không vượt quá tổng diện tích làm việc được xác định theo quy định tại Phụ lục I, Phụ lục II kèm theo Nghị định này.</w:t>
            </w:r>
          </w:p>
          <w:p w:rsidR="00D16A74" w:rsidRPr="0023159B" w:rsidRDefault="00D16A74" w:rsidP="00D16A74">
            <w:pPr>
              <w:ind w:left="28" w:right="28"/>
              <w:jc w:val="both"/>
              <w:rPr>
                <w:bCs/>
              </w:rPr>
            </w:pPr>
          </w:p>
        </w:tc>
        <w:tc>
          <w:tcPr>
            <w:tcW w:w="5953" w:type="dxa"/>
          </w:tcPr>
          <w:p w:rsidR="00D16A74" w:rsidRDefault="00D16A74" w:rsidP="00D16A74">
            <w:pPr>
              <w:ind w:left="28" w:right="28"/>
              <w:jc w:val="both"/>
              <w:rPr>
                <w:b/>
                <w:bCs/>
              </w:rPr>
            </w:pPr>
            <w:r w:rsidRPr="004C7F90">
              <w:rPr>
                <w:b/>
                <w:bCs/>
              </w:rPr>
              <w:t>Điều 5. Diện tích làm việc phục vụ công tác các chức danh</w:t>
            </w:r>
          </w:p>
          <w:p w:rsidR="00D16A74" w:rsidRPr="004C7F90" w:rsidRDefault="00D16A74" w:rsidP="00D16A74">
            <w:pPr>
              <w:ind w:left="28" w:right="28"/>
              <w:jc w:val="both"/>
              <w:rPr>
                <w:bCs/>
              </w:rPr>
            </w:pPr>
            <w:r w:rsidRPr="004C7F90">
              <w:rPr>
                <w:bCs/>
              </w:rPr>
              <w:t xml:space="preserve">1. Tiêu chuẩn, định mức sử dụng diện tích làm việc phục vụ công tác các chức danh thuộc trung ương và địa phương được quy định tại </w:t>
            </w:r>
            <w:r w:rsidRPr="008806B2">
              <w:rPr>
                <w:b/>
                <w:bCs/>
                <w:lang w:val="vi-VN"/>
              </w:rPr>
              <w:t>Phụ lục ban hành kèm theo Nghị định này</w:t>
            </w:r>
            <w:r w:rsidRPr="008806B2">
              <w:rPr>
                <w:b/>
                <w:bCs/>
              </w:rPr>
              <w:t>.</w:t>
            </w:r>
          </w:p>
          <w:p w:rsidR="00D16A74" w:rsidRPr="0023159B" w:rsidRDefault="00D16A74" w:rsidP="00D16A74">
            <w:pPr>
              <w:ind w:left="28" w:right="28"/>
              <w:jc w:val="both"/>
              <w:rPr>
                <w:bCs/>
              </w:rPr>
            </w:pPr>
            <w:r w:rsidRPr="004C7F90">
              <w:rPr>
                <w:bCs/>
              </w:rPr>
              <w:t xml:space="preserve">3. Căn cứ thiết kế và hiện trạng của trụ sở làm việc, Thủ trưởng cơ quan, tổ chức quyết định bố trí diện tích làm việc cụ thể cho các chức danh cho phù hợp với tình hình thực tế, có thể cao hơn hoặc thấp hơn diện tích theo tiêu chuẩn, định mức quy định tại </w:t>
            </w:r>
            <w:r w:rsidRPr="008806B2">
              <w:rPr>
                <w:b/>
                <w:bCs/>
                <w:lang w:val="vi-VN"/>
              </w:rPr>
              <w:t>Phụ lục ban hành kèm theo Nghị định này</w:t>
            </w:r>
            <w:r w:rsidRPr="004C7F90">
              <w:rPr>
                <w:bCs/>
              </w:rPr>
              <w:t xml:space="preserve"> nhưng bảo đảm tổng diện tích bố trí cho các chức danh không vượt quá tổng diện tích làm việc được xác định theo quy định tại </w:t>
            </w:r>
            <w:r w:rsidRPr="008806B2">
              <w:rPr>
                <w:b/>
                <w:bCs/>
                <w:lang w:val="vi-VN"/>
              </w:rPr>
              <w:t>Phụ lục ban hành kèm theo Nghị định này</w:t>
            </w:r>
            <w:r w:rsidRPr="008806B2">
              <w:rPr>
                <w:b/>
                <w:bCs/>
              </w:rPr>
              <w:t>.</w:t>
            </w:r>
          </w:p>
        </w:tc>
        <w:tc>
          <w:tcPr>
            <w:tcW w:w="3544" w:type="dxa"/>
          </w:tcPr>
          <w:p w:rsidR="00D16A74" w:rsidRPr="008E1A24" w:rsidRDefault="00D16A74" w:rsidP="003957DE">
            <w:pPr>
              <w:ind w:left="28" w:right="28"/>
              <w:jc w:val="both"/>
              <w:rPr>
                <w:bCs/>
                <w:iCs/>
                <w:spacing w:val="-2"/>
              </w:rPr>
            </w:pPr>
            <w:r w:rsidRPr="0023159B">
              <w:rPr>
                <w:lang w:val="vi-VN"/>
              </w:rPr>
              <w:t xml:space="preserve">Ghép </w:t>
            </w:r>
            <w:r w:rsidRPr="0023159B">
              <w:t>Phụ lục I (</w:t>
            </w:r>
            <w:r w:rsidRPr="0023159B">
              <w:rPr>
                <w:lang w:val="vi-VN"/>
              </w:rPr>
              <w:t xml:space="preserve">đối với </w:t>
            </w:r>
            <w:r w:rsidRPr="0023159B">
              <w:t>trung ương), Phụ lục II (</w:t>
            </w:r>
            <w:r w:rsidRPr="0023159B">
              <w:rPr>
                <w:lang w:val="vi-VN"/>
              </w:rPr>
              <w:t xml:space="preserve">đối với </w:t>
            </w:r>
            <w:r w:rsidRPr="0023159B">
              <w:t>địa phương)</w:t>
            </w:r>
            <w:r w:rsidRPr="0023159B">
              <w:rPr>
                <w:lang w:val="vi-VN"/>
              </w:rPr>
              <w:t xml:space="preserve"> thành </w:t>
            </w:r>
            <w:r w:rsidRPr="0023159B">
              <w:t>01 Phụ lục quy định chung cho trung ương và địa phương</w:t>
            </w:r>
            <w:r>
              <w:t>.</w:t>
            </w:r>
          </w:p>
        </w:tc>
      </w:tr>
      <w:tr w:rsidR="00D16A74" w:rsidRPr="0023159B" w:rsidTr="005F7B7C">
        <w:tc>
          <w:tcPr>
            <w:tcW w:w="534" w:type="dxa"/>
          </w:tcPr>
          <w:p w:rsidR="00D16A74" w:rsidRPr="0023159B" w:rsidRDefault="00D16A74" w:rsidP="007D23EF">
            <w:pPr>
              <w:pStyle w:val="ListParagraph"/>
              <w:numPr>
                <w:ilvl w:val="0"/>
                <w:numId w:val="10"/>
              </w:numPr>
              <w:ind w:left="28" w:right="28"/>
              <w:jc w:val="center"/>
              <w:rPr>
                <w:lang w:val="vi-VN"/>
              </w:rPr>
            </w:pPr>
          </w:p>
        </w:tc>
        <w:tc>
          <w:tcPr>
            <w:tcW w:w="1417" w:type="dxa"/>
          </w:tcPr>
          <w:p w:rsidR="00D16A74" w:rsidRPr="00582710" w:rsidRDefault="00D16A74" w:rsidP="00A02376">
            <w:pPr>
              <w:ind w:left="28" w:right="28"/>
              <w:rPr>
                <w:color w:val="000000" w:themeColor="text1"/>
              </w:rPr>
            </w:pPr>
            <w:r w:rsidRPr="00582710">
              <w:rPr>
                <w:color w:val="000000" w:themeColor="text1"/>
              </w:rPr>
              <w:t>Sửa đổi, bổ sung điểm đ khoản 1 Điều 6</w:t>
            </w:r>
          </w:p>
        </w:tc>
        <w:tc>
          <w:tcPr>
            <w:tcW w:w="4287" w:type="dxa"/>
          </w:tcPr>
          <w:p w:rsidR="00D16A74" w:rsidRPr="00582710" w:rsidRDefault="00D16A74" w:rsidP="00582710">
            <w:pPr>
              <w:ind w:left="28" w:right="28"/>
              <w:jc w:val="both"/>
              <w:rPr>
                <w:bCs/>
              </w:rPr>
            </w:pPr>
            <w:bookmarkStart w:id="2" w:name="dieu_6"/>
            <w:r w:rsidRPr="00582710">
              <w:rPr>
                <w:b/>
                <w:bCs/>
              </w:rPr>
              <w:t>Điều 6. Diện tích sử dụng chung</w:t>
            </w:r>
            <w:bookmarkEnd w:id="2"/>
          </w:p>
          <w:p w:rsidR="00D16A74" w:rsidRPr="00582710" w:rsidRDefault="00D16A74" w:rsidP="00582710">
            <w:pPr>
              <w:ind w:left="28" w:right="28"/>
              <w:jc w:val="both"/>
              <w:rPr>
                <w:bCs/>
              </w:rPr>
            </w:pPr>
            <w:r w:rsidRPr="00582710">
              <w:rPr>
                <w:bCs/>
              </w:rPr>
              <w:t>1. Diện tích sử dụng chung là diện tích sử dụng phục vụ hoạt động chung trong trụ sở làm việc của cơ quan, tổ chức, gồm:</w:t>
            </w:r>
          </w:p>
          <w:p w:rsidR="00D16A74" w:rsidRPr="00582710" w:rsidRDefault="00D16A74" w:rsidP="0023159B">
            <w:pPr>
              <w:ind w:left="28" w:right="28"/>
              <w:jc w:val="both"/>
              <w:rPr>
                <w:bCs/>
              </w:rPr>
            </w:pPr>
            <w:r w:rsidRPr="00582710">
              <w:rPr>
                <w:bCs/>
              </w:rPr>
              <w:t>đ) Phòng trung tâm dữ liệu, phòng máy tính, quản trị mạng, phòng đặt thiết bị kỹ thuật, quản lý toà nhà;</w:t>
            </w:r>
          </w:p>
        </w:tc>
        <w:tc>
          <w:tcPr>
            <w:tcW w:w="5953" w:type="dxa"/>
          </w:tcPr>
          <w:p w:rsidR="00D16A74" w:rsidRPr="00582710" w:rsidRDefault="00D16A74" w:rsidP="00582710">
            <w:pPr>
              <w:ind w:left="28" w:right="28"/>
              <w:jc w:val="both"/>
              <w:rPr>
                <w:bCs/>
              </w:rPr>
            </w:pPr>
            <w:r w:rsidRPr="00582710">
              <w:rPr>
                <w:b/>
                <w:bCs/>
              </w:rPr>
              <w:t>Điều 6. Diện tích sử dụng chung</w:t>
            </w:r>
          </w:p>
          <w:p w:rsidR="00D16A74" w:rsidRPr="00582710" w:rsidRDefault="00D16A74" w:rsidP="003667F0">
            <w:pPr>
              <w:ind w:left="28" w:right="28"/>
              <w:jc w:val="both"/>
              <w:rPr>
                <w:bCs/>
              </w:rPr>
            </w:pPr>
            <w:r w:rsidRPr="00582710">
              <w:rPr>
                <w:bCs/>
              </w:rPr>
              <w:t>1. Diện tích sử dụng chung là diện tích sử dụng phục vụ hoạt động chung trong trụ sở làm việc của cơ quan, tổ chức, gồm:</w:t>
            </w:r>
          </w:p>
          <w:p w:rsidR="00D16A74" w:rsidRPr="005F7B7C" w:rsidRDefault="00D16A74" w:rsidP="00402E97">
            <w:pPr>
              <w:ind w:left="28" w:right="28"/>
              <w:jc w:val="both"/>
              <w:rPr>
                <w:b/>
                <w:bCs/>
                <w:spacing w:val="-2"/>
                <w:highlight w:val="yellow"/>
              </w:rPr>
            </w:pPr>
            <w:r w:rsidRPr="005F7B7C">
              <w:rPr>
                <w:bCs/>
                <w:spacing w:val="-2"/>
                <w:lang w:val="vi-VN"/>
              </w:rPr>
              <w:t>đ) Phòng trung tâm dữ liệu, phòng máy tính, quản trị mạng, phòng đặt thiết bị kỹ thuật, quản lý tòa nhà,</w:t>
            </w:r>
            <w:r w:rsidRPr="005F7B7C">
              <w:rPr>
                <w:b/>
                <w:bCs/>
                <w:spacing w:val="-2"/>
                <w:lang w:val="vi-VN"/>
              </w:rPr>
              <w:t xml:space="preserve"> phòng phục vụ hạ tầng số</w:t>
            </w:r>
            <w:r w:rsidRPr="005F7B7C">
              <w:rPr>
                <w:b/>
                <w:bCs/>
                <w:spacing w:val="-2"/>
              </w:rPr>
              <w:t>,</w:t>
            </w:r>
            <w:r w:rsidRPr="005F7B7C">
              <w:rPr>
                <w:b/>
                <w:bCs/>
                <w:spacing w:val="-2"/>
                <w:lang w:val="vi-VN"/>
              </w:rPr>
              <w:t xml:space="preserve"> phòng điều hành, điều khiển thông minh.</w:t>
            </w:r>
          </w:p>
        </w:tc>
        <w:tc>
          <w:tcPr>
            <w:tcW w:w="3544" w:type="dxa"/>
          </w:tcPr>
          <w:p w:rsidR="00D16A74" w:rsidRPr="00582710" w:rsidRDefault="00D16A74" w:rsidP="008206DC">
            <w:pPr>
              <w:ind w:left="28" w:right="28"/>
              <w:jc w:val="both"/>
              <w:rPr>
                <w:highlight w:val="yellow"/>
                <w:lang w:val="vi-VN"/>
              </w:rPr>
            </w:pPr>
            <w:r w:rsidRPr="003667F0">
              <w:rPr>
                <w:lang w:val="vi-VN"/>
              </w:rPr>
              <w:t xml:space="preserve">Để đáp ứng yêu cầu quản trị thông minh của trụ sở làm việc hiện đại theo đề xuất của Học viện Chính trị Quốc gia Hồ Chí Minh tại </w:t>
            </w:r>
            <w:r w:rsidRPr="003667F0">
              <w:rPr>
                <w:lang w:val="nl-NL"/>
              </w:rPr>
              <w:t>Công văn số 402-CV/HVCTQG ngày 27/02/2026</w:t>
            </w:r>
            <w:r>
              <w:rPr>
                <w:lang w:val="nl-NL"/>
              </w:rPr>
              <w:t>.</w:t>
            </w:r>
          </w:p>
        </w:tc>
      </w:tr>
      <w:tr w:rsidR="00D16A74" w:rsidRPr="0023159B" w:rsidTr="005F7B7C">
        <w:tc>
          <w:tcPr>
            <w:tcW w:w="534" w:type="dxa"/>
          </w:tcPr>
          <w:p w:rsidR="00D16A74" w:rsidRPr="0023159B" w:rsidRDefault="00D16A74" w:rsidP="007D23EF">
            <w:pPr>
              <w:pStyle w:val="ListParagraph"/>
              <w:numPr>
                <w:ilvl w:val="0"/>
                <w:numId w:val="10"/>
              </w:numPr>
              <w:ind w:left="28" w:right="28"/>
              <w:jc w:val="center"/>
              <w:rPr>
                <w:lang w:val="vi-VN"/>
              </w:rPr>
            </w:pPr>
          </w:p>
        </w:tc>
        <w:tc>
          <w:tcPr>
            <w:tcW w:w="1417" w:type="dxa"/>
          </w:tcPr>
          <w:p w:rsidR="00D16A74" w:rsidRPr="003667F0" w:rsidRDefault="00D16A74" w:rsidP="00A02376">
            <w:pPr>
              <w:ind w:left="28" w:right="28"/>
              <w:rPr>
                <w:color w:val="000000" w:themeColor="text1"/>
              </w:rPr>
            </w:pPr>
            <w:r w:rsidRPr="003667F0">
              <w:rPr>
                <w:color w:val="000000" w:themeColor="text1"/>
              </w:rPr>
              <w:t>Sửa đổi, bổ sung khoản 2 Điều 6</w:t>
            </w:r>
          </w:p>
        </w:tc>
        <w:tc>
          <w:tcPr>
            <w:tcW w:w="4287" w:type="dxa"/>
          </w:tcPr>
          <w:p w:rsidR="00D16A74" w:rsidRPr="00582710" w:rsidRDefault="00D16A74" w:rsidP="003667F0">
            <w:pPr>
              <w:ind w:left="28" w:right="28"/>
              <w:jc w:val="both"/>
              <w:rPr>
                <w:bCs/>
              </w:rPr>
            </w:pPr>
            <w:r w:rsidRPr="00582710">
              <w:rPr>
                <w:b/>
                <w:bCs/>
              </w:rPr>
              <w:t>Điều 6. Diện tích sử dụng chung</w:t>
            </w:r>
          </w:p>
          <w:p w:rsidR="00D16A74" w:rsidRPr="003667F0" w:rsidRDefault="00D16A74" w:rsidP="003667F0">
            <w:pPr>
              <w:ind w:left="28" w:right="28"/>
              <w:jc w:val="both"/>
              <w:rPr>
                <w:bCs/>
              </w:rPr>
            </w:pPr>
            <w:r w:rsidRPr="003667F0">
              <w:rPr>
                <w:bCs/>
              </w:rPr>
              <w:t>2. Diện tích sử dụng chung quy định tại khoản 1 Điều này được xác định tối đa không quá 85% tổng diện tích làm việc phục vụ công tác các chức danh của cơ quan, tổ chức và được phân bổ cho từng loại diện tích cụ thể quy định tại các điểm a, b, c, d, đ, e và g khoản 1 Điều này.</w:t>
            </w:r>
          </w:p>
          <w:p w:rsidR="00D16A74" w:rsidRPr="003667F0" w:rsidRDefault="00D16A74" w:rsidP="003667F0">
            <w:pPr>
              <w:ind w:left="28" w:right="28"/>
              <w:jc w:val="both"/>
              <w:rPr>
                <w:bCs/>
              </w:rPr>
            </w:pPr>
            <w:r w:rsidRPr="003667F0">
              <w:rPr>
                <w:bCs/>
              </w:rPr>
              <w:t>Trường hợp sau khi phân bổ cho từng loại diện tích quy định tại khoản 1 Điều này mà diện tích của các phòng/bộ phận có quy định cụ thể tại Tiêu chuẩn Xây dựng Việt Nam (công sở cơ quan hành chính nhà nước) thấp hơn so với mức tối thiểu được quy định tại Tiêu chuẩn Xây dựng Việt Nam thì được áp dụng diện tích của phòng/bộ phận đó theo mức tối thiểu quy định tại Tiêu chuẩn Xây dựng Việt Nam. Phần diện tích chênh lệch giữa diện tích được phân bổ và diện tích tối thiểu theo Tiêu chuẩn Xây dựng Việt Nam được bổ sung vào diện tích sử dụng chung của cơ quan, tổ chức.</w:t>
            </w:r>
          </w:p>
          <w:p w:rsidR="00D16A74" w:rsidRPr="003667F0" w:rsidRDefault="00D16A74" w:rsidP="0023159B">
            <w:pPr>
              <w:ind w:left="28" w:right="28"/>
              <w:jc w:val="both"/>
              <w:rPr>
                <w:bCs/>
              </w:rPr>
            </w:pPr>
          </w:p>
        </w:tc>
        <w:tc>
          <w:tcPr>
            <w:tcW w:w="5953" w:type="dxa"/>
          </w:tcPr>
          <w:p w:rsidR="00D16A74" w:rsidRPr="00582710" w:rsidRDefault="00D16A74" w:rsidP="003667F0">
            <w:pPr>
              <w:ind w:left="28" w:right="28"/>
              <w:jc w:val="both"/>
              <w:rPr>
                <w:bCs/>
              </w:rPr>
            </w:pPr>
            <w:r w:rsidRPr="00582710">
              <w:rPr>
                <w:b/>
                <w:bCs/>
              </w:rPr>
              <w:t>Điều 6. Diện tích sử dụng chung</w:t>
            </w:r>
          </w:p>
          <w:p w:rsidR="00A41568" w:rsidRPr="00A41568" w:rsidRDefault="00A41568" w:rsidP="00A41568">
            <w:pPr>
              <w:spacing w:before="60" w:after="60"/>
              <w:jc w:val="both"/>
              <w:rPr>
                <w:spacing w:val="-4"/>
              </w:rPr>
            </w:pPr>
            <w:r w:rsidRPr="00A41568">
              <w:rPr>
                <w:b/>
                <w:spacing w:val="-4"/>
                <w:lang w:val="vi-VN"/>
              </w:rPr>
              <w:t>2. Diện tích sử dụng chung quy định tại khoản 1 Điều này được xác định</w:t>
            </w:r>
            <w:r w:rsidRPr="00A41568">
              <w:rPr>
                <w:b/>
                <w:spacing w:val="-4"/>
              </w:rPr>
              <w:t xml:space="preserve"> như sau:</w:t>
            </w:r>
          </w:p>
          <w:p w:rsidR="00A41568" w:rsidRPr="00A41568" w:rsidRDefault="00A41568" w:rsidP="00A41568">
            <w:pPr>
              <w:spacing w:before="60" w:after="60"/>
              <w:jc w:val="both"/>
              <w:rPr>
                <w:lang w:val="vi-VN"/>
              </w:rPr>
            </w:pPr>
            <w:r w:rsidRPr="00A41568">
              <w:t>a) T</w:t>
            </w:r>
            <w:r w:rsidRPr="00A41568">
              <w:rPr>
                <w:lang w:val="vi-VN"/>
              </w:rPr>
              <w:t xml:space="preserve">ối đa không quá </w:t>
            </w:r>
            <w:r w:rsidRPr="00A41568">
              <w:rPr>
                <w:b/>
                <w:lang w:val="vi-VN"/>
              </w:rPr>
              <w:t xml:space="preserve">100% </w:t>
            </w:r>
            <w:r w:rsidRPr="00A41568">
              <w:rPr>
                <w:lang w:val="vi-VN"/>
              </w:rPr>
              <w:t xml:space="preserve">tổng diện tích làm việc phục vụ công tác các chức danh của cơ quan, tổ chức </w:t>
            </w:r>
            <w:r w:rsidRPr="00A41568">
              <w:rPr>
                <w:b/>
                <w:lang w:val="vi-VN"/>
              </w:rPr>
              <w:t xml:space="preserve">hoặc tổng diện tích làm việc phục vụ công tác các chức danh của các cơ quan, tổ chức trong trường hợp các cơ quan, tổ chức này được bố trí trong cùng một trụ sở làm việc, cơ sở hoạt động sự nghiệp </w:t>
            </w:r>
            <w:r w:rsidRPr="00A41568">
              <w:rPr>
                <w:lang w:val="vi-VN"/>
              </w:rPr>
              <w:t>và được phân bổ cho từng loại diện tích cụ thể quy định tại các điểm a, b, c, d, đ, e và g khoản 1 Điều này;</w:t>
            </w:r>
            <w:r w:rsidRPr="00A41568">
              <w:rPr>
                <w:b/>
                <w:lang w:val="vi-VN"/>
              </w:rPr>
              <w:t xml:space="preserve"> việc quản lý phần diện tích sử dụng chung trong trường hợp bố trí nhiều cơ quan, tổ chức trong cùng một trụ sở làm việc được thực hiện theo quy định tại </w:t>
            </w:r>
            <w:bookmarkStart w:id="3" w:name="_Hlk227436002"/>
            <w:r w:rsidRPr="00A41568">
              <w:rPr>
                <w:b/>
                <w:lang w:val="vi-VN"/>
              </w:rPr>
              <w:t xml:space="preserve">khoản </w:t>
            </w:r>
            <w:r w:rsidRPr="00A41568">
              <w:rPr>
                <w:b/>
              </w:rPr>
              <w:t>6</w:t>
            </w:r>
            <w:r w:rsidRPr="00A41568">
              <w:rPr>
                <w:b/>
                <w:lang w:val="vi-VN"/>
              </w:rPr>
              <w:t xml:space="preserve"> Điều </w:t>
            </w:r>
            <w:r w:rsidRPr="00A41568">
              <w:rPr>
                <w:b/>
              </w:rPr>
              <w:t>6</w:t>
            </w:r>
            <w:r w:rsidRPr="00A41568">
              <w:rPr>
                <w:b/>
                <w:lang w:val="vi-VN"/>
              </w:rPr>
              <w:t xml:space="preserve"> Nghị định số 186/2025/NĐ-CP ngày 01 tháng 7 năm 2025 của Chính phủ</w:t>
            </w:r>
            <w:bookmarkEnd w:id="3"/>
            <w:r w:rsidRPr="00A41568">
              <w:rPr>
                <w:lang w:val="vi-VN"/>
              </w:rPr>
              <w:t>.</w:t>
            </w:r>
          </w:p>
          <w:p w:rsidR="00D16A74" w:rsidRPr="005F7B7C" w:rsidRDefault="00A41568" w:rsidP="00A41568">
            <w:pPr>
              <w:ind w:left="28" w:right="28"/>
              <w:jc w:val="both"/>
              <w:rPr>
                <w:bCs/>
                <w:spacing w:val="-2"/>
              </w:rPr>
            </w:pPr>
            <w:r w:rsidRPr="00A41568">
              <w:t xml:space="preserve">b) </w:t>
            </w:r>
            <w:r w:rsidRPr="00A41568">
              <w:rPr>
                <w:lang w:val="vi-VN"/>
              </w:rPr>
              <w:t>Trường hợp sau khi phân bổ cho từng loại diện tích quy định tại khoản 1 Điều này mà diện tích của các phòng/bộ phận có quy định cụ thể tại Tiêu chuẩn Xây dựng Việt Nam (công sở cơ quan hành chính nhà nước) thấp hơn so với mức tối thiểu được quy định tại Tiêu chuẩn Xây dựng Việt Nam thì được áp dụng diện tích của phòng/bộ phận đó theo mức tối thiểu quy định tại Tiêu chuẩn Xây dựng Việt Nam. Phần diện tích chênh lệch giữa diện tích được phân bổ và diện tích tối thiểu theo Tiêu chuẩn Xây dựng Việt Nam được bổ sung vào diện tích sử dụng chung của cơ quan, tổ chức</w:t>
            </w:r>
            <w:r w:rsidRPr="00A41568">
              <w:t xml:space="preserve">. </w:t>
            </w:r>
            <w:r w:rsidRPr="00A41568">
              <w:rPr>
                <w:b/>
              </w:rPr>
              <w:t xml:space="preserve">Trong trường hợp này, diện tích sử dụng chung được xác định bằng (=) diện tích quy định tại điểm a khoản này cộng (+) phần diện tích chênh lệch giữa </w:t>
            </w:r>
            <w:r w:rsidRPr="00A41568">
              <w:rPr>
                <w:b/>
                <w:lang w:val="vi-VN"/>
              </w:rPr>
              <w:t>diện tích được phân bổ và diện tích tối thiểu theo Tiêu chuẩn Xây dựng Việt Nam</w:t>
            </w:r>
            <w:r w:rsidRPr="00A41568">
              <w:rPr>
                <w:b/>
              </w:rPr>
              <w:t>.</w:t>
            </w:r>
          </w:p>
        </w:tc>
        <w:tc>
          <w:tcPr>
            <w:tcW w:w="3544" w:type="dxa"/>
          </w:tcPr>
          <w:p w:rsidR="00D16A74" w:rsidRPr="003667F0" w:rsidRDefault="00D16A74" w:rsidP="008206DC">
            <w:pPr>
              <w:ind w:left="28" w:right="28"/>
              <w:jc w:val="both"/>
            </w:pPr>
            <w:r w:rsidRPr="003667F0">
              <w:rPr>
                <w:lang w:val="vi-VN"/>
              </w:rPr>
              <w:t>Để</w:t>
            </w:r>
            <w:r w:rsidRPr="003667F0">
              <w:rPr>
                <w:lang w:val="nl-NL"/>
              </w:rPr>
              <w:t xml:space="preserve"> thống nhất với quy định tại Nghị định số 186/2025/NĐ-CP và bao quát các trường hợp phát sinh thực tế (theo đề xuất của Văn phòng Trung ương Đảng tại Công văn số 837-CV/VPTW ngày 09/3/2026, của Bộ Xây dựng tại Công văn số 3669/BXD-KHTC ngày 09/3/2026 và tỉnh </w:t>
            </w:r>
            <w:r w:rsidRPr="003667F0">
              <w:rPr>
                <w:spacing w:val="-6"/>
                <w:lang w:val="nl-NL"/>
              </w:rPr>
              <w:t>Bắc Ninh tại Công văn số 1253/STC-QLGCS ngày 27/02/2026)</w:t>
            </w:r>
            <w:r w:rsidRPr="003667F0">
              <w:rPr>
                <w:spacing w:val="-6"/>
              </w:rPr>
              <w:t>.</w:t>
            </w:r>
          </w:p>
        </w:tc>
      </w:tr>
      <w:tr w:rsidR="00D16A74" w:rsidRPr="0023159B" w:rsidTr="005F7B7C">
        <w:tc>
          <w:tcPr>
            <w:tcW w:w="534" w:type="dxa"/>
          </w:tcPr>
          <w:p w:rsidR="00D16A74" w:rsidRPr="0023159B" w:rsidRDefault="00D16A74" w:rsidP="007D23EF">
            <w:pPr>
              <w:pStyle w:val="ListParagraph"/>
              <w:numPr>
                <w:ilvl w:val="0"/>
                <w:numId w:val="10"/>
              </w:numPr>
              <w:ind w:left="28" w:right="28"/>
              <w:jc w:val="center"/>
              <w:rPr>
                <w:lang w:val="vi-VN"/>
              </w:rPr>
            </w:pPr>
          </w:p>
        </w:tc>
        <w:tc>
          <w:tcPr>
            <w:tcW w:w="1417" w:type="dxa"/>
          </w:tcPr>
          <w:p w:rsidR="00D16A74" w:rsidRPr="00A02376" w:rsidRDefault="00D16A74" w:rsidP="003667F0">
            <w:pPr>
              <w:ind w:left="28" w:right="28"/>
              <w:rPr>
                <w:color w:val="000000" w:themeColor="text1"/>
              </w:rPr>
            </w:pPr>
            <w:r>
              <w:rPr>
                <w:color w:val="000000" w:themeColor="text1"/>
                <w:lang w:val="nl-NL"/>
              </w:rPr>
              <w:t>S</w:t>
            </w:r>
            <w:r w:rsidRPr="003667F0">
              <w:rPr>
                <w:color w:val="000000" w:themeColor="text1"/>
                <w:lang w:val="nl-NL"/>
              </w:rPr>
              <w:t>ửa đổi, b</w:t>
            </w:r>
            <w:r w:rsidRPr="003667F0">
              <w:rPr>
                <w:color w:val="000000" w:themeColor="text1"/>
              </w:rPr>
              <w:t xml:space="preserve">ổ sung </w:t>
            </w:r>
            <w:r w:rsidRPr="003667F0">
              <w:rPr>
                <w:color w:val="000000" w:themeColor="text1"/>
                <w:lang w:val="vi-VN"/>
              </w:rPr>
              <w:t xml:space="preserve">điểm </w:t>
            </w:r>
            <w:r w:rsidRPr="003667F0">
              <w:rPr>
                <w:color w:val="000000" w:themeColor="text1"/>
              </w:rPr>
              <w:t>a,</w:t>
            </w:r>
            <w:r>
              <w:rPr>
                <w:color w:val="000000" w:themeColor="text1"/>
              </w:rPr>
              <w:t xml:space="preserve"> đ</w:t>
            </w:r>
            <w:r w:rsidRPr="00A02376">
              <w:rPr>
                <w:color w:val="000000" w:themeColor="text1"/>
                <w:lang w:val="vi-VN"/>
              </w:rPr>
              <w:t xml:space="preserve">iểm d </w:t>
            </w:r>
            <w:r w:rsidRPr="00A02376">
              <w:rPr>
                <w:bCs/>
                <w:color w:val="000000" w:themeColor="text1"/>
                <w:lang w:val="vi-VN"/>
              </w:rPr>
              <w:t>khoản 1</w:t>
            </w:r>
            <w:r>
              <w:rPr>
                <w:bCs/>
                <w:color w:val="000000" w:themeColor="text1"/>
              </w:rPr>
              <w:t xml:space="preserve"> Điều 7</w:t>
            </w:r>
          </w:p>
        </w:tc>
        <w:tc>
          <w:tcPr>
            <w:tcW w:w="4287" w:type="dxa"/>
          </w:tcPr>
          <w:p w:rsidR="00D16A74" w:rsidRDefault="00D16A74" w:rsidP="00A02376">
            <w:pPr>
              <w:ind w:left="28" w:right="28"/>
              <w:jc w:val="both"/>
              <w:rPr>
                <w:b/>
                <w:bCs/>
                <w:iCs/>
              </w:rPr>
            </w:pPr>
            <w:r w:rsidRPr="00A02376">
              <w:rPr>
                <w:b/>
                <w:bCs/>
              </w:rPr>
              <w:t>Điều 7. Diện tích chuyên dùng</w:t>
            </w:r>
            <w:r w:rsidRPr="00A02376">
              <w:rPr>
                <w:b/>
                <w:bCs/>
                <w:iCs/>
                <w:lang w:val="vi-VN"/>
              </w:rPr>
              <w:t xml:space="preserve"> </w:t>
            </w:r>
          </w:p>
          <w:p w:rsidR="00D16A74" w:rsidRDefault="00D16A74" w:rsidP="00A02376">
            <w:pPr>
              <w:ind w:left="28" w:right="28"/>
              <w:jc w:val="both"/>
              <w:rPr>
                <w:bCs/>
              </w:rPr>
            </w:pPr>
            <w:r w:rsidRPr="00A02376">
              <w:rPr>
                <w:bCs/>
              </w:rPr>
              <w:t>1. Diện tích chuyên dùng là diện tích sử dụng để phục vụ hoạt động đặc thù của cơ quan, tổ chức, gồm:</w:t>
            </w:r>
          </w:p>
          <w:p w:rsidR="00D16A74" w:rsidRDefault="00D16A74" w:rsidP="00247BF6">
            <w:pPr>
              <w:ind w:left="28" w:right="28"/>
              <w:jc w:val="both"/>
              <w:rPr>
                <w:bCs/>
              </w:rPr>
            </w:pPr>
            <w:r w:rsidRPr="003667F0">
              <w:rPr>
                <w:bCs/>
              </w:rPr>
              <w:t>a) Diện tích sử dụng cho hoạt động kiểm sát, xét xử, hỏi cung trong trụ sở của cơ quan tư pháp; diện tích giao dịch của hệ thống ngân hàng nhà nước, kho bạc nhà nước;</w:t>
            </w:r>
          </w:p>
          <w:p w:rsidR="00D16A74" w:rsidRPr="00A02376" w:rsidRDefault="00D16A74" w:rsidP="00247BF6">
            <w:pPr>
              <w:ind w:left="28" w:right="28"/>
              <w:jc w:val="both"/>
              <w:rPr>
                <w:bCs/>
              </w:rPr>
            </w:pPr>
            <w:r>
              <w:rPr>
                <w:bCs/>
              </w:rPr>
              <w:t xml:space="preserve">d) </w:t>
            </w:r>
            <w:r w:rsidRPr="00A02376">
              <w:rPr>
                <w:bCs/>
              </w:rPr>
              <w:t xml:space="preserve">Nhà lưu trú công vụ phục vụ hoạt động nghiệp vụ </w:t>
            </w:r>
            <w:r w:rsidRPr="003667F0">
              <w:rPr>
                <w:bCs/>
              </w:rPr>
              <w:t>đặc thù của ngành,</w:t>
            </w:r>
            <w:r w:rsidRPr="00A02376">
              <w:rPr>
                <w:bCs/>
              </w:rPr>
              <w:t xml:space="preserve"> diện tích rèn luyện thể chất của cán bộ, công chức, viên chức, người lao động của cơ quan, tổ chức (nếu có);</w:t>
            </w:r>
          </w:p>
        </w:tc>
        <w:tc>
          <w:tcPr>
            <w:tcW w:w="5953" w:type="dxa"/>
          </w:tcPr>
          <w:p w:rsidR="00D16A74" w:rsidRDefault="00D16A74" w:rsidP="00410A66">
            <w:pPr>
              <w:ind w:left="28" w:right="28"/>
              <w:jc w:val="both"/>
              <w:rPr>
                <w:b/>
                <w:bCs/>
                <w:iCs/>
              </w:rPr>
            </w:pPr>
            <w:r w:rsidRPr="00A02376">
              <w:rPr>
                <w:b/>
                <w:bCs/>
              </w:rPr>
              <w:t>Điều 7. Diện tích chuyên dùng</w:t>
            </w:r>
            <w:r w:rsidRPr="00A02376">
              <w:rPr>
                <w:b/>
                <w:bCs/>
                <w:iCs/>
                <w:lang w:val="vi-VN"/>
              </w:rPr>
              <w:t xml:space="preserve"> </w:t>
            </w:r>
          </w:p>
          <w:p w:rsidR="00D16A74" w:rsidRDefault="00D16A74" w:rsidP="00A02376">
            <w:pPr>
              <w:ind w:left="28" w:right="28"/>
              <w:jc w:val="both"/>
              <w:rPr>
                <w:bCs/>
              </w:rPr>
            </w:pPr>
            <w:r w:rsidRPr="00A02376">
              <w:rPr>
                <w:bCs/>
              </w:rPr>
              <w:t>1. Diện tích chuyên dùng là diện tích sử dụng để phục vụ hoạt động đặc thù của cơ quan, tổ chức, gồm:</w:t>
            </w:r>
          </w:p>
          <w:p w:rsidR="00D16A74" w:rsidRPr="003667F0" w:rsidRDefault="00D16A74" w:rsidP="003667F0">
            <w:pPr>
              <w:ind w:left="28" w:right="28"/>
              <w:jc w:val="both"/>
              <w:rPr>
                <w:bCs/>
                <w:iCs/>
                <w:spacing w:val="-2"/>
                <w:u w:val="single"/>
                <w:lang w:val="vi-VN"/>
              </w:rPr>
            </w:pPr>
            <w:bookmarkStart w:id="4" w:name="_Hlk226797701"/>
            <w:r w:rsidRPr="003667F0">
              <w:rPr>
                <w:bCs/>
                <w:iCs/>
                <w:spacing w:val="-2"/>
                <w:lang w:val="vi-VN"/>
              </w:rPr>
              <w:t>a) Diện tích sử dụng cho hoạt động kiểm sát, xét xử, hỏi cung trong trụ sở của cơ quan tư pháp; diện tích giao dịch của hệ thống ngân hàng nhà nước, kho bạc nhà nước; phòng thí nghiệm, kho mẫu vật, khu xử lý kỹ thuật chuyên ngành</w:t>
            </w:r>
            <w:r w:rsidR="00A804F2">
              <w:rPr>
                <w:bCs/>
                <w:iCs/>
                <w:spacing w:val="-2"/>
              </w:rPr>
              <w:t>;</w:t>
            </w:r>
            <w:r w:rsidRPr="003667F0">
              <w:rPr>
                <w:bCs/>
                <w:iCs/>
                <w:spacing w:val="-2"/>
                <w:u w:val="single"/>
                <w:lang w:val="vi-VN"/>
              </w:rPr>
              <w:t xml:space="preserve"> </w:t>
            </w:r>
          </w:p>
          <w:p w:rsidR="00D16A74" w:rsidRPr="00A02376" w:rsidRDefault="00D16A74" w:rsidP="00EE7B81">
            <w:pPr>
              <w:ind w:left="28" w:right="28"/>
              <w:jc w:val="both"/>
              <w:rPr>
                <w:b/>
                <w:bCs/>
              </w:rPr>
            </w:pPr>
            <w:r w:rsidRPr="003667F0">
              <w:rPr>
                <w:bCs/>
                <w:iCs/>
                <w:spacing w:val="-2"/>
                <w:lang w:val="vi-VN"/>
              </w:rPr>
              <w:t xml:space="preserve">d) </w:t>
            </w:r>
            <w:r w:rsidRPr="003667F0">
              <w:rPr>
                <w:b/>
                <w:bCs/>
                <w:iCs/>
                <w:spacing w:val="-2"/>
                <w:lang w:val="vi-VN"/>
              </w:rPr>
              <w:t>Diện tích</w:t>
            </w:r>
            <w:r w:rsidRPr="003667F0">
              <w:rPr>
                <w:bCs/>
                <w:iCs/>
                <w:spacing w:val="-2"/>
                <w:lang w:val="vi-VN"/>
              </w:rPr>
              <w:t xml:space="preserve"> lưu trú công vụ phục vụ hoạt động nghiệp vụ đặc thù của ngành,</w:t>
            </w:r>
            <w:r w:rsidRPr="003667F0">
              <w:rPr>
                <w:bCs/>
                <w:iCs/>
                <w:spacing w:val="-2"/>
              </w:rPr>
              <w:t xml:space="preserve"> diện tích lưu trú công vụ của cán bộ, công chức, viên chức, người lao động được </w:t>
            </w:r>
            <w:r w:rsidRPr="003667F0">
              <w:rPr>
                <w:b/>
                <w:bCs/>
                <w:iCs/>
                <w:spacing w:val="-2"/>
                <w:lang w:val="vi-VN"/>
              </w:rPr>
              <w:t xml:space="preserve">điều động, luân chuyển, biệt phái </w:t>
            </w:r>
            <w:r w:rsidRPr="003667F0">
              <w:rPr>
                <w:b/>
                <w:bCs/>
                <w:iCs/>
                <w:spacing w:val="-2"/>
              </w:rPr>
              <w:t>tại cơ quan, tổ chức, đơn vị</w:t>
            </w:r>
            <w:r w:rsidR="00EE7B81">
              <w:rPr>
                <w:b/>
                <w:bCs/>
                <w:iCs/>
                <w:spacing w:val="-2"/>
              </w:rPr>
              <w:t>,</w:t>
            </w:r>
            <w:r w:rsidRPr="003667F0">
              <w:rPr>
                <w:b/>
                <w:bCs/>
                <w:iCs/>
                <w:spacing w:val="-2"/>
              </w:rPr>
              <w:t xml:space="preserve"> bao gồm cả đối tượng </w:t>
            </w:r>
            <w:r w:rsidRPr="003667F0">
              <w:rPr>
                <w:b/>
                <w:bCs/>
                <w:iCs/>
                <w:spacing w:val="-2"/>
                <w:lang w:val="vi-VN"/>
              </w:rPr>
              <w:t xml:space="preserve">được sử dụng nhà ở công vụ theo quy định pháp luật về nhà ở </w:t>
            </w:r>
            <w:r w:rsidRPr="003667F0">
              <w:rPr>
                <w:b/>
                <w:bCs/>
                <w:iCs/>
                <w:spacing w:val="-2"/>
              </w:rPr>
              <w:t xml:space="preserve">nhưng </w:t>
            </w:r>
            <w:r w:rsidRPr="003667F0">
              <w:rPr>
                <w:b/>
                <w:bCs/>
                <w:iCs/>
                <w:spacing w:val="-2"/>
                <w:lang w:val="vi-VN"/>
              </w:rPr>
              <w:t xml:space="preserve">địa phương không </w:t>
            </w:r>
            <w:r w:rsidRPr="003667F0">
              <w:rPr>
                <w:b/>
                <w:bCs/>
                <w:iCs/>
                <w:spacing w:val="-2"/>
              </w:rPr>
              <w:t xml:space="preserve">có </w:t>
            </w:r>
            <w:r w:rsidRPr="003667F0">
              <w:rPr>
                <w:b/>
                <w:bCs/>
                <w:iCs/>
                <w:spacing w:val="-2"/>
                <w:lang w:val="vi-VN"/>
              </w:rPr>
              <w:t xml:space="preserve">quỹ nhà ở công vụ </w:t>
            </w:r>
            <w:r w:rsidRPr="003667F0">
              <w:rPr>
                <w:b/>
                <w:bCs/>
                <w:iCs/>
                <w:spacing w:val="-2"/>
              </w:rPr>
              <w:t xml:space="preserve">phù hợp </w:t>
            </w:r>
            <w:r w:rsidRPr="003667F0">
              <w:rPr>
                <w:b/>
                <w:bCs/>
                <w:iCs/>
                <w:spacing w:val="-2"/>
                <w:lang w:val="vi-VN"/>
              </w:rPr>
              <w:t>để bố trí,</w:t>
            </w:r>
            <w:r w:rsidRPr="003667F0">
              <w:rPr>
                <w:bCs/>
                <w:iCs/>
                <w:spacing w:val="-2"/>
                <w:lang w:val="vi-VN"/>
              </w:rPr>
              <w:t xml:space="preserve"> diện tích rèn luyện thể chất của cán bộ, công chức, viên chức, người lao động của cơ quan, tổ chức (nếu có);</w:t>
            </w:r>
            <w:bookmarkEnd w:id="4"/>
          </w:p>
        </w:tc>
        <w:tc>
          <w:tcPr>
            <w:tcW w:w="3544" w:type="dxa"/>
          </w:tcPr>
          <w:p w:rsidR="00D16A74" w:rsidRPr="003667F0" w:rsidRDefault="00D16A74" w:rsidP="00A02376">
            <w:pPr>
              <w:ind w:left="28" w:right="28"/>
              <w:jc w:val="both"/>
            </w:pPr>
            <w:r>
              <w:t xml:space="preserve">- </w:t>
            </w:r>
            <w:r w:rsidRPr="003667F0">
              <w:rPr>
                <w:lang w:val="vi-VN"/>
              </w:rPr>
              <w:t>Để cập nhật, bổ sung phù hợp với thực tế phát sinh theo đề xuất của tỉnh Nghệ An tại Công văn số 1345/STC-QLG&amp;CS ngày 27/02/2026, Bộ Tư pháp tại Công văn s</w:t>
            </w:r>
            <w:r>
              <w:rPr>
                <w:lang w:val="vi-VN"/>
              </w:rPr>
              <w:t>ố 2180/BTP-KHTC ngày 07/4/2026</w:t>
            </w:r>
            <w:r>
              <w:t>.</w:t>
            </w:r>
          </w:p>
          <w:p w:rsidR="00D16A74" w:rsidRPr="0023159B" w:rsidRDefault="00D16A74" w:rsidP="00A02376">
            <w:pPr>
              <w:ind w:left="28" w:right="28"/>
              <w:jc w:val="both"/>
            </w:pPr>
            <w:r>
              <w:t>-</w:t>
            </w:r>
            <w:r w:rsidRPr="003667F0">
              <w:rPr>
                <w:lang w:val="vi-VN"/>
              </w:rPr>
              <w:t xml:space="preserve"> Để </w:t>
            </w:r>
            <w:r w:rsidRPr="003667F0">
              <w:rPr>
                <w:bCs/>
                <w:lang w:val="vi-VN"/>
              </w:rPr>
              <w:t xml:space="preserve">rõ đối tượng được hưởng diện tích lưu trú công vụ, bao gồm cán bộ, công chức, viên chức, người lao động được điều động, luân chuyển, biệt phái </w:t>
            </w:r>
            <w:r w:rsidRPr="003667F0">
              <w:rPr>
                <w:iCs/>
                <w:lang w:val="vi-VN"/>
              </w:rPr>
              <w:t xml:space="preserve">theo đề xuất của </w:t>
            </w:r>
            <w:r w:rsidRPr="003667F0">
              <w:rPr>
                <w:lang w:val="nl-NL"/>
              </w:rPr>
              <w:t>Kiểm toán nhà nước tại Công văn số 241/Kiểm toán nhà nước-VP ngày 27/02/2026</w:t>
            </w:r>
            <w:r>
              <w:rPr>
                <w:lang w:val="nl-NL"/>
              </w:rPr>
              <w:t>.</w:t>
            </w:r>
          </w:p>
        </w:tc>
      </w:tr>
      <w:tr w:rsidR="00D16A74" w:rsidRPr="0023159B" w:rsidTr="005F7B7C">
        <w:tc>
          <w:tcPr>
            <w:tcW w:w="534" w:type="dxa"/>
          </w:tcPr>
          <w:p w:rsidR="00D16A74" w:rsidRPr="0023159B" w:rsidRDefault="00D16A74" w:rsidP="007D23EF">
            <w:pPr>
              <w:pStyle w:val="ListParagraph"/>
              <w:numPr>
                <w:ilvl w:val="0"/>
                <w:numId w:val="10"/>
              </w:numPr>
              <w:ind w:left="28" w:right="28"/>
              <w:jc w:val="center"/>
              <w:rPr>
                <w:lang w:val="vi-VN"/>
              </w:rPr>
            </w:pPr>
          </w:p>
        </w:tc>
        <w:tc>
          <w:tcPr>
            <w:tcW w:w="1417" w:type="dxa"/>
          </w:tcPr>
          <w:p w:rsidR="00D16A74" w:rsidRDefault="00D16A74" w:rsidP="003667F0">
            <w:pPr>
              <w:ind w:left="28" w:right="28"/>
              <w:rPr>
                <w:color w:val="000000" w:themeColor="text1"/>
                <w:lang w:val="nl-NL"/>
              </w:rPr>
            </w:pPr>
            <w:r>
              <w:rPr>
                <w:color w:val="000000" w:themeColor="text1"/>
                <w:lang w:val="nl-NL"/>
              </w:rPr>
              <w:t>Sửa đổi, bổ sung khoản 2 Điều 7</w:t>
            </w:r>
          </w:p>
        </w:tc>
        <w:tc>
          <w:tcPr>
            <w:tcW w:w="4287" w:type="dxa"/>
          </w:tcPr>
          <w:p w:rsidR="00D16A74" w:rsidRDefault="00D16A74" w:rsidP="009564FC">
            <w:pPr>
              <w:ind w:left="28" w:right="28"/>
              <w:jc w:val="both"/>
              <w:rPr>
                <w:b/>
                <w:bCs/>
                <w:iCs/>
              </w:rPr>
            </w:pPr>
            <w:r w:rsidRPr="00A02376">
              <w:rPr>
                <w:b/>
                <w:bCs/>
              </w:rPr>
              <w:t>Điều 7. Diện tích chuyên dùng</w:t>
            </w:r>
            <w:r w:rsidRPr="00A02376">
              <w:rPr>
                <w:b/>
                <w:bCs/>
                <w:iCs/>
                <w:lang w:val="vi-VN"/>
              </w:rPr>
              <w:t xml:space="preserve"> </w:t>
            </w:r>
          </w:p>
          <w:p w:rsidR="00D16A74" w:rsidRPr="009564FC" w:rsidRDefault="00D16A74" w:rsidP="009564FC">
            <w:pPr>
              <w:ind w:left="28" w:right="28"/>
              <w:jc w:val="both"/>
              <w:rPr>
                <w:bCs/>
              </w:rPr>
            </w:pPr>
            <w:r w:rsidRPr="009564FC">
              <w:rPr>
                <w:bCs/>
              </w:rPr>
              <w:t>2. Căn cứ chức năng, nhiệm vụ, văn bản thể hiện nhiệm vụ đặc thù của cơ quan, tổ chức, nhu cầu sử dụng thực tế và quy định khác có liên quan, cơ quan, người có thẩm quyền quyết định tiêu chuẩn, định mức diện tích chuyên dùng, cụ thể như sau:</w:t>
            </w:r>
          </w:p>
          <w:p w:rsidR="00D16A74" w:rsidRPr="009564FC" w:rsidRDefault="00D16A74" w:rsidP="009564FC">
            <w:pPr>
              <w:ind w:left="28" w:right="28"/>
              <w:jc w:val="both"/>
              <w:rPr>
                <w:bCs/>
              </w:rPr>
            </w:pPr>
            <w:r w:rsidRPr="009564FC">
              <w:rPr>
                <w:bCs/>
              </w:rPr>
              <w:t>a) Chánh Văn phòng Trung ương Đảng quyết định hoặc phân cấp thẩm quyền quyết định đối với các cơ quan của Đảng ở trung ương;</w:t>
            </w:r>
          </w:p>
          <w:p w:rsidR="00D16A74" w:rsidRPr="009564FC" w:rsidRDefault="00D16A74" w:rsidP="009564FC">
            <w:pPr>
              <w:ind w:left="28" w:right="28"/>
              <w:jc w:val="both"/>
              <w:rPr>
                <w:bCs/>
              </w:rPr>
            </w:pPr>
            <w:r w:rsidRPr="009564FC">
              <w:rPr>
                <w:bCs/>
              </w:rPr>
              <w:t>b) Ban Thường trực Ủy ban Trung ương Mặt trận Tổ quốc Việt Nam quyết định hoặc phân cấp thẩm quyền quyết định đối với các cơ quan, tổ chức thuộc phạm vi quản lý;</w:t>
            </w:r>
          </w:p>
          <w:p w:rsidR="00D16A74" w:rsidRPr="009564FC" w:rsidRDefault="00D16A74" w:rsidP="009564FC">
            <w:pPr>
              <w:ind w:left="28" w:right="28"/>
              <w:jc w:val="both"/>
              <w:rPr>
                <w:bCs/>
              </w:rPr>
            </w:pPr>
            <w:r w:rsidRPr="009564FC">
              <w:rPr>
                <w:bCs/>
              </w:rPr>
              <w:t>c) Bộ trưởng, Thủ trưởng cơ quan ngang bộ, cơ quan thuộc Chính phủ, cơ quan khác ở trung ương (sau đây gọi là Bộ trưởng, Thủ trưởng cơ quan trung ương) quyết định hoặc phân cấp thẩm quyền quyết định đối với các cơ quan, tổ chức thuộc phạm vi quản lý;</w:t>
            </w:r>
          </w:p>
          <w:p w:rsidR="00D16A74" w:rsidRPr="009564FC" w:rsidRDefault="00D16A74" w:rsidP="009564FC">
            <w:pPr>
              <w:ind w:left="28" w:right="28"/>
              <w:jc w:val="both"/>
              <w:rPr>
                <w:bCs/>
              </w:rPr>
            </w:pPr>
            <w:r w:rsidRPr="009564FC">
              <w:rPr>
                <w:bCs/>
              </w:rPr>
              <w:t>d) Ban Thường vụ tỉnh ủy, thành ủy quyết định hoặc phân cấp thẩm quyền quyết định đối với cơ quan của Đảng ở địa phương;</w:t>
            </w:r>
          </w:p>
          <w:p w:rsidR="00D16A74" w:rsidRPr="005F7B7C" w:rsidRDefault="00D16A74" w:rsidP="005F7B7C">
            <w:pPr>
              <w:ind w:left="28" w:right="28"/>
              <w:jc w:val="both"/>
              <w:rPr>
                <w:bCs/>
              </w:rPr>
            </w:pPr>
            <w:bookmarkStart w:id="5" w:name="diem_dd_2_7"/>
            <w:r w:rsidRPr="009564FC">
              <w:rPr>
                <w:bCs/>
              </w:rPr>
              <w:t>đ) Ủy ban nhân dân các tỉnh, thành phố trực thuộc trung ương (sau đây gọi là Ủy ban nhân dân cấp tỉnh) quyết định hoặc phân cấp thẩm quyền quyết định theo</w:t>
            </w:r>
            <w:bookmarkEnd w:id="5"/>
            <w:r w:rsidRPr="009564FC">
              <w:rPr>
                <w:bCs/>
              </w:rPr>
              <w:t> </w:t>
            </w:r>
            <w:bookmarkStart w:id="6" w:name="tvpllink_aarfhuvvql_1"/>
            <w:r w:rsidRPr="009564FC">
              <w:rPr>
                <w:bCs/>
              </w:rPr>
              <w:t>Luật Tổ chức chính quyền địa phương</w:t>
            </w:r>
            <w:bookmarkEnd w:id="6"/>
            <w:r w:rsidRPr="009564FC">
              <w:rPr>
                <w:bCs/>
              </w:rPr>
              <w:t>, </w:t>
            </w:r>
            <w:bookmarkStart w:id="7" w:name="diem_dd_2_7_name"/>
            <w:r w:rsidRPr="009564FC">
              <w:rPr>
                <w:bCs/>
              </w:rPr>
              <w:t>Luật khác có liên quan đối với các cơ quan, tổ chức của địa phương; trừ trường hợp quy định tại điểm d khoản này.</w:t>
            </w:r>
            <w:bookmarkEnd w:id="7"/>
          </w:p>
        </w:tc>
        <w:tc>
          <w:tcPr>
            <w:tcW w:w="5953" w:type="dxa"/>
          </w:tcPr>
          <w:p w:rsidR="00D16A74" w:rsidRDefault="00D16A74" w:rsidP="009564FC">
            <w:pPr>
              <w:spacing w:line="276" w:lineRule="auto"/>
              <w:ind w:firstLine="34"/>
              <w:jc w:val="both"/>
              <w:rPr>
                <w:b/>
                <w:bCs/>
                <w:iCs/>
              </w:rPr>
            </w:pPr>
            <w:r w:rsidRPr="00A02376">
              <w:rPr>
                <w:b/>
                <w:bCs/>
              </w:rPr>
              <w:t>Điều 7. Diện tích chuyên dùng</w:t>
            </w:r>
            <w:r w:rsidRPr="00A02376">
              <w:rPr>
                <w:b/>
                <w:bCs/>
                <w:iCs/>
                <w:lang w:val="vi-VN"/>
              </w:rPr>
              <w:t xml:space="preserve"> </w:t>
            </w:r>
          </w:p>
          <w:p w:rsidR="00D16A74" w:rsidRPr="009564FC" w:rsidRDefault="00D16A74" w:rsidP="009564FC">
            <w:pPr>
              <w:ind w:firstLine="34"/>
              <w:jc w:val="both"/>
              <w:rPr>
                <w:color w:val="000000"/>
                <w:spacing w:val="-6"/>
              </w:rPr>
            </w:pPr>
            <w:r w:rsidRPr="009564FC">
              <w:rPr>
                <w:color w:val="000000"/>
                <w:spacing w:val="-6"/>
              </w:rPr>
              <w:t>2. Căn cứ chức năng, nhiệm vụ, văn bản thể hiện nhiệm vụ đặc thù của cơ quan, tổ chức, nhu cầu sử dụng thực tế và quy định khác có liên quan, cơ quan, người có thẩm quyền quyết định tiêu chuẩn, định mức diện tích chuyên dùng, cụ thể như sau:</w:t>
            </w:r>
          </w:p>
          <w:p w:rsidR="00D16A74" w:rsidRPr="009564FC" w:rsidRDefault="00D16A74" w:rsidP="009564FC">
            <w:pPr>
              <w:ind w:firstLine="34"/>
              <w:jc w:val="both"/>
              <w:rPr>
                <w:color w:val="000000"/>
                <w:spacing w:val="-6"/>
              </w:rPr>
            </w:pPr>
            <w:r w:rsidRPr="009564FC">
              <w:rPr>
                <w:color w:val="000000"/>
                <w:spacing w:val="-6"/>
              </w:rPr>
              <w:t>a) Chánh Văn phòng Trung ương Đảng quyết định hoặc phân cấp thẩm quyền quyết định đối với các cơ quan của Đảng ở trung ương;</w:t>
            </w:r>
          </w:p>
          <w:p w:rsidR="00D16A74" w:rsidRPr="009564FC" w:rsidRDefault="00D16A74" w:rsidP="009564FC">
            <w:pPr>
              <w:ind w:firstLine="34"/>
              <w:jc w:val="both"/>
              <w:rPr>
                <w:color w:val="000000"/>
                <w:spacing w:val="-6"/>
              </w:rPr>
            </w:pPr>
            <w:r w:rsidRPr="009564FC">
              <w:rPr>
                <w:color w:val="000000"/>
                <w:spacing w:val="-6"/>
              </w:rPr>
              <w:t xml:space="preserve">b) Ban Thường trực Ủy ban Mặt trận Tổ quốc Việt Nam quyết định hoặc phân cấp thẩm quyền quyết định đối với các cơ quan, tổ chức thuộc phạm vi quản lý </w:t>
            </w:r>
            <w:r w:rsidRPr="009564FC">
              <w:rPr>
                <w:b/>
                <w:color w:val="000000"/>
                <w:spacing w:val="-6"/>
              </w:rPr>
              <w:t>(bao gồm các tổ chức chính trị - xã hội trực thuộc Mặt trận Tổ quốc Việt Nam)</w:t>
            </w:r>
            <w:r w:rsidRPr="009564FC">
              <w:rPr>
                <w:color w:val="000000"/>
                <w:spacing w:val="-6"/>
              </w:rPr>
              <w:t>;</w:t>
            </w:r>
          </w:p>
          <w:p w:rsidR="00D16A74" w:rsidRPr="009564FC" w:rsidRDefault="00D16A74" w:rsidP="009564FC">
            <w:pPr>
              <w:ind w:firstLine="34"/>
              <w:jc w:val="both"/>
              <w:rPr>
                <w:color w:val="000000"/>
                <w:spacing w:val="-6"/>
              </w:rPr>
            </w:pPr>
            <w:r w:rsidRPr="009564FC">
              <w:rPr>
                <w:color w:val="000000"/>
                <w:spacing w:val="-6"/>
              </w:rPr>
              <w:t>c) Bộ trưởng, Thủ trưởng cơ quan ngang bộ, cơ quan thuộc Chính phủ, cơ quan khác ở trung ương (sau đây gọi là Bộ trưởng, Thủ trưởng cơ quan trung ương) quyết định hoặc phân cấp thẩm quyền quyết định đối với các cơ quan, tổ chức thuộc phạm vi quản lý;</w:t>
            </w:r>
          </w:p>
          <w:p w:rsidR="00D16A74" w:rsidRPr="009564FC" w:rsidRDefault="00D16A74" w:rsidP="009564FC">
            <w:pPr>
              <w:ind w:firstLine="34"/>
              <w:jc w:val="both"/>
              <w:rPr>
                <w:color w:val="000000"/>
              </w:rPr>
            </w:pPr>
            <w:bookmarkStart w:id="8" w:name="diem_d_2_7"/>
            <w:r w:rsidRPr="009564FC">
              <w:rPr>
                <w:color w:val="000000"/>
              </w:rPr>
              <w:t>d) Ban Thường vụ tỉnh ủy, thành ủy quyết định hoặc phân cấp thẩm quyền quyết định đối với cơ quan của Đảng ở địa phương;</w:t>
            </w:r>
            <w:bookmarkEnd w:id="8"/>
            <w:r w:rsidRPr="009564FC">
              <w:rPr>
                <w:color w:val="000000"/>
              </w:rPr>
              <w:t xml:space="preserve"> </w:t>
            </w:r>
          </w:p>
          <w:p w:rsidR="00D16A74" w:rsidRPr="009564FC" w:rsidRDefault="00D16A74" w:rsidP="009564FC">
            <w:pPr>
              <w:ind w:firstLine="34"/>
              <w:jc w:val="both"/>
              <w:rPr>
                <w:b/>
                <w:color w:val="000000"/>
                <w:spacing w:val="-2"/>
              </w:rPr>
            </w:pPr>
            <w:r w:rsidRPr="009564FC">
              <w:rPr>
                <w:b/>
                <w:color w:val="000000"/>
                <w:spacing w:val="-2"/>
              </w:rPr>
              <w:t>đ) Chánh Văn phòng Hội đồng nhân dân cấp tỉnh hoặc Chánh Văn phòng Đoàn đại biểu Quốc hội và Hội đồng nhân dân cấp tỉnh đối với địa phương hợp nhất Văn phòng Đoàn đại biểu Quốc hội và Văn phòng Hội đồng nhân dân (sau đây gọi là Chánh Văn phòng Hội đồng nhân dân cấp tỉnh) quyết định đối với Hội đồng nhân dân cấp tỉnh, cơ quan Đoàn đại biểu Quốc hội.</w:t>
            </w:r>
          </w:p>
          <w:p w:rsidR="00D16A74" w:rsidRPr="00A02376" w:rsidRDefault="00D16A74" w:rsidP="009564FC">
            <w:pPr>
              <w:ind w:left="28" w:right="28" w:firstLine="34"/>
              <w:jc w:val="both"/>
              <w:rPr>
                <w:b/>
                <w:bCs/>
              </w:rPr>
            </w:pPr>
            <w:r w:rsidRPr="009564FC">
              <w:rPr>
                <w:color w:val="000000"/>
              </w:rPr>
              <w:t xml:space="preserve">e) </w:t>
            </w:r>
            <w:r w:rsidRPr="009564FC">
              <w:rPr>
                <w:b/>
                <w:color w:val="000000"/>
              </w:rPr>
              <w:t>Chủ tịch</w:t>
            </w:r>
            <w:r w:rsidRPr="009564FC">
              <w:rPr>
                <w:color w:val="000000"/>
              </w:rPr>
              <w:t xml:space="preserve"> Ủy ban nhân dân các tỉnh, thành phố trực thuộc trung ương (sau đây gọi là </w:t>
            </w:r>
            <w:r w:rsidRPr="009564FC">
              <w:rPr>
                <w:b/>
                <w:color w:val="000000"/>
              </w:rPr>
              <w:t>Chủ tịch</w:t>
            </w:r>
            <w:r w:rsidRPr="009564FC">
              <w:rPr>
                <w:color w:val="000000"/>
              </w:rPr>
              <w:t xml:space="preserve"> Ủy </w:t>
            </w:r>
            <w:r w:rsidRPr="009564FC">
              <w:t>ban nhân dân cấp tỉnh) quyết định hoặc phân cấp thẩm quyền quyết định theo Luật Tổ chức chính quyền địa phương</w:t>
            </w:r>
            <w:r w:rsidRPr="009564FC">
              <w:rPr>
                <w:color w:val="000000"/>
              </w:rPr>
              <w:t xml:space="preserve">, Luật khác có liên quan đối với các cơ quan, tổ chức của địa phương; trừ trường hợp quy định </w:t>
            </w:r>
            <w:r w:rsidRPr="009564FC">
              <w:t xml:space="preserve">tại điểm </w:t>
            </w:r>
            <w:r w:rsidRPr="009564FC">
              <w:rPr>
                <w:b/>
              </w:rPr>
              <w:t>b,</w:t>
            </w:r>
            <w:r w:rsidRPr="009564FC">
              <w:rPr>
                <w:b/>
                <w:color w:val="000000"/>
              </w:rPr>
              <w:t xml:space="preserve"> </w:t>
            </w:r>
            <w:r w:rsidRPr="009564FC">
              <w:rPr>
                <w:color w:val="000000"/>
              </w:rPr>
              <w:t xml:space="preserve">d </w:t>
            </w:r>
            <w:r w:rsidRPr="009564FC">
              <w:rPr>
                <w:b/>
                <w:color w:val="000000"/>
              </w:rPr>
              <w:t>và đ</w:t>
            </w:r>
            <w:r w:rsidRPr="009564FC">
              <w:rPr>
                <w:color w:val="000000"/>
              </w:rPr>
              <w:t xml:space="preserve"> khoản này.</w:t>
            </w:r>
          </w:p>
        </w:tc>
        <w:tc>
          <w:tcPr>
            <w:tcW w:w="3544" w:type="dxa"/>
          </w:tcPr>
          <w:p w:rsidR="00D16A74" w:rsidRDefault="00D16A74" w:rsidP="00A02376">
            <w:pPr>
              <w:ind w:left="28" w:right="28"/>
              <w:jc w:val="both"/>
            </w:pPr>
            <w:r>
              <w:t xml:space="preserve">- </w:t>
            </w:r>
            <w:r w:rsidRPr="009564FC">
              <w:rPr>
                <w:lang w:val="vi-VN"/>
              </w:rPr>
              <w:t>Để thống nhất với thẩm quyền của Ban Thường trực Ủy ban Mặt trận Tổ quốc Việt Nam cấp tỉnh, Chánh Văn phòng Hội đồng nhân dân cấp tỉnh/Chánh Văn phòng Đoàn Đại biểu quốc hội và Hội đồng nhân dân cấp tỉnh</w:t>
            </w:r>
            <w:r>
              <w:t xml:space="preserve">, </w:t>
            </w:r>
            <w:r w:rsidRPr="009564FC">
              <w:rPr>
                <w:bCs/>
                <w:lang w:val="vi-VN"/>
              </w:rPr>
              <w:t>Chủ tịch Ủy ban nhân dân cấp tỉnh quy định tại Nghị định số 186/2025/NĐ-CP</w:t>
            </w:r>
            <w:r w:rsidRPr="009564FC">
              <w:rPr>
                <w:lang w:val="vi-VN"/>
              </w:rPr>
              <w:t xml:space="preserve"> quy định tại Nghị định số 186/2025/NĐ-CP</w:t>
            </w:r>
            <w:r>
              <w:t>.</w:t>
            </w:r>
          </w:p>
          <w:p w:rsidR="00D16A74" w:rsidRPr="009564FC" w:rsidRDefault="00D16A74" w:rsidP="00A02376">
            <w:pPr>
              <w:ind w:left="28" w:right="28"/>
              <w:jc w:val="both"/>
            </w:pPr>
          </w:p>
        </w:tc>
      </w:tr>
      <w:tr w:rsidR="00D16A74" w:rsidRPr="0023159B" w:rsidTr="005F7B7C">
        <w:tc>
          <w:tcPr>
            <w:tcW w:w="534" w:type="dxa"/>
          </w:tcPr>
          <w:p w:rsidR="00D16A74" w:rsidRPr="0023159B" w:rsidRDefault="00D16A74" w:rsidP="007D23EF">
            <w:pPr>
              <w:pStyle w:val="ListParagraph"/>
              <w:numPr>
                <w:ilvl w:val="0"/>
                <w:numId w:val="10"/>
              </w:numPr>
              <w:ind w:left="28" w:right="28"/>
              <w:jc w:val="center"/>
              <w:rPr>
                <w:lang w:val="vi-VN"/>
              </w:rPr>
            </w:pPr>
          </w:p>
        </w:tc>
        <w:tc>
          <w:tcPr>
            <w:tcW w:w="1417" w:type="dxa"/>
          </w:tcPr>
          <w:p w:rsidR="00D16A74" w:rsidRPr="00D16A74" w:rsidRDefault="00D16A74" w:rsidP="003667F0">
            <w:pPr>
              <w:ind w:left="28" w:right="28"/>
              <w:rPr>
                <w:color w:val="000000" w:themeColor="text1"/>
              </w:rPr>
            </w:pPr>
            <w:r>
              <w:rPr>
                <w:color w:val="000000" w:themeColor="text1"/>
              </w:rPr>
              <w:t xml:space="preserve">Sửa đổi </w:t>
            </w:r>
            <w:r w:rsidRPr="008806B2">
              <w:rPr>
                <w:color w:val="000000" w:themeColor="text1"/>
                <w:lang w:val="vi-VN"/>
              </w:rPr>
              <w:t>khoản 3 Điều 7</w:t>
            </w:r>
          </w:p>
        </w:tc>
        <w:tc>
          <w:tcPr>
            <w:tcW w:w="4287" w:type="dxa"/>
          </w:tcPr>
          <w:p w:rsidR="00D16A74" w:rsidRDefault="00D16A74" w:rsidP="00D16A74">
            <w:pPr>
              <w:ind w:left="28" w:right="28"/>
              <w:jc w:val="both"/>
              <w:rPr>
                <w:b/>
                <w:bCs/>
              </w:rPr>
            </w:pPr>
            <w:bookmarkStart w:id="9" w:name="dieu_7"/>
            <w:r w:rsidRPr="008806B2">
              <w:rPr>
                <w:b/>
                <w:bCs/>
              </w:rPr>
              <w:t>Điều 7. Diện tích chuyên dùng</w:t>
            </w:r>
            <w:bookmarkEnd w:id="9"/>
          </w:p>
          <w:p w:rsidR="00D16A74" w:rsidRPr="0023159B" w:rsidRDefault="00D16A74" w:rsidP="00D16A74">
            <w:pPr>
              <w:ind w:left="28" w:right="28"/>
              <w:jc w:val="both"/>
              <w:rPr>
                <w:bCs/>
              </w:rPr>
            </w:pPr>
            <w:r w:rsidRPr="008806B2">
              <w:rPr>
                <w:bCs/>
              </w:rPr>
              <w:t>3. Trường hợp bộ, cơ quan ngang bộ quản lý chuyên ngành đã quy định chi tiết hướng dẫn về tiêu chuẩn, định mức diện tích chuyên dùng thuộc lĩnh vực quản lý nhà nước thì xác định diện tích chuyên dùng căn cứ quy định chi tiết hướng dẫn của bộ, cơ quan ngang bộ quản lý chuyên ngành.</w:t>
            </w:r>
          </w:p>
        </w:tc>
        <w:tc>
          <w:tcPr>
            <w:tcW w:w="5953" w:type="dxa"/>
          </w:tcPr>
          <w:p w:rsidR="00D16A74" w:rsidRDefault="00D16A74" w:rsidP="00D16A74">
            <w:pPr>
              <w:ind w:left="28" w:right="28"/>
              <w:jc w:val="both"/>
              <w:rPr>
                <w:b/>
                <w:bCs/>
              </w:rPr>
            </w:pPr>
            <w:r w:rsidRPr="008806B2">
              <w:rPr>
                <w:b/>
                <w:bCs/>
              </w:rPr>
              <w:t>Điều 7. Diện tích chuyên dùng</w:t>
            </w:r>
          </w:p>
          <w:p w:rsidR="00D16A74" w:rsidRPr="0023159B" w:rsidRDefault="00D16A74" w:rsidP="00D16A74">
            <w:pPr>
              <w:ind w:left="28" w:right="28"/>
              <w:jc w:val="both"/>
              <w:rPr>
                <w:bCs/>
              </w:rPr>
            </w:pPr>
            <w:r w:rsidRPr="008806B2">
              <w:rPr>
                <w:bCs/>
              </w:rPr>
              <w:t>3. Trường hợp bộ, cơ quan ngang bộ quản lý chuyên ngành quy định chi tiết hướng dẫn về tiêu chuẩn, định mức diện tích chuyên dùng thuộc lĩnh vực quản lý nhà nước thì xác định diện tích chuyên dùng căn cứ quy định chi tiết hướng dẫn của bộ, cơ quan ngang bộ quản lý chuyên ngành.</w:t>
            </w:r>
          </w:p>
        </w:tc>
        <w:tc>
          <w:tcPr>
            <w:tcW w:w="3544" w:type="dxa"/>
          </w:tcPr>
          <w:p w:rsidR="00D16A74" w:rsidRPr="00D16A74" w:rsidRDefault="00D16A74" w:rsidP="00D16A74">
            <w:pPr>
              <w:ind w:left="28" w:right="28"/>
              <w:jc w:val="both"/>
              <w:rPr>
                <w:bCs/>
              </w:rPr>
            </w:pPr>
            <w:r w:rsidRPr="008806B2">
              <w:rPr>
                <w:bCs/>
                <w:lang w:val="vi-VN"/>
              </w:rPr>
              <w:t>Để tránh cách hiểu chỉ áp dụng trong trường hợp bộ, cơ quan ngang bộ quản lý chuyên ngành quy định chi tiết hướng dẫn về tiêu chuẩn, định mức diện tích chuyên dùng thuộc lĩnh vực quản lý nhà nước ban hành trước khi Nghị định số 155/2025/NĐ-CP có hiệu lực.</w:t>
            </w:r>
            <w:r w:rsidRPr="008806B2" w:rsidDel="0031158E">
              <w:rPr>
                <w:bCs/>
              </w:rPr>
              <w:t xml:space="preserve"> </w:t>
            </w:r>
          </w:p>
        </w:tc>
      </w:tr>
      <w:tr w:rsidR="00D16A74" w:rsidRPr="0023159B" w:rsidTr="005F7B7C">
        <w:tc>
          <w:tcPr>
            <w:tcW w:w="534" w:type="dxa"/>
          </w:tcPr>
          <w:p w:rsidR="00D16A74" w:rsidRPr="0023159B" w:rsidRDefault="00D16A74" w:rsidP="007D23EF">
            <w:pPr>
              <w:pStyle w:val="ListParagraph"/>
              <w:numPr>
                <w:ilvl w:val="0"/>
                <w:numId w:val="10"/>
              </w:numPr>
              <w:ind w:left="28" w:right="28"/>
              <w:jc w:val="center"/>
              <w:rPr>
                <w:lang w:val="vi-VN"/>
              </w:rPr>
            </w:pPr>
          </w:p>
        </w:tc>
        <w:tc>
          <w:tcPr>
            <w:tcW w:w="1417" w:type="dxa"/>
          </w:tcPr>
          <w:p w:rsidR="00D16A74" w:rsidRPr="003667F0" w:rsidRDefault="00D16A74" w:rsidP="00AE0621">
            <w:pPr>
              <w:ind w:left="28" w:right="28"/>
              <w:jc w:val="both"/>
              <w:rPr>
                <w:color w:val="000000" w:themeColor="text1"/>
                <w:highlight w:val="yellow"/>
              </w:rPr>
            </w:pPr>
            <w:r w:rsidRPr="008E1A24">
              <w:rPr>
                <w:color w:val="000000" w:themeColor="text1"/>
                <w:lang w:val="vi-VN"/>
              </w:rPr>
              <w:t>Bổ sung khoản 2 Điều 9</w:t>
            </w:r>
          </w:p>
        </w:tc>
        <w:tc>
          <w:tcPr>
            <w:tcW w:w="4287" w:type="dxa"/>
          </w:tcPr>
          <w:p w:rsidR="00D16A74" w:rsidRPr="008E1A24" w:rsidRDefault="00D16A74" w:rsidP="008E1A24">
            <w:pPr>
              <w:ind w:left="28" w:right="28"/>
              <w:jc w:val="both"/>
              <w:rPr>
                <w:b/>
                <w:bCs/>
              </w:rPr>
            </w:pPr>
            <w:bookmarkStart w:id="10" w:name="dieu_9"/>
            <w:r w:rsidRPr="008E1A24">
              <w:rPr>
                <w:b/>
                <w:bCs/>
              </w:rPr>
              <w:t>Điều 9. Diện tích làm việc phục vụ công tác các chức danh</w:t>
            </w:r>
            <w:bookmarkEnd w:id="10"/>
          </w:p>
          <w:p w:rsidR="00D16A74" w:rsidRPr="008E1A24" w:rsidRDefault="00D16A74" w:rsidP="008E1A24">
            <w:pPr>
              <w:ind w:left="28" w:right="28"/>
              <w:jc w:val="both"/>
              <w:rPr>
                <w:bCs/>
              </w:rPr>
            </w:pPr>
            <w:r w:rsidRPr="008E1A24">
              <w:rPr>
                <w:bCs/>
              </w:rPr>
              <w:t>2. Đối với các chức danh làm việc trong một số lĩnh vực như giảng viên, giáo viên, bác sỹ, điều dưỡng, kỹ thuật viên, hộ lý, nhà khoa học và một số chức danh khác của đơn vị thì diện tích làm việc của các chức danh này được bố trí phù hợp với tính chất công việc trong diện tích công trình sự nghiệp quy định tại </w:t>
            </w:r>
            <w:bookmarkStart w:id="11" w:name="tc_9"/>
            <w:r w:rsidRPr="008E1A24">
              <w:rPr>
                <w:bCs/>
              </w:rPr>
              <w:t>Điều 12 Nghị định này</w:t>
            </w:r>
            <w:bookmarkEnd w:id="11"/>
            <w:r w:rsidRPr="008E1A24">
              <w:rPr>
                <w:bCs/>
              </w:rPr>
              <w:t> hoặc diện tích làm việc phục vụ công tác các chức danh quy định tại khoản 1 Điều này.</w:t>
            </w:r>
          </w:p>
        </w:tc>
        <w:tc>
          <w:tcPr>
            <w:tcW w:w="5953" w:type="dxa"/>
          </w:tcPr>
          <w:p w:rsidR="00D16A74" w:rsidRPr="008E1A24" w:rsidRDefault="00D16A74" w:rsidP="008E1A24">
            <w:pPr>
              <w:ind w:left="28" w:right="28"/>
              <w:jc w:val="both"/>
              <w:rPr>
                <w:b/>
                <w:bCs/>
              </w:rPr>
            </w:pPr>
            <w:r w:rsidRPr="008E1A24">
              <w:rPr>
                <w:b/>
                <w:bCs/>
              </w:rPr>
              <w:t>Điều 9. Diện tích làm việc phục vụ công tác các chức danh</w:t>
            </w:r>
          </w:p>
          <w:p w:rsidR="00D16A74" w:rsidRPr="003667F0" w:rsidRDefault="00D16A74" w:rsidP="008E1A24">
            <w:pPr>
              <w:ind w:left="28" w:right="28"/>
              <w:jc w:val="both"/>
              <w:rPr>
                <w:bCs/>
                <w:highlight w:val="yellow"/>
              </w:rPr>
            </w:pPr>
            <w:r w:rsidRPr="008E1A24">
              <w:rPr>
                <w:bCs/>
              </w:rPr>
              <w:t>2. Đối với các chức danh làm việc trong một số lĩnh vực như giảng viên, giáo viên, bác sỹ, điều dưỡng, kỹ thuật viên, hộ lý, nhà khoa học và một số chức danh khác của đơn vị thì diện tích làm việc của các chức danh này được bố trí phù hợp với tính chất công việc trong diện tích công trình sự nghiệp quy định tại Điều 12 Nghị định này hoặc diện tích làm việc phục vụ công tác các chức danh quy định tại khoản 1 Điều này.</w:t>
            </w:r>
            <w:r w:rsidRPr="008E1A24">
              <w:rPr>
                <w:b/>
                <w:i/>
                <w:color w:val="000000" w:themeColor="text1"/>
                <w:spacing w:val="-2"/>
                <w:sz w:val="28"/>
                <w:szCs w:val="28"/>
                <w:lang w:val="nl-NL"/>
              </w:rPr>
              <w:t xml:space="preserve"> </w:t>
            </w:r>
            <w:r w:rsidRPr="008E1A24">
              <w:rPr>
                <w:b/>
                <w:bCs/>
                <w:lang w:val="nl-NL"/>
              </w:rPr>
              <w:t xml:space="preserve">Riêng chức danh, chức vụ có học hàm giáo sư hoặc phó giáo sư thì được cộng thêm </w:t>
            </w:r>
            <w:r w:rsidRPr="008E1A24">
              <w:rPr>
                <w:b/>
                <w:bCs/>
                <w:iCs/>
                <w:lang w:val="nl-NL"/>
              </w:rPr>
              <w:t>phần diện tích không quá 15% của tiêu chuẩn áp dụng đối với chức danh, chức vụ đang đảm nhiệm để phục vụ nghiên cứu tại chỗ.</w:t>
            </w:r>
          </w:p>
        </w:tc>
        <w:tc>
          <w:tcPr>
            <w:tcW w:w="3544" w:type="dxa"/>
          </w:tcPr>
          <w:p w:rsidR="00D16A74" w:rsidRPr="003667F0" w:rsidRDefault="00D16A74" w:rsidP="00447F12">
            <w:pPr>
              <w:ind w:left="28" w:right="28"/>
              <w:jc w:val="both"/>
              <w:rPr>
                <w:bCs/>
                <w:highlight w:val="yellow"/>
              </w:rPr>
            </w:pPr>
            <w:r w:rsidRPr="008E1A24">
              <w:rPr>
                <w:bCs/>
              </w:rPr>
              <w:t>Để đảm bảo bao quát các trường hợp trong thực tế theo đề xuất của Học viện Chính trị Quốc gia Hồ Chí Minh tại Công văn số 402-CV/HVCTQG ngày 27/02/2026; cụ thể: bổ sung hệ số diện tích cho các chức danh có học hàm giáo sư, phó giáo sư để phục vụ nghiên cứu tại chỗ.</w:t>
            </w:r>
          </w:p>
        </w:tc>
      </w:tr>
      <w:tr w:rsidR="00D16A74" w:rsidRPr="0023159B" w:rsidTr="005F7B7C">
        <w:tc>
          <w:tcPr>
            <w:tcW w:w="534" w:type="dxa"/>
          </w:tcPr>
          <w:p w:rsidR="00D16A74" w:rsidRPr="00BB34AF" w:rsidRDefault="00D16A74" w:rsidP="007D23EF">
            <w:pPr>
              <w:pStyle w:val="ListParagraph"/>
              <w:numPr>
                <w:ilvl w:val="0"/>
                <w:numId w:val="10"/>
              </w:numPr>
              <w:ind w:left="28" w:right="28"/>
              <w:jc w:val="center"/>
              <w:rPr>
                <w:lang w:val="vi-VN"/>
              </w:rPr>
            </w:pPr>
          </w:p>
        </w:tc>
        <w:tc>
          <w:tcPr>
            <w:tcW w:w="1417" w:type="dxa"/>
          </w:tcPr>
          <w:p w:rsidR="00D16A74" w:rsidRPr="00BB34AF" w:rsidRDefault="00D16A74" w:rsidP="00AE0621">
            <w:pPr>
              <w:ind w:left="28" w:right="28"/>
              <w:jc w:val="both"/>
              <w:rPr>
                <w:color w:val="000000" w:themeColor="text1"/>
              </w:rPr>
            </w:pPr>
            <w:r w:rsidRPr="00BB34AF">
              <w:rPr>
                <w:color w:val="000000" w:themeColor="text1"/>
              </w:rPr>
              <w:t>Sửa đổi, bổ sung khoản 2 Điều 11</w:t>
            </w:r>
          </w:p>
        </w:tc>
        <w:tc>
          <w:tcPr>
            <w:tcW w:w="4287" w:type="dxa"/>
          </w:tcPr>
          <w:p w:rsidR="00D16A74" w:rsidRPr="00BB34AF" w:rsidRDefault="00D16A74" w:rsidP="009564FC">
            <w:pPr>
              <w:jc w:val="both"/>
              <w:rPr>
                <w:b/>
                <w:color w:val="000000"/>
                <w:spacing w:val="-6"/>
                <w:szCs w:val="28"/>
              </w:rPr>
            </w:pPr>
            <w:r w:rsidRPr="00BB34AF">
              <w:rPr>
                <w:b/>
                <w:color w:val="000000"/>
                <w:spacing w:val="-6"/>
                <w:szCs w:val="28"/>
              </w:rPr>
              <w:t>Điều 11. Diện tích chuyên dùng</w:t>
            </w:r>
          </w:p>
          <w:p w:rsidR="00D16A74" w:rsidRPr="00BB34AF" w:rsidRDefault="00D16A74" w:rsidP="009564FC">
            <w:pPr>
              <w:ind w:left="28" w:right="28"/>
              <w:jc w:val="both"/>
              <w:rPr>
                <w:bCs/>
              </w:rPr>
            </w:pPr>
            <w:r w:rsidRPr="00BB34AF">
              <w:rPr>
                <w:bCs/>
              </w:rPr>
              <w:t>2. Căn cứ chức năng, nhiệm vụ, văn bản thể hiện nhiệm vụ đặc thù của đơn vị, nhu cầu sử dụng thực tế và quy định khác có liên quan, cơ quan, người có thẩm quyền quyết định tiêu chuẩn, định mức diện tích chuyên dùng, cụ thể như sau:</w:t>
            </w:r>
          </w:p>
          <w:p w:rsidR="00D16A74" w:rsidRPr="00BB34AF" w:rsidRDefault="00D16A74" w:rsidP="009564FC">
            <w:pPr>
              <w:ind w:left="28" w:right="28"/>
              <w:jc w:val="both"/>
              <w:rPr>
                <w:bCs/>
              </w:rPr>
            </w:pPr>
            <w:r w:rsidRPr="00BB34AF">
              <w:rPr>
                <w:bCs/>
              </w:rPr>
              <w:t>a) Chánh Văn phòng Trung ương Đảng quyết định hoặc phân cấp thẩm quyền quyết định đối với đơn vị sự nghiệp của Đảng ở trung ương; trừ trường hợp quy định tại điểm e khoản này;</w:t>
            </w:r>
          </w:p>
          <w:p w:rsidR="00D16A74" w:rsidRPr="00BB34AF" w:rsidRDefault="00D16A74" w:rsidP="009564FC">
            <w:pPr>
              <w:ind w:left="28" w:right="28"/>
              <w:jc w:val="both"/>
              <w:rPr>
                <w:bCs/>
              </w:rPr>
            </w:pPr>
            <w:r w:rsidRPr="00BB34AF">
              <w:rPr>
                <w:bCs/>
              </w:rPr>
              <w:t>b) Ban Thường trực Ủy ban Trung ương Mặt trận Tổ quốc Việt Nam quyết định hoặc phân cấp thẩm quyền quyết định đối với đơn vị thuộc phạm vi quản lý; trừ trường hợp quy định tại điểm e khoản này;</w:t>
            </w:r>
          </w:p>
          <w:p w:rsidR="00D16A74" w:rsidRPr="00BB34AF" w:rsidRDefault="00D16A74" w:rsidP="009564FC">
            <w:pPr>
              <w:ind w:left="28" w:right="28"/>
              <w:jc w:val="both"/>
              <w:rPr>
                <w:bCs/>
              </w:rPr>
            </w:pPr>
            <w:r w:rsidRPr="00BB34AF">
              <w:rPr>
                <w:bCs/>
              </w:rPr>
              <w:t>c) Bộ trưởng, Thủ trưởng cơ quan trung ương quyết định hoặc phân cấp thẩm quyền quyết định đối với đơn vị thuộc phạm vi quản lý; trừ trường hợp quy định tại điểm e khoản này;</w:t>
            </w:r>
          </w:p>
          <w:p w:rsidR="00D16A74" w:rsidRPr="00BB34AF" w:rsidRDefault="00D16A74" w:rsidP="009564FC">
            <w:pPr>
              <w:ind w:left="28" w:right="28"/>
              <w:jc w:val="both"/>
              <w:rPr>
                <w:bCs/>
              </w:rPr>
            </w:pPr>
            <w:r w:rsidRPr="00BB34AF">
              <w:rPr>
                <w:bCs/>
              </w:rPr>
              <w:t>d) Ban Thường vụ tỉnh ủy, thành ủy quyết định hoặc phân cấp thẩm quyền quyết định đối với đơn vị sự nghiệp của Đảng ở địa phương; trừ trường hợp quy định tại điểm e khoản này;</w:t>
            </w:r>
          </w:p>
          <w:p w:rsidR="00D16A74" w:rsidRPr="00BB34AF" w:rsidRDefault="00D16A74" w:rsidP="009564FC">
            <w:pPr>
              <w:ind w:left="28" w:right="28"/>
              <w:jc w:val="both"/>
              <w:rPr>
                <w:bCs/>
              </w:rPr>
            </w:pPr>
            <w:r w:rsidRPr="00BB34AF">
              <w:rPr>
                <w:bCs/>
              </w:rPr>
              <w:t>đ) Ủy ban nhân dân cấp tỉnh quyết định hoặc phân cấp thẩm quyền quyết định theo </w:t>
            </w:r>
            <w:bookmarkStart w:id="12" w:name="tvpllink_aarfhuvvql_2"/>
            <w:r w:rsidRPr="00BB34AF">
              <w:rPr>
                <w:bCs/>
              </w:rPr>
              <w:t>Luật Tổ chức chính quyền địa phương</w:t>
            </w:r>
            <w:bookmarkEnd w:id="12"/>
            <w:r w:rsidRPr="00BB34AF">
              <w:rPr>
                <w:bCs/>
              </w:rPr>
              <w:t>, Luật khác có liên quan đối với đơn vị của địa phương; trừ trường hợp quy định tại điểm d, điểm e khoản này;</w:t>
            </w:r>
          </w:p>
          <w:p w:rsidR="00D16A74" w:rsidRPr="00BB34AF" w:rsidRDefault="00D16A74" w:rsidP="009564FC">
            <w:pPr>
              <w:ind w:left="28" w:right="28"/>
              <w:jc w:val="both"/>
              <w:rPr>
                <w:bCs/>
              </w:rPr>
            </w:pPr>
            <w:r w:rsidRPr="00BB34AF">
              <w:rPr>
                <w:bCs/>
              </w:rPr>
              <w:t>e) Hội đồng quản lý, người đứng đầu đơn vị sự nghiệp công lập tự đảm bảo chi thường xuyên và chi đầu tư (trong trường hợp đơn vị sự nghiệp không có Hội đồng quản lý) quyết định đối với đơn vị mình.</w:t>
            </w:r>
          </w:p>
          <w:p w:rsidR="00D16A74" w:rsidRPr="00BB34AF" w:rsidRDefault="00D16A74" w:rsidP="008E1A24">
            <w:pPr>
              <w:ind w:left="28" w:right="28"/>
              <w:jc w:val="both"/>
              <w:rPr>
                <w:bCs/>
              </w:rPr>
            </w:pPr>
          </w:p>
        </w:tc>
        <w:tc>
          <w:tcPr>
            <w:tcW w:w="5953" w:type="dxa"/>
          </w:tcPr>
          <w:p w:rsidR="00D16A74" w:rsidRPr="00BB34AF" w:rsidRDefault="00D16A74" w:rsidP="009564FC">
            <w:pPr>
              <w:jc w:val="both"/>
              <w:rPr>
                <w:b/>
                <w:color w:val="000000"/>
                <w:spacing w:val="-6"/>
                <w:szCs w:val="28"/>
              </w:rPr>
            </w:pPr>
            <w:r w:rsidRPr="00BB34AF">
              <w:rPr>
                <w:b/>
                <w:color w:val="000000"/>
                <w:spacing w:val="-6"/>
                <w:szCs w:val="28"/>
              </w:rPr>
              <w:t>Điều 11. Diện tích chuyên dùng</w:t>
            </w:r>
          </w:p>
          <w:p w:rsidR="00D16A74" w:rsidRPr="005F7B7C" w:rsidRDefault="00D16A74" w:rsidP="009564FC">
            <w:pPr>
              <w:jc w:val="both"/>
              <w:rPr>
                <w:color w:val="000000"/>
                <w:szCs w:val="28"/>
              </w:rPr>
            </w:pPr>
            <w:r w:rsidRPr="005F7B7C">
              <w:rPr>
                <w:color w:val="000000"/>
                <w:szCs w:val="28"/>
              </w:rPr>
              <w:t>2. Căn cứ chức năng, nhiệm vụ, văn bản thể hiện nhiệm vụ đặc thù của đơn vị, nhu cầu sử dụng thực tế và quy định khác có liên quan, cơ quan, người có thẩm quyền quyết định tiêu chuẩn, định mức diện tích chuyên dùng, cụ thể như sau:</w:t>
            </w:r>
          </w:p>
          <w:p w:rsidR="00D16A74" w:rsidRPr="005F7B7C" w:rsidRDefault="00D16A74" w:rsidP="009564FC">
            <w:pPr>
              <w:jc w:val="both"/>
              <w:rPr>
                <w:color w:val="000000"/>
                <w:szCs w:val="28"/>
              </w:rPr>
            </w:pPr>
            <w:r w:rsidRPr="005F7B7C">
              <w:rPr>
                <w:color w:val="000000"/>
                <w:szCs w:val="28"/>
              </w:rPr>
              <w:t xml:space="preserve">a) Chánh Văn phòng Trung ương Đảng quyết định hoặc phân cấp thẩm quyền quyết định đối với các cơ quan của Đảng ở trung ương; trừ trường hợp quy định tại điểm </w:t>
            </w:r>
            <w:r w:rsidRPr="005F7B7C">
              <w:rPr>
                <w:b/>
                <w:color w:val="000000"/>
                <w:szCs w:val="28"/>
              </w:rPr>
              <w:t>g</w:t>
            </w:r>
            <w:r w:rsidRPr="005F7B7C">
              <w:rPr>
                <w:color w:val="000000"/>
                <w:szCs w:val="28"/>
              </w:rPr>
              <w:t xml:space="preserve"> khoản này;</w:t>
            </w:r>
          </w:p>
          <w:p w:rsidR="00D16A74" w:rsidRPr="005F7B7C" w:rsidRDefault="00D16A74" w:rsidP="009564FC">
            <w:pPr>
              <w:jc w:val="both"/>
              <w:rPr>
                <w:color w:val="000000"/>
                <w:szCs w:val="28"/>
              </w:rPr>
            </w:pPr>
            <w:r w:rsidRPr="005F7B7C">
              <w:rPr>
                <w:color w:val="000000"/>
                <w:szCs w:val="28"/>
              </w:rPr>
              <w:t xml:space="preserve">b) Ban Thường trực Ủy ban Mặt trận Tổ quốc Việt Nam quyết định hoặc phân cấp thẩm quyền quyết định đối với đơn vị thuộc phạm vi quản lý (bao gồm các tổ chức chính trị - xã hội trực thuộc Mặt trận Tổ quốc Việt Nam); trừ trường hợp quy định tại điểm </w:t>
            </w:r>
            <w:r w:rsidRPr="005F7B7C">
              <w:rPr>
                <w:b/>
                <w:color w:val="000000"/>
                <w:szCs w:val="28"/>
              </w:rPr>
              <w:t>g</w:t>
            </w:r>
            <w:r w:rsidRPr="005F7B7C">
              <w:rPr>
                <w:color w:val="000000"/>
                <w:szCs w:val="28"/>
              </w:rPr>
              <w:t xml:space="preserve"> khoản này;</w:t>
            </w:r>
          </w:p>
          <w:p w:rsidR="00D16A74" w:rsidRPr="005F7B7C" w:rsidRDefault="00D16A74" w:rsidP="009564FC">
            <w:pPr>
              <w:jc w:val="both"/>
              <w:rPr>
                <w:b/>
                <w:color w:val="000000"/>
                <w:szCs w:val="28"/>
              </w:rPr>
            </w:pPr>
            <w:r w:rsidRPr="005F7B7C">
              <w:rPr>
                <w:b/>
                <w:color w:val="000000"/>
                <w:szCs w:val="28"/>
              </w:rPr>
              <w:t>c) Giám đốc Học viện Chính trị quốc gia Hồ Chí Minh quyết định hoặc phân cấp thẩm quyền quyết định đối với đơn vị thuộc Học viện Chính trị quốc gia Hồ Chí Minh; trừ trường hợp quy định tại điểm g khoản này;</w:t>
            </w:r>
          </w:p>
          <w:p w:rsidR="00D16A74" w:rsidRPr="005F7B7C" w:rsidRDefault="00D16A74" w:rsidP="009564FC">
            <w:pPr>
              <w:jc w:val="both"/>
              <w:rPr>
                <w:color w:val="000000"/>
                <w:szCs w:val="28"/>
              </w:rPr>
            </w:pPr>
            <w:r w:rsidRPr="005F7B7C">
              <w:rPr>
                <w:b/>
                <w:color w:val="000000"/>
                <w:szCs w:val="28"/>
              </w:rPr>
              <w:t>d</w:t>
            </w:r>
            <w:r w:rsidRPr="005F7B7C">
              <w:rPr>
                <w:b/>
                <w:color w:val="000000"/>
                <w:spacing w:val="2"/>
                <w:szCs w:val="28"/>
              </w:rPr>
              <w:t>)</w:t>
            </w:r>
            <w:r w:rsidRPr="005F7B7C">
              <w:rPr>
                <w:color w:val="000000"/>
                <w:spacing w:val="2"/>
                <w:szCs w:val="28"/>
              </w:rPr>
              <w:t xml:space="preserve"> Bộ trưởng, Thủ trưởng cơ quan trung ương quyết định hoặc phân cấp thẩm quyền quyết định đối với đơn vị thuộc phạm vi quản lý; trừ trường hợp quy định tại điểm </w:t>
            </w:r>
            <w:r w:rsidRPr="005F7B7C">
              <w:rPr>
                <w:b/>
                <w:color w:val="000000"/>
                <w:spacing w:val="2"/>
                <w:szCs w:val="28"/>
              </w:rPr>
              <w:t>g</w:t>
            </w:r>
            <w:r w:rsidRPr="005F7B7C">
              <w:rPr>
                <w:color w:val="000000"/>
                <w:spacing w:val="2"/>
                <w:szCs w:val="28"/>
              </w:rPr>
              <w:t xml:space="preserve"> khoản này;</w:t>
            </w:r>
          </w:p>
          <w:p w:rsidR="00D16A74" w:rsidRPr="005F7B7C" w:rsidRDefault="00D16A74" w:rsidP="009564FC">
            <w:pPr>
              <w:jc w:val="both"/>
              <w:rPr>
                <w:color w:val="000000"/>
                <w:szCs w:val="28"/>
              </w:rPr>
            </w:pPr>
            <w:r w:rsidRPr="005F7B7C">
              <w:rPr>
                <w:b/>
                <w:color w:val="000000"/>
                <w:szCs w:val="28"/>
              </w:rPr>
              <w:t>đ)</w:t>
            </w:r>
            <w:r w:rsidRPr="005F7B7C">
              <w:rPr>
                <w:color w:val="000000"/>
                <w:szCs w:val="28"/>
              </w:rPr>
              <w:t xml:space="preserve"> Ban Thường vụ tỉnh ủy, thành ủy quyết định hoặc phân cấp thẩm quyền quyết định đối với đơn vị sự nghiệp của Đảng ở địa phương; trừ trường hợp quy định tại điểm </w:t>
            </w:r>
            <w:r w:rsidRPr="005F7B7C">
              <w:rPr>
                <w:b/>
                <w:color w:val="000000"/>
                <w:szCs w:val="28"/>
              </w:rPr>
              <w:t>g</w:t>
            </w:r>
            <w:r w:rsidRPr="005F7B7C">
              <w:rPr>
                <w:color w:val="000000"/>
                <w:szCs w:val="28"/>
              </w:rPr>
              <w:t xml:space="preserve"> khoản này;</w:t>
            </w:r>
          </w:p>
          <w:p w:rsidR="00D16A74" w:rsidRPr="005F7B7C" w:rsidRDefault="00D16A74" w:rsidP="009564FC">
            <w:pPr>
              <w:jc w:val="both"/>
              <w:rPr>
                <w:color w:val="000000"/>
                <w:szCs w:val="28"/>
              </w:rPr>
            </w:pPr>
            <w:r w:rsidRPr="005F7B7C">
              <w:rPr>
                <w:b/>
                <w:color w:val="000000"/>
                <w:szCs w:val="28"/>
              </w:rPr>
              <w:t>e)</w:t>
            </w:r>
            <w:r w:rsidRPr="005F7B7C">
              <w:rPr>
                <w:color w:val="000000"/>
                <w:szCs w:val="28"/>
              </w:rPr>
              <w:t xml:space="preserve"> </w:t>
            </w:r>
            <w:r w:rsidRPr="005F7B7C">
              <w:rPr>
                <w:b/>
                <w:color w:val="000000"/>
                <w:szCs w:val="28"/>
              </w:rPr>
              <w:t>Chủ tịch</w:t>
            </w:r>
            <w:r w:rsidRPr="005F7B7C">
              <w:rPr>
                <w:color w:val="000000"/>
                <w:szCs w:val="28"/>
              </w:rPr>
              <w:t xml:space="preserve"> Ủy ban nhân dân cấp tỉnh quyết định hoặc phân cấp thẩm quyền quyết định </w:t>
            </w:r>
            <w:r w:rsidRPr="005F7B7C">
              <w:rPr>
                <w:szCs w:val="28"/>
              </w:rPr>
              <w:t>theo </w:t>
            </w:r>
            <w:r w:rsidRPr="005F7B7C">
              <w:t>Luật Tổ chức chính quyền địa phương</w:t>
            </w:r>
            <w:r w:rsidRPr="005F7B7C">
              <w:rPr>
                <w:szCs w:val="28"/>
              </w:rPr>
              <w:t>,</w:t>
            </w:r>
            <w:r w:rsidRPr="005F7B7C">
              <w:rPr>
                <w:color w:val="000000"/>
                <w:szCs w:val="28"/>
              </w:rPr>
              <w:t> Luật khác có liên quan đối với đơ</w:t>
            </w:r>
            <w:r w:rsidRPr="005F7B7C">
              <w:rPr>
                <w:szCs w:val="28"/>
              </w:rPr>
              <w:t xml:space="preserve">n </w:t>
            </w:r>
            <w:r w:rsidRPr="005F7B7C">
              <w:rPr>
                <w:color w:val="000000"/>
                <w:szCs w:val="28"/>
              </w:rPr>
              <w:t xml:space="preserve">vị của địa phương; trừ trường hợp quy định tại điểm </w:t>
            </w:r>
            <w:r w:rsidRPr="005F7B7C">
              <w:rPr>
                <w:b/>
                <w:color w:val="000000"/>
                <w:szCs w:val="28"/>
              </w:rPr>
              <w:t>b, đ và g</w:t>
            </w:r>
            <w:r w:rsidRPr="005F7B7C">
              <w:rPr>
                <w:color w:val="000000"/>
                <w:szCs w:val="28"/>
              </w:rPr>
              <w:t xml:space="preserve"> khoản này;</w:t>
            </w:r>
          </w:p>
          <w:p w:rsidR="00D16A74" w:rsidRPr="005F7B7C" w:rsidRDefault="00D16A74" w:rsidP="009564FC">
            <w:pPr>
              <w:ind w:left="28" w:right="28"/>
              <w:jc w:val="both"/>
              <w:rPr>
                <w:b/>
                <w:bCs/>
                <w:spacing w:val="4"/>
              </w:rPr>
            </w:pPr>
            <w:r w:rsidRPr="005F7B7C">
              <w:rPr>
                <w:b/>
                <w:color w:val="000000"/>
                <w:spacing w:val="4"/>
                <w:szCs w:val="28"/>
              </w:rPr>
              <w:t>g)</w:t>
            </w:r>
            <w:r w:rsidRPr="005F7B7C">
              <w:rPr>
                <w:color w:val="000000"/>
                <w:spacing w:val="4"/>
                <w:szCs w:val="28"/>
              </w:rPr>
              <w:t xml:space="preserve"> Người đứng đầu đơn vị sự nghiệp công lập tự đảm bảo chi thường xuyên và chi đầu tư quyết định đối với đơn vị mình.</w:t>
            </w:r>
          </w:p>
        </w:tc>
        <w:tc>
          <w:tcPr>
            <w:tcW w:w="3544" w:type="dxa"/>
          </w:tcPr>
          <w:p w:rsidR="00D16A74" w:rsidRDefault="00D16A74" w:rsidP="00447F12">
            <w:pPr>
              <w:ind w:left="28" w:right="28"/>
              <w:jc w:val="both"/>
              <w:rPr>
                <w:bCs/>
              </w:rPr>
            </w:pPr>
            <w:r>
              <w:rPr>
                <w:bCs/>
              </w:rPr>
              <w:t xml:space="preserve">- </w:t>
            </w:r>
            <w:r w:rsidRPr="00BB34AF">
              <w:rPr>
                <w:bCs/>
                <w:lang w:val="vi-VN"/>
              </w:rPr>
              <w:t>Để thống nhất với thẩm quyền của Giám đốc Học viện Chính trị Quốc gia Hồ Chí Minh quy định tại Nghị định số 52/2026/NĐ-CP</w:t>
            </w:r>
            <w:r>
              <w:rPr>
                <w:bCs/>
              </w:rPr>
              <w:t>.</w:t>
            </w:r>
          </w:p>
          <w:p w:rsidR="00D16A74" w:rsidRDefault="00D16A74" w:rsidP="00447F12">
            <w:pPr>
              <w:ind w:left="28" w:right="28"/>
              <w:jc w:val="both"/>
              <w:rPr>
                <w:bCs/>
                <w:szCs w:val="28"/>
              </w:rPr>
            </w:pPr>
            <w:r w:rsidRPr="00BB34AF">
              <w:rPr>
                <w:bCs/>
                <w:szCs w:val="28"/>
              </w:rPr>
              <w:t xml:space="preserve">- </w:t>
            </w:r>
            <w:r w:rsidRPr="00BB34AF">
              <w:rPr>
                <w:bCs/>
                <w:szCs w:val="28"/>
                <w:lang w:val="vi-VN"/>
              </w:rPr>
              <w:t>Để thống nhất với thẩm quyền của Chủ tịch Ủy ban nhân dân cấp tỉnh quy định tại Nghị định số 186/2025/NĐ-CP</w:t>
            </w:r>
            <w:r w:rsidRPr="00BB34AF">
              <w:rPr>
                <w:bCs/>
                <w:szCs w:val="28"/>
              </w:rPr>
              <w:t>.</w:t>
            </w:r>
          </w:p>
          <w:p w:rsidR="00D16A74" w:rsidRPr="00BB34AF" w:rsidRDefault="00D16A74" w:rsidP="00447F12">
            <w:pPr>
              <w:ind w:left="28" w:right="28"/>
              <w:jc w:val="both"/>
              <w:rPr>
                <w:b/>
                <w:bCs/>
              </w:rPr>
            </w:pPr>
            <w:r>
              <w:rPr>
                <w:bCs/>
                <w:szCs w:val="28"/>
              </w:rPr>
              <w:t xml:space="preserve">- </w:t>
            </w:r>
            <w:r w:rsidRPr="002E31AB">
              <w:rPr>
                <w:szCs w:val="28"/>
              </w:rPr>
              <w:t>Để đảm bảo phù hợp với quy định của Luật Giáo dục số 125/2025/QH15.</w:t>
            </w:r>
          </w:p>
        </w:tc>
      </w:tr>
      <w:tr w:rsidR="00D16A74" w:rsidRPr="0023159B" w:rsidTr="005F7B7C">
        <w:tc>
          <w:tcPr>
            <w:tcW w:w="534" w:type="dxa"/>
          </w:tcPr>
          <w:p w:rsidR="00D16A74" w:rsidRPr="00BB34AF" w:rsidRDefault="00D16A74" w:rsidP="007D23EF">
            <w:pPr>
              <w:pStyle w:val="ListParagraph"/>
              <w:numPr>
                <w:ilvl w:val="0"/>
                <w:numId w:val="10"/>
              </w:numPr>
              <w:ind w:left="28" w:right="28"/>
              <w:jc w:val="center"/>
              <w:rPr>
                <w:lang w:val="vi-VN"/>
              </w:rPr>
            </w:pPr>
          </w:p>
        </w:tc>
        <w:tc>
          <w:tcPr>
            <w:tcW w:w="1417" w:type="dxa"/>
          </w:tcPr>
          <w:p w:rsidR="00D16A74" w:rsidRPr="00FE0C61" w:rsidRDefault="00D16A74" w:rsidP="00D16A74">
            <w:pPr>
              <w:ind w:left="28" w:right="28"/>
              <w:jc w:val="both"/>
              <w:rPr>
                <w:color w:val="000000" w:themeColor="text1"/>
              </w:rPr>
            </w:pPr>
            <w:r>
              <w:rPr>
                <w:color w:val="000000" w:themeColor="text1"/>
              </w:rPr>
              <w:t xml:space="preserve">Sửa đổi </w:t>
            </w:r>
            <w:r w:rsidRPr="008806B2">
              <w:rPr>
                <w:color w:val="000000" w:themeColor="text1"/>
                <w:lang w:val="vi-VN"/>
              </w:rPr>
              <w:t>khoản 3 Điều 11</w:t>
            </w:r>
          </w:p>
        </w:tc>
        <w:tc>
          <w:tcPr>
            <w:tcW w:w="4287" w:type="dxa"/>
          </w:tcPr>
          <w:p w:rsidR="00D16A74" w:rsidRDefault="00D16A74" w:rsidP="00D16A74">
            <w:pPr>
              <w:ind w:left="28" w:right="28"/>
              <w:jc w:val="both"/>
              <w:rPr>
                <w:b/>
                <w:bCs/>
              </w:rPr>
            </w:pPr>
            <w:r w:rsidRPr="008806B2">
              <w:rPr>
                <w:b/>
                <w:bCs/>
              </w:rPr>
              <w:t>Điều 11. Diện tích chuyên dùng</w:t>
            </w:r>
          </w:p>
          <w:p w:rsidR="00D16A74" w:rsidRPr="008806B2" w:rsidRDefault="00D16A74" w:rsidP="00D16A74">
            <w:pPr>
              <w:ind w:left="28" w:right="28"/>
              <w:jc w:val="both"/>
              <w:rPr>
                <w:bCs/>
              </w:rPr>
            </w:pPr>
            <w:r w:rsidRPr="008806B2">
              <w:rPr>
                <w:bCs/>
              </w:rPr>
              <w:t>3. Trường hợp bộ, cơ quan ngang bộ quản lý chuyên ngành đã quy định chi tiết hướng dẫn về tiêu chuẩn, định mức diện tích chuyên dùng thuộc lĩnh vực quản lý nhà nước thì xác định diện tích chuyên dùng căn cứ quy định chi tiết hướng dẫn của bộ, cơ quan ngang bộ quản lý chuyên ngành.</w:t>
            </w:r>
          </w:p>
        </w:tc>
        <w:tc>
          <w:tcPr>
            <w:tcW w:w="5953" w:type="dxa"/>
          </w:tcPr>
          <w:p w:rsidR="00D16A74" w:rsidRDefault="00D16A74" w:rsidP="00D16A74">
            <w:pPr>
              <w:ind w:left="28" w:right="28"/>
              <w:jc w:val="both"/>
              <w:rPr>
                <w:b/>
                <w:bCs/>
              </w:rPr>
            </w:pPr>
            <w:r w:rsidRPr="008806B2">
              <w:rPr>
                <w:b/>
                <w:bCs/>
              </w:rPr>
              <w:t>Điều 11. Diện tích chuyên dùng</w:t>
            </w:r>
          </w:p>
          <w:p w:rsidR="00D16A74" w:rsidRPr="008806B2" w:rsidRDefault="00D16A74" w:rsidP="00D16A74">
            <w:pPr>
              <w:ind w:left="28" w:right="28"/>
              <w:jc w:val="both"/>
              <w:rPr>
                <w:bCs/>
              </w:rPr>
            </w:pPr>
            <w:r w:rsidRPr="008806B2">
              <w:rPr>
                <w:bCs/>
              </w:rPr>
              <w:t>3. Trường hợp bộ, cơ qua</w:t>
            </w:r>
            <w:r>
              <w:rPr>
                <w:bCs/>
              </w:rPr>
              <w:t>n ngang bộ quản lý chuyên ngành</w:t>
            </w:r>
            <w:r w:rsidRPr="008806B2">
              <w:rPr>
                <w:bCs/>
              </w:rPr>
              <w:t xml:space="preserve"> quy định chi tiết hướng dẫn về tiêu chuẩn, định mức diện tích chuyên dùng thuộc lĩnh vực quản lý nhà nước thì xác định diện tích chuyên dùng căn cứ quy định chi tiết hướng dẫn của bộ, cơ quan ngang bộ quản lý chuyên ngành.</w:t>
            </w:r>
          </w:p>
        </w:tc>
        <w:tc>
          <w:tcPr>
            <w:tcW w:w="3544" w:type="dxa"/>
          </w:tcPr>
          <w:p w:rsidR="00D16A74" w:rsidRPr="00FE0C61" w:rsidRDefault="00D16A74" w:rsidP="00D16A74">
            <w:pPr>
              <w:ind w:left="28" w:right="28"/>
              <w:jc w:val="both"/>
              <w:rPr>
                <w:bCs/>
              </w:rPr>
            </w:pPr>
            <w:r w:rsidRPr="008806B2">
              <w:rPr>
                <w:bCs/>
                <w:lang w:val="vi-VN"/>
              </w:rPr>
              <w:t>Để tránh cách hiểu chỉ áp dụng trong trường hợp bộ, cơ quan ngang bộ quản lý chuyên ngành quy định chi tiết hướng dẫn về tiêu chuẩn, định mức diện tích chuyên dùng thuộc lĩnh vực quản lý nhà nước ban hành trước khi Nghị định số 155/2025/NĐ-CP có hiệu lực.</w:t>
            </w:r>
            <w:r w:rsidRPr="008806B2" w:rsidDel="0031158E">
              <w:rPr>
                <w:bCs/>
              </w:rPr>
              <w:t xml:space="preserve"> </w:t>
            </w:r>
          </w:p>
        </w:tc>
      </w:tr>
      <w:tr w:rsidR="00D16A74" w:rsidRPr="0023159B" w:rsidTr="005F7B7C">
        <w:trPr>
          <w:trHeight w:val="693"/>
        </w:trPr>
        <w:tc>
          <w:tcPr>
            <w:tcW w:w="534" w:type="dxa"/>
          </w:tcPr>
          <w:p w:rsidR="00D16A74" w:rsidRPr="0023159B" w:rsidRDefault="00D16A74" w:rsidP="007D23EF">
            <w:pPr>
              <w:pStyle w:val="ListParagraph"/>
              <w:numPr>
                <w:ilvl w:val="0"/>
                <w:numId w:val="10"/>
              </w:numPr>
              <w:ind w:left="28" w:right="28"/>
              <w:jc w:val="center"/>
              <w:rPr>
                <w:lang w:val="vi-VN"/>
              </w:rPr>
            </w:pPr>
          </w:p>
        </w:tc>
        <w:tc>
          <w:tcPr>
            <w:tcW w:w="1417" w:type="dxa"/>
          </w:tcPr>
          <w:p w:rsidR="00D16A74" w:rsidRPr="00D16A74" w:rsidRDefault="00D16A74" w:rsidP="00D16A74">
            <w:pPr>
              <w:ind w:left="28" w:right="28"/>
              <w:jc w:val="both"/>
              <w:rPr>
                <w:color w:val="000000" w:themeColor="text1"/>
              </w:rPr>
            </w:pPr>
            <w:r>
              <w:rPr>
                <w:color w:val="000000" w:themeColor="text1"/>
              </w:rPr>
              <w:t xml:space="preserve">Bổ sung </w:t>
            </w:r>
            <w:r w:rsidRPr="00447F12">
              <w:rPr>
                <w:color w:val="000000" w:themeColor="text1"/>
                <w:lang w:val="vi-VN"/>
              </w:rPr>
              <w:t xml:space="preserve">khoản </w:t>
            </w:r>
            <w:r>
              <w:rPr>
                <w:color w:val="000000" w:themeColor="text1"/>
              </w:rPr>
              <w:t>4</w:t>
            </w:r>
            <w:r w:rsidRPr="00447F12">
              <w:rPr>
                <w:color w:val="000000" w:themeColor="text1"/>
                <w:lang w:val="vi-VN"/>
              </w:rPr>
              <w:t xml:space="preserve"> Điều 11</w:t>
            </w:r>
          </w:p>
        </w:tc>
        <w:tc>
          <w:tcPr>
            <w:tcW w:w="4287" w:type="dxa"/>
          </w:tcPr>
          <w:p w:rsidR="00D16A74" w:rsidRDefault="00D16A74" w:rsidP="00447F12">
            <w:pPr>
              <w:ind w:left="28" w:right="28"/>
              <w:jc w:val="both"/>
              <w:rPr>
                <w:b/>
                <w:bCs/>
              </w:rPr>
            </w:pPr>
            <w:bookmarkStart w:id="13" w:name="dieu_11"/>
            <w:r w:rsidRPr="004C7F90">
              <w:rPr>
                <w:b/>
                <w:bCs/>
              </w:rPr>
              <w:t>Điều 11. Diện tích chuyên dùng</w:t>
            </w:r>
            <w:bookmarkEnd w:id="13"/>
          </w:p>
          <w:p w:rsidR="00D16A74" w:rsidRPr="0023159B" w:rsidRDefault="00D16A74" w:rsidP="00447F12">
            <w:pPr>
              <w:ind w:left="28" w:right="28"/>
              <w:jc w:val="both"/>
              <w:rPr>
                <w:bCs/>
              </w:rPr>
            </w:pPr>
            <w:r w:rsidRPr="004C7F90">
              <w:rPr>
                <w:bCs/>
              </w:rPr>
              <w:t xml:space="preserve">4. Quyết định tiêu chuẩn, định mức diện </w:t>
            </w:r>
            <w:r w:rsidRPr="005F7B7C">
              <w:rPr>
                <w:bCs/>
                <w:spacing w:val="-2"/>
              </w:rPr>
              <w:t>tích chuyên dùng quy định tại khoản 2 Điều này được công khai trên Cổng thông tin điện tử của Văn phòng Trung ương Đảng, Ủy ban Trung ương Mặt trận Tổ quốc Việt Nam, bộ, cơ quan trung ương, tỉnh, thành phố trực thuộc trung ương.</w:t>
            </w:r>
          </w:p>
        </w:tc>
        <w:tc>
          <w:tcPr>
            <w:tcW w:w="5953" w:type="dxa"/>
          </w:tcPr>
          <w:p w:rsidR="00D16A74" w:rsidRDefault="00D16A74" w:rsidP="004C7F90">
            <w:pPr>
              <w:ind w:left="28" w:right="28"/>
              <w:jc w:val="both"/>
              <w:rPr>
                <w:b/>
                <w:bCs/>
              </w:rPr>
            </w:pPr>
            <w:r w:rsidRPr="004C7F90">
              <w:rPr>
                <w:b/>
                <w:bCs/>
              </w:rPr>
              <w:t>Điều 11. Diện tích chuyên dùng</w:t>
            </w:r>
          </w:p>
          <w:p w:rsidR="00D16A74" w:rsidRPr="0023159B" w:rsidRDefault="00D16A74" w:rsidP="004C7F90">
            <w:pPr>
              <w:ind w:left="28" w:right="28"/>
              <w:jc w:val="both"/>
              <w:rPr>
                <w:bCs/>
              </w:rPr>
            </w:pPr>
            <w:r w:rsidRPr="004C7F90">
              <w:rPr>
                <w:bCs/>
              </w:rPr>
              <w:t xml:space="preserve">4. Quyết định tiêu chuẩn, định mức diện tích chuyên dùng quy định tại khoản 2 Điều này được công khai trên Cổng thông tin điện tử của Văn phòng Trung ương Đảng, Ủy ban Trung ương Mặt trận Tổ quốc Việt Nam, </w:t>
            </w:r>
            <w:r w:rsidRPr="004C7F90">
              <w:rPr>
                <w:b/>
                <w:bCs/>
                <w:lang w:val="vi-VN"/>
              </w:rPr>
              <w:t>Học viện Chính trị quốc gia Hồ Chí Minh,</w:t>
            </w:r>
            <w:r w:rsidRPr="004C7F90">
              <w:rPr>
                <w:b/>
                <w:bCs/>
              </w:rPr>
              <w:t xml:space="preserve"> </w:t>
            </w:r>
            <w:r w:rsidRPr="004C7F90">
              <w:rPr>
                <w:bCs/>
              </w:rPr>
              <w:t>bộ, cơ quan trung ương, tỉnh, thành phố trực thuộc trung ương.</w:t>
            </w:r>
          </w:p>
        </w:tc>
        <w:tc>
          <w:tcPr>
            <w:tcW w:w="3544" w:type="dxa"/>
          </w:tcPr>
          <w:p w:rsidR="00D16A74" w:rsidRPr="00D16A74" w:rsidRDefault="00D16A74" w:rsidP="00447F12">
            <w:pPr>
              <w:ind w:left="28" w:right="28"/>
              <w:jc w:val="both"/>
              <w:rPr>
                <w:bCs/>
              </w:rPr>
            </w:pPr>
            <w:r w:rsidRPr="004C7F90">
              <w:rPr>
                <w:bCs/>
                <w:lang w:val="vi-VN"/>
              </w:rPr>
              <w:t>Để phù hợp với thẩm quyền được bổ sung tại khoản 2 Điều 11 Nghị định số 155/2025/NĐ-CP và đề xuất của Học viện Chính trị Quốc gia Hồ Chí Minh tại Công văn số 402-CV/HVCTQG ngày 27/02/2026</w:t>
            </w:r>
            <w:r>
              <w:rPr>
                <w:bCs/>
              </w:rPr>
              <w:t>.</w:t>
            </w:r>
          </w:p>
        </w:tc>
      </w:tr>
      <w:tr w:rsidR="00D16A74" w:rsidRPr="0023159B" w:rsidTr="005F7B7C">
        <w:tc>
          <w:tcPr>
            <w:tcW w:w="534" w:type="dxa"/>
          </w:tcPr>
          <w:p w:rsidR="00D16A74" w:rsidRPr="0023159B" w:rsidRDefault="00D16A74" w:rsidP="007D23EF">
            <w:pPr>
              <w:pStyle w:val="ListParagraph"/>
              <w:numPr>
                <w:ilvl w:val="0"/>
                <w:numId w:val="10"/>
              </w:numPr>
              <w:ind w:left="28" w:right="28"/>
              <w:jc w:val="center"/>
              <w:rPr>
                <w:lang w:val="vi-VN"/>
              </w:rPr>
            </w:pPr>
          </w:p>
        </w:tc>
        <w:tc>
          <w:tcPr>
            <w:tcW w:w="1417" w:type="dxa"/>
          </w:tcPr>
          <w:p w:rsidR="00D16A74" w:rsidRDefault="00D16A74" w:rsidP="00BB34AF">
            <w:pPr>
              <w:ind w:left="28" w:right="28"/>
              <w:jc w:val="both"/>
              <w:rPr>
                <w:color w:val="000000" w:themeColor="text1"/>
              </w:rPr>
            </w:pPr>
            <w:r>
              <w:rPr>
                <w:color w:val="000000" w:themeColor="text1"/>
              </w:rPr>
              <w:t xml:space="preserve">Bổ sung </w:t>
            </w:r>
            <w:r w:rsidRPr="008E1A24">
              <w:rPr>
                <w:color w:val="000000" w:themeColor="text1"/>
                <w:lang w:val="vi-VN"/>
              </w:rPr>
              <w:t>điểm b khoản 1 Điều 12</w:t>
            </w:r>
          </w:p>
        </w:tc>
        <w:tc>
          <w:tcPr>
            <w:tcW w:w="4287" w:type="dxa"/>
          </w:tcPr>
          <w:p w:rsidR="00D16A74" w:rsidRPr="008E1A24" w:rsidRDefault="00D16A74" w:rsidP="00BB34AF">
            <w:pPr>
              <w:tabs>
                <w:tab w:val="left" w:pos="1515"/>
              </w:tabs>
            </w:pPr>
            <w:bookmarkStart w:id="14" w:name="dieu_12"/>
            <w:r w:rsidRPr="008E1A24">
              <w:rPr>
                <w:b/>
                <w:bCs/>
              </w:rPr>
              <w:t>Điều 12. Diện tích công trình sự nghiệp</w:t>
            </w:r>
            <w:bookmarkEnd w:id="14"/>
          </w:p>
          <w:p w:rsidR="00D16A74" w:rsidRPr="008E1A24" w:rsidRDefault="00D16A74" w:rsidP="00BB34AF">
            <w:pPr>
              <w:tabs>
                <w:tab w:val="left" w:pos="1515"/>
              </w:tabs>
            </w:pPr>
            <w:r w:rsidRPr="008E1A24">
              <w:t>1. Diện tích công trình sự nghiệp gồm:</w:t>
            </w:r>
          </w:p>
          <w:p w:rsidR="00D16A74" w:rsidRPr="008E1A24" w:rsidRDefault="00D16A74" w:rsidP="00BB34AF">
            <w:pPr>
              <w:tabs>
                <w:tab w:val="left" w:pos="1515"/>
              </w:tabs>
            </w:pPr>
            <w:bookmarkStart w:id="15" w:name="diem_b_1_12"/>
            <w:r w:rsidRPr="008E1A24">
              <w:t>b) Diện tích công trình sự nghiệp khác ngoài diện tích công trình sự nghiệp quy định tại điểm a khoản này, gồm: diện tích công trình sự nghiệp trong lĩnh vực văn hóa, thể thao và du lịch, thông tin, truyền thông, khoa học, công nghệ và đổi mới sáng tạo, ngoại giao, nông nghiệp và môi trường và các lĩnh vực khác.</w:t>
            </w:r>
            <w:bookmarkEnd w:id="15"/>
          </w:p>
        </w:tc>
        <w:tc>
          <w:tcPr>
            <w:tcW w:w="5953" w:type="dxa"/>
          </w:tcPr>
          <w:p w:rsidR="00D16A74" w:rsidRPr="008E1A24" w:rsidRDefault="00D16A74" w:rsidP="00BB34AF">
            <w:pPr>
              <w:tabs>
                <w:tab w:val="left" w:pos="1515"/>
              </w:tabs>
            </w:pPr>
            <w:r w:rsidRPr="008E1A24">
              <w:rPr>
                <w:b/>
                <w:bCs/>
              </w:rPr>
              <w:t>Điều 12. Diện tích công trình sự nghiệp</w:t>
            </w:r>
          </w:p>
          <w:p w:rsidR="00D16A74" w:rsidRPr="008E1A24" w:rsidRDefault="00D16A74" w:rsidP="00BB34AF">
            <w:pPr>
              <w:tabs>
                <w:tab w:val="left" w:pos="1515"/>
              </w:tabs>
            </w:pPr>
            <w:r w:rsidRPr="008E1A24">
              <w:t>1. Diện tích công trình sự nghiệp gồm:</w:t>
            </w:r>
          </w:p>
          <w:p w:rsidR="00D16A74" w:rsidRPr="00447F12" w:rsidRDefault="00D16A74" w:rsidP="00BB34AF">
            <w:pPr>
              <w:ind w:left="28" w:right="28"/>
              <w:jc w:val="both"/>
              <w:rPr>
                <w:b/>
                <w:bCs/>
              </w:rPr>
            </w:pPr>
            <w:r w:rsidRPr="008E1A24">
              <w:t>b) Diện tích công trình sự nghiệp khác ngoài diện tích công trình sự nghiệp quy định tại điểm a khoản này, gồm: diện tích công trình sự nghiệp trong lĩnh vực văn hóa, thể thao và du lịch, thông tin, truyền thông, khoa học, công nghệ và đổi mới sáng tạo, ngoại giao, nông nghiệp và môi trường</w:t>
            </w:r>
            <w:r w:rsidRPr="004C7F90">
              <w:rPr>
                <w:b/>
                <w:lang w:val="nl-NL"/>
              </w:rPr>
              <w:t>,</w:t>
            </w:r>
            <w:r>
              <w:rPr>
                <w:b/>
              </w:rPr>
              <w:t xml:space="preserve"> đ</w:t>
            </w:r>
            <w:r w:rsidRPr="004C7F90">
              <w:rPr>
                <w:b/>
                <w:lang w:val="vi-VN"/>
              </w:rPr>
              <w:t xml:space="preserve">iểm trực, điểm chốt </w:t>
            </w:r>
            <w:r w:rsidRPr="004C7F90">
              <w:rPr>
                <w:b/>
                <w:lang w:val="nl-NL"/>
              </w:rPr>
              <w:t>bảo vệ tài sản</w:t>
            </w:r>
            <w:r w:rsidRPr="004C7F90">
              <w:rPr>
                <w:b/>
              </w:rPr>
              <w:t xml:space="preserve"> </w:t>
            </w:r>
            <w:r w:rsidRPr="008E1A24">
              <w:t>và các lĩnh vực khác.</w:t>
            </w:r>
          </w:p>
        </w:tc>
        <w:tc>
          <w:tcPr>
            <w:tcW w:w="3544" w:type="dxa"/>
          </w:tcPr>
          <w:p w:rsidR="00D16A74" w:rsidRPr="00D16A74" w:rsidRDefault="00D16A74" w:rsidP="00BB34AF">
            <w:pPr>
              <w:ind w:left="28" w:right="28"/>
              <w:jc w:val="both"/>
              <w:rPr>
                <w:bCs/>
              </w:rPr>
            </w:pPr>
            <w:r w:rsidRPr="004C7F90">
              <w:rPr>
                <w:bCs/>
                <w:lang w:val="vi-VN"/>
              </w:rPr>
              <w:t>Để cập nhật, bổ sung phù hợp với thực tế phát sinh theo đề xuất của tỉnh Quảng Ninh tại Công văn số 1798/BC-STC ngày 27/02/2026</w:t>
            </w:r>
            <w:r>
              <w:rPr>
                <w:bCs/>
              </w:rPr>
              <w:t>.</w:t>
            </w:r>
          </w:p>
        </w:tc>
      </w:tr>
      <w:tr w:rsidR="00D16A74" w:rsidRPr="0023159B" w:rsidTr="005F7B7C">
        <w:tc>
          <w:tcPr>
            <w:tcW w:w="534" w:type="dxa"/>
          </w:tcPr>
          <w:p w:rsidR="00D16A74" w:rsidRPr="0023159B" w:rsidRDefault="00D16A74" w:rsidP="007D23EF">
            <w:pPr>
              <w:pStyle w:val="ListParagraph"/>
              <w:numPr>
                <w:ilvl w:val="0"/>
                <w:numId w:val="10"/>
              </w:numPr>
              <w:ind w:left="28" w:right="28"/>
              <w:jc w:val="center"/>
              <w:rPr>
                <w:lang w:val="vi-VN"/>
              </w:rPr>
            </w:pPr>
          </w:p>
        </w:tc>
        <w:tc>
          <w:tcPr>
            <w:tcW w:w="1417" w:type="dxa"/>
          </w:tcPr>
          <w:p w:rsidR="00D16A74" w:rsidRPr="00FE0C61" w:rsidRDefault="00D16A74" w:rsidP="004C7F90">
            <w:pPr>
              <w:ind w:left="28" w:right="28"/>
              <w:jc w:val="both"/>
              <w:rPr>
                <w:color w:val="000000" w:themeColor="text1"/>
              </w:rPr>
            </w:pPr>
            <w:r>
              <w:rPr>
                <w:color w:val="000000" w:themeColor="text1"/>
              </w:rPr>
              <w:t xml:space="preserve">Bổ sung </w:t>
            </w:r>
            <w:r w:rsidRPr="004C7F90">
              <w:rPr>
                <w:color w:val="000000" w:themeColor="text1"/>
                <w:lang w:val="vi-VN"/>
              </w:rPr>
              <w:t>điểm b, điểm c khoản 2, khoản 3 Điều 12</w:t>
            </w:r>
          </w:p>
        </w:tc>
        <w:tc>
          <w:tcPr>
            <w:tcW w:w="4287" w:type="dxa"/>
          </w:tcPr>
          <w:p w:rsidR="00D16A74" w:rsidRDefault="00D16A74" w:rsidP="00241083">
            <w:pPr>
              <w:ind w:left="28" w:right="28"/>
              <w:jc w:val="both"/>
              <w:rPr>
                <w:b/>
                <w:bCs/>
              </w:rPr>
            </w:pPr>
            <w:r w:rsidRPr="004C7F90">
              <w:rPr>
                <w:b/>
                <w:bCs/>
              </w:rPr>
              <w:t>Điều 12. Diện tích công trình sự nghiệp</w:t>
            </w:r>
          </w:p>
          <w:p w:rsidR="00D16A74" w:rsidRPr="004C7F90" w:rsidRDefault="00D16A74" w:rsidP="004C7F90">
            <w:pPr>
              <w:ind w:left="28" w:right="28"/>
              <w:jc w:val="both"/>
              <w:rPr>
                <w:bCs/>
              </w:rPr>
            </w:pPr>
            <w:bookmarkStart w:id="16" w:name="khoan_2_12"/>
            <w:r w:rsidRPr="004C7F90">
              <w:rPr>
                <w:bCs/>
              </w:rPr>
              <w:t>2. Diện tích công trình sự nghiệp quy định tại điểm a khoản 1 Điều này</w:t>
            </w:r>
            <w:bookmarkEnd w:id="16"/>
          </w:p>
          <w:p w:rsidR="00D16A74" w:rsidRPr="004C7F90" w:rsidRDefault="00D16A74" w:rsidP="004C7F90">
            <w:pPr>
              <w:ind w:left="28" w:right="28"/>
              <w:jc w:val="both"/>
              <w:rPr>
                <w:bCs/>
              </w:rPr>
            </w:pPr>
            <w:bookmarkStart w:id="17" w:name="diem_b_2_12"/>
            <w:r w:rsidRPr="004C7F90">
              <w:rPr>
                <w:bCs/>
              </w:rPr>
              <w:t>b) Căn cứ quy định chi tiết hướng dẫn của Bộ trưởng Bộ Y tế, Bộ trưởng Bộ Giáo dục và Đào tạo tại điểm a khoản này, cơ quan, người có thẩm quyền quy định tại</w:t>
            </w:r>
            <w:bookmarkEnd w:id="17"/>
            <w:r w:rsidRPr="004C7F90">
              <w:rPr>
                <w:bCs/>
              </w:rPr>
              <w:t> </w:t>
            </w:r>
            <w:bookmarkStart w:id="18" w:name="tc_12"/>
            <w:r w:rsidRPr="004C7F90">
              <w:rPr>
                <w:bCs/>
              </w:rPr>
              <w:t>khoản 2 Điều 11 Nghị định này</w:t>
            </w:r>
            <w:bookmarkEnd w:id="18"/>
            <w:r w:rsidRPr="004C7F90">
              <w:rPr>
                <w:bCs/>
              </w:rPr>
              <w:t> </w:t>
            </w:r>
            <w:bookmarkStart w:id="19" w:name="diem_b_2_12_name"/>
            <w:r w:rsidRPr="004C7F90">
              <w:rPr>
                <w:bCs/>
              </w:rPr>
              <w:t>quyết định tiêu chuẩn, định mức diện tích công trình sự nghiệp trong lĩnh vực y tế, giáo dục và đào tạo của các đơn vị quy định tại</w:t>
            </w:r>
            <w:bookmarkEnd w:id="19"/>
            <w:r w:rsidRPr="004C7F90">
              <w:rPr>
                <w:bCs/>
              </w:rPr>
              <w:t> </w:t>
            </w:r>
            <w:bookmarkStart w:id="20" w:name="tc_13"/>
            <w:r w:rsidRPr="004C7F90">
              <w:rPr>
                <w:bCs/>
              </w:rPr>
              <w:t>khoản 2 Điều 11 Nghị định này</w:t>
            </w:r>
            <w:bookmarkEnd w:id="20"/>
            <w:r w:rsidRPr="004C7F90">
              <w:rPr>
                <w:bCs/>
              </w:rPr>
              <w:t>;</w:t>
            </w:r>
          </w:p>
          <w:p w:rsidR="00D16A74" w:rsidRPr="004C7F90" w:rsidRDefault="00D16A74" w:rsidP="004C7F90">
            <w:pPr>
              <w:ind w:left="28" w:right="28"/>
              <w:jc w:val="both"/>
              <w:rPr>
                <w:bCs/>
              </w:rPr>
            </w:pPr>
            <w:r w:rsidRPr="004C7F90">
              <w:rPr>
                <w:bCs/>
              </w:rPr>
              <w:t>c) Trường hợp Bộ trưởng Bộ Y tế, Bộ trưởng Bộ Giáo dục và Đào tạo chưa quy định chi tiết hướng dẫn hoặc chưa quy định chi tiết hướng dẫn đầy đủ theo quy định tại điểm a khoản này, cơ quan, người có thẩm quyền quy định tại </w:t>
            </w:r>
            <w:bookmarkStart w:id="21" w:name="tc_14"/>
            <w:r w:rsidRPr="004C7F90">
              <w:rPr>
                <w:bCs/>
              </w:rPr>
              <w:t>khoản 2 Điều 11 Nghị định này</w:t>
            </w:r>
            <w:bookmarkEnd w:id="21"/>
            <w:r w:rsidRPr="004C7F90">
              <w:rPr>
                <w:bCs/>
              </w:rPr>
              <w:t> quyết định tiêu chuẩn, định mức diện tích công trình sự nghiệp trong lĩnh vực y tế, giáo dục và đào tạo của các đơn vị quy định tại </w:t>
            </w:r>
            <w:bookmarkStart w:id="22" w:name="tc_15"/>
            <w:r w:rsidRPr="004C7F90">
              <w:rPr>
                <w:bCs/>
              </w:rPr>
              <w:t>khoản 2 Điều 11 Nghị định này</w:t>
            </w:r>
            <w:bookmarkEnd w:id="22"/>
            <w:r w:rsidRPr="004C7F90">
              <w:rPr>
                <w:bCs/>
              </w:rPr>
              <w:t>. Sau khi Bộ trưởng Bộ Y tế, Bộ trưởng Bộ Giáo dục và Đào tạo quy định chi tiết hướng dẫn tại điểm a khoản này, cơ quan, người có thẩm quyền quy định tại </w:t>
            </w:r>
            <w:bookmarkStart w:id="23" w:name="tc_16"/>
            <w:r w:rsidRPr="004C7F90">
              <w:rPr>
                <w:bCs/>
              </w:rPr>
              <w:t>khoản 2 Điều 11 Nghị định này</w:t>
            </w:r>
            <w:bookmarkEnd w:id="23"/>
            <w:r w:rsidRPr="004C7F90">
              <w:rPr>
                <w:bCs/>
              </w:rPr>
              <w:t> rà soát để ban hành mới hoặc thay thế hoặc sửa đổi, bổ sung quyết định tiêu chuẩn, định mức diện tích công trình sự nghiệp trong lĩnh vực y tế, giáo dục và đào tạo của các đơn vị quy định tại </w:t>
            </w:r>
            <w:bookmarkStart w:id="24" w:name="tc_17"/>
            <w:r w:rsidRPr="004C7F90">
              <w:rPr>
                <w:bCs/>
              </w:rPr>
              <w:t>khoản 2 Điều 11 Nghị định này</w:t>
            </w:r>
            <w:bookmarkEnd w:id="24"/>
            <w:r w:rsidRPr="004C7F90">
              <w:rPr>
                <w:bCs/>
              </w:rPr>
              <w:t> cho phù hợp với quy định chi tiết hướng dẫn của Bộ trưởng Bộ Y tế, Bộ trưởng Bộ Giáo dục và Đào tạo.</w:t>
            </w:r>
          </w:p>
          <w:p w:rsidR="00D16A74" w:rsidRPr="004C7F90" w:rsidRDefault="00D16A74" w:rsidP="004C7F90">
            <w:pPr>
              <w:ind w:left="28" w:right="28"/>
              <w:jc w:val="both"/>
              <w:rPr>
                <w:bCs/>
              </w:rPr>
            </w:pPr>
            <w:bookmarkStart w:id="25" w:name="khoan_3_12"/>
            <w:r w:rsidRPr="004C7F90">
              <w:rPr>
                <w:bCs/>
              </w:rPr>
              <w:t>3. Diện tích công trình sự nghiệp khác quy định tại điểm b khoản 1 Điều này</w:t>
            </w:r>
            <w:bookmarkEnd w:id="25"/>
          </w:p>
          <w:p w:rsidR="00D16A74" w:rsidRPr="0023159B" w:rsidRDefault="00D16A74" w:rsidP="004C7F90">
            <w:pPr>
              <w:ind w:left="28" w:right="28"/>
              <w:jc w:val="both"/>
              <w:rPr>
                <w:bCs/>
              </w:rPr>
            </w:pPr>
            <w:r w:rsidRPr="004C7F90">
              <w:rPr>
                <w:bCs/>
              </w:rPr>
              <w:t>Căn cứ quy định về chức năng, nhiệm vụ, hoạt động đặc thù của đơn vị và các quy định khác có liên quan, cơ quan, người có thẩm quyền quy định tại </w:t>
            </w:r>
            <w:bookmarkStart w:id="26" w:name="tc_18"/>
            <w:r w:rsidRPr="004C7F90">
              <w:rPr>
                <w:bCs/>
              </w:rPr>
              <w:t>khoản 2 Điều 11 Nghị định này</w:t>
            </w:r>
            <w:bookmarkEnd w:id="26"/>
            <w:r w:rsidRPr="004C7F90">
              <w:rPr>
                <w:bCs/>
              </w:rPr>
              <w:t> quyết định tiêu chuẩn, định mức diện tích công trình sự nghiệp khác của các đơn vị quy định tại </w:t>
            </w:r>
            <w:bookmarkStart w:id="27" w:name="tc_19"/>
            <w:r w:rsidRPr="004C7F90">
              <w:rPr>
                <w:bCs/>
              </w:rPr>
              <w:t>khoản 2 Điều 11 Nghị định này</w:t>
            </w:r>
            <w:bookmarkEnd w:id="27"/>
            <w:r w:rsidRPr="004C7F90">
              <w:rPr>
                <w:bCs/>
              </w:rPr>
              <w:t>.</w:t>
            </w:r>
          </w:p>
        </w:tc>
        <w:tc>
          <w:tcPr>
            <w:tcW w:w="5953" w:type="dxa"/>
          </w:tcPr>
          <w:p w:rsidR="00D16A74" w:rsidRDefault="00D16A74" w:rsidP="004C7F90">
            <w:pPr>
              <w:ind w:left="28" w:right="28"/>
              <w:jc w:val="both"/>
              <w:rPr>
                <w:b/>
                <w:bCs/>
              </w:rPr>
            </w:pPr>
            <w:r w:rsidRPr="004C7F90">
              <w:rPr>
                <w:b/>
                <w:bCs/>
              </w:rPr>
              <w:t>Điều 12. Diện tích công trình sự nghiệp</w:t>
            </w:r>
          </w:p>
          <w:p w:rsidR="00D16A74" w:rsidRPr="004C7F90" w:rsidRDefault="00D16A74" w:rsidP="004C7F90">
            <w:pPr>
              <w:ind w:left="28" w:right="28"/>
              <w:jc w:val="both"/>
              <w:rPr>
                <w:bCs/>
              </w:rPr>
            </w:pPr>
            <w:r w:rsidRPr="004C7F90">
              <w:rPr>
                <w:bCs/>
              </w:rPr>
              <w:t>2. Diện tích công trình sự nghiệp quy định tại điểm a khoản 1 Điều này</w:t>
            </w:r>
          </w:p>
          <w:p w:rsidR="00D16A74" w:rsidRPr="004C7F90" w:rsidRDefault="00D16A74" w:rsidP="004C7F90">
            <w:pPr>
              <w:ind w:left="28" w:right="28"/>
              <w:jc w:val="both"/>
              <w:rPr>
                <w:bCs/>
              </w:rPr>
            </w:pPr>
            <w:r w:rsidRPr="004C7F90">
              <w:rPr>
                <w:bCs/>
              </w:rPr>
              <w:t>b) Căn cứ quy định chi tiết hướng dẫn của Bộ trưởng Bộ Y tế, Bộ trưởng Bộ Giáo dục và Đào tạo tại điểm a khoản này, cơ quan, người có thẩm quyền quy định</w:t>
            </w:r>
            <w:r>
              <w:rPr>
                <w:bCs/>
              </w:rPr>
              <w:t xml:space="preserve"> </w:t>
            </w:r>
            <w:r w:rsidRPr="004C7F90">
              <w:rPr>
                <w:bCs/>
              </w:rPr>
              <w:t>tại khoản 2 Điều 11 Nghị định này </w:t>
            </w:r>
            <w:r w:rsidRPr="004C7F90">
              <w:rPr>
                <w:b/>
                <w:color w:val="000000" w:themeColor="text1"/>
                <w:spacing w:val="-2"/>
                <w:szCs w:val="28"/>
                <w:lang w:val="vi-VN"/>
              </w:rPr>
              <w:t>(bao gồm cơ quan, người được phân cấp thẩm quyền quyết định)</w:t>
            </w:r>
            <w:r w:rsidRPr="004C7F90">
              <w:rPr>
                <w:bCs/>
                <w:sz w:val="22"/>
              </w:rPr>
              <w:t xml:space="preserve"> </w:t>
            </w:r>
            <w:r w:rsidRPr="004C7F90">
              <w:rPr>
                <w:bCs/>
              </w:rPr>
              <w:t>quyết định tiêu chuẩn, định mức diện tích công trình sự nghiệp trong lĩnh vực y tế, giáo dục và đào tạo của các đơn vị quy định tại khoản 2 Điều 11 Nghị định này</w:t>
            </w:r>
            <w:r>
              <w:rPr>
                <w:bCs/>
              </w:rPr>
              <w:t xml:space="preserve"> </w:t>
            </w:r>
            <w:r w:rsidRPr="004C7F90">
              <w:rPr>
                <w:b/>
                <w:color w:val="000000" w:themeColor="text1"/>
                <w:spacing w:val="-2"/>
                <w:szCs w:val="28"/>
                <w:lang w:val="vi-VN"/>
              </w:rPr>
              <w:t>(bao gồm cơ quan, người được phân cấp thẩm quyền quyết định)</w:t>
            </w:r>
            <w:r w:rsidRPr="004C7F90">
              <w:rPr>
                <w:bCs/>
              </w:rPr>
              <w:t>;</w:t>
            </w:r>
          </w:p>
          <w:p w:rsidR="00D16A74" w:rsidRPr="004C7F90" w:rsidRDefault="00D16A74" w:rsidP="004C7F90">
            <w:pPr>
              <w:ind w:left="28" w:right="28"/>
              <w:jc w:val="both"/>
              <w:rPr>
                <w:bCs/>
              </w:rPr>
            </w:pPr>
            <w:r w:rsidRPr="004C7F90">
              <w:rPr>
                <w:bCs/>
              </w:rPr>
              <w:t>c) Trường hợp Bộ trưởng Bộ Y tế, Bộ trưởng Bộ Giáo dục và Đào tạo chưa quy định chi tiết hướng dẫn hoặc chưa quy định chi tiết hướng dẫn đầy đủ theo quy định tại điểm a khoản này, cơ quan, người có thẩm quyền quy định tại khoản 2 Điều 11 Nghị định này</w:t>
            </w:r>
            <w:r>
              <w:rPr>
                <w:bCs/>
              </w:rPr>
              <w:t xml:space="preserve"> </w:t>
            </w:r>
            <w:r w:rsidRPr="004C7F90">
              <w:rPr>
                <w:b/>
                <w:color w:val="000000" w:themeColor="text1"/>
                <w:spacing w:val="-2"/>
                <w:szCs w:val="28"/>
                <w:lang w:val="vi-VN"/>
              </w:rPr>
              <w:t>(bao gồm cơ quan, người được phân cấp thẩm quyền quyết định)</w:t>
            </w:r>
            <w:r w:rsidRPr="004C7F90">
              <w:rPr>
                <w:bCs/>
              </w:rPr>
              <w:t> quyết định tiêu chuẩn, định mức diện tích công trình sự nghiệp trong lĩnh vực y tế, giáo dục và đào tạo của các đơn vị quy định tại khoản 2 Điều 11 Nghị định này</w:t>
            </w:r>
            <w:r>
              <w:rPr>
                <w:bCs/>
              </w:rPr>
              <w:t xml:space="preserve"> </w:t>
            </w:r>
            <w:r w:rsidRPr="004C7F90">
              <w:rPr>
                <w:b/>
                <w:color w:val="000000" w:themeColor="text1"/>
                <w:spacing w:val="-2"/>
                <w:szCs w:val="28"/>
                <w:lang w:val="vi-VN"/>
              </w:rPr>
              <w:t>(bao gồm cơ quan, người được phân cấp thẩm quyền quyết định)</w:t>
            </w:r>
            <w:r w:rsidRPr="004C7F90">
              <w:rPr>
                <w:bCs/>
              </w:rPr>
              <w:t xml:space="preserve">. Sau khi Bộ trưởng Bộ Y tế, Bộ trưởng Bộ Giáo dục và Đào tạo quy định chi tiết hướng dẫn tại điểm a khoản này, cơ quan, người có thẩm quyền quy định tại khoản 2 Điều 11 Nghị định này rà </w:t>
            </w:r>
            <w:r w:rsidRPr="004C7F90">
              <w:rPr>
                <w:b/>
                <w:color w:val="000000" w:themeColor="text1"/>
                <w:spacing w:val="-2"/>
                <w:szCs w:val="28"/>
                <w:lang w:val="vi-VN"/>
              </w:rPr>
              <w:t>(bao gồm cơ quan, người được phân cấp thẩm quyền quyết định)</w:t>
            </w:r>
            <w:r w:rsidRPr="004C7F90">
              <w:rPr>
                <w:bCs/>
                <w:sz w:val="22"/>
              </w:rPr>
              <w:t xml:space="preserve"> </w:t>
            </w:r>
            <w:r w:rsidRPr="004C7F90">
              <w:rPr>
                <w:bCs/>
              </w:rPr>
              <w:t>soát để ban hành mới hoặc thay thế hoặc sửa đổi, bổ sung quyết định tiêu chuẩn, định mức diện tích công trình sự nghiệp trong lĩnh vực y tế, giáo dục và đào tạo của các đơn vị quy định tại khoản 2 Điều 11 Nghị định này </w:t>
            </w:r>
            <w:r w:rsidRPr="004C7F90">
              <w:rPr>
                <w:b/>
                <w:color w:val="000000" w:themeColor="text1"/>
                <w:spacing w:val="-2"/>
                <w:szCs w:val="28"/>
                <w:lang w:val="vi-VN"/>
              </w:rPr>
              <w:t>(bao gồm cơ quan, người được phân cấp thẩm quyền quyết định)</w:t>
            </w:r>
            <w:r w:rsidRPr="004C7F90">
              <w:rPr>
                <w:bCs/>
                <w:sz w:val="22"/>
              </w:rPr>
              <w:t xml:space="preserve"> </w:t>
            </w:r>
            <w:r w:rsidRPr="004C7F90">
              <w:rPr>
                <w:bCs/>
              </w:rPr>
              <w:t>cho phù hợp với quy định chi tiết hướng dẫn của Bộ trưởng Bộ Y tế, Bộ trưởng Bộ Giáo dục và Đào tạo.</w:t>
            </w:r>
          </w:p>
          <w:p w:rsidR="00D16A74" w:rsidRPr="004C7F90" w:rsidRDefault="00D16A74" w:rsidP="004C7F90">
            <w:pPr>
              <w:ind w:left="28" w:right="28"/>
              <w:jc w:val="both"/>
              <w:rPr>
                <w:bCs/>
              </w:rPr>
            </w:pPr>
            <w:r w:rsidRPr="004C7F90">
              <w:rPr>
                <w:bCs/>
              </w:rPr>
              <w:t>3. Diện tích công trình sự nghiệp khác quy định tại điểm b khoản 1 Điều này</w:t>
            </w:r>
          </w:p>
          <w:p w:rsidR="00D16A74" w:rsidRPr="00447F12" w:rsidRDefault="00D16A74" w:rsidP="004C7F90">
            <w:pPr>
              <w:ind w:left="28" w:right="28"/>
              <w:jc w:val="both"/>
              <w:rPr>
                <w:bCs/>
              </w:rPr>
            </w:pPr>
            <w:r w:rsidRPr="004C7F90">
              <w:rPr>
                <w:bCs/>
              </w:rPr>
              <w:t>Căn cứ quy định về chức năng, nhiệm vụ, hoạt động đặc thù của đơn vị và các quy định khác có liên quan, cơ quan, người có thẩm quyền quy định tại khoản 2 Điều 11 Nghị định này </w:t>
            </w:r>
            <w:r w:rsidRPr="004C7F90">
              <w:rPr>
                <w:b/>
                <w:color w:val="000000" w:themeColor="text1"/>
                <w:spacing w:val="-2"/>
                <w:szCs w:val="28"/>
                <w:lang w:val="vi-VN"/>
              </w:rPr>
              <w:t>(bao gồm cơ quan, người được phân cấp thẩm quyền quyết định)</w:t>
            </w:r>
            <w:r w:rsidRPr="004C7F90">
              <w:rPr>
                <w:bCs/>
                <w:sz w:val="22"/>
              </w:rPr>
              <w:t xml:space="preserve"> </w:t>
            </w:r>
            <w:r w:rsidRPr="004C7F90">
              <w:rPr>
                <w:bCs/>
              </w:rPr>
              <w:t>quyết định tiêu chuẩn, định mức diện tích công trình sự nghiệp khác của các đơn vị quy định tại khoản 2 Điều 11 Nghị định này</w:t>
            </w:r>
            <w:r>
              <w:rPr>
                <w:bCs/>
              </w:rPr>
              <w:t xml:space="preserve"> </w:t>
            </w:r>
            <w:r w:rsidRPr="004C7F90">
              <w:rPr>
                <w:b/>
                <w:color w:val="000000" w:themeColor="text1"/>
                <w:spacing w:val="-2"/>
                <w:szCs w:val="28"/>
                <w:lang w:val="vi-VN"/>
              </w:rPr>
              <w:t>(bao gồm cơ quan, người được phân cấp thẩm quyền quyết định)</w:t>
            </w:r>
            <w:r w:rsidRPr="004C7F90">
              <w:rPr>
                <w:bCs/>
              </w:rPr>
              <w:t>.</w:t>
            </w:r>
          </w:p>
        </w:tc>
        <w:tc>
          <w:tcPr>
            <w:tcW w:w="3544" w:type="dxa"/>
          </w:tcPr>
          <w:p w:rsidR="00D16A74" w:rsidRPr="004C7F90" w:rsidRDefault="00D16A74" w:rsidP="00241083">
            <w:pPr>
              <w:ind w:left="28" w:right="28"/>
              <w:jc w:val="both"/>
              <w:rPr>
                <w:bCs/>
              </w:rPr>
            </w:pPr>
            <w:r w:rsidRPr="004C7F90">
              <w:rPr>
                <w:bCs/>
                <w:lang w:val="vi-VN"/>
              </w:rPr>
              <w:t xml:space="preserve">Để </w:t>
            </w:r>
            <w:r w:rsidRPr="004C7F90">
              <w:rPr>
                <w:bCs/>
              </w:rPr>
              <w:t>làm rõ việc phân cấp thẩm quyền cũng được áp dụng đối với việc quyết định tiêu chuẩn, định mức diện tích công trình sự nghiệp</w:t>
            </w:r>
            <w:r>
              <w:rPr>
                <w:bCs/>
              </w:rPr>
              <w:t>.</w:t>
            </w:r>
          </w:p>
        </w:tc>
      </w:tr>
      <w:tr w:rsidR="00B77307" w:rsidRPr="0023159B" w:rsidTr="005F7B7C">
        <w:tc>
          <w:tcPr>
            <w:tcW w:w="534" w:type="dxa"/>
          </w:tcPr>
          <w:p w:rsidR="00B77307" w:rsidRPr="0023159B" w:rsidRDefault="00B77307" w:rsidP="007D23EF">
            <w:pPr>
              <w:pStyle w:val="ListParagraph"/>
              <w:numPr>
                <w:ilvl w:val="0"/>
                <w:numId w:val="10"/>
              </w:numPr>
              <w:ind w:left="28" w:right="28"/>
              <w:jc w:val="center"/>
              <w:rPr>
                <w:lang w:val="vi-VN"/>
              </w:rPr>
            </w:pPr>
          </w:p>
        </w:tc>
        <w:tc>
          <w:tcPr>
            <w:tcW w:w="1417" w:type="dxa"/>
          </w:tcPr>
          <w:p w:rsidR="00B77307" w:rsidRPr="00B77307" w:rsidRDefault="00B77307" w:rsidP="00DD6BAE">
            <w:pPr>
              <w:ind w:left="28" w:right="28"/>
              <w:jc w:val="both"/>
              <w:rPr>
                <w:color w:val="000000" w:themeColor="text1"/>
              </w:rPr>
            </w:pPr>
            <w:r>
              <w:rPr>
                <w:color w:val="000000" w:themeColor="text1"/>
              </w:rPr>
              <w:t xml:space="preserve">Bổ sung </w:t>
            </w:r>
            <w:r w:rsidRPr="00447F12">
              <w:rPr>
                <w:color w:val="000000" w:themeColor="text1"/>
                <w:lang w:val="vi-VN"/>
              </w:rPr>
              <w:t xml:space="preserve">khoản </w:t>
            </w:r>
            <w:r>
              <w:rPr>
                <w:color w:val="000000" w:themeColor="text1"/>
              </w:rPr>
              <w:t>4</w:t>
            </w:r>
            <w:r w:rsidRPr="00447F12">
              <w:rPr>
                <w:color w:val="000000" w:themeColor="text1"/>
                <w:lang w:val="vi-VN"/>
              </w:rPr>
              <w:t xml:space="preserve"> Điều 1</w:t>
            </w:r>
            <w:r>
              <w:rPr>
                <w:color w:val="000000" w:themeColor="text1"/>
              </w:rPr>
              <w:t>2</w:t>
            </w:r>
          </w:p>
        </w:tc>
        <w:tc>
          <w:tcPr>
            <w:tcW w:w="4287" w:type="dxa"/>
          </w:tcPr>
          <w:p w:rsidR="00B77307" w:rsidRDefault="00B77307" w:rsidP="00DD6BAE">
            <w:pPr>
              <w:ind w:left="28" w:right="28"/>
              <w:jc w:val="both"/>
              <w:rPr>
                <w:b/>
                <w:bCs/>
              </w:rPr>
            </w:pPr>
            <w:r w:rsidRPr="004C7F90">
              <w:rPr>
                <w:b/>
                <w:bCs/>
              </w:rPr>
              <w:t>Điều 12. Diện tích công trình sự nghiệp</w:t>
            </w:r>
          </w:p>
          <w:p w:rsidR="00B77307" w:rsidRPr="0023159B" w:rsidRDefault="00B77307" w:rsidP="00DD6BAE">
            <w:pPr>
              <w:ind w:left="28" w:right="28"/>
              <w:jc w:val="both"/>
              <w:rPr>
                <w:bCs/>
              </w:rPr>
            </w:pPr>
            <w:r w:rsidRPr="00B77307">
              <w:rPr>
                <w:bCs/>
              </w:rPr>
              <w:t>4. Quyết định tiêu chuẩn, định mức diện tích công trình sự nghiệp quy định tại các khoản 2, khoản 3 Điều này được công khai trên Cổng thông tin điện tử của Văn phòng Trung ương Đảng, Ủy ban Trung ương Mặt trận Tổ quốc Việt Nam, bộ, cơ quan trung ương, tỉnh, thành phố trực thuộc trung ương.</w:t>
            </w:r>
          </w:p>
        </w:tc>
        <w:tc>
          <w:tcPr>
            <w:tcW w:w="5953" w:type="dxa"/>
          </w:tcPr>
          <w:p w:rsidR="00B77307" w:rsidRDefault="00B77307" w:rsidP="00DD6BAE">
            <w:pPr>
              <w:ind w:left="28" w:right="28"/>
              <w:jc w:val="both"/>
              <w:rPr>
                <w:b/>
                <w:bCs/>
              </w:rPr>
            </w:pPr>
            <w:r w:rsidRPr="004C7F90">
              <w:rPr>
                <w:b/>
                <w:bCs/>
              </w:rPr>
              <w:t>Điều 12. Diện tích công trình sự nghiệp</w:t>
            </w:r>
          </w:p>
          <w:p w:rsidR="00B77307" w:rsidRPr="0023159B" w:rsidRDefault="00B77307" w:rsidP="00DD6BAE">
            <w:pPr>
              <w:ind w:left="28" w:right="28"/>
              <w:jc w:val="both"/>
              <w:rPr>
                <w:bCs/>
              </w:rPr>
            </w:pPr>
            <w:r w:rsidRPr="004C7F90">
              <w:rPr>
                <w:bCs/>
              </w:rPr>
              <w:t xml:space="preserve">4. </w:t>
            </w:r>
            <w:r w:rsidRPr="00B77307">
              <w:rPr>
                <w:bCs/>
              </w:rPr>
              <w:t>Quyết định tiêu chuẩn, định mức diện tích công trình sự nghiệp quy định tại các khoản 2, khoản 3 Điều này được công khai trên Cổng thông tin điện tử của Văn phòng Trung ương Đảng, Ủy ban Trung ương Mặt trận Tổ quốc Việt Nam</w:t>
            </w:r>
            <w:r w:rsidRPr="004C7F90">
              <w:rPr>
                <w:bCs/>
              </w:rPr>
              <w:t xml:space="preserve">, </w:t>
            </w:r>
            <w:r w:rsidRPr="004C7F90">
              <w:rPr>
                <w:b/>
                <w:bCs/>
                <w:lang w:val="vi-VN"/>
              </w:rPr>
              <w:t>Học viện Chính trị quốc gia Hồ Chí Minh,</w:t>
            </w:r>
            <w:r w:rsidRPr="004C7F90">
              <w:rPr>
                <w:b/>
                <w:bCs/>
              </w:rPr>
              <w:t xml:space="preserve"> </w:t>
            </w:r>
            <w:r w:rsidRPr="004C7F90">
              <w:rPr>
                <w:bCs/>
              </w:rPr>
              <w:t>bộ, cơ quan trung ương, tỉnh, thành phố trực thuộc trung ương.</w:t>
            </w:r>
          </w:p>
        </w:tc>
        <w:tc>
          <w:tcPr>
            <w:tcW w:w="3544" w:type="dxa"/>
          </w:tcPr>
          <w:p w:rsidR="00B77307" w:rsidRPr="00D16A74" w:rsidRDefault="00B77307" w:rsidP="00DD6BAE">
            <w:pPr>
              <w:ind w:left="28" w:right="28"/>
              <w:jc w:val="both"/>
              <w:rPr>
                <w:bCs/>
              </w:rPr>
            </w:pPr>
            <w:r w:rsidRPr="004C7F90">
              <w:rPr>
                <w:bCs/>
                <w:lang w:val="vi-VN"/>
              </w:rPr>
              <w:t>Để phù hợp với thẩm quyền được bổ sung tại khoản 2 Điều 11 Nghị định số 155/2025/NĐ-CP và đề xuất của Học viện Chính trị Quốc gia Hồ Chí Minh tại Công văn số 402-CV/HVCTQG ngày 27/02/2026</w:t>
            </w:r>
            <w:r>
              <w:rPr>
                <w:bCs/>
              </w:rPr>
              <w:t>.</w:t>
            </w:r>
          </w:p>
        </w:tc>
      </w:tr>
      <w:tr w:rsidR="00B77307" w:rsidRPr="0023159B" w:rsidTr="005F7B7C">
        <w:tc>
          <w:tcPr>
            <w:tcW w:w="534" w:type="dxa"/>
          </w:tcPr>
          <w:p w:rsidR="00B77307" w:rsidRPr="0023159B" w:rsidRDefault="00B77307" w:rsidP="007D23EF">
            <w:pPr>
              <w:pStyle w:val="ListParagraph"/>
              <w:numPr>
                <w:ilvl w:val="0"/>
                <w:numId w:val="10"/>
              </w:numPr>
              <w:ind w:left="28" w:right="28"/>
              <w:jc w:val="center"/>
              <w:rPr>
                <w:lang w:val="vi-VN"/>
              </w:rPr>
            </w:pPr>
          </w:p>
        </w:tc>
        <w:tc>
          <w:tcPr>
            <w:tcW w:w="1417" w:type="dxa"/>
          </w:tcPr>
          <w:p w:rsidR="00B77307" w:rsidRPr="00D16A74" w:rsidRDefault="00B77307" w:rsidP="00D16A74">
            <w:pPr>
              <w:ind w:left="28" w:right="28"/>
              <w:jc w:val="both"/>
              <w:rPr>
                <w:color w:val="000000" w:themeColor="text1"/>
              </w:rPr>
            </w:pPr>
            <w:r>
              <w:rPr>
                <w:color w:val="000000" w:themeColor="text1"/>
              </w:rPr>
              <w:t xml:space="preserve">Bổ sung </w:t>
            </w:r>
            <w:r w:rsidRPr="004C7F90">
              <w:rPr>
                <w:color w:val="000000" w:themeColor="text1"/>
                <w:lang w:val="vi-VN"/>
              </w:rPr>
              <w:t>khoản 1 Điều 13</w:t>
            </w:r>
          </w:p>
        </w:tc>
        <w:tc>
          <w:tcPr>
            <w:tcW w:w="4287" w:type="dxa"/>
          </w:tcPr>
          <w:p w:rsidR="00B77307" w:rsidRPr="004C7F90" w:rsidRDefault="00B77307" w:rsidP="00D16A74">
            <w:pPr>
              <w:ind w:left="28" w:right="28"/>
              <w:jc w:val="both"/>
              <w:rPr>
                <w:b/>
                <w:bCs/>
              </w:rPr>
            </w:pPr>
            <w:bookmarkStart w:id="28" w:name="dieu_13"/>
            <w:r w:rsidRPr="004C7F90">
              <w:rPr>
                <w:b/>
                <w:bCs/>
              </w:rPr>
              <w:t>Điều 13. Điều khoản thi hành</w:t>
            </w:r>
            <w:bookmarkEnd w:id="28"/>
          </w:p>
          <w:p w:rsidR="00B77307" w:rsidRPr="004C7F90" w:rsidRDefault="00B77307" w:rsidP="00D16A74">
            <w:pPr>
              <w:ind w:left="28" w:right="28"/>
              <w:jc w:val="both"/>
              <w:rPr>
                <w:bCs/>
              </w:rPr>
            </w:pPr>
            <w:r w:rsidRPr="004C7F90">
              <w:rPr>
                <w:bCs/>
              </w:rPr>
              <w:t>1. Nghị định này có hiệu lực thi hành từ ngày 01 tháng 7 năm 2025.</w:t>
            </w:r>
          </w:p>
          <w:p w:rsidR="00B77307" w:rsidRPr="004C7F90" w:rsidRDefault="00B77307" w:rsidP="00D16A74">
            <w:pPr>
              <w:ind w:left="28" w:right="28"/>
              <w:jc w:val="both"/>
              <w:rPr>
                <w:b/>
                <w:bCs/>
              </w:rPr>
            </w:pPr>
            <w:r w:rsidRPr="004C7F90">
              <w:rPr>
                <w:bCs/>
              </w:rPr>
              <w:t>Văn phòng Trung ương Đảng, Ủy ban Trung ương Mặt trận Tổ quốc Việt Nam, bộ, cơ quan trung ương, Ủy ban nhân dân cấp tỉnh, các cơ quan, tổ chức, đơn vị thuộc trung ương, địa phương được sử dụng quy định tiêu chuẩn, định mức tại Nghị định này để xây dựng phương án, quyết định, tổ chức việc bố trí, sắp xếp, xử lý trụ sở làm việc, cơ sở hoạt động sự nghiệp khi thực hiện sắp xếp tinh gọn bộ máy của hệ thống chính trị và xây dựng, thực hiện mô hình chính quyền địa phương hai (02) cấp kể từ ngày Nghị định này được ký ban hành.</w:t>
            </w:r>
          </w:p>
        </w:tc>
        <w:tc>
          <w:tcPr>
            <w:tcW w:w="5953" w:type="dxa"/>
          </w:tcPr>
          <w:p w:rsidR="00B77307" w:rsidRPr="004C7F90" w:rsidRDefault="00B77307" w:rsidP="00D16A74">
            <w:pPr>
              <w:ind w:left="28" w:right="28"/>
              <w:jc w:val="both"/>
              <w:rPr>
                <w:b/>
                <w:bCs/>
              </w:rPr>
            </w:pPr>
            <w:r w:rsidRPr="004C7F90">
              <w:rPr>
                <w:b/>
                <w:bCs/>
              </w:rPr>
              <w:t>Điều 13. Điều khoản thi hành</w:t>
            </w:r>
          </w:p>
          <w:p w:rsidR="00B77307" w:rsidRPr="004C7F90" w:rsidRDefault="00B77307" w:rsidP="00D16A74">
            <w:pPr>
              <w:ind w:left="28" w:right="28"/>
              <w:jc w:val="both"/>
              <w:rPr>
                <w:bCs/>
              </w:rPr>
            </w:pPr>
            <w:r w:rsidRPr="004C7F90">
              <w:rPr>
                <w:bCs/>
              </w:rPr>
              <w:t>1. Nghị định này có hiệu lực thi hành từ ngày 01 tháng 7 năm 2025.</w:t>
            </w:r>
          </w:p>
          <w:p w:rsidR="00B77307" w:rsidRPr="004C7F90" w:rsidRDefault="00B77307" w:rsidP="00D16A74">
            <w:pPr>
              <w:ind w:left="28" w:right="28"/>
              <w:jc w:val="both"/>
              <w:rPr>
                <w:b/>
                <w:bCs/>
              </w:rPr>
            </w:pPr>
            <w:r w:rsidRPr="004C7F90">
              <w:rPr>
                <w:bCs/>
              </w:rPr>
              <w:t xml:space="preserve">Văn phòng Trung ương Đảng, Ủy ban Trung ương Mặt trận Tổ quốc Việt Nam, </w:t>
            </w:r>
            <w:r w:rsidRPr="004C7F90">
              <w:rPr>
                <w:b/>
                <w:bCs/>
                <w:lang w:val="vi-VN"/>
              </w:rPr>
              <w:t>Học viện Chính trị quốc gia Hồ Chí Minh,</w:t>
            </w:r>
            <w:r w:rsidRPr="004C7F90">
              <w:rPr>
                <w:b/>
                <w:bCs/>
              </w:rPr>
              <w:t xml:space="preserve"> </w:t>
            </w:r>
            <w:r w:rsidRPr="004C7F90">
              <w:rPr>
                <w:bCs/>
              </w:rPr>
              <w:t>bộ, cơ quan trung ương, Ủy ban nhân dân cấp tỉnh, các cơ quan, tổ chức, đơn vị thuộc trung ương, địa phương được sử dụng quy định tiêu chuẩn, định mức tại Nghị định này để xây dựng phương án, quyết định, tổ chức việc bố trí, sắp xếp, xử lý trụ sở làm việc, cơ sở hoạt động sự nghiệp khi thực hiện sắp xếp tinh gọn bộ máy của hệ thống chính trị và xây dựng, thực hiện mô hình chính quyền địa phương hai (02) cấp kể từ ngày Nghị định này được ký ban hành.</w:t>
            </w:r>
          </w:p>
        </w:tc>
        <w:tc>
          <w:tcPr>
            <w:tcW w:w="3544" w:type="dxa"/>
          </w:tcPr>
          <w:p w:rsidR="00B77307" w:rsidRPr="00D16A74" w:rsidRDefault="00B77307" w:rsidP="00D16A74">
            <w:pPr>
              <w:ind w:left="28" w:right="28"/>
              <w:jc w:val="both"/>
              <w:rPr>
                <w:bCs/>
              </w:rPr>
            </w:pPr>
            <w:r w:rsidRPr="004C7F90">
              <w:rPr>
                <w:bCs/>
                <w:lang w:val="vi-VN"/>
              </w:rPr>
              <w:t>Để phù hợp với thẩm quyền được bổ sung tại khoản 2 Điều 11 Nghị định số 155/2025/NĐ-CP và đề xuất của Học viện Chính trị Quốc gia Hồ Chí Minh tại Công văn số 402-CV/HVCTQG ngày 27/02/2026</w:t>
            </w:r>
            <w:r>
              <w:rPr>
                <w:bCs/>
              </w:rPr>
              <w:t>.</w:t>
            </w:r>
          </w:p>
        </w:tc>
      </w:tr>
      <w:tr w:rsidR="00B77307" w:rsidRPr="0023159B" w:rsidTr="005F7B7C">
        <w:trPr>
          <w:trHeight w:val="1833"/>
        </w:trPr>
        <w:tc>
          <w:tcPr>
            <w:tcW w:w="534" w:type="dxa"/>
          </w:tcPr>
          <w:p w:rsidR="00B77307" w:rsidRPr="0023159B" w:rsidRDefault="00B77307" w:rsidP="007D23EF">
            <w:pPr>
              <w:pStyle w:val="ListParagraph"/>
              <w:numPr>
                <w:ilvl w:val="0"/>
                <w:numId w:val="10"/>
              </w:numPr>
              <w:ind w:left="28" w:right="28"/>
              <w:jc w:val="center"/>
              <w:rPr>
                <w:lang w:val="vi-VN"/>
              </w:rPr>
            </w:pPr>
          </w:p>
        </w:tc>
        <w:tc>
          <w:tcPr>
            <w:tcW w:w="1417" w:type="dxa"/>
          </w:tcPr>
          <w:p w:rsidR="00B77307" w:rsidRPr="00FE0C61" w:rsidRDefault="00B77307" w:rsidP="00D16A74">
            <w:pPr>
              <w:ind w:left="28" w:right="28"/>
              <w:jc w:val="both"/>
              <w:rPr>
                <w:color w:val="000000" w:themeColor="text1"/>
              </w:rPr>
            </w:pPr>
            <w:r>
              <w:rPr>
                <w:color w:val="000000" w:themeColor="text1"/>
              </w:rPr>
              <w:t xml:space="preserve">Sửa đổi </w:t>
            </w:r>
            <w:r w:rsidRPr="004C7F90">
              <w:rPr>
                <w:color w:val="000000" w:themeColor="text1"/>
                <w:lang w:val="vi-VN"/>
              </w:rPr>
              <w:t>khoản 4 Điều 14</w:t>
            </w:r>
          </w:p>
        </w:tc>
        <w:tc>
          <w:tcPr>
            <w:tcW w:w="4287" w:type="dxa"/>
          </w:tcPr>
          <w:p w:rsidR="00B77307" w:rsidRDefault="00B77307" w:rsidP="00D16A74">
            <w:pPr>
              <w:ind w:left="28" w:right="28"/>
              <w:jc w:val="both"/>
              <w:rPr>
                <w:b/>
                <w:bCs/>
              </w:rPr>
            </w:pPr>
            <w:r w:rsidRPr="004C7F90">
              <w:rPr>
                <w:b/>
                <w:bCs/>
              </w:rPr>
              <w:t>Điều 14. Xử lý chuyển tiếp</w:t>
            </w:r>
          </w:p>
          <w:p w:rsidR="00B77307" w:rsidRPr="00094036" w:rsidRDefault="00B77307" w:rsidP="00D16A74">
            <w:pPr>
              <w:ind w:left="28" w:right="28"/>
              <w:jc w:val="both"/>
              <w:rPr>
                <w:bCs/>
                <w:spacing w:val="-6"/>
              </w:rPr>
            </w:pPr>
            <w:r w:rsidRPr="00094036">
              <w:rPr>
                <w:bCs/>
                <w:spacing w:val="-6"/>
              </w:rPr>
              <w:t>4. Đối với các chức danh, chức vụ lãnh đạo, quản lý trong các cơ quan, tổ chức, đơn vị được quy định tại Phụ lục I, Phụ lục II ban hành kèm theo Nghị định này mà đang được hưởng mức lương chức vụ hoặc hệ số phụ cấp chức vụ cao hơn nhóm chức danh, chức vụ quy định tại Phụ lục I, Phụ lục II ban hành kèm theo Nghị định này thì xác định tiêu chuẩn, định mức theo chức danh, chức vụ được hưởng mức lương chức vụ hoặc hệ số phụ cấp chức vụ cao hơn.</w:t>
            </w:r>
          </w:p>
        </w:tc>
        <w:tc>
          <w:tcPr>
            <w:tcW w:w="5953" w:type="dxa"/>
          </w:tcPr>
          <w:p w:rsidR="00B77307" w:rsidRDefault="00B77307" w:rsidP="00D16A74">
            <w:pPr>
              <w:ind w:left="28" w:right="28"/>
              <w:jc w:val="both"/>
              <w:rPr>
                <w:b/>
                <w:bCs/>
              </w:rPr>
            </w:pPr>
            <w:r w:rsidRPr="004C7F90">
              <w:rPr>
                <w:b/>
                <w:bCs/>
              </w:rPr>
              <w:t>Điều 14. Xử lý chuyển tiếp</w:t>
            </w:r>
          </w:p>
          <w:p w:rsidR="00B77307" w:rsidRPr="004C7F90" w:rsidRDefault="00B77307" w:rsidP="00D16A74">
            <w:pPr>
              <w:ind w:left="28" w:right="28"/>
              <w:jc w:val="both"/>
              <w:rPr>
                <w:bCs/>
              </w:rPr>
            </w:pPr>
            <w:r w:rsidRPr="004C7F90">
              <w:rPr>
                <w:bCs/>
              </w:rPr>
              <w:t xml:space="preserve">4. Đối với các chức danh, chức vụ lãnh đạo, quản lý trong các cơ quan, tổ chức, đơn vị được quy định tại </w:t>
            </w:r>
            <w:r w:rsidRPr="008806B2">
              <w:rPr>
                <w:b/>
                <w:bCs/>
                <w:lang w:val="vi-VN"/>
              </w:rPr>
              <w:t>Phụ lục ban hành kèm theo Nghị định này</w:t>
            </w:r>
            <w:r w:rsidRPr="004C7F90">
              <w:rPr>
                <w:bCs/>
              </w:rPr>
              <w:t xml:space="preserve"> mà đang được hưởng mức lương chức vụ hoặc hệ số phụ cấp chức vụ cao hơn nhóm chức danh, chức vụ quy định tại </w:t>
            </w:r>
            <w:r w:rsidRPr="008806B2">
              <w:rPr>
                <w:b/>
                <w:bCs/>
                <w:lang w:val="vi-VN"/>
              </w:rPr>
              <w:t>Phụ lục ban hành kèm theo Nghị định này</w:t>
            </w:r>
            <w:r w:rsidRPr="004C7F90">
              <w:rPr>
                <w:bCs/>
              </w:rPr>
              <w:t xml:space="preserve"> thì xác định tiêu chuẩn, định mức theo chức danh, chức vụ được hưởng mức lương chức vụ hoặc hệ số phụ cấp chức vụ cao hơn.</w:t>
            </w:r>
          </w:p>
        </w:tc>
        <w:tc>
          <w:tcPr>
            <w:tcW w:w="3544" w:type="dxa"/>
          </w:tcPr>
          <w:p w:rsidR="00B77307" w:rsidRPr="00FE0C61" w:rsidRDefault="00B77307" w:rsidP="00FB63B9">
            <w:pPr>
              <w:ind w:left="28" w:right="28"/>
              <w:jc w:val="both"/>
              <w:rPr>
                <w:bCs/>
              </w:rPr>
            </w:pPr>
            <w:r w:rsidRPr="0023159B">
              <w:rPr>
                <w:lang w:val="vi-VN"/>
              </w:rPr>
              <w:t xml:space="preserve">Ghép </w:t>
            </w:r>
            <w:r w:rsidRPr="0023159B">
              <w:t>Phụ lục I (</w:t>
            </w:r>
            <w:r w:rsidRPr="0023159B">
              <w:rPr>
                <w:lang w:val="vi-VN"/>
              </w:rPr>
              <w:t xml:space="preserve">đối với </w:t>
            </w:r>
            <w:r w:rsidRPr="0023159B">
              <w:t>trung ương), Phụ lục II (</w:t>
            </w:r>
            <w:r w:rsidRPr="0023159B">
              <w:rPr>
                <w:lang w:val="vi-VN"/>
              </w:rPr>
              <w:t xml:space="preserve">đối với </w:t>
            </w:r>
            <w:r w:rsidRPr="0023159B">
              <w:t>địa phương)</w:t>
            </w:r>
            <w:r w:rsidRPr="0023159B">
              <w:rPr>
                <w:lang w:val="vi-VN"/>
              </w:rPr>
              <w:t xml:space="preserve"> thành </w:t>
            </w:r>
            <w:r w:rsidRPr="0023159B">
              <w:t>01 Phụ lục quy định chung cho trung ương và địa phương</w:t>
            </w:r>
            <w:r>
              <w:t>.</w:t>
            </w:r>
          </w:p>
        </w:tc>
      </w:tr>
      <w:tr w:rsidR="00B77307" w:rsidRPr="0023159B" w:rsidTr="005F7B7C">
        <w:trPr>
          <w:trHeight w:val="2542"/>
        </w:trPr>
        <w:tc>
          <w:tcPr>
            <w:tcW w:w="534" w:type="dxa"/>
          </w:tcPr>
          <w:p w:rsidR="00B77307" w:rsidRPr="0023159B" w:rsidRDefault="00B77307" w:rsidP="007D23EF">
            <w:pPr>
              <w:pStyle w:val="ListParagraph"/>
              <w:numPr>
                <w:ilvl w:val="0"/>
                <w:numId w:val="10"/>
              </w:numPr>
              <w:ind w:left="28" w:right="28"/>
              <w:jc w:val="center"/>
              <w:rPr>
                <w:lang w:val="vi-VN"/>
              </w:rPr>
            </w:pPr>
          </w:p>
        </w:tc>
        <w:tc>
          <w:tcPr>
            <w:tcW w:w="1417" w:type="dxa"/>
          </w:tcPr>
          <w:p w:rsidR="00B77307" w:rsidRDefault="00B77307" w:rsidP="00D16A74">
            <w:pPr>
              <w:ind w:left="28" w:right="28"/>
              <w:jc w:val="both"/>
              <w:rPr>
                <w:color w:val="000000" w:themeColor="text1"/>
              </w:rPr>
            </w:pPr>
            <w:r>
              <w:rPr>
                <w:color w:val="000000" w:themeColor="text1"/>
              </w:rPr>
              <w:t xml:space="preserve">Bổ sung </w:t>
            </w:r>
            <w:r w:rsidRPr="004C7F90">
              <w:rPr>
                <w:color w:val="000000" w:themeColor="text1"/>
                <w:lang w:val="vi-VN"/>
              </w:rPr>
              <w:t>khoản 3 Điều 15</w:t>
            </w:r>
          </w:p>
        </w:tc>
        <w:tc>
          <w:tcPr>
            <w:tcW w:w="4287" w:type="dxa"/>
          </w:tcPr>
          <w:p w:rsidR="00B77307" w:rsidRDefault="00B77307" w:rsidP="00D16A74">
            <w:pPr>
              <w:ind w:left="28" w:right="28"/>
              <w:jc w:val="both"/>
              <w:rPr>
                <w:b/>
                <w:bCs/>
              </w:rPr>
            </w:pPr>
            <w:r w:rsidRPr="004C7F90">
              <w:rPr>
                <w:b/>
                <w:bCs/>
              </w:rPr>
              <w:t>Điều 15. Trách nhiệm thi hành</w:t>
            </w:r>
          </w:p>
          <w:p w:rsidR="00B77307" w:rsidRPr="004C7F90" w:rsidRDefault="00B77307" w:rsidP="00D16A74">
            <w:pPr>
              <w:ind w:left="28" w:right="28"/>
              <w:jc w:val="both"/>
              <w:rPr>
                <w:bCs/>
              </w:rPr>
            </w:pPr>
            <w:r w:rsidRPr="004C7F90">
              <w:rPr>
                <w:bCs/>
              </w:rPr>
              <w:t>3. Văn phòng Trung ương Đảng, Ủy ban Trung ương Mặt trận Tổ quốc Việt Nam, bộ, cơ quan trung ương, Ủy ban nhân dân cấp tỉnh, các cơ quan, tổ chức, đơn vị thuộc trung ương, địa phương có trách nhiệm:</w:t>
            </w:r>
          </w:p>
        </w:tc>
        <w:tc>
          <w:tcPr>
            <w:tcW w:w="5953" w:type="dxa"/>
          </w:tcPr>
          <w:p w:rsidR="00B77307" w:rsidRDefault="00B77307" w:rsidP="00D16A74">
            <w:pPr>
              <w:ind w:left="28" w:right="28"/>
              <w:jc w:val="both"/>
              <w:rPr>
                <w:b/>
                <w:bCs/>
              </w:rPr>
            </w:pPr>
            <w:r w:rsidRPr="004C7F90">
              <w:rPr>
                <w:b/>
                <w:bCs/>
              </w:rPr>
              <w:t>Điều 15. Trách nhiệm thi hành</w:t>
            </w:r>
          </w:p>
          <w:p w:rsidR="00B77307" w:rsidRPr="004C7F90" w:rsidRDefault="00B77307" w:rsidP="00D16A74">
            <w:pPr>
              <w:ind w:left="28" w:right="28"/>
              <w:jc w:val="both"/>
              <w:rPr>
                <w:bCs/>
              </w:rPr>
            </w:pPr>
            <w:r w:rsidRPr="004C7F90">
              <w:rPr>
                <w:bCs/>
              </w:rPr>
              <w:t xml:space="preserve">3. Văn phòng Trung ương Đảng, Ủy ban Trung ương Mặt trận Tổ quốc Việt Nam, </w:t>
            </w:r>
            <w:r w:rsidRPr="004C7F90">
              <w:rPr>
                <w:b/>
                <w:bCs/>
                <w:lang w:val="vi-VN"/>
              </w:rPr>
              <w:t>Học viện Chính trị quốc gia Hồ Chí Minh,</w:t>
            </w:r>
            <w:r w:rsidRPr="004C7F90">
              <w:rPr>
                <w:b/>
                <w:bCs/>
              </w:rPr>
              <w:t xml:space="preserve"> </w:t>
            </w:r>
            <w:r w:rsidRPr="004C7F90">
              <w:rPr>
                <w:bCs/>
              </w:rPr>
              <w:t>bộ, cơ quan trung ương, Ủy ban nhân dân cấp tỉnh, các cơ quan, tổ chức, đơn vị thuộc trung ương, địa phương có trách nhiệm:</w:t>
            </w:r>
          </w:p>
        </w:tc>
        <w:tc>
          <w:tcPr>
            <w:tcW w:w="3544" w:type="dxa"/>
          </w:tcPr>
          <w:p w:rsidR="00B77307" w:rsidRPr="00D16A74" w:rsidRDefault="00B77307" w:rsidP="00FB63B9">
            <w:pPr>
              <w:ind w:left="28" w:right="28"/>
              <w:jc w:val="both"/>
              <w:rPr>
                <w:bCs/>
              </w:rPr>
            </w:pPr>
            <w:r w:rsidRPr="004C7F90">
              <w:rPr>
                <w:bCs/>
                <w:lang w:val="vi-VN"/>
              </w:rPr>
              <w:t>Để phù hợp với thẩm quyền được bổ sung tại khoản 2 Điều 11 Nghị định số 155/2025/NĐ-CP và đề xuất của Học viện Chính trị Quốc gia Hồ Chí Minh tại Công văn số 402-CV/HVCTQG ngày 27/02/2026</w:t>
            </w:r>
            <w:r>
              <w:rPr>
                <w:bCs/>
              </w:rPr>
              <w:t>.</w:t>
            </w:r>
          </w:p>
        </w:tc>
      </w:tr>
    </w:tbl>
    <w:p w:rsidR="00A24C18" w:rsidRDefault="00A24C18" w:rsidP="003D0306">
      <w:pPr>
        <w:spacing w:before="120" w:after="120"/>
        <w:rPr>
          <w:b/>
          <w:bCs/>
        </w:rPr>
      </w:pPr>
    </w:p>
    <w:p w:rsidR="00AC4ECA" w:rsidRDefault="00AC4ECA" w:rsidP="003D0306">
      <w:pPr>
        <w:spacing w:before="120" w:after="120"/>
        <w:rPr>
          <w:b/>
          <w:bCs/>
        </w:rPr>
      </w:pPr>
    </w:p>
    <w:p w:rsidR="00AC4ECA" w:rsidRDefault="00AC4ECA" w:rsidP="003D0306">
      <w:pPr>
        <w:spacing w:before="120" w:after="120"/>
        <w:rPr>
          <w:b/>
          <w:bCs/>
        </w:rPr>
      </w:pPr>
    </w:p>
    <w:p w:rsidR="00AC4ECA" w:rsidRDefault="00AC4ECA" w:rsidP="003D0306">
      <w:pPr>
        <w:spacing w:before="120" w:after="120"/>
        <w:rPr>
          <w:b/>
          <w:bCs/>
        </w:rPr>
      </w:pPr>
    </w:p>
    <w:p w:rsidR="0023159B" w:rsidRPr="003D0306" w:rsidRDefault="0023159B" w:rsidP="0070681D">
      <w:pPr>
        <w:spacing w:before="120" w:after="120"/>
        <w:ind w:firstLine="680"/>
        <w:rPr>
          <w:b/>
          <w:bCs/>
        </w:rPr>
      </w:pPr>
      <w:r w:rsidRPr="00953655">
        <w:rPr>
          <w:b/>
          <w:bCs/>
        </w:rPr>
        <w:t xml:space="preserve">B. PHỤ LỤC </w:t>
      </w:r>
      <w:r>
        <w:rPr>
          <w:b/>
          <w:bCs/>
        </w:rPr>
        <w:t xml:space="preserve">VỀ TIÊU CHUẨN, ĐỊNH MỨC </w:t>
      </w:r>
      <w:r w:rsidR="008B475C">
        <w:rPr>
          <w:b/>
          <w:bCs/>
        </w:rPr>
        <w:t>TRỤ SỞ LÀM VIỆC, CƠ SỞ HOẠT ĐỘNG SỰ NGHIỆP KÈM THEO NGHỊ ĐỊNH</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1483"/>
        <w:gridCol w:w="5305"/>
        <w:gridCol w:w="5185"/>
        <w:gridCol w:w="3260"/>
      </w:tblGrid>
      <w:tr w:rsidR="0023159B" w:rsidRPr="0023159B" w:rsidTr="0070681D">
        <w:tc>
          <w:tcPr>
            <w:tcW w:w="468" w:type="dxa"/>
          </w:tcPr>
          <w:p w:rsidR="0023159B" w:rsidRPr="0023159B" w:rsidRDefault="0023159B" w:rsidP="00CB3C00">
            <w:pPr>
              <w:pStyle w:val="ListParagraph"/>
              <w:ind w:left="28" w:right="28"/>
              <w:jc w:val="center"/>
              <w:rPr>
                <w:b/>
                <w:lang w:val="pt-BR"/>
              </w:rPr>
            </w:pPr>
            <w:r w:rsidRPr="0023159B">
              <w:rPr>
                <w:b/>
                <w:lang w:val="pt-BR"/>
              </w:rPr>
              <w:t>TT</w:t>
            </w:r>
          </w:p>
        </w:tc>
        <w:tc>
          <w:tcPr>
            <w:tcW w:w="1483" w:type="dxa"/>
            <w:vAlign w:val="center"/>
          </w:tcPr>
          <w:p w:rsidR="0023159B" w:rsidRPr="0023159B" w:rsidRDefault="0023159B" w:rsidP="00CB3C00">
            <w:pPr>
              <w:ind w:left="28" w:right="28"/>
              <w:jc w:val="center"/>
              <w:rPr>
                <w:rFonts w:asciiTheme="minorHAnsi" w:hAnsiTheme="minorHAnsi"/>
                <w:b/>
                <w:spacing w:val="-8"/>
              </w:rPr>
            </w:pPr>
            <w:r w:rsidRPr="0023159B">
              <w:rPr>
                <w:b/>
                <w:lang w:val="vi-VN"/>
              </w:rPr>
              <w:t>Nội dung</w:t>
            </w:r>
          </w:p>
        </w:tc>
        <w:tc>
          <w:tcPr>
            <w:tcW w:w="5305" w:type="dxa"/>
            <w:vAlign w:val="center"/>
          </w:tcPr>
          <w:p w:rsidR="0023159B" w:rsidRPr="0023159B" w:rsidRDefault="0023159B" w:rsidP="00CB3C00">
            <w:pPr>
              <w:ind w:left="28" w:right="28"/>
              <w:jc w:val="center"/>
              <w:rPr>
                <w:b/>
                <w:lang w:val="vi-VN"/>
              </w:rPr>
            </w:pPr>
            <w:r w:rsidRPr="0023159B">
              <w:rPr>
                <w:b/>
              </w:rPr>
              <w:t>Q</w:t>
            </w:r>
            <w:r w:rsidRPr="0023159B">
              <w:rPr>
                <w:b/>
                <w:lang w:val="vi-VN"/>
              </w:rPr>
              <w:t>uy định hiện hành</w:t>
            </w:r>
          </w:p>
        </w:tc>
        <w:tc>
          <w:tcPr>
            <w:tcW w:w="5185" w:type="dxa"/>
            <w:vAlign w:val="center"/>
          </w:tcPr>
          <w:p w:rsidR="0023159B" w:rsidRPr="0023159B" w:rsidRDefault="0023159B" w:rsidP="00CB3C00">
            <w:pPr>
              <w:ind w:left="28" w:right="28"/>
              <w:jc w:val="center"/>
              <w:rPr>
                <w:b/>
              </w:rPr>
            </w:pPr>
            <w:r w:rsidRPr="0023159B">
              <w:rPr>
                <w:b/>
              </w:rPr>
              <w:t>Quy định tại dự thảo</w:t>
            </w:r>
          </w:p>
        </w:tc>
        <w:tc>
          <w:tcPr>
            <w:tcW w:w="3260" w:type="dxa"/>
            <w:vAlign w:val="center"/>
          </w:tcPr>
          <w:p w:rsidR="0023159B" w:rsidRPr="0023159B" w:rsidRDefault="0023159B" w:rsidP="00CB3C00">
            <w:pPr>
              <w:ind w:left="28" w:right="28"/>
              <w:jc w:val="center"/>
              <w:rPr>
                <w:b/>
                <w:lang w:val="vi-VN"/>
              </w:rPr>
            </w:pPr>
            <w:r w:rsidRPr="0023159B">
              <w:rPr>
                <w:b/>
                <w:lang w:val="vi-VN"/>
              </w:rPr>
              <w:t>Thuyết minh</w:t>
            </w:r>
          </w:p>
        </w:tc>
      </w:tr>
      <w:tr w:rsidR="00C81DE5" w:rsidRPr="0023159B" w:rsidTr="0070681D">
        <w:tc>
          <w:tcPr>
            <w:tcW w:w="468" w:type="dxa"/>
          </w:tcPr>
          <w:p w:rsidR="00C81DE5" w:rsidRPr="0023159B" w:rsidRDefault="008E5451" w:rsidP="0023159B">
            <w:pPr>
              <w:jc w:val="center"/>
            </w:pPr>
            <w:r>
              <w:t>1</w:t>
            </w:r>
          </w:p>
        </w:tc>
        <w:tc>
          <w:tcPr>
            <w:tcW w:w="1483" w:type="dxa"/>
          </w:tcPr>
          <w:p w:rsidR="00C81DE5" w:rsidRPr="0023159B" w:rsidRDefault="00C81DE5" w:rsidP="008B475C">
            <w:pPr>
              <w:jc w:val="both"/>
              <w:rPr>
                <w:color w:val="000000" w:themeColor="text1"/>
                <w:spacing w:val="-2"/>
              </w:rPr>
            </w:pPr>
            <w:r w:rsidRPr="003D0306">
              <w:rPr>
                <w:color w:val="000000" w:themeColor="text1"/>
                <w:spacing w:val="-6"/>
              </w:rPr>
              <w:t xml:space="preserve">Tiêu chuẩn, định mức </w:t>
            </w:r>
            <w:r w:rsidRPr="00A34921">
              <w:rPr>
                <w:bCs/>
                <w:color w:val="000000" w:themeColor="text1"/>
                <w:spacing w:val="-6"/>
                <w:lang w:val="nl-NL"/>
              </w:rPr>
              <w:t xml:space="preserve">diện tích làm việc </w:t>
            </w:r>
            <w:r w:rsidRPr="00A34921">
              <w:rPr>
                <w:bCs/>
                <w:color w:val="000000" w:themeColor="text1"/>
                <w:spacing w:val="-6"/>
                <w:lang w:val="vi-VN"/>
              </w:rPr>
              <w:t>phục vụ công tác chức danh</w:t>
            </w:r>
            <w:r w:rsidRPr="0023159B">
              <w:rPr>
                <w:lang w:val="vi-VN"/>
              </w:rPr>
              <w:t xml:space="preserve"> Phụ lục I</w:t>
            </w:r>
            <w:r>
              <w:t>, II</w:t>
            </w:r>
            <w:r w:rsidRPr="0023159B">
              <w:rPr>
                <w:lang w:val="vi-VN"/>
              </w:rPr>
              <w:t xml:space="preserve"> </w:t>
            </w:r>
            <w:r w:rsidRPr="0023159B">
              <w:t>(</w:t>
            </w:r>
            <w:r w:rsidRPr="0023159B">
              <w:rPr>
                <w:lang w:val="vi-VN"/>
              </w:rPr>
              <w:t xml:space="preserve">kèm theo </w:t>
            </w:r>
            <w:r>
              <w:t>Nghị</w:t>
            </w:r>
            <w:r w:rsidRPr="0023159B">
              <w:rPr>
                <w:lang w:val="vi-VN"/>
              </w:rPr>
              <w:t xml:space="preserve"> định số 15</w:t>
            </w:r>
            <w:r>
              <w:t>5</w:t>
            </w:r>
            <w:r w:rsidRPr="0023159B">
              <w:rPr>
                <w:lang w:val="vi-VN"/>
              </w:rPr>
              <w:t>/2025/</w:t>
            </w:r>
            <w:r>
              <w:t>NĐ-CP</w:t>
            </w:r>
            <w:r w:rsidRPr="0023159B">
              <w:t>)</w:t>
            </w:r>
          </w:p>
        </w:tc>
        <w:tc>
          <w:tcPr>
            <w:tcW w:w="5305" w:type="dxa"/>
          </w:tcPr>
          <w:p w:rsidR="008E5451" w:rsidRDefault="008E5451" w:rsidP="00204A2D">
            <w:pPr>
              <w:ind w:left="28" w:right="28"/>
              <w:jc w:val="both"/>
              <w:rPr>
                <w:bCs/>
              </w:rPr>
            </w:pPr>
            <w:r w:rsidRPr="0023159B">
              <w:rPr>
                <w:bCs/>
              </w:rPr>
              <w:t>Đang quy định tại 02 Phụ lục: Phụ lục I (đối với trung ương); Phụ lục II (đối với địa phương)</w:t>
            </w:r>
            <w:r>
              <w:rPr>
                <w:bCs/>
              </w:rPr>
              <w:t>.</w:t>
            </w:r>
          </w:p>
          <w:p w:rsidR="00C81DE5" w:rsidRDefault="00C81DE5" w:rsidP="00204A2D">
            <w:pPr>
              <w:ind w:left="28" w:right="28"/>
              <w:jc w:val="both"/>
              <w:rPr>
                <w:bCs/>
              </w:rPr>
            </w:pPr>
            <w:r>
              <w:rPr>
                <w:bCs/>
              </w:rPr>
              <w:t>- Phụ lục I:</w:t>
            </w:r>
          </w:p>
          <w:tbl>
            <w:tblPr>
              <w:tblStyle w:val="TableGrid"/>
              <w:tblW w:w="5132" w:type="dxa"/>
              <w:tblLayout w:type="fixed"/>
              <w:tblLook w:val="04A0"/>
            </w:tblPr>
            <w:tblGrid>
              <w:gridCol w:w="312"/>
              <w:gridCol w:w="3828"/>
              <w:gridCol w:w="992"/>
            </w:tblGrid>
            <w:tr w:rsidR="00C81DE5" w:rsidRPr="0023159B" w:rsidTr="00C81DE5">
              <w:tc>
                <w:tcPr>
                  <w:tcW w:w="312" w:type="dxa"/>
                  <w:vAlign w:val="center"/>
                </w:tcPr>
                <w:p w:rsidR="00C81DE5" w:rsidRPr="0023159B" w:rsidRDefault="00C81DE5" w:rsidP="008B475C">
                  <w:pPr>
                    <w:spacing w:before="20" w:after="20"/>
                    <w:ind w:left="-57" w:right="-57"/>
                    <w:jc w:val="center"/>
                    <w:rPr>
                      <w:sz w:val="20"/>
                      <w:szCs w:val="20"/>
                    </w:rPr>
                  </w:pPr>
                  <w:r w:rsidRPr="00126082">
                    <w:rPr>
                      <w:b/>
                      <w:bCs/>
                      <w:sz w:val="18"/>
                      <w:szCs w:val="20"/>
                    </w:rPr>
                    <w:t>STT</w:t>
                  </w:r>
                </w:p>
              </w:tc>
              <w:tc>
                <w:tcPr>
                  <w:tcW w:w="3828" w:type="dxa"/>
                  <w:vAlign w:val="center"/>
                </w:tcPr>
                <w:p w:rsidR="00C81DE5" w:rsidRPr="0023159B" w:rsidRDefault="00C81DE5" w:rsidP="008B475C">
                  <w:pPr>
                    <w:spacing w:before="20" w:after="20"/>
                    <w:ind w:left="-57" w:right="-57"/>
                    <w:jc w:val="center"/>
                    <w:rPr>
                      <w:sz w:val="20"/>
                      <w:szCs w:val="20"/>
                    </w:rPr>
                  </w:pPr>
                  <w:r>
                    <w:rPr>
                      <w:b/>
                      <w:bCs/>
                      <w:sz w:val="20"/>
                      <w:szCs w:val="20"/>
                    </w:rPr>
                    <w:t>C</w:t>
                  </w:r>
                  <w:r w:rsidRPr="0023159B">
                    <w:rPr>
                      <w:b/>
                      <w:bCs/>
                      <w:sz w:val="20"/>
                      <w:szCs w:val="20"/>
                    </w:rPr>
                    <w:t>hức danh</w:t>
                  </w:r>
                </w:p>
              </w:tc>
              <w:tc>
                <w:tcPr>
                  <w:tcW w:w="992" w:type="dxa"/>
                  <w:vAlign w:val="center"/>
                </w:tcPr>
                <w:p w:rsidR="00C81DE5" w:rsidRPr="00CD0B81" w:rsidRDefault="00C81DE5" w:rsidP="008B475C">
                  <w:pPr>
                    <w:tabs>
                      <w:tab w:val="left" w:pos="1468"/>
                    </w:tabs>
                    <w:spacing w:before="20" w:after="20"/>
                    <w:ind w:left="-57" w:right="-57" w:firstLine="25"/>
                    <w:jc w:val="center"/>
                    <w:rPr>
                      <w:spacing w:val="-18"/>
                      <w:sz w:val="18"/>
                      <w:szCs w:val="18"/>
                    </w:rPr>
                  </w:pPr>
                  <w:r w:rsidRPr="00CD0B81">
                    <w:rPr>
                      <w:b/>
                      <w:bCs/>
                      <w:spacing w:val="-18"/>
                      <w:sz w:val="18"/>
                      <w:szCs w:val="18"/>
                    </w:rPr>
                    <w:t>DT tối đa</w:t>
                  </w:r>
                  <w:r w:rsidRPr="00CD0B81">
                    <w:rPr>
                      <w:b/>
                      <w:bCs/>
                      <w:spacing w:val="-18"/>
                      <w:sz w:val="18"/>
                      <w:szCs w:val="18"/>
                    </w:rPr>
                    <w:br/>
                  </w:r>
                  <w:r w:rsidRPr="00CD0B81">
                    <w:rPr>
                      <w:bCs/>
                      <w:i/>
                      <w:iCs/>
                      <w:spacing w:val="-18"/>
                      <w:sz w:val="18"/>
                      <w:szCs w:val="18"/>
                    </w:rPr>
                    <w:t>(m</w:t>
                  </w:r>
                  <w:r w:rsidRPr="00CD0B81">
                    <w:rPr>
                      <w:bCs/>
                      <w:i/>
                      <w:iCs/>
                      <w:spacing w:val="-18"/>
                      <w:sz w:val="18"/>
                      <w:szCs w:val="18"/>
                      <w:vertAlign w:val="superscript"/>
                    </w:rPr>
                    <w:t>2</w:t>
                  </w:r>
                  <w:r w:rsidRPr="00CD0B81">
                    <w:rPr>
                      <w:bCs/>
                      <w:i/>
                      <w:iCs/>
                      <w:spacing w:val="-18"/>
                      <w:sz w:val="18"/>
                      <w:szCs w:val="18"/>
                    </w:rPr>
                    <w:t>/người)</w:t>
                  </w:r>
                </w:p>
              </w:tc>
            </w:tr>
            <w:tr w:rsidR="00C81DE5" w:rsidRPr="0023159B" w:rsidTr="00C81DE5">
              <w:tc>
                <w:tcPr>
                  <w:tcW w:w="312" w:type="dxa"/>
                </w:tcPr>
                <w:p w:rsidR="00C81DE5" w:rsidRDefault="00C81DE5" w:rsidP="00AE3EE0">
                  <w:pPr>
                    <w:rPr>
                      <w:sz w:val="20"/>
                      <w:szCs w:val="20"/>
                    </w:rPr>
                  </w:pPr>
                  <w:r>
                    <w:rPr>
                      <w:sz w:val="20"/>
                      <w:szCs w:val="20"/>
                    </w:rPr>
                    <w:t>1</w:t>
                  </w:r>
                </w:p>
              </w:tc>
              <w:tc>
                <w:tcPr>
                  <w:tcW w:w="3828" w:type="dxa"/>
                  <w:vAlign w:val="center"/>
                </w:tcPr>
                <w:p w:rsidR="00C81DE5" w:rsidRPr="00204A2D" w:rsidRDefault="00C81DE5" w:rsidP="00AE3EE0">
                  <w:pPr>
                    <w:jc w:val="both"/>
                    <w:rPr>
                      <w:color w:val="000000"/>
                      <w:sz w:val="20"/>
                      <w:szCs w:val="20"/>
                      <w:lang w:eastAsia="vi-VN"/>
                    </w:rPr>
                  </w:pPr>
                  <w:r w:rsidRPr="00C81DE5">
                    <w:rPr>
                      <w:color w:val="000000"/>
                      <w:sz w:val="20"/>
                      <w:szCs w:val="20"/>
                      <w:lang w:eastAsia="vi-VN"/>
                    </w:rPr>
                    <w:t>Tổng Bí thư, Chủ tịch nước, Thủ tướng Chính phủ, Chủ tịch Quốc hội.</w:t>
                  </w:r>
                </w:p>
              </w:tc>
              <w:tc>
                <w:tcPr>
                  <w:tcW w:w="992" w:type="dxa"/>
                  <w:vAlign w:val="center"/>
                </w:tcPr>
                <w:p w:rsidR="00C81DE5" w:rsidRDefault="00C81DE5" w:rsidP="00AE3EE0">
                  <w:pPr>
                    <w:jc w:val="center"/>
                    <w:rPr>
                      <w:color w:val="000000"/>
                      <w:sz w:val="20"/>
                      <w:szCs w:val="20"/>
                      <w:lang w:eastAsia="vi-VN"/>
                    </w:rPr>
                  </w:pPr>
                  <w:r w:rsidRPr="00C81DE5">
                    <w:rPr>
                      <w:color w:val="000000"/>
                      <w:sz w:val="20"/>
                      <w:szCs w:val="20"/>
                      <w:lang w:eastAsia="vi-VN"/>
                    </w:rPr>
                    <w:t>Được bố trí theo yêu cầu công tác</w:t>
                  </w:r>
                </w:p>
              </w:tc>
            </w:tr>
            <w:tr w:rsidR="00C81DE5" w:rsidRPr="0023159B" w:rsidTr="00C81DE5">
              <w:tc>
                <w:tcPr>
                  <w:tcW w:w="312" w:type="dxa"/>
                </w:tcPr>
                <w:p w:rsidR="00C81DE5" w:rsidRDefault="00C81DE5" w:rsidP="00AE3EE0">
                  <w:pPr>
                    <w:rPr>
                      <w:sz w:val="20"/>
                      <w:szCs w:val="20"/>
                    </w:rPr>
                  </w:pPr>
                  <w:r>
                    <w:rPr>
                      <w:sz w:val="20"/>
                      <w:szCs w:val="20"/>
                    </w:rPr>
                    <w:t>2</w:t>
                  </w:r>
                </w:p>
              </w:tc>
              <w:tc>
                <w:tcPr>
                  <w:tcW w:w="3828" w:type="dxa"/>
                  <w:vAlign w:val="center"/>
                </w:tcPr>
                <w:p w:rsidR="00C81DE5" w:rsidRPr="00204A2D" w:rsidRDefault="00C81DE5" w:rsidP="00AE3EE0">
                  <w:pPr>
                    <w:jc w:val="both"/>
                    <w:rPr>
                      <w:color w:val="000000"/>
                      <w:sz w:val="20"/>
                      <w:szCs w:val="20"/>
                      <w:lang w:eastAsia="vi-VN"/>
                    </w:rPr>
                  </w:pPr>
                  <w:r w:rsidRPr="00C81DE5">
                    <w:rPr>
                      <w:color w:val="000000"/>
                      <w:sz w:val="20"/>
                      <w:szCs w:val="20"/>
                      <w:lang w:eastAsia="vi-VN"/>
                    </w:rPr>
                    <w:t>Thường trực Ban Bí thư; Ủy viên Bộ Chính trị; Ủy viên Ban Bí thư; Chủ tịch Ủy ban Trung ương Mặt trận Tổ quốc Việt Nam; Chánh án Tòa án nhân dân tối cao; Viện trưởng Viện kiểm sát nhân dân tối cao; Phó Chủ tịch nước; Phó Thủ tướng Chính phủ; Phó Chủ tịch Quốc hội</w:t>
                  </w:r>
                </w:p>
              </w:tc>
              <w:tc>
                <w:tcPr>
                  <w:tcW w:w="992" w:type="dxa"/>
                  <w:vAlign w:val="center"/>
                </w:tcPr>
                <w:p w:rsidR="00C81DE5" w:rsidRDefault="00C81DE5" w:rsidP="00AE3EE0">
                  <w:pPr>
                    <w:jc w:val="center"/>
                    <w:rPr>
                      <w:color w:val="000000"/>
                      <w:sz w:val="20"/>
                      <w:szCs w:val="20"/>
                      <w:lang w:eastAsia="vi-VN"/>
                    </w:rPr>
                  </w:pPr>
                  <w:r w:rsidRPr="00C81DE5">
                    <w:rPr>
                      <w:color w:val="000000"/>
                      <w:sz w:val="20"/>
                      <w:szCs w:val="20"/>
                      <w:lang w:eastAsia="vi-VN"/>
                    </w:rPr>
                    <w:t>Được bố trí theo yêu cầu công tác</w:t>
                  </w:r>
                </w:p>
              </w:tc>
            </w:tr>
            <w:tr w:rsidR="00C81DE5" w:rsidRPr="0023159B" w:rsidTr="00C81DE5">
              <w:tc>
                <w:tcPr>
                  <w:tcW w:w="312" w:type="dxa"/>
                </w:tcPr>
                <w:p w:rsidR="00C81DE5" w:rsidRDefault="00C81DE5" w:rsidP="00AE3EE0">
                  <w:pPr>
                    <w:rPr>
                      <w:sz w:val="20"/>
                      <w:szCs w:val="20"/>
                    </w:rPr>
                  </w:pPr>
                  <w:r>
                    <w:rPr>
                      <w:sz w:val="20"/>
                      <w:szCs w:val="20"/>
                    </w:rPr>
                    <w:t>3</w:t>
                  </w:r>
                </w:p>
              </w:tc>
              <w:tc>
                <w:tcPr>
                  <w:tcW w:w="3828" w:type="dxa"/>
                  <w:vAlign w:val="center"/>
                </w:tcPr>
                <w:p w:rsidR="00C81DE5" w:rsidRPr="00C81DE5" w:rsidRDefault="00C81DE5" w:rsidP="00AE3EE0">
                  <w:pPr>
                    <w:jc w:val="both"/>
                    <w:rPr>
                      <w:color w:val="000000"/>
                      <w:sz w:val="20"/>
                      <w:szCs w:val="20"/>
                      <w:lang w:eastAsia="vi-VN"/>
                    </w:rPr>
                  </w:pPr>
                  <w:r w:rsidRPr="00C81DE5">
                    <w:rPr>
                      <w:color w:val="000000"/>
                      <w:sz w:val="20"/>
                      <w:szCs w:val="20"/>
                      <w:lang w:eastAsia="vi-VN"/>
                    </w:rPr>
                    <w:t> Ủy viên Trung ương Đảng chính thức; Trưởng ban, cơ quan Đảng ở Trung ương; Giám đốc Học viện Chính trị quốc gia Hồ Chí Minh; Tổng Biên tập Báo Nhân Dân, Tổng Biên tập Tạp chí Cộng sản; Ủy viên Ủy ban Thường vụ Quốc hội;</w:t>
                  </w:r>
                </w:p>
                <w:p w:rsidR="00C81DE5" w:rsidRPr="00C81DE5" w:rsidRDefault="00C81DE5" w:rsidP="00AE3EE0">
                  <w:pPr>
                    <w:jc w:val="both"/>
                    <w:rPr>
                      <w:color w:val="000000"/>
                      <w:sz w:val="20"/>
                      <w:szCs w:val="20"/>
                      <w:lang w:eastAsia="vi-VN"/>
                    </w:rPr>
                  </w:pPr>
                  <w:r w:rsidRPr="00C81DE5">
                    <w:rPr>
                      <w:color w:val="000000"/>
                      <w:sz w:val="20"/>
                      <w:szCs w:val="20"/>
                      <w:lang w:eastAsia="vi-VN"/>
                    </w:rPr>
                    <w:t>- Bộ trưởng, Thủ trưởng cơ quan ngang bộ; Chủ nhiệm Văn phòng Chủ tịch nước; Tổng Kiểm toán Nhà nước; Phó Chủ tịch - Tổng Thư kí Ủy ban Trung ương Mặt trận Tổ quốc Việt Nam; Trưởng tổ chức chính trị - xã hội ở Trung ương; Phó Chủ nhiệm Ủy ban Kiểm tra Trung ương;</w:t>
                  </w:r>
                </w:p>
                <w:p w:rsidR="00C81DE5" w:rsidRPr="00204A2D" w:rsidRDefault="00C81DE5" w:rsidP="00AE3EE0">
                  <w:pPr>
                    <w:jc w:val="both"/>
                    <w:rPr>
                      <w:color w:val="000000"/>
                      <w:sz w:val="20"/>
                      <w:szCs w:val="20"/>
                      <w:lang w:eastAsia="vi-VN"/>
                    </w:rPr>
                  </w:pPr>
                  <w:r w:rsidRPr="00C81DE5">
                    <w:rPr>
                      <w:color w:val="000000"/>
                      <w:sz w:val="20"/>
                      <w:szCs w:val="20"/>
                      <w:lang w:eastAsia="vi-VN"/>
                    </w:rPr>
                    <w:t>- Các chức danh, chức vụ tương đương.</w:t>
                  </w:r>
                </w:p>
              </w:tc>
              <w:tc>
                <w:tcPr>
                  <w:tcW w:w="992" w:type="dxa"/>
                  <w:vAlign w:val="center"/>
                </w:tcPr>
                <w:p w:rsidR="00C81DE5" w:rsidRDefault="00C81DE5" w:rsidP="00AE3EE0">
                  <w:pPr>
                    <w:jc w:val="center"/>
                    <w:rPr>
                      <w:color w:val="000000"/>
                      <w:sz w:val="20"/>
                      <w:szCs w:val="20"/>
                      <w:lang w:eastAsia="vi-VN"/>
                    </w:rPr>
                  </w:pPr>
                  <w:r>
                    <w:rPr>
                      <w:color w:val="000000"/>
                      <w:sz w:val="20"/>
                      <w:szCs w:val="20"/>
                      <w:lang w:eastAsia="vi-VN"/>
                    </w:rPr>
                    <w:t>65</w:t>
                  </w:r>
                </w:p>
              </w:tc>
            </w:tr>
            <w:tr w:rsidR="00C81DE5" w:rsidRPr="0023159B" w:rsidTr="00C81DE5">
              <w:tc>
                <w:tcPr>
                  <w:tcW w:w="312" w:type="dxa"/>
                </w:tcPr>
                <w:p w:rsidR="00C81DE5" w:rsidRDefault="00C81DE5" w:rsidP="00AE3EE0">
                  <w:pPr>
                    <w:rPr>
                      <w:sz w:val="20"/>
                      <w:szCs w:val="20"/>
                    </w:rPr>
                  </w:pPr>
                  <w:r>
                    <w:rPr>
                      <w:sz w:val="20"/>
                      <w:szCs w:val="20"/>
                    </w:rPr>
                    <w:t>4</w:t>
                  </w:r>
                </w:p>
              </w:tc>
              <w:tc>
                <w:tcPr>
                  <w:tcW w:w="3828" w:type="dxa"/>
                  <w:vAlign w:val="center"/>
                </w:tcPr>
                <w:p w:rsidR="00C81DE5" w:rsidRPr="00C81DE5" w:rsidRDefault="00C81DE5" w:rsidP="00AE3EE0">
                  <w:pPr>
                    <w:pStyle w:val="NormalWeb"/>
                    <w:shd w:val="clear" w:color="auto" w:fill="FFFFFF"/>
                    <w:spacing w:before="0" w:beforeAutospacing="0" w:after="0" w:afterAutospacing="0"/>
                    <w:rPr>
                      <w:color w:val="000000"/>
                      <w:sz w:val="20"/>
                      <w:szCs w:val="20"/>
                      <w:lang w:eastAsia="vi-VN"/>
                    </w:rPr>
                  </w:pPr>
                  <w:r w:rsidRPr="00C81DE5">
                    <w:rPr>
                      <w:color w:val="000000"/>
                      <w:sz w:val="20"/>
                      <w:szCs w:val="20"/>
                      <w:lang w:eastAsia="vi-VN"/>
                    </w:rPr>
                    <w:t>- Thủ trưởng cơ quan thuộc Chính phủ;</w:t>
                  </w:r>
                </w:p>
                <w:p w:rsidR="00C81DE5" w:rsidRPr="00732325" w:rsidRDefault="00C81DE5" w:rsidP="00126082">
                  <w:pPr>
                    <w:pStyle w:val="NormalWeb"/>
                    <w:shd w:val="clear" w:color="auto" w:fill="FFFFFF"/>
                    <w:spacing w:before="0" w:beforeAutospacing="0" w:after="0" w:afterAutospacing="0"/>
                    <w:jc w:val="both"/>
                    <w:rPr>
                      <w:color w:val="000000"/>
                      <w:spacing w:val="-4"/>
                      <w:sz w:val="20"/>
                      <w:szCs w:val="20"/>
                      <w:lang w:eastAsia="vi-VN"/>
                    </w:rPr>
                  </w:pPr>
                  <w:r w:rsidRPr="00732325">
                    <w:rPr>
                      <w:color w:val="000000"/>
                      <w:spacing w:val="-4"/>
                      <w:sz w:val="20"/>
                      <w:szCs w:val="20"/>
                      <w:lang w:eastAsia="vi-VN"/>
                    </w:rPr>
                    <w:t>- Phó Trưởng ban, cơ quan Đảng ở Trung ương; Phó Giám đốc Học viện Chính trị quốc gia Hồ Chí Minh; Phó Tổng Biên tập Báo Nhân Dân; Phó Tổng Biên tập Tạp chí Cộng sản; Phó Chủ tịch Ủy ban Trung ương Mặt trận Tổ quốc Việt Nam; Phó Chủ tịch Hội đồng Dân tộc; Phó Chủ nhiệm các Ủy ban của Quốc hội; Phó Chủ nhiệm Văn phòng Quốc hội; Phó Chánh án Tòa án nhân dân tối cao; Phó Viện trưởng Viện kiểm sát nhân dân tối cao;</w:t>
                  </w:r>
                </w:p>
                <w:p w:rsidR="00C81DE5" w:rsidRPr="00C81DE5" w:rsidRDefault="00C81DE5" w:rsidP="005123FA">
                  <w:pPr>
                    <w:pStyle w:val="NormalWeb"/>
                    <w:shd w:val="clear" w:color="auto" w:fill="FFFFFF"/>
                    <w:spacing w:before="0" w:beforeAutospacing="0" w:after="0" w:afterAutospacing="0"/>
                    <w:jc w:val="both"/>
                    <w:rPr>
                      <w:color w:val="000000"/>
                      <w:sz w:val="20"/>
                      <w:szCs w:val="20"/>
                      <w:lang w:eastAsia="vi-VN"/>
                    </w:rPr>
                  </w:pPr>
                  <w:r w:rsidRPr="00C81DE5">
                    <w:rPr>
                      <w:color w:val="000000"/>
                      <w:sz w:val="20"/>
                      <w:szCs w:val="20"/>
                      <w:lang w:eastAsia="vi-VN"/>
                    </w:rPr>
                    <w:t>- Thứ trưởng, Phó Thủ trưởng cơ quan ngang bộ; Phó Chủ nhiệm Văn phòng Chủ tịch nước; Phó Tổng Kiểm toán Nhà nước; Phó Chủ tịch Ủy ban Trung ương Mặt trận Tổ quốc Việt Nam; Phó trưởng các tổ chức chính trị - xã hội ở trung ương; Ủy viên Ủy ban Kiểm tra Trung ương; Giám đốc Nhà xuất bản Chính trị quốc gia Sự thật; Trợ lý các đồng chí lãnh đạo chủ chốt của Đảng, Nhà nước; Trợ lý Thường trực Ban Bí thư;</w:t>
                  </w:r>
                </w:p>
                <w:p w:rsidR="00C81DE5" w:rsidRPr="005123FA" w:rsidRDefault="00C81DE5" w:rsidP="005123FA">
                  <w:pPr>
                    <w:pStyle w:val="NormalWeb"/>
                    <w:shd w:val="clear" w:color="auto" w:fill="FFFFFF"/>
                    <w:spacing w:before="0" w:beforeAutospacing="0" w:after="0" w:afterAutospacing="0"/>
                    <w:jc w:val="both"/>
                    <w:rPr>
                      <w:color w:val="000000"/>
                      <w:spacing w:val="-4"/>
                      <w:sz w:val="20"/>
                      <w:szCs w:val="20"/>
                      <w:lang w:eastAsia="vi-VN"/>
                    </w:rPr>
                  </w:pPr>
                  <w:r w:rsidRPr="005123FA">
                    <w:rPr>
                      <w:color w:val="000000"/>
                      <w:spacing w:val="-4"/>
                      <w:sz w:val="20"/>
                      <w:szCs w:val="20"/>
                      <w:lang w:eastAsia="vi-VN"/>
                    </w:rPr>
                    <w:t>- Giám đốc Đại học Quốc gia Hà Nội, Giám đốc Đại học Quốc gia Thành phố Hồ Chí Minh; Thẩm phán Tòa án nhân dân tối cao, Kiểm sát viên Viện kiểm sát nhân dân tối cao;</w:t>
                  </w:r>
                </w:p>
                <w:p w:rsidR="00C81DE5" w:rsidRPr="00C81DE5" w:rsidRDefault="00C81DE5" w:rsidP="00AE3EE0">
                  <w:pPr>
                    <w:pStyle w:val="NormalWeb"/>
                    <w:shd w:val="clear" w:color="auto" w:fill="FFFFFF"/>
                    <w:spacing w:before="0" w:beforeAutospacing="0" w:after="0" w:afterAutospacing="0"/>
                    <w:rPr>
                      <w:rFonts w:ascii="Arial" w:hAnsi="Arial" w:cs="Arial"/>
                      <w:color w:val="000000"/>
                      <w:sz w:val="15"/>
                      <w:szCs w:val="15"/>
                    </w:rPr>
                  </w:pPr>
                  <w:r w:rsidRPr="00C81DE5">
                    <w:rPr>
                      <w:color w:val="000000"/>
                      <w:sz w:val="20"/>
                      <w:szCs w:val="20"/>
                      <w:lang w:eastAsia="vi-VN"/>
                    </w:rPr>
                    <w:t>- Các chức danh, chức vụ tương đương.</w:t>
                  </w:r>
                </w:p>
              </w:tc>
              <w:tc>
                <w:tcPr>
                  <w:tcW w:w="992" w:type="dxa"/>
                  <w:vAlign w:val="center"/>
                </w:tcPr>
                <w:p w:rsidR="00C81DE5" w:rsidRDefault="00C81DE5" w:rsidP="00AE3EE0">
                  <w:pPr>
                    <w:jc w:val="center"/>
                    <w:rPr>
                      <w:color w:val="000000"/>
                      <w:sz w:val="20"/>
                      <w:szCs w:val="20"/>
                      <w:lang w:eastAsia="vi-VN"/>
                    </w:rPr>
                  </w:pPr>
                  <w:r>
                    <w:rPr>
                      <w:color w:val="000000"/>
                      <w:sz w:val="20"/>
                      <w:szCs w:val="20"/>
                      <w:lang w:eastAsia="vi-VN"/>
                    </w:rPr>
                    <w:t>55</w:t>
                  </w:r>
                </w:p>
              </w:tc>
            </w:tr>
            <w:tr w:rsidR="00C81DE5" w:rsidRPr="0023159B" w:rsidTr="00C81DE5">
              <w:tc>
                <w:tcPr>
                  <w:tcW w:w="312" w:type="dxa"/>
                </w:tcPr>
                <w:p w:rsidR="00C81DE5" w:rsidRDefault="00C81DE5" w:rsidP="00AE3EE0">
                  <w:pPr>
                    <w:rPr>
                      <w:sz w:val="20"/>
                      <w:szCs w:val="20"/>
                    </w:rPr>
                  </w:pPr>
                  <w:r>
                    <w:rPr>
                      <w:sz w:val="20"/>
                      <w:szCs w:val="20"/>
                    </w:rPr>
                    <w:t>5</w:t>
                  </w:r>
                </w:p>
              </w:tc>
              <w:tc>
                <w:tcPr>
                  <w:tcW w:w="3828" w:type="dxa"/>
                  <w:vAlign w:val="center"/>
                </w:tcPr>
                <w:p w:rsidR="00C81DE5" w:rsidRPr="00C81DE5" w:rsidRDefault="00C81DE5" w:rsidP="00AE3EE0">
                  <w:pPr>
                    <w:jc w:val="both"/>
                    <w:rPr>
                      <w:color w:val="000000"/>
                      <w:sz w:val="20"/>
                      <w:szCs w:val="20"/>
                      <w:lang w:eastAsia="vi-VN"/>
                    </w:rPr>
                  </w:pPr>
                  <w:r w:rsidRPr="00C81DE5">
                    <w:rPr>
                      <w:color w:val="000000"/>
                      <w:sz w:val="20"/>
                      <w:szCs w:val="20"/>
                      <w:lang w:eastAsia="vi-VN"/>
                    </w:rPr>
                    <w:t>- Phó Thủ trưởng cơ quan thuộc Chính phủ; Ủy viên Thường trực Tiểu ban Bảo vệ chính trị nội bộ Trung ương; Ủy viên là đại biểu Quốc hội hoạt động chuyên trách;</w:t>
                  </w:r>
                </w:p>
                <w:p w:rsidR="00C81DE5" w:rsidRPr="00C81DE5" w:rsidRDefault="00C81DE5" w:rsidP="00AE3EE0">
                  <w:pPr>
                    <w:jc w:val="both"/>
                    <w:rPr>
                      <w:color w:val="000000"/>
                      <w:sz w:val="20"/>
                      <w:szCs w:val="20"/>
                      <w:lang w:eastAsia="vi-VN"/>
                    </w:rPr>
                  </w:pPr>
                  <w:r w:rsidRPr="00C81DE5">
                    <w:rPr>
                      <w:color w:val="000000"/>
                      <w:sz w:val="20"/>
                      <w:szCs w:val="20"/>
                      <w:lang w:eastAsia="vi-VN"/>
                    </w:rPr>
                    <w:t>- Ủy viên Ban Biên tập Báo Nhân Dân; Ủy viên Ban Biên tập Tạp chí Cộng sản; Phó trưởng ban chuyên trách hoặc ủy viên chuyên trách các ban chỉ đạo ở Trung ương; ban chỉ đạo do Thủ tướng, Phó Thủ tướng làm trưởng ban chỉ đạo; Trợ lý các đồng chí lãnh đạo cấp cao của Đảng, Nhà nước;</w:t>
                  </w:r>
                </w:p>
                <w:p w:rsidR="00C81DE5" w:rsidRPr="00C81DE5" w:rsidRDefault="00C81DE5" w:rsidP="00AE3EE0">
                  <w:pPr>
                    <w:jc w:val="both"/>
                    <w:rPr>
                      <w:color w:val="000000"/>
                      <w:sz w:val="20"/>
                      <w:szCs w:val="20"/>
                      <w:lang w:eastAsia="vi-VN"/>
                    </w:rPr>
                  </w:pPr>
                  <w:r w:rsidRPr="00C81DE5">
                    <w:rPr>
                      <w:color w:val="000000"/>
                      <w:sz w:val="20"/>
                      <w:szCs w:val="20"/>
                      <w:lang w:eastAsia="vi-VN"/>
                    </w:rPr>
                    <w:t>- Tổng Biên tập Báo Đại biểu nhân dân; Tổng Giám đốc Cổng Thông tin điện tử Chính phủ; Phó Giám đốc Đại học Quốc gia Hà Nội; Phó Giám đốc Đại học Quốc gia Thành phố Hồ Chí Minh;</w:t>
                  </w:r>
                </w:p>
                <w:p w:rsidR="00C81DE5" w:rsidRPr="00C81DE5" w:rsidRDefault="00C81DE5" w:rsidP="00AE3EE0">
                  <w:pPr>
                    <w:jc w:val="both"/>
                    <w:rPr>
                      <w:color w:val="000000"/>
                      <w:sz w:val="20"/>
                      <w:szCs w:val="20"/>
                      <w:lang w:eastAsia="vi-VN"/>
                    </w:rPr>
                  </w:pPr>
                  <w:r w:rsidRPr="00C81DE5">
                    <w:rPr>
                      <w:color w:val="000000"/>
                      <w:sz w:val="20"/>
                      <w:szCs w:val="20"/>
                      <w:lang w:eastAsia="vi-VN"/>
                    </w:rPr>
                    <w:t>- Phó Giám đốc Nhà Xuất bản Chính trị quốc gia Sự thật; Phó Tổng Biên tập Báo Đại biểu nhân dân; Phó Tổng Giám đốc Cổng Thông tin điện tử Chính phủ; Giám đốc học viện trực thuộc Học viện Chính trị quốc gia Hồ Chí Minh;</w:t>
                  </w:r>
                </w:p>
                <w:p w:rsidR="00C81DE5" w:rsidRPr="00C81DE5" w:rsidRDefault="00C81DE5" w:rsidP="00AE3EE0">
                  <w:pPr>
                    <w:jc w:val="both"/>
                    <w:rPr>
                      <w:color w:val="000000"/>
                      <w:sz w:val="20"/>
                      <w:szCs w:val="20"/>
                      <w:lang w:eastAsia="vi-VN"/>
                    </w:rPr>
                  </w:pPr>
                  <w:r w:rsidRPr="00C81DE5">
                    <w:rPr>
                      <w:color w:val="000000"/>
                      <w:sz w:val="20"/>
                      <w:szCs w:val="20"/>
                      <w:lang w:eastAsia="vi-VN"/>
                    </w:rPr>
                    <w:t>- Vụ trưởng, cục trưởng, viện trưởng, trưởng ban và tương đương thuộc ban, cơ quan của Đảng; bộ, ngành cơ quan ngang bộ; cơ quan thuộc Chính phủ; Mặt trận Tổ quốc Việt Nam ở trung ương; Ủy viên Hội đồng Biên tập Nhà xuất bản Chính trị quốc gia Sự thật; Thư ký các đồng chí lãnh đạo chủ chốt, lãnh đạo cấp cao của Đảng, Nhà nước;</w:t>
                  </w:r>
                </w:p>
                <w:p w:rsidR="00C81DE5" w:rsidRPr="00C81DE5" w:rsidRDefault="00C81DE5" w:rsidP="00AE3EE0">
                  <w:pPr>
                    <w:jc w:val="both"/>
                    <w:rPr>
                      <w:color w:val="000000"/>
                      <w:sz w:val="20"/>
                      <w:szCs w:val="20"/>
                      <w:lang w:eastAsia="vi-VN"/>
                    </w:rPr>
                  </w:pPr>
                  <w:r w:rsidRPr="00C81DE5">
                    <w:rPr>
                      <w:color w:val="000000"/>
                      <w:sz w:val="20"/>
                      <w:szCs w:val="20"/>
                      <w:lang w:eastAsia="vi-VN"/>
                    </w:rPr>
                    <w:t>- Vụ trưởng và tương đương của Nhà xuất bản Chính trị quốc gia Sự thật, trưởng cơ quan, đơn vị của Đại học Quốc gia Hà Nội, Đại học Quốc gia Thành phố Hồ Chí Minh; Phó giám đốc các học viện trực thuộc Học viện Chính trị quốc gia Hồ Chí Minh;</w:t>
                  </w:r>
                </w:p>
                <w:p w:rsidR="00C81DE5" w:rsidRPr="00204A2D" w:rsidRDefault="00C81DE5" w:rsidP="00AE3EE0">
                  <w:pPr>
                    <w:jc w:val="both"/>
                    <w:rPr>
                      <w:color w:val="000000"/>
                      <w:sz w:val="20"/>
                      <w:szCs w:val="20"/>
                      <w:lang w:eastAsia="vi-VN"/>
                    </w:rPr>
                  </w:pPr>
                  <w:r w:rsidRPr="00C81DE5">
                    <w:rPr>
                      <w:color w:val="000000"/>
                      <w:sz w:val="20"/>
                      <w:szCs w:val="20"/>
                      <w:lang w:eastAsia="vi-VN"/>
                    </w:rPr>
                    <w:t>- Các chức danh, chức vụ tương đương.</w:t>
                  </w:r>
                </w:p>
              </w:tc>
              <w:tc>
                <w:tcPr>
                  <w:tcW w:w="992" w:type="dxa"/>
                  <w:vAlign w:val="center"/>
                </w:tcPr>
                <w:p w:rsidR="00C81DE5" w:rsidRDefault="00C81DE5" w:rsidP="00AE3EE0">
                  <w:pPr>
                    <w:jc w:val="center"/>
                    <w:rPr>
                      <w:color w:val="000000"/>
                      <w:sz w:val="20"/>
                      <w:szCs w:val="20"/>
                      <w:lang w:eastAsia="vi-VN"/>
                    </w:rPr>
                  </w:pPr>
                  <w:r>
                    <w:rPr>
                      <w:color w:val="000000"/>
                      <w:sz w:val="20"/>
                      <w:szCs w:val="20"/>
                      <w:lang w:eastAsia="vi-VN"/>
                    </w:rPr>
                    <w:t>40</w:t>
                  </w:r>
                </w:p>
              </w:tc>
            </w:tr>
            <w:tr w:rsidR="00C81DE5" w:rsidRPr="0023159B" w:rsidTr="00C81DE5">
              <w:tc>
                <w:tcPr>
                  <w:tcW w:w="312" w:type="dxa"/>
                </w:tcPr>
                <w:p w:rsidR="00C81DE5" w:rsidRDefault="00C81DE5" w:rsidP="00AE3EE0">
                  <w:pPr>
                    <w:rPr>
                      <w:sz w:val="20"/>
                      <w:szCs w:val="20"/>
                    </w:rPr>
                  </w:pPr>
                  <w:r>
                    <w:rPr>
                      <w:sz w:val="20"/>
                      <w:szCs w:val="20"/>
                    </w:rPr>
                    <w:t>6</w:t>
                  </w:r>
                </w:p>
              </w:tc>
              <w:tc>
                <w:tcPr>
                  <w:tcW w:w="3828" w:type="dxa"/>
                  <w:vAlign w:val="center"/>
                </w:tcPr>
                <w:p w:rsidR="00C81DE5" w:rsidRPr="00C81DE5" w:rsidRDefault="00C81DE5" w:rsidP="00AE3EE0">
                  <w:pPr>
                    <w:jc w:val="both"/>
                    <w:rPr>
                      <w:color w:val="000000"/>
                      <w:sz w:val="20"/>
                      <w:szCs w:val="20"/>
                      <w:lang w:eastAsia="vi-VN"/>
                    </w:rPr>
                  </w:pPr>
                  <w:r w:rsidRPr="00C81DE5">
                    <w:rPr>
                      <w:color w:val="000000"/>
                      <w:sz w:val="20"/>
                      <w:szCs w:val="20"/>
                      <w:lang w:eastAsia="vi-VN"/>
                    </w:rPr>
                    <w:t>- Phó vụ trưởng, phó cục trưởng, phó viên trưởng, phó trưởng ban và tương đương thuộc các ban, cơ quan của Đảng; bộ, ngành, cơ quan ngang bộ; cơ quan thuộc Chính phủ; Mặt trận Tổ quốc Việt Nam ở Trung ương; Thư ký các đồng chí Ủy viên Trung ương Đảng, bộ trưởng và tương đương, đảng ủy trực thuộc Trung ương;</w:t>
                  </w:r>
                </w:p>
                <w:p w:rsidR="00C81DE5" w:rsidRPr="00C81DE5" w:rsidRDefault="00C81DE5" w:rsidP="00AE3EE0">
                  <w:pPr>
                    <w:jc w:val="both"/>
                    <w:rPr>
                      <w:color w:val="000000"/>
                      <w:sz w:val="20"/>
                      <w:szCs w:val="20"/>
                      <w:lang w:eastAsia="vi-VN"/>
                    </w:rPr>
                  </w:pPr>
                  <w:r w:rsidRPr="00C81DE5">
                    <w:rPr>
                      <w:color w:val="000000"/>
                      <w:sz w:val="20"/>
                      <w:szCs w:val="20"/>
                      <w:lang w:eastAsia="vi-VN"/>
                    </w:rPr>
                    <w:t>- Phó vụ trưởng và tương đương của Nhà xuất bản Chính trị quốc gia Sự thật, phó trưởng các cơ quan, đơn vị của Đại học Quốc gia Hà Nội, Đại học Quốc gia Thành phố Hồ Chí Minh;</w:t>
                  </w:r>
                </w:p>
                <w:p w:rsidR="00C81DE5" w:rsidRPr="00204A2D" w:rsidRDefault="00C81DE5" w:rsidP="00AE3EE0">
                  <w:pPr>
                    <w:jc w:val="both"/>
                    <w:rPr>
                      <w:color w:val="000000"/>
                      <w:sz w:val="20"/>
                      <w:szCs w:val="20"/>
                      <w:lang w:eastAsia="vi-VN"/>
                    </w:rPr>
                  </w:pPr>
                  <w:r w:rsidRPr="00C81DE5">
                    <w:rPr>
                      <w:color w:val="000000"/>
                      <w:sz w:val="20"/>
                      <w:szCs w:val="20"/>
                      <w:lang w:eastAsia="vi-VN"/>
                    </w:rPr>
                    <w:t>- Các chức danh, chức vụ tương đương.</w:t>
                  </w:r>
                </w:p>
              </w:tc>
              <w:tc>
                <w:tcPr>
                  <w:tcW w:w="992" w:type="dxa"/>
                  <w:vAlign w:val="center"/>
                </w:tcPr>
                <w:p w:rsidR="00C81DE5" w:rsidRDefault="00C81DE5" w:rsidP="00AE3EE0">
                  <w:pPr>
                    <w:jc w:val="center"/>
                    <w:rPr>
                      <w:color w:val="000000"/>
                      <w:sz w:val="20"/>
                      <w:szCs w:val="20"/>
                      <w:lang w:eastAsia="vi-VN"/>
                    </w:rPr>
                  </w:pPr>
                  <w:r>
                    <w:rPr>
                      <w:color w:val="000000"/>
                      <w:sz w:val="20"/>
                      <w:szCs w:val="20"/>
                      <w:lang w:eastAsia="vi-VN"/>
                    </w:rPr>
                    <w:t>30</w:t>
                  </w:r>
                </w:p>
              </w:tc>
            </w:tr>
            <w:tr w:rsidR="00C81DE5" w:rsidRPr="0023159B" w:rsidTr="00C81DE5">
              <w:tc>
                <w:tcPr>
                  <w:tcW w:w="312" w:type="dxa"/>
                </w:tcPr>
                <w:p w:rsidR="00C81DE5" w:rsidRPr="00CD0B81" w:rsidRDefault="00C81DE5" w:rsidP="00AE3EE0">
                  <w:pPr>
                    <w:rPr>
                      <w:sz w:val="20"/>
                      <w:szCs w:val="20"/>
                    </w:rPr>
                  </w:pPr>
                  <w:r>
                    <w:rPr>
                      <w:sz w:val="20"/>
                      <w:szCs w:val="20"/>
                    </w:rPr>
                    <w:t>7</w:t>
                  </w:r>
                </w:p>
              </w:tc>
              <w:tc>
                <w:tcPr>
                  <w:tcW w:w="3828" w:type="dxa"/>
                  <w:vAlign w:val="center"/>
                </w:tcPr>
                <w:p w:rsidR="00C81DE5" w:rsidRPr="00204A2D" w:rsidRDefault="00C81DE5" w:rsidP="00AE3EE0">
                  <w:pPr>
                    <w:jc w:val="both"/>
                    <w:rPr>
                      <w:color w:val="000000"/>
                      <w:sz w:val="20"/>
                      <w:szCs w:val="20"/>
                      <w:lang w:eastAsia="vi-VN"/>
                    </w:rPr>
                  </w:pPr>
                  <w:r w:rsidRPr="00204A2D">
                    <w:rPr>
                      <w:color w:val="000000"/>
                      <w:sz w:val="20"/>
                      <w:szCs w:val="20"/>
                      <w:lang w:eastAsia="vi-VN"/>
                    </w:rPr>
                    <w:t>- Trưởng, Phó trưởng phòng và tương đương của các cơ quan, đơn vị thuộc các ban, cơ quan của Đảng; bộ, ngành, cơ quan ngang bộ; cơ quan thuộc Chính phủ; Mặt trận Tổ quốc Việt Nam ở Trung ương;</w:t>
                  </w:r>
                </w:p>
                <w:p w:rsidR="00C81DE5" w:rsidRPr="00110196" w:rsidRDefault="00C81DE5" w:rsidP="00AE3EE0">
                  <w:pPr>
                    <w:jc w:val="both"/>
                    <w:rPr>
                      <w:color w:val="000000"/>
                      <w:spacing w:val="-4"/>
                      <w:sz w:val="20"/>
                      <w:szCs w:val="20"/>
                      <w:lang w:eastAsia="vi-VN"/>
                    </w:rPr>
                  </w:pPr>
                  <w:r w:rsidRPr="00110196">
                    <w:rPr>
                      <w:color w:val="000000"/>
                      <w:spacing w:val="-4"/>
                      <w:sz w:val="20"/>
                      <w:szCs w:val="20"/>
                      <w:lang w:eastAsia="vi-VN"/>
                    </w:rPr>
                    <w:t>- Trưởng, Phó trưởng phòng, khoa và tương đương trực thuộc các học viện trực thuộc Học viện Chính trị quốc gia Hồ Chí Minh; Nhà xuất bản Chính trị quốc gia Sự thật; các cơ quan, đơn vị thuộc Đại học Quốc gia Hà Nội, Đại học Quốc gia Thành phố Hồ Chí Minh;</w:t>
                  </w:r>
                </w:p>
                <w:p w:rsidR="00C81DE5" w:rsidRPr="00204A2D" w:rsidRDefault="00C81DE5" w:rsidP="00AE3EE0">
                  <w:pPr>
                    <w:jc w:val="both"/>
                    <w:rPr>
                      <w:color w:val="000000"/>
                      <w:sz w:val="20"/>
                      <w:szCs w:val="20"/>
                      <w:lang w:eastAsia="vi-VN"/>
                    </w:rPr>
                  </w:pPr>
                  <w:r w:rsidRPr="00204A2D">
                    <w:rPr>
                      <w:color w:val="000000"/>
                      <w:sz w:val="20"/>
                      <w:szCs w:val="20"/>
                      <w:lang w:eastAsia="vi-VN"/>
                    </w:rPr>
                    <w:t>- Chuyên viên cao cấp, chuyên viên chính và các chức danh tương đương;</w:t>
                  </w:r>
                </w:p>
                <w:p w:rsidR="00C81DE5" w:rsidRPr="00A34921" w:rsidRDefault="00C81DE5" w:rsidP="00AE3EE0">
                  <w:pPr>
                    <w:jc w:val="both"/>
                    <w:rPr>
                      <w:color w:val="000000"/>
                      <w:sz w:val="20"/>
                      <w:szCs w:val="20"/>
                      <w:lang w:eastAsia="vi-VN"/>
                    </w:rPr>
                  </w:pPr>
                  <w:r w:rsidRPr="00204A2D">
                    <w:rPr>
                      <w:color w:val="000000"/>
                      <w:sz w:val="20"/>
                      <w:szCs w:val="20"/>
                      <w:lang w:eastAsia="vi-VN"/>
                    </w:rPr>
                    <w:t>- Các chức danh, chức vụ tương đương.</w:t>
                  </w:r>
                </w:p>
              </w:tc>
              <w:tc>
                <w:tcPr>
                  <w:tcW w:w="992" w:type="dxa"/>
                  <w:vAlign w:val="center"/>
                </w:tcPr>
                <w:p w:rsidR="00C81DE5" w:rsidRPr="00A34921" w:rsidRDefault="00C81DE5" w:rsidP="00AE3EE0">
                  <w:pPr>
                    <w:jc w:val="center"/>
                    <w:rPr>
                      <w:color w:val="000000"/>
                      <w:sz w:val="20"/>
                      <w:szCs w:val="20"/>
                      <w:lang w:eastAsia="vi-VN"/>
                    </w:rPr>
                  </w:pPr>
                  <w:r>
                    <w:rPr>
                      <w:color w:val="000000"/>
                      <w:sz w:val="20"/>
                      <w:szCs w:val="20"/>
                      <w:lang w:eastAsia="vi-VN"/>
                    </w:rPr>
                    <w:t>20</w:t>
                  </w:r>
                </w:p>
              </w:tc>
            </w:tr>
            <w:tr w:rsidR="00C81DE5" w:rsidRPr="0023159B" w:rsidTr="00C81DE5">
              <w:tc>
                <w:tcPr>
                  <w:tcW w:w="312" w:type="dxa"/>
                </w:tcPr>
                <w:p w:rsidR="00C81DE5" w:rsidRPr="00CD0B81" w:rsidRDefault="00C81DE5" w:rsidP="00AE3EE0">
                  <w:pPr>
                    <w:rPr>
                      <w:sz w:val="20"/>
                      <w:szCs w:val="20"/>
                    </w:rPr>
                  </w:pPr>
                  <w:r>
                    <w:rPr>
                      <w:sz w:val="20"/>
                      <w:szCs w:val="20"/>
                    </w:rPr>
                    <w:t>8</w:t>
                  </w:r>
                </w:p>
              </w:tc>
              <w:tc>
                <w:tcPr>
                  <w:tcW w:w="3828" w:type="dxa"/>
                  <w:vAlign w:val="center"/>
                </w:tcPr>
                <w:p w:rsidR="00C81DE5" w:rsidRPr="00A34921" w:rsidRDefault="00C81DE5" w:rsidP="00AE3EE0">
                  <w:pPr>
                    <w:jc w:val="both"/>
                    <w:rPr>
                      <w:color w:val="000000"/>
                      <w:sz w:val="20"/>
                      <w:szCs w:val="20"/>
                      <w:lang w:eastAsia="vi-VN"/>
                    </w:rPr>
                  </w:pPr>
                  <w:r w:rsidRPr="00C81DE5">
                    <w:rPr>
                      <w:color w:val="000000"/>
                      <w:sz w:val="20"/>
                      <w:szCs w:val="20"/>
                      <w:lang w:eastAsia="vi-VN"/>
                    </w:rPr>
                    <w:t>Chuyên viên và các chức danh tương đương.</w:t>
                  </w:r>
                </w:p>
              </w:tc>
              <w:tc>
                <w:tcPr>
                  <w:tcW w:w="992" w:type="dxa"/>
                  <w:vAlign w:val="center"/>
                </w:tcPr>
                <w:p w:rsidR="00C81DE5" w:rsidRPr="00A34921" w:rsidRDefault="00C81DE5" w:rsidP="00AE3EE0">
                  <w:pPr>
                    <w:jc w:val="center"/>
                    <w:rPr>
                      <w:color w:val="000000"/>
                      <w:sz w:val="20"/>
                      <w:szCs w:val="20"/>
                      <w:lang w:eastAsia="vi-VN"/>
                    </w:rPr>
                  </w:pPr>
                  <w:r>
                    <w:rPr>
                      <w:color w:val="000000"/>
                      <w:sz w:val="20"/>
                      <w:szCs w:val="20"/>
                      <w:lang w:eastAsia="vi-VN"/>
                    </w:rPr>
                    <w:t>15</w:t>
                  </w:r>
                </w:p>
              </w:tc>
            </w:tr>
            <w:tr w:rsidR="00C81DE5" w:rsidRPr="0023159B" w:rsidTr="00C81DE5">
              <w:tc>
                <w:tcPr>
                  <w:tcW w:w="312" w:type="dxa"/>
                </w:tcPr>
                <w:p w:rsidR="00C81DE5" w:rsidRDefault="00C81DE5" w:rsidP="00AE3EE0">
                  <w:pPr>
                    <w:rPr>
                      <w:sz w:val="20"/>
                      <w:szCs w:val="20"/>
                    </w:rPr>
                  </w:pPr>
                  <w:r>
                    <w:rPr>
                      <w:sz w:val="20"/>
                      <w:szCs w:val="20"/>
                    </w:rPr>
                    <w:t>9</w:t>
                  </w:r>
                </w:p>
              </w:tc>
              <w:tc>
                <w:tcPr>
                  <w:tcW w:w="3828" w:type="dxa"/>
                  <w:vAlign w:val="center"/>
                </w:tcPr>
                <w:p w:rsidR="00C81DE5" w:rsidRPr="00A34921" w:rsidRDefault="00C81DE5" w:rsidP="00AE3EE0">
                  <w:pPr>
                    <w:jc w:val="both"/>
                    <w:rPr>
                      <w:color w:val="000000"/>
                      <w:sz w:val="20"/>
                      <w:szCs w:val="20"/>
                      <w:lang w:eastAsia="vi-VN"/>
                    </w:rPr>
                  </w:pPr>
                  <w:r w:rsidRPr="00C81DE5">
                    <w:rPr>
                      <w:color w:val="000000"/>
                      <w:sz w:val="20"/>
                      <w:szCs w:val="20"/>
                      <w:lang w:eastAsia="vi-VN"/>
                    </w:rPr>
                    <w:t>Cá nhân ký hợp đồng lao động theo quy định của Chính phủ về hợp đồng đối với một số loại công việc trong cơ quan hành chính, đơn vị sự nghiệp công lập.</w:t>
                  </w:r>
                </w:p>
              </w:tc>
              <w:tc>
                <w:tcPr>
                  <w:tcW w:w="992" w:type="dxa"/>
                  <w:vAlign w:val="center"/>
                </w:tcPr>
                <w:p w:rsidR="00C81DE5" w:rsidRPr="00A34921" w:rsidRDefault="00C81DE5" w:rsidP="00AE3EE0">
                  <w:pPr>
                    <w:jc w:val="center"/>
                    <w:rPr>
                      <w:color w:val="000000"/>
                      <w:sz w:val="20"/>
                      <w:szCs w:val="20"/>
                      <w:lang w:eastAsia="vi-VN"/>
                    </w:rPr>
                  </w:pPr>
                  <w:r>
                    <w:rPr>
                      <w:color w:val="000000"/>
                      <w:sz w:val="20"/>
                      <w:szCs w:val="20"/>
                      <w:lang w:eastAsia="vi-VN"/>
                    </w:rPr>
                    <w:t>10</w:t>
                  </w:r>
                </w:p>
              </w:tc>
            </w:tr>
          </w:tbl>
          <w:p w:rsidR="00C81DE5" w:rsidRDefault="00C81DE5" w:rsidP="00AE3EE0">
            <w:pPr>
              <w:ind w:left="28" w:right="28"/>
              <w:jc w:val="both"/>
              <w:rPr>
                <w:bCs/>
              </w:rPr>
            </w:pPr>
            <w:r>
              <w:rPr>
                <w:bCs/>
              </w:rPr>
              <w:t>- Phụ lục II:</w:t>
            </w:r>
          </w:p>
          <w:tbl>
            <w:tblPr>
              <w:tblStyle w:val="TableGrid"/>
              <w:tblW w:w="5132" w:type="dxa"/>
              <w:tblLayout w:type="fixed"/>
              <w:tblLook w:val="04A0"/>
            </w:tblPr>
            <w:tblGrid>
              <w:gridCol w:w="312"/>
              <w:gridCol w:w="3828"/>
              <w:gridCol w:w="992"/>
            </w:tblGrid>
            <w:tr w:rsidR="00C81DE5" w:rsidRPr="0023159B" w:rsidTr="00C81DE5">
              <w:tc>
                <w:tcPr>
                  <w:tcW w:w="312" w:type="dxa"/>
                  <w:vAlign w:val="center"/>
                </w:tcPr>
                <w:p w:rsidR="00C81DE5" w:rsidRPr="0023159B" w:rsidRDefault="00C81DE5" w:rsidP="00AE3EE0">
                  <w:pPr>
                    <w:ind w:left="-57" w:right="-57"/>
                    <w:jc w:val="center"/>
                    <w:rPr>
                      <w:sz w:val="20"/>
                      <w:szCs w:val="20"/>
                    </w:rPr>
                  </w:pPr>
                  <w:r w:rsidRPr="003B50B9">
                    <w:rPr>
                      <w:b/>
                      <w:bCs/>
                      <w:sz w:val="18"/>
                      <w:szCs w:val="20"/>
                    </w:rPr>
                    <w:t>STT</w:t>
                  </w:r>
                </w:p>
              </w:tc>
              <w:tc>
                <w:tcPr>
                  <w:tcW w:w="3828" w:type="dxa"/>
                  <w:vAlign w:val="center"/>
                </w:tcPr>
                <w:p w:rsidR="00C81DE5" w:rsidRDefault="00C81DE5" w:rsidP="00AE3EE0">
                  <w:pPr>
                    <w:ind w:left="-57" w:right="-57"/>
                    <w:jc w:val="center"/>
                    <w:rPr>
                      <w:b/>
                      <w:bCs/>
                      <w:sz w:val="20"/>
                      <w:szCs w:val="20"/>
                    </w:rPr>
                  </w:pPr>
                  <w:r w:rsidRPr="0023159B">
                    <w:rPr>
                      <w:b/>
                      <w:bCs/>
                      <w:sz w:val="20"/>
                      <w:szCs w:val="20"/>
                    </w:rPr>
                    <w:t xml:space="preserve">Máy móc, thiết bị phục vụ công tác </w:t>
                  </w:r>
                </w:p>
                <w:p w:rsidR="00C81DE5" w:rsidRPr="0023159B" w:rsidRDefault="00C81DE5" w:rsidP="00AE3EE0">
                  <w:pPr>
                    <w:ind w:left="-57" w:right="-57"/>
                    <w:jc w:val="center"/>
                    <w:rPr>
                      <w:sz w:val="20"/>
                      <w:szCs w:val="20"/>
                    </w:rPr>
                  </w:pPr>
                  <w:r w:rsidRPr="0023159B">
                    <w:rPr>
                      <w:b/>
                      <w:bCs/>
                      <w:sz w:val="20"/>
                      <w:szCs w:val="20"/>
                    </w:rPr>
                    <w:t>các chức danh</w:t>
                  </w:r>
                </w:p>
              </w:tc>
              <w:tc>
                <w:tcPr>
                  <w:tcW w:w="992" w:type="dxa"/>
                  <w:vAlign w:val="center"/>
                </w:tcPr>
                <w:p w:rsidR="00C81DE5" w:rsidRPr="00CD0B81" w:rsidRDefault="00C81DE5" w:rsidP="00AE3EE0">
                  <w:pPr>
                    <w:tabs>
                      <w:tab w:val="left" w:pos="1468"/>
                    </w:tabs>
                    <w:ind w:left="-57" w:right="-57" w:firstLine="25"/>
                    <w:jc w:val="center"/>
                    <w:rPr>
                      <w:spacing w:val="-18"/>
                      <w:sz w:val="18"/>
                      <w:szCs w:val="18"/>
                    </w:rPr>
                  </w:pPr>
                  <w:r w:rsidRPr="00CD0B81">
                    <w:rPr>
                      <w:b/>
                      <w:bCs/>
                      <w:spacing w:val="-18"/>
                      <w:sz w:val="18"/>
                      <w:szCs w:val="18"/>
                    </w:rPr>
                    <w:t>DT tối đa</w:t>
                  </w:r>
                  <w:r w:rsidRPr="00CD0B81">
                    <w:rPr>
                      <w:b/>
                      <w:bCs/>
                      <w:spacing w:val="-18"/>
                      <w:sz w:val="18"/>
                      <w:szCs w:val="18"/>
                    </w:rPr>
                    <w:br/>
                  </w:r>
                  <w:r w:rsidRPr="00CD0B81">
                    <w:rPr>
                      <w:bCs/>
                      <w:i/>
                      <w:iCs/>
                      <w:spacing w:val="-18"/>
                      <w:sz w:val="18"/>
                      <w:szCs w:val="18"/>
                    </w:rPr>
                    <w:t>(m</w:t>
                  </w:r>
                  <w:r w:rsidRPr="00CD0B81">
                    <w:rPr>
                      <w:bCs/>
                      <w:i/>
                      <w:iCs/>
                      <w:spacing w:val="-18"/>
                      <w:sz w:val="18"/>
                      <w:szCs w:val="18"/>
                      <w:vertAlign w:val="superscript"/>
                    </w:rPr>
                    <w:t>2</w:t>
                  </w:r>
                  <w:r w:rsidRPr="00CD0B81">
                    <w:rPr>
                      <w:bCs/>
                      <w:i/>
                      <w:iCs/>
                      <w:spacing w:val="-18"/>
                      <w:sz w:val="18"/>
                      <w:szCs w:val="18"/>
                    </w:rPr>
                    <w:t>/người)</w:t>
                  </w:r>
                </w:p>
              </w:tc>
            </w:tr>
            <w:tr w:rsidR="00C81DE5" w:rsidRPr="0023159B" w:rsidTr="00C81DE5">
              <w:tc>
                <w:tcPr>
                  <w:tcW w:w="312" w:type="dxa"/>
                </w:tcPr>
                <w:p w:rsidR="00C81DE5" w:rsidRDefault="00C81DE5" w:rsidP="00AE3EE0">
                  <w:pPr>
                    <w:rPr>
                      <w:sz w:val="20"/>
                      <w:szCs w:val="20"/>
                    </w:rPr>
                  </w:pPr>
                  <w:r>
                    <w:rPr>
                      <w:sz w:val="20"/>
                      <w:szCs w:val="20"/>
                    </w:rPr>
                    <w:t>1</w:t>
                  </w:r>
                </w:p>
              </w:tc>
              <w:tc>
                <w:tcPr>
                  <w:tcW w:w="3828" w:type="dxa"/>
                  <w:vAlign w:val="center"/>
                </w:tcPr>
                <w:p w:rsidR="00C81DE5" w:rsidRPr="00204A2D" w:rsidRDefault="00C81DE5" w:rsidP="00AE3EE0">
                  <w:pPr>
                    <w:jc w:val="both"/>
                    <w:rPr>
                      <w:color w:val="000000"/>
                      <w:sz w:val="20"/>
                      <w:szCs w:val="20"/>
                      <w:lang w:eastAsia="vi-VN"/>
                    </w:rPr>
                  </w:pPr>
                  <w:r w:rsidRPr="00C81DE5">
                    <w:rPr>
                      <w:color w:val="000000"/>
                      <w:sz w:val="20"/>
                      <w:szCs w:val="20"/>
                      <w:lang w:eastAsia="vi-VN"/>
                    </w:rPr>
                    <w:t>Ủy viên Bộ Chính trị, Bí thư Thành ủy Hà Nội, Bí thư Thành ủy Thành phố Hồ Chí Minh</w:t>
                  </w:r>
                </w:p>
              </w:tc>
              <w:tc>
                <w:tcPr>
                  <w:tcW w:w="992" w:type="dxa"/>
                  <w:vAlign w:val="center"/>
                </w:tcPr>
                <w:p w:rsidR="00C81DE5" w:rsidRDefault="00C81DE5" w:rsidP="00AE3EE0">
                  <w:pPr>
                    <w:jc w:val="center"/>
                    <w:rPr>
                      <w:color w:val="000000"/>
                      <w:sz w:val="20"/>
                      <w:szCs w:val="20"/>
                      <w:lang w:eastAsia="vi-VN"/>
                    </w:rPr>
                  </w:pPr>
                  <w:r w:rsidRPr="00C81DE5">
                    <w:rPr>
                      <w:color w:val="000000"/>
                      <w:sz w:val="20"/>
                      <w:szCs w:val="20"/>
                      <w:lang w:eastAsia="vi-VN"/>
                    </w:rPr>
                    <w:t>Được bố trí theo yêu cầu công tác</w:t>
                  </w:r>
                </w:p>
              </w:tc>
            </w:tr>
            <w:tr w:rsidR="00C81DE5" w:rsidRPr="0023159B" w:rsidTr="00C81DE5">
              <w:tc>
                <w:tcPr>
                  <w:tcW w:w="312" w:type="dxa"/>
                </w:tcPr>
                <w:p w:rsidR="00C81DE5" w:rsidRDefault="00C81DE5" w:rsidP="00AE3EE0">
                  <w:pPr>
                    <w:rPr>
                      <w:sz w:val="20"/>
                      <w:szCs w:val="20"/>
                    </w:rPr>
                  </w:pPr>
                  <w:r>
                    <w:rPr>
                      <w:sz w:val="20"/>
                      <w:szCs w:val="20"/>
                    </w:rPr>
                    <w:t>2</w:t>
                  </w:r>
                </w:p>
              </w:tc>
              <w:tc>
                <w:tcPr>
                  <w:tcW w:w="3828" w:type="dxa"/>
                  <w:vAlign w:val="center"/>
                </w:tcPr>
                <w:p w:rsidR="00C81DE5" w:rsidRPr="00C81DE5" w:rsidRDefault="00C81DE5" w:rsidP="00AE3EE0">
                  <w:pPr>
                    <w:pStyle w:val="NormalWeb"/>
                    <w:spacing w:before="0" w:beforeAutospacing="0" w:after="0" w:afterAutospacing="0"/>
                    <w:jc w:val="both"/>
                    <w:rPr>
                      <w:color w:val="000000"/>
                      <w:sz w:val="20"/>
                      <w:szCs w:val="20"/>
                      <w:lang w:eastAsia="vi-VN"/>
                    </w:rPr>
                  </w:pPr>
                  <w:r w:rsidRPr="00C81DE5">
                    <w:rPr>
                      <w:color w:val="000000"/>
                      <w:sz w:val="20"/>
                      <w:szCs w:val="20"/>
                      <w:lang w:eastAsia="vi-VN"/>
                    </w:rPr>
                    <w:t>- Ủy viên Trung ương Đảng chính thức;</w:t>
                  </w:r>
                </w:p>
                <w:p w:rsidR="00C81DE5" w:rsidRPr="00C81DE5" w:rsidRDefault="00C81DE5" w:rsidP="00AE3EE0">
                  <w:pPr>
                    <w:pStyle w:val="NormalWeb"/>
                    <w:spacing w:before="0" w:beforeAutospacing="0" w:after="0" w:afterAutospacing="0"/>
                    <w:jc w:val="both"/>
                    <w:rPr>
                      <w:color w:val="000000"/>
                      <w:sz w:val="20"/>
                      <w:szCs w:val="20"/>
                      <w:lang w:eastAsia="vi-VN"/>
                    </w:rPr>
                  </w:pPr>
                  <w:r w:rsidRPr="00C81DE5">
                    <w:rPr>
                      <w:color w:val="000000"/>
                      <w:sz w:val="20"/>
                      <w:szCs w:val="20"/>
                      <w:lang w:eastAsia="vi-VN"/>
                    </w:rPr>
                    <w:t>- Bí thư Tỉnh ủy, Thành ủy (trừ thành phố Hà Nội và Thành phố Hồ Chí Minh); Phó Bí thư Thành ủy Hà Nội, Thành ủy Thành phố Hồ Chí Minh; Chủ tịch Hội đồng nhân dân, Chủ tịch Ủy ban nhân dân thành phố Hà Nội, Thành phố Hồ Chí Minh;</w:t>
                  </w:r>
                </w:p>
                <w:p w:rsidR="00C81DE5" w:rsidRPr="00204A2D" w:rsidRDefault="00C81DE5" w:rsidP="00AE3EE0">
                  <w:pPr>
                    <w:jc w:val="both"/>
                    <w:rPr>
                      <w:color w:val="000000"/>
                      <w:sz w:val="20"/>
                      <w:szCs w:val="20"/>
                      <w:lang w:eastAsia="vi-VN"/>
                    </w:rPr>
                  </w:pPr>
                  <w:r w:rsidRPr="00C81DE5">
                    <w:rPr>
                      <w:color w:val="000000"/>
                      <w:sz w:val="20"/>
                      <w:szCs w:val="20"/>
                      <w:lang w:eastAsia="vi-VN"/>
                    </w:rPr>
                    <w:t>- Các chức danh, chức vụ tương đương.</w:t>
                  </w:r>
                </w:p>
              </w:tc>
              <w:tc>
                <w:tcPr>
                  <w:tcW w:w="992" w:type="dxa"/>
                  <w:vAlign w:val="center"/>
                </w:tcPr>
                <w:p w:rsidR="00C81DE5" w:rsidRDefault="00C81DE5" w:rsidP="00AE3EE0">
                  <w:pPr>
                    <w:jc w:val="center"/>
                    <w:rPr>
                      <w:color w:val="000000"/>
                      <w:sz w:val="20"/>
                      <w:szCs w:val="20"/>
                      <w:lang w:eastAsia="vi-VN"/>
                    </w:rPr>
                  </w:pPr>
                  <w:r>
                    <w:rPr>
                      <w:color w:val="000000"/>
                      <w:sz w:val="20"/>
                      <w:szCs w:val="20"/>
                      <w:lang w:eastAsia="vi-VN"/>
                    </w:rPr>
                    <w:t>65</w:t>
                  </w:r>
                </w:p>
              </w:tc>
            </w:tr>
            <w:tr w:rsidR="00C81DE5" w:rsidRPr="0023159B" w:rsidTr="00C81DE5">
              <w:tc>
                <w:tcPr>
                  <w:tcW w:w="312" w:type="dxa"/>
                </w:tcPr>
                <w:p w:rsidR="00C81DE5" w:rsidRDefault="00C81DE5" w:rsidP="00AE3EE0">
                  <w:pPr>
                    <w:rPr>
                      <w:sz w:val="20"/>
                      <w:szCs w:val="20"/>
                    </w:rPr>
                  </w:pPr>
                  <w:r>
                    <w:rPr>
                      <w:sz w:val="20"/>
                      <w:szCs w:val="20"/>
                    </w:rPr>
                    <w:t>3</w:t>
                  </w:r>
                </w:p>
              </w:tc>
              <w:tc>
                <w:tcPr>
                  <w:tcW w:w="3828" w:type="dxa"/>
                  <w:vAlign w:val="center"/>
                </w:tcPr>
                <w:p w:rsidR="00C81DE5" w:rsidRPr="00110196" w:rsidRDefault="00C81DE5" w:rsidP="00AE3EE0">
                  <w:pPr>
                    <w:jc w:val="both"/>
                    <w:rPr>
                      <w:color w:val="000000"/>
                      <w:spacing w:val="-4"/>
                      <w:sz w:val="20"/>
                      <w:szCs w:val="20"/>
                      <w:lang w:eastAsia="vi-VN"/>
                    </w:rPr>
                  </w:pPr>
                  <w:r w:rsidRPr="00110196">
                    <w:rPr>
                      <w:color w:val="000000"/>
                      <w:spacing w:val="-4"/>
                      <w:sz w:val="20"/>
                      <w:szCs w:val="20"/>
                      <w:lang w:eastAsia="vi-VN"/>
                    </w:rPr>
                    <w:t>- Phó Bí thư Tỉnh ủy, Thành ủy; Chủ tịch Hội đồng nhân dân, Chủ tịch Ủy ban nhân dân tỉnh, thành phố trực thuộc trung ương (trừ thành phố Hà Nội và Thành phố Hồ Chí Minh);</w:t>
                  </w:r>
                </w:p>
                <w:p w:rsidR="00C81DE5" w:rsidRPr="00C81DE5" w:rsidRDefault="00C81DE5" w:rsidP="00AE3EE0">
                  <w:pPr>
                    <w:jc w:val="both"/>
                    <w:rPr>
                      <w:color w:val="000000"/>
                      <w:sz w:val="20"/>
                      <w:szCs w:val="20"/>
                      <w:lang w:eastAsia="vi-VN"/>
                    </w:rPr>
                  </w:pPr>
                  <w:r w:rsidRPr="00C81DE5">
                    <w:rPr>
                      <w:color w:val="000000"/>
                      <w:sz w:val="20"/>
                      <w:szCs w:val="20"/>
                      <w:lang w:eastAsia="vi-VN"/>
                    </w:rPr>
                    <w:t>- Ủy viên Ban Thường vụ Thành ủy Hà Nội, Thành ủy Thành phố Hồ Chí Minh; Trưởng đoàn đại biểu Quốc hội tỉnh, thành phố trực thuộc trung ương;</w:t>
                  </w:r>
                </w:p>
                <w:p w:rsidR="00C81DE5" w:rsidRPr="00C81DE5" w:rsidRDefault="00C81DE5" w:rsidP="00AE3EE0">
                  <w:pPr>
                    <w:jc w:val="both"/>
                    <w:rPr>
                      <w:color w:val="000000"/>
                      <w:sz w:val="20"/>
                      <w:szCs w:val="20"/>
                      <w:lang w:eastAsia="vi-VN"/>
                    </w:rPr>
                  </w:pPr>
                  <w:r w:rsidRPr="00C81DE5">
                    <w:rPr>
                      <w:color w:val="000000"/>
                      <w:sz w:val="20"/>
                      <w:szCs w:val="20"/>
                      <w:lang w:eastAsia="vi-VN"/>
                    </w:rPr>
                    <w:t>- Phó Chủ tịch Hội đồng nhân dân, Phó Chủ tịch Ủy ban nhân dân thành phố Hà Nội, Thành phố Hồ Chí Minh;</w:t>
                  </w:r>
                </w:p>
                <w:p w:rsidR="00C81DE5" w:rsidRPr="00204A2D" w:rsidRDefault="00C81DE5" w:rsidP="00AE3EE0">
                  <w:pPr>
                    <w:jc w:val="both"/>
                    <w:rPr>
                      <w:color w:val="000000"/>
                      <w:sz w:val="20"/>
                      <w:szCs w:val="20"/>
                      <w:lang w:eastAsia="vi-VN"/>
                    </w:rPr>
                  </w:pPr>
                  <w:r w:rsidRPr="00C81DE5">
                    <w:rPr>
                      <w:color w:val="000000"/>
                      <w:sz w:val="20"/>
                      <w:szCs w:val="20"/>
                      <w:lang w:eastAsia="vi-VN"/>
                    </w:rPr>
                    <w:t>- Các chức danh, chức vụ tương đương</w:t>
                  </w:r>
                  <w:r>
                    <w:rPr>
                      <w:color w:val="000000"/>
                      <w:sz w:val="20"/>
                      <w:szCs w:val="20"/>
                      <w:lang w:eastAsia="vi-VN"/>
                    </w:rPr>
                    <w:t>.</w:t>
                  </w:r>
                </w:p>
              </w:tc>
              <w:tc>
                <w:tcPr>
                  <w:tcW w:w="992" w:type="dxa"/>
                  <w:vAlign w:val="center"/>
                </w:tcPr>
                <w:p w:rsidR="00C81DE5" w:rsidRDefault="00C81DE5" w:rsidP="00AE3EE0">
                  <w:pPr>
                    <w:jc w:val="center"/>
                    <w:rPr>
                      <w:color w:val="000000"/>
                      <w:sz w:val="20"/>
                      <w:szCs w:val="20"/>
                      <w:lang w:eastAsia="vi-VN"/>
                    </w:rPr>
                  </w:pPr>
                  <w:r>
                    <w:rPr>
                      <w:color w:val="000000"/>
                      <w:sz w:val="20"/>
                      <w:szCs w:val="20"/>
                      <w:lang w:eastAsia="vi-VN"/>
                    </w:rPr>
                    <w:t>55</w:t>
                  </w:r>
                </w:p>
              </w:tc>
            </w:tr>
            <w:tr w:rsidR="00C81DE5" w:rsidRPr="0023159B" w:rsidTr="00C81DE5">
              <w:tc>
                <w:tcPr>
                  <w:tcW w:w="312" w:type="dxa"/>
                </w:tcPr>
                <w:p w:rsidR="00C81DE5" w:rsidRDefault="00C81DE5" w:rsidP="00AE3EE0">
                  <w:pPr>
                    <w:rPr>
                      <w:sz w:val="20"/>
                      <w:szCs w:val="20"/>
                    </w:rPr>
                  </w:pPr>
                  <w:r>
                    <w:rPr>
                      <w:sz w:val="20"/>
                      <w:szCs w:val="20"/>
                    </w:rPr>
                    <w:t>4</w:t>
                  </w:r>
                </w:p>
              </w:tc>
              <w:tc>
                <w:tcPr>
                  <w:tcW w:w="3828" w:type="dxa"/>
                  <w:vAlign w:val="center"/>
                </w:tcPr>
                <w:p w:rsidR="00C81DE5" w:rsidRPr="00C81DE5" w:rsidRDefault="00C81DE5" w:rsidP="00AE3EE0">
                  <w:pPr>
                    <w:jc w:val="both"/>
                    <w:rPr>
                      <w:color w:val="000000"/>
                      <w:sz w:val="20"/>
                      <w:szCs w:val="20"/>
                      <w:lang w:eastAsia="vi-VN"/>
                    </w:rPr>
                  </w:pPr>
                  <w:r w:rsidRPr="00C81DE5">
                    <w:rPr>
                      <w:color w:val="000000"/>
                      <w:sz w:val="20"/>
                      <w:szCs w:val="20"/>
                      <w:lang w:eastAsia="vi-VN"/>
                    </w:rPr>
                    <w:t>- Ủy viên Ban Thường vụ tỉnh ủy, thành ủy các tỉnh, thành phố trực thuộc trung ương (trừ thành phố Hà Nội và Thành phố Hồ Chí Minh);</w:t>
                  </w:r>
                </w:p>
                <w:p w:rsidR="00C81DE5" w:rsidRPr="00C81DE5" w:rsidRDefault="00C81DE5" w:rsidP="00AE3EE0">
                  <w:pPr>
                    <w:jc w:val="both"/>
                    <w:rPr>
                      <w:color w:val="000000"/>
                      <w:sz w:val="20"/>
                      <w:szCs w:val="20"/>
                      <w:lang w:eastAsia="vi-VN"/>
                    </w:rPr>
                  </w:pPr>
                  <w:r w:rsidRPr="00C81DE5">
                    <w:rPr>
                      <w:color w:val="000000"/>
                      <w:sz w:val="20"/>
                      <w:szCs w:val="20"/>
                      <w:lang w:eastAsia="vi-VN"/>
                    </w:rPr>
                    <w:t>- Chủ tịch Ủy ban Mặt trận Tổ quốc Việt Nam tỉnh, thành phố trực thuộc trung ương; Phó Chủ tịch Hội đồng nhân dân, Phó Chủ tịch Ủy ban nhân dân tỉnh, thành phố trực thuộc trung ương; Phó trưởng đoàn đại biểu Quốc hội chuyên trách các tỉnh, thành phố trực thuộc trung ương;</w:t>
                  </w:r>
                </w:p>
                <w:p w:rsidR="00C81DE5" w:rsidRPr="00204A2D" w:rsidRDefault="00C81DE5" w:rsidP="00AE3EE0">
                  <w:pPr>
                    <w:jc w:val="both"/>
                    <w:rPr>
                      <w:color w:val="000000"/>
                      <w:sz w:val="20"/>
                      <w:szCs w:val="20"/>
                      <w:lang w:eastAsia="vi-VN"/>
                    </w:rPr>
                  </w:pPr>
                  <w:r w:rsidRPr="00C81DE5">
                    <w:rPr>
                      <w:color w:val="000000"/>
                      <w:sz w:val="20"/>
                      <w:szCs w:val="20"/>
                      <w:lang w:eastAsia="vi-VN"/>
                    </w:rPr>
                    <w:t>- Các chức danh, chức vụ tương đương.</w:t>
                  </w:r>
                </w:p>
              </w:tc>
              <w:tc>
                <w:tcPr>
                  <w:tcW w:w="992" w:type="dxa"/>
                  <w:vAlign w:val="center"/>
                </w:tcPr>
                <w:p w:rsidR="00C81DE5" w:rsidRDefault="00C81DE5" w:rsidP="00AE3EE0">
                  <w:pPr>
                    <w:jc w:val="center"/>
                    <w:rPr>
                      <w:color w:val="000000"/>
                      <w:sz w:val="20"/>
                      <w:szCs w:val="20"/>
                      <w:lang w:eastAsia="vi-VN"/>
                    </w:rPr>
                  </w:pPr>
                  <w:r>
                    <w:rPr>
                      <w:color w:val="000000"/>
                      <w:sz w:val="20"/>
                      <w:szCs w:val="20"/>
                      <w:lang w:eastAsia="vi-VN"/>
                    </w:rPr>
                    <w:t>45</w:t>
                  </w:r>
                </w:p>
              </w:tc>
            </w:tr>
            <w:tr w:rsidR="00C81DE5" w:rsidRPr="0023159B" w:rsidTr="00C81DE5">
              <w:tc>
                <w:tcPr>
                  <w:tcW w:w="312" w:type="dxa"/>
                </w:tcPr>
                <w:p w:rsidR="00C81DE5" w:rsidRDefault="00C81DE5" w:rsidP="00AE3EE0">
                  <w:pPr>
                    <w:rPr>
                      <w:sz w:val="20"/>
                      <w:szCs w:val="20"/>
                    </w:rPr>
                  </w:pPr>
                  <w:r>
                    <w:rPr>
                      <w:sz w:val="20"/>
                      <w:szCs w:val="20"/>
                    </w:rPr>
                    <w:t>5</w:t>
                  </w:r>
                </w:p>
              </w:tc>
              <w:tc>
                <w:tcPr>
                  <w:tcW w:w="3828" w:type="dxa"/>
                  <w:vAlign w:val="center"/>
                </w:tcPr>
                <w:p w:rsidR="00C81DE5" w:rsidRPr="00C81DE5" w:rsidRDefault="00C81DE5" w:rsidP="00AE3EE0">
                  <w:pPr>
                    <w:jc w:val="both"/>
                    <w:rPr>
                      <w:color w:val="000000"/>
                      <w:sz w:val="20"/>
                      <w:szCs w:val="20"/>
                      <w:lang w:eastAsia="vi-VN"/>
                    </w:rPr>
                  </w:pPr>
                  <w:r w:rsidRPr="00C81DE5">
                    <w:rPr>
                      <w:color w:val="000000"/>
                      <w:sz w:val="20"/>
                      <w:szCs w:val="20"/>
                      <w:lang w:eastAsia="vi-VN"/>
                    </w:rPr>
                    <w:t>- Trưởng ban Đảng, cơ quan trực thuộc tỉnh ủy, thành ủy;</w:t>
                  </w:r>
                </w:p>
                <w:p w:rsidR="00C81DE5" w:rsidRPr="00C81DE5" w:rsidRDefault="00C81DE5" w:rsidP="00AE3EE0">
                  <w:pPr>
                    <w:jc w:val="both"/>
                    <w:rPr>
                      <w:color w:val="000000"/>
                      <w:sz w:val="20"/>
                      <w:szCs w:val="20"/>
                      <w:lang w:eastAsia="vi-VN"/>
                    </w:rPr>
                  </w:pPr>
                  <w:r w:rsidRPr="00C81DE5">
                    <w:rPr>
                      <w:color w:val="000000"/>
                      <w:sz w:val="20"/>
                      <w:szCs w:val="20"/>
                      <w:lang w:eastAsia="vi-VN"/>
                    </w:rPr>
                    <w:t>- Giám đốc sở, trưởng các cơ quan, ban, ngành và tương đương cấp tỉnh;</w:t>
                  </w:r>
                </w:p>
                <w:p w:rsidR="00C81DE5" w:rsidRPr="00204A2D" w:rsidRDefault="00C81DE5" w:rsidP="00AE3EE0">
                  <w:pPr>
                    <w:jc w:val="both"/>
                    <w:rPr>
                      <w:color w:val="000000"/>
                      <w:sz w:val="20"/>
                      <w:szCs w:val="20"/>
                      <w:lang w:eastAsia="vi-VN"/>
                    </w:rPr>
                  </w:pPr>
                  <w:r w:rsidRPr="00C81DE5">
                    <w:rPr>
                      <w:color w:val="000000"/>
                      <w:sz w:val="20"/>
                      <w:szCs w:val="20"/>
                      <w:lang w:eastAsia="vi-VN"/>
                    </w:rPr>
                    <w:t>- Các chức danh, chức vụ tương đương.</w:t>
                  </w:r>
                </w:p>
              </w:tc>
              <w:tc>
                <w:tcPr>
                  <w:tcW w:w="992" w:type="dxa"/>
                  <w:vAlign w:val="center"/>
                </w:tcPr>
                <w:p w:rsidR="00C81DE5" w:rsidRDefault="00C81DE5" w:rsidP="00AE3EE0">
                  <w:pPr>
                    <w:jc w:val="center"/>
                    <w:rPr>
                      <w:color w:val="000000"/>
                      <w:sz w:val="20"/>
                      <w:szCs w:val="20"/>
                      <w:lang w:eastAsia="vi-VN"/>
                    </w:rPr>
                  </w:pPr>
                  <w:r>
                    <w:rPr>
                      <w:color w:val="000000"/>
                      <w:sz w:val="20"/>
                      <w:szCs w:val="20"/>
                      <w:lang w:eastAsia="vi-VN"/>
                    </w:rPr>
                    <w:t>40</w:t>
                  </w:r>
                </w:p>
              </w:tc>
            </w:tr>
            <w:tr w:rsidR="00C81DE5" w:rsidRPr="0023159B" w:rsidTr="00C81DE5">
              <w:tc>
                <w:tcPr>
                  <w:tcW w:w="312" w:type="dxa"/>
                </w:tcPr>
                <w:p w:rsidR="00C81DE5" w:rsidRDefault="00C81DE5" w:rsidP="00AE3EE0">
                  <w:pPr>
                    <w:rPr>
                      <w:sz w:val="20"/>
                      <w:szCs w:val="20"/>
                    </w:rPr>
                  </w:pPr>
                  <w:r>
                    <w:rPr>
                      <w:sz w:val="20"/>
                      <w:szCs w:val="20"/>
                    </w:rPr>
                    <w:t>6</w:t>
                  </w:r>
                </w:p>
              </w:tc>
              <w:tc>
                <w:tcPr>
                  <w:tcW w:w="3828" w:type="dxa"/>
                  <w:vAlign w:val="center"/>
                </w:tcPr>
                <w:p w:rsidR="00C81DE5" w:rsidRPr="00C81DE5" w:rsidRDefault="00C81DE5" w:rsidP="00AE3EE0">
                  <w:pPr>
                    <w:pStyle w:val="NormalWeb"/>
                    <w:spacing w:before="0" w:beforeAutospacing="0" w:after="0" w:afterAutospacing="0"/>
                    <w:jc w:val="both"/>
                    <w:rPr>
                      <w:color w:val="000000"/>
                      <w:sz w:val="20"/>
                      <w:szCs w:val="20"/>
                      <w:lang w:eastAsia="vi-VN"/>
                    </w:rPr>
                  </w:pPr>
                  <w:r w:rsidRPr="00C81DE5">
                    <w:rPr>
                      <w:color w:val="000000"/>
                      <w:sz w:val="20"/>
                      <w:szCs w:val="20"/>
                      <w:lang w:eastAsia="vi-VN"/>
                    </w:rPr>
                    <w:t>- Phó Trưởng ban Đảng, cơ quan trực thuộc tỉnh ủy, thành ủy; Phó Chủ tịch Ủy ban Mặt trận Tổ quốc Việt Nam tỉnh, thành phố trực thuộc trung ương; Thư ký bí thư tỉnh ủy, thành ủy;</w:t>
                  </w:r>
                </w:p>
                <w:p w:rsidR="00C81DE5" w:rsidRPr="00C81DE5" w:rsidRDefault="00C81DE5" w:rsidP="00AE3EE0">
                  <w:pPr>
                    <w:pStyle w:val="NormalWeb"/>
                    <w:spacing w:before="0" w:beforeAutospacing="0" w:after="0" w:afterAutospacing="0"/>
                    <w:jc w:val="both"/>
                    <w:rPr>
                      <w:color w:val="000000"/>
                      <w:sz w:val="20"/>
                      <w:szCs w:val="20"/>
                      <w:lang w:eastAsia="vi-VN"/>
                    </w:rPr>
                  </w:pPr>
                  <w:r w:rsidRPr="00C81DE5">
                    <w:rPr>
                      <w:color w:val="000000"/>
                      <w:sz w:val="20"/>
                      <w:szCs w:val="20"/>
                      <w:lang w:eastAsia="vi-VN"/>
                    </w:rPr>
                    <w:t>- Phó giám đốc sở, phó trưởng các cơ quan, ban, ngành và tương đương thuộc địa phương; Ủy viên Ủy ban kiểm tra tỉnh ủy, thành ủy trực thuộc trung ương;</w:t>
                  </w:r>
                </w:p>
                <w:p w:rsidR="00C81DE5" w:rsidRPr="00C81DE5" w:rsidRDefault="00C81DE5" w:rsidP="00AE3EE0">
                  <w:pPr>
                    <w:pStyle w:val="NormalWeb"/>
                    <w:spacing w:before="0" w:beforeAutospacing="0" w:after="0" w:afterAutospacing="0"/>
                    <w:jc w:val="both"/>
                    <w:rPr>
                      <w:color w:val="000000"/>
                      <w:sz w:val="20"/>
                      <w:szCs w:val="20"/>
                      <w:lang w:eastAsia="vi-VN"/>
                    </w:rPr>
                  </w:pPr>
                  <w:r w:rsidRPr="00C81DE5">
                    <w:rPr>
                      <w:color w:val="000000"/>
                      <w:sz w:val="20"/>
                      <w:szCs w:val="20"/>
                      <w:lang w:eastAsia="vi-VN"/>
                    </w:rPr>
                    <w:t>- Bí thư đảng ủy cấp xã và tương đương;</w:t>
                  </w:r>
                </w:p>
                <w:p w:rsidR="00C81DE5" w:rsidRPr="00204A2D" w:rsidRDefault="00C81DE5" w:rsidP="00AE3EE0">
                  <w:pPr>
                    <w:jc w:val="both"/>
                    <w:rPr>
                      <w:color w:val="000000"/>
                      <w:sz w:val="20"/>
                      <w:szCs w:val="20"/>
                      <w:lang w:eastAsia="vi-VN"/>
                    </w:rPr>
                  </w:pPr>
                  <w:r w:rsidRPr="00C81DE5">
                    <w:rPr>
                      <w:color w:val="000000"/>
                      <w:sz w:val="20"/>
                      <w:szCs w:val="20"/>
                      <w:lang w:eastAsia="vi-VN"/>
                    </w:rPr>
                    <w:t>- Các chức danh, chức vụ tương đương.</w:t>
                  </w:r>
                </w:p>
              </w:tc>
              <w:tc>
                <w:tcPr>
                  <w:tcW w:w="992" w:type="dxa"/>
                  <w:vAlign w:val="center"/>
                </w:tcPr>
                <w:p w:rsidR="00C81DE5" w:rsidRDefault="00C81DE5" w:rsidP="00AE3EE0">
                  <w:pPr>
                    <w:jc w:val="center"/>
                    <w:rPr>
                      <w:color w:val="000000"/>
                      <w:sz w:val="20"/>
                      <w:szCs w:val="20"/>
                      <w:lang w:eastAsia="vi-VN"/>
                    </w:rPr>
                  </w:pPr>
                  <w:r>
                    <w:rPr>
                      <w:color w:val="000000"/>
                      <w:sz w:val="20"/>
                      <w:szCs w:val="20"/>
                      <w:lang w:eastAsia="vi-VN"/>
                    </w:rPr>
                    <w:t>30</w:t>
                  </w:r>
                </w:p>
              </w:tc>
            </w:tr>
            <w:tr w:rsidR="00C81DE5" w:rsidRPr="0023159B" w:rsidTr="00C81DE5">
              <w:tc>
                <w:tcPr>
                  <w:tcW w:w="312" w:type="dxa"/>
                </w:tcPr>
                <w:p w:rsidR="00C81DE5" w:rsidRPr="00CD0B81" w:rsidRDefault="00C81DE5" w:rsidP="00AE3EE0">
                  <w:pPr>
                    <w:rPr>
                      <w:sz w:val="20"/>
                      <w:szCs w:val="20"/>
                    </w:rPr>
                  </w:pPr>
                  <w:r>
                    <w:rPr>
                      <w:sz w:val="20"/>
                      <w:szCs w:val="20"/>
                    </w:rPr>
                    <w:t>7</w:t>
                  </w:r>
                </w:p>
              </w:tc>
              <w:tc>
                <w:tcPr>
                  <w:tcW w:w="3828" w:type="dxa"/>
                  <w:vAlign w:val="center"/>
                </w:tcPr>
                <w:p w:rsidR="00C81DE5" w:rsidRPr="00204A2D" w:rsidRDefault="00C81DE5" w:rsidP="00AE3EE0">
                  <w:pPr>
                    <w:jc w:val="both"/>
                    <w:rPr>
                      <w:color w:val="000000"/>
                      <w:sz w:val="20"/>
                      <w:szCs w:val="20"/>
                      <w:lang w:eastAsia="vi-VN"/>
                    </w:rPr>
                  </w:pPr>
                  <w:r w:rsidRPr="00204A2D">
                    <w:rPr>
                      <w:color w:val="000000"/>
                      <w:sz w:val="20"/>
                      <w:szCs w:val="20"/>
                      <w:lang w:eastAsia="vi-VN"/>
                    </w:rPr>
                    <w:t>- Trưởng, Phó trưởng phòng và tương đương của các cơ quan, đơn vị thuộc các ban, cơ quan của Đảng; bộ, ngành, cơ quan ngang bộ; cơ quan thuộc Chính phủ; Mặt trận Tổ quốc Việt Nam ở Trung ương;</w:t>
                  </w:r>
                </w:p>
                <w:p w:rsidR="00C81DE5" w:rsidRPr="00204A2D" w:rsidRDefault="00C81DE5" w:rsidP="00AE3EE0">
                  <w:pPr>
                    <w:jc w:val="both"/>
                    <w:rPr>
                      <w:color w:val="000000"/>
                      <w:sz w:val="20"/>
                      <w:szCs w:val="20"/>
                      <w:lang w:eastAsia="vi-VN"/>
                    </w:rPr>
                  </w:pPr>
                  <w:r w:rsidRPr="00204A2D">
                    <w:rPr>
                      <w:color w:val="000000"/>
                      <w:sz w:val="20"/>
                      <w:szCs w:val="20"/>
                      <w:lang w:eastAsia="vi-VN"/>
                    </w:rPr>
                    <w:t>- Trưởng, Phó trưởng phòng, khoa và tương đương trực thuộc các học viện trực thuộc Học viện Chính trị quốc gia Hồ Chí Minh; Nhà xuất bản Chính trị quốc gia Sự thật; các cơ quan, đơn vị thuộc Đại học Quốc gia Hà Nội, Đại học Quốc gia Thành phố Hồ Chí Minh;</w:t>
                  </w:r>
                </w:p>
                <w:p w:rsidR="00C81DE5" w:rsidRPr="00204A2D" w:rsidRDefault="00C81DE5" w:rsidP="00AE3EE0">
                  <w:pPr>
                    <w:jc w:val="both"/>
                    <w:rPr>
                      <w:color w:val="000000"/>
                      <w:sz w:val="20"/>
                      <w:szCs w:val="20"/>
                      <w:lang w:eastAsia="vi-VN"/>
                    </w:rPr>
                  </w:pPr>
                  <w:r w:rsidRPr="00204A2D">
                    <w:rPr>
                      <w:color w:val="000000"/>
                      <w:sz w:val="20"/>
                      <w:szCs w:val="20"/>
                      <w:lang w:eastAsia="vi-VN"/>
                    </w:rPr>
                    <w:t>- Chuyên viên cao cấp, chuyên viên chính và các chức danh tương đương;</w:t>
                  </w:r>
                </w:p>
                <w:p w:rsidR="00C81DE5" w:rsidRPr="00A34921" w:rsidRDefault="00C81DE5" w:rsidP="00AE3EE0">
                  <w:pPr>
                    <w:jc w:val="both"/>
                    <w:rPr>
                      <w:color w:val="000000"/>
                      <w:sz w:val="20"/>
                      <w:szCs w:val="20"/>
                      <w:lang w:eastAsia="vi-VN"/>
                    </w:rPr>
                  </w:pPr>
                  <w:r w:rsidRPr="00204A2D">
                    <w:rPr>
                      <w:color w:val="000000"/>
                      <w:sz w:val="20"/>
                      <w:szCs w:val="20"/>
                      <w:lang w:eastAsia="vi-VN"/>
                    </w:rPr>
                    <w:t>- Các chức danh, chức vụ tương đương.</w:t>
                  </w:r>
                </w:p>
              </w:tc>
              <w:tc>
                <w:tcPr>
                  <w:tcW w:w="992" w:type="dxa"/>
                  <w:vAlign w:val="center"/>
                </w:tcPr>
                <w:p w:rsidR="00C81DE5" w:rsidRPr="00A34921" w:rsidRDefault="00C81DE5" w:rsidP="00AE3EE0">
                  <w:pPr>
                    <w:jc w:val="center"/>
                    <w:rPr>
                      <w:color w:val="000000"/>
                      <w:sz w:val="20"/>
                      <w:szCs w:val="20"/>
                      <w:lang w:eastAsia="vi-VN"/>
                    </w:rPr>
                  </w:pPr>
                  <w:r>
                    <w:rPr>
                      <w:color w:val="000000"/>
                      <w:sz w:val="20"/>
                      <w:szCs w:val="20"/>
                      <w:lang w:eastAsia="vi-VN"/>
                    </w:rPr>
                    <w:t>20</w:t>
                  </w:r>
                </w:p>
              </w:tc>
            </w:tr>
            <w:tr w:rsidR="00C81DE5" w:rsidRPr="0023159B" w:rsidTr="00C81DE5">
              <w:tc>
                <w:tcPr>
                  <w:tcW w:w="312" w:type="dxa"/>
                </w:tcPr>
                <w:p w:rsidR="00C81DE5" w:rsidRDefault="00C81DE5" w:rsidP="00AE3EE0">
                  <w:pPr>
                    <w:rPr>
                      <w:sz w:val="20"/>
                      <w:szCs w:val="20"/>
                    </w:rPr>
                  </w:pPr>
                  <w:r>
                    <w:rPr>
                      <w:sz w:val="20"/>
                      <w:szCs w:val="20"/>
                    </w:rPr>
                    <w:t>8</w:t>
                  </w:r>
                </w:p>
              </w:tc>
              <w:tc>
                <w:tcPr>
                  <w:tcW w:w="3828" w:type="dxa"/>
                  <w:vAlign w:val="center"/>
                </w:tcPr>
                <w:p w:rsidR="00C81DE5" w:rsidRPr="00204A2D" w:rsidRDefault="00C81DE5" w:rsidP="00AE3EE0">
                  <w:pPr>
                    <w:jc w:val="both"/>
                    <w:rPr>
                      <w:color w:val="000000"/>
                      <w:sz w:val="20"/>
                      <w:szCs w:val="20"/>
                      <w:lang w:eastAsia="vi-VN"/>
                    </w:rPr>
                  </w:pPr>
                  <w:r w:rsidRPr="00204A2D">
                    <w:rPr>
                      <w:color w:val="000000"/>
                      <w:sz w:val="20"/>
                      <w:szCs w:val="20"/>
                      <w:lang w:eastAsia="vi-VN"/>
                    </w:rPr>
                    <w:t>Trưởng phòng, Phó trưởng phòng, ban, cơ quan và tương đương cấp xã.</w:t>
                  </w:r>
                </w:p>
              </w:tc>
              <w:tc>
                <w:tcPr>
                  <w:tcW w:w="992" w:type="dxa"/>
                  <w:vAlign w:val="center"/>
                </w:tcPr>
                <w:p w:rsidR="00C81DE5" w:rsidRDefault="00C81DE5" w:rsidP="00AE3EE0">
                  <w:pPr>
                    <w:jc w:val="center"/>
                    <w:rPr>
                      <w:color w:val="000000"/>
                      <w:sz w:val="20"/>
                      <w:szCs w:val="20"/>
                      <w:lang w:eastAsia="vi-VN"/>
                    </w:rPr>
                  </w:pPr>
                  <w:r>
                    <w:rPr>
                      <w:color w:val="000000"/>
                      <w:sz w:val="20"/>
                      <w:szCs w:val="20"/>
                      <w:lang w:eastAsia="vi-VN"/>
                    </w:rPr>
                    <w:t>18</w:t>
                  </w:r>
                </w:p>
              </w:tc>
            </w:tr>
            <w:tr w:rsidR="00C81DE5" w:rsidRPr="0023159B" w:rsidTr="00C81DE5">
              <w:tc>
                <w:tcPr>
                  <w:tcW w:w="312" w:type="dxa"/>
                </w:tcPr>
                <w:p w:rsidR="00C81DE5" w:rsidRDefault="00C81DE5" w:rsidP="00AE3EE0">
                  <w:pPr>
                    <w:rPr>
                      <w:sz w:val="20"/>
                      <w:szCs w:val="20"/>
                    </w:rPr>
                  </w:pPr>
                  <w:r>
                    <w:rPr>
                      <w:sz w:val="20"/>
                      <w:szCs w:val="20"/>
                    </w:rPr>
                    <w:t>9</w:t>
                  </w:r>
                </w:p>
              </w:tc>
              <w:tc>
                <w:tcPr>
                  <w:tcW w:w="3828" w:type="dxa"/>
                  <w:vAlign w:val="center"/>
                </w:tcPr>
                <w:p w:rsidR="00C81DE5" w:rsidRPr="00204A2D" w:rsidRDefault="00C81DE5" w:rsidP="00AE3EE0">
                  <w:pPr>
                    <w:jc w:val="both"/>
                    <w:rPr>
                      <w:color w:val="000000"/>
                      <w:sz w:val="20"/>
                      <w:szCs w:val="20"/>
                      <w:lang w:eastAsia="vi-VN"/>
                    </w:rPr>
                  </w:pPr>
                  <w:r w:rsidRPr="00C81DE5">
                    <w:rPr>
                      <w:color w:val="000000"/>
                      <w:sz w:val="20"/>
                      <w:szCs w:val="20"/>
                      <w:lang w:eastAsia="vi-VN"/>
                    </w:rPr>
                    <w:t>Chuyên viên và các chức danh tương đương thuộc địa phương (bao gồm cả công chức cấp xã).</w:t>
                  </w:r>
                </w:p>
              </w:tc>
              <w:tc>
                <w:tcPr>
                  <w:tcW w:w="992" w:type="dxa"/>
                  <w:vAlign w:val="center"/>
                </w:tcPr>
                <w:p w:rsidR="00C81DE5" w:rsidRDefault="00C81DE5" w:rsidP="00AE3EE0">
                  <w:pPr>
                    <w:jc w:val="center"/>
                    <w:rPr>
                      <w:color w:val="000000"/>
                      <w:sz w:val="20"/>
                      <w:szCs w:val="20"/>
                      <w:lang w:eastAsia="vi-VN"/>
                    </w:rPr>
                  </w:pPr>
                  <w:r>
                    <w:rPr>
                      <w:color w:val="000000"/>
                      <w:sz w:val="20"/>
                      <w:szCs w:val="20"/>
                      <w:lang w:eastAsia="vi-VN"/>
                    </w:rPr>
                    <w:t>15</w:t>
                  </w:r>
                </w:p>
              </w:tc>
            </w:tr>
            <w:tr w:rsidR="00C81DE5" w:rsidRPr="0023159B" w:rsidTr="00C81DE5">
              <w:tc>
                <w:tcPr>
                  <w:tcW w:w="312" w:type="dxa"/>
                </w:tcPr>
                <w:p w:rsidR="00C81DE5" w:rsidRDefault="00C81DE5" w:rsidP="00AE3EE0">
                  <w:pPr>
                    <w:rPr>
                      <w:sz w:val="20"/>
                      <w:szCs w:val="20"/>
                    </w:rPr>
                  </w:pPr>
                  <w:r>
                    <w:rPr>
                      <w:sz w:val="20"/>
                      <w:szCs w:val="20"/>
                    </w:rPr>
                    <w:t>10</w:t>
                  </w:r>
                </w:p>
              </w:tc>
              <w:tc>
                <w:tcPr>
                  <w:tcW w:w="3828" w:type="dxa"/>
                  <w:vAlign w:val="center"/>
                </w:tcPr>
                <w:p w:rsidR="00C81DE5" w:rsidRPr="00204A2D" w:rsidRDefault="00C81DE5" w:rsidP="00AE3EE0">
                  <w:pPr>
                    <w:jc w:val="both"/>
                    <w:rPr>
                      <w:color w:val="000000"/>
                      <w:sz w:val="20"/>
                      <w:szCs w:val="20"/>
                      <w:lang w:eastAsia="vi-VN"/>
                    </w:rPr>
                  </w:pPr>
                  <w:r w:rsidRPr="00C81DE5">
                    <w:rPr>
                      <w:color w:val="000000"/>
                      <w:sz w:val="20"/>
                      <w:szCs w:val="20"/>
                      <w:lang w:eastAsia="vi-VN"/>
                    </w:rPr>
                    <w:t xml:space="preserve">Cá nhân ký hợp đồng lao động theo quy định của Chính phủ về hợp đồng đối với một số loại công việc trong cơ quan hành chính, đơn vị sự nghiệp công lập. </w:t>
                  </w:r>
                </w:p>
              </w:tc>
              <w:tc>
                <w:tcPr>
                  <w:tcW w:w="992" w:type="dxa"/>
                  <w:vAlign w:val="center"/>
                </w:tcPr>
                <w:p w:rsidR="00C81DE5" w:rsidRDefault="00C81DE5" w:rsidP="00AE3EE0">
                  <w:pPr>
                    <w:jc w:val="center"/>
                    <w:rPr>
                      <w:color w:val="000000"/>
                      <w:sz w:val="20"/>
                      <w:szCs w:val="20"/>
                      <w:lang w:eastAsia="vi-VN"/>
                    </w:rPr>
                  </w:pPr>
                  <w:r>
                    <w:rPr>
                      <w:color w:val="000000"/>
                      <w:sz w:val="20"/>
                      <w:szCs w:val="20"/>
                      <w:lang w:eastAsia="vi-VN"/>
                    </w:rPr>
                    <w:t>10</w:t>
                  </w:r>
                </w:p>
              </w:tc>
            </w:tr>
          </w:tbl>
          <w:p w:rsidR="00C81DE5" w:rsidRPr="0023159B" w:rsidRDefault="00C81DE5" w:rsidP="00953655">
            <w:pPr>
              <w:ind w:left="28" w:right="28"/>
              <w:jc w:val="both"/>
              <w:rPr>
                <w:bCs/>
              </w:rPr>
            </w:pPr>
          </w:p>
        </w:tc>
        <w:tc>
          <w:tcPr>
            <w:tcW w:w="5185" w:type="dxa"/>
          </w:tcPr>
          <w:p w:rsidR="00C81DE5" w:rsidRDefault="00C81DE5" w:rsidP="00B357AC">
            <w:pPr>
              <w:ind w:right="28"/>
              <w:jc w:val="both"/>
            </w:pPr>
            <w:r w:rsidRPr="00B357AC">
              <w:t xml:space="preserve"> </w:t>
            </w:r>
            <w:r w:rsidR="008E5451" w:rsidRPr="0023159B">
              <w:rPr>
                <w:lang w:val="vi-VN"/>
              </w:rPr>
              <w:t xml:space="preserve">Ghép </w:t>
            </w:r>
            <w:r w:rsidR="008E5451" w:rsidRPr="0023159B">
              <w:t>Phụ lục I (</w:t>
            </w:r>
            <w:r w:rsidR="008E5451" w:rsidRPr="0023159B">
              <w:rPr>
                <w:lang w:val="vi-VN"/>
              </w:rPr>
              <w:t xml:space="preserve">đối với </w:t>
            </w:r>
            <w:r w:rsidR="008E5451" w:rsidRPr="0023159B">
              <w:t>trung ương), Phụ lục II (</w:t>
            </w:r>
            <w:r w:rsidR="008E5451" w:rsidRPr="0023159B">
              <w:rPr>
                <w:lang w:val="vi-VN"/>
              </w:rPr>
              <w:t xml:space="preserve">đối với </w:t>
            </w:r>
            <w:r w:rsidR="008E5451" w:rsidRPr="0023159B">
              <w:t>địa phương)</w:t>
            </w:r>
            <w:r w:rsidR="008E5451" w:rsidRPr="0023159B">
              <w:rPr>
                <w:lang w:val="vi-VN"/>
              </w:rPr>
              <w:t xml:space="preserve"> thành </w:t>
            </w:r>
            <w:r w:rsidR="008E5451" w:rsidRPr="0023159B">
              <w:t>01 Phụ lục quy định chung cho trung ương và địa phương</w:t>
            </w:r>
            <w:r w:rsidR="008E5451" w:rsidRPr="0023159B">
              <w:rPr>
                <w:lang w:val="vi-VN"/>
              </w:rPr>
              <w:t xml:space="preserve">; đồng thời </w:t>
            </w:r>
            <w:r w:rsidR="008E5451" w:rsidRPr="0023159B">
              <w:t>không</w:t>
            </w:r>
            <w:r w:rsidR="008E5451" w:rsidRPr="0023159B">
              <w:rPr>
                <w:lang w:val="vi-VN"/>
              </w:rPr>
              <w:t xml:space="preserve"> liệt kê cụ thể các chức danh mà </w:t>
            </w:r>
            <w:r w:rsidR="008E5451" w:rsidRPr="0023159B">
              <w:t>dẫn chiếu theo nhóm</w:t>
            </w:r>
            <w:r w:rsidR="008E5451" w:rsidRPr="0023159B">
              <w:rPr>
                <w:lang w:val="vi-VN"/>
              </w:rPr>
              <w:t xml:space="preserve">, bậc </w:t>
            </w:r>
            <w:r w:rsidR="008E5451" w:rsidRPr="0023159B">
              <w:t>chức danh tại Quy định số 368-QĐ/TW</w:t>
            </w:r>
            <w:r w:rsidR="008E5451">
              <w:t xml:space="preserve"> ngày 08/9/2025 của </w:t>
            </w:r>
            <w:r w:rsidR="008E5451" w:rsidRPr="0004596F">
              <w:t>Ban chấp hành Trung ương</w:t>
            </w:r>
            <w:r w:rsidR="008E5451" w:rsidRPr="0023159B">
              <w:rPr>
                <w:lang w:val="vi-VN"/>
              </w:rPr>
              <w:t>.</w:t>
            </w:r>
          </w:p>
          <w:p w:rsidR="008E5451" w:rsidRPr="008E5451" w:rsidRDefault="008E5451" w:rsidP="00B357AC">
            <w:pPr>
              <w:ind w:right="28"/>
              <w:jc w:val="both"/>
              <w:rPr>
                <w:bCs/>
                <w:sz w:val="12"/>
              </w:rPr>
            </w:pPr>
          </w:p>
          <w:tbl>
            <w:tblPr>
              <w:tblStyle w:val="TableGrid"/>
              <w:tblW w:w="5071" w:type="dxa"/>
              <w:tblLayout w:type="fixed"/>
              <w:tblLook w:val="04A0"/>
            </w:tblPr>
            <w:tblGrid>
              <w:gridCol w:w="252"/>
              <w:gridCol w:w="3827"/>
              <w:gridCol w:w="992"/>
            </w:tblGrid>
            <w:tr w:rsidR="00C81DE5" w:rsidRPr="00C81DE5" w:rsidTr="00C81DE5">
              <w:trPr>
                <w:tblHeader/>
              </w:trPr>
              <w:tc>
                <w:tcPr>
                  <w:tcW w:w="252" w:type="dxa"/>
                  <w:vAlign w:val="center"/>
                </w:tcPr>
                <w:p w:rsidR="00C81DE5" w:rsidRPr="00C81DE5" w:rsidRDefault="00C81DE5" w:rsidP="003E1E43">
                  <w:pPr>
                    <w:jc w:val="center"/>
                    <w:rPr>
                      <w:sz w:val="20"/>
                      <w:szCs w:val="20"/>
                    </w:rPr>
                  </w:pPr>
                  <w:r w:rsidRPr="00C81DE5">
                    <w:rPr>
                      <w:b/>
                      <w:bCs/>
                      <w:sz w:val="20"/>
                      <w:szCs w:val="20"/>
                    </w:rPr>
                    <w:t>STT</w:t>
                  </w:r>
                </w:p>
              </w:tc>
              <w:tc>
                <w:tcPr>
                  <w:tcW w:w="3827" w:type="dxa"/>
                  <w:vAlign w:val="center"/>
                </w:tcPr>
                <w:p w:rsidR="00C81DE5" w:rsidRPr="00C81DE5" w:rsidRDefault="00C81DE5" w:rsidP="003E1E43">
                  <w:pPr>
                    <w:jc w:val="center"/>
                    <w:rPr>
                      <w:sz w:val="20"/>
                      <w:szCs w:val="20"/>
                    </w:rPr>
                  </w:pPr>
                  <w:r w:rsidRPr="00C81DE5">
                    <w:rPr>
                      <w:b/>
                      <w:bCs/>
                      <w:sz w:val="20"/>
                      <w:szCs w:val="20"/>
                    </w:rPr>
                    <w:t>Chức danh</w:t>
                  </w:r>
                </w:p>
              </w:tc>
              <w:tc>
                <w:tcPr>
                  <w:tcW w:w="992" w:type="dxa"/>
                  <w:vAlign w:val="center"/>
                </w:tcPr>
                <w:p w:rsidR="00C81DE5" w:rsidRPr="00C81DE5" w:rsidRDefault="00C81DE5" w:rsidP="003E1E43">
                  <w:pPr>
                    <w:ind w:right="15"/>
                    <w:jc w:val="center"/>
                    <w:rPr>
                      <w:sz w:val="20"/>
                      <w:szCs w:val="20"/>
                    </w:rPr>
                  </w:pPr>
                  <w:r w:rsidRPr="00C81DE5">
                    <w:rPr>
                      <w:b/>
                      <w:bCs/>
                      <w:spacing w:val="-8"/>
                      <w:sz w:val="20"/>
                      <w:szCs w:val="20"/>
                    </w:rPr>
                    <w:t xml:space="preserve">Diện tích tối đa </w:t>
                  </w:r>
                  <w:r w:rsidRPr="00C81DE5">
                    <w:rPr>
                      <w:bCs/>
                      <w:i/>
                      <w:spacing w:val="-14"/>
                      <w:sz w:val="20"/>
                      <w:szCs w:val="20"/>
                    </w:rPr>
                    <w:t>(m</w:t>
                  </w:r>
                  <w:r w:rsidRPr="00C81DE5">
                    <w:rPr>
                      <w:bCs/>
                      <w:i/>
                      <w:spacing w:val="-14"/>
                      <w:sz w:val="20"/>
                      <w:szCs w:val="20"/>
                      <w:vertAlign w:val="superscript"/>
                    </w:rPr>
                    <w:t>2</w:t>
                  </w:r>
                  <w:r w:rsidRPr="00C81DE5">
                    <w:rPr>
                      <w:bCs/>
                      <w:i/>
                      <w:spacing w:val="-14"/>
                      <w:sz w:val="20"/>
                      <w:szCs w:val="20"/>
                    </w:rPr>
                    <w:t>/người)</w:t>
                  </w:r>
                </w:p>
              </w:tc>
            </w:tr>
            <w:tr w:rsidR="00C81DE5" w:rsidRPr="00C81DE5" w:rsidTr="00C81DE5">
              <w:tc>
                <w:tcPr>
                  <w:tcW w:w="252" w:type="dxa"/>
                  <w:vAlign w:val="center"/>
                </w:tcPr>
                <w:p w:rsidR="00C81DE5" w:rsidRPr="00C81DE5" w:rsidRDefault="00C81DE5" w:rsidP="003E1E43">
                  <w:pPr>
                    <w:spacing w:before="60" w:after="60"/>
                    <w:jc w:val="center"/>
                    <w:rPr>
                      <w:sz w:val="20"/>
                      <w:szCs w:val="20"/>
                    </w:rPr>
                  </w:pPr>
                  <w:r w:rsidRPr="00C81DE5">
                    <w:rPr>
                      <w:sz w:val="20"/>
                      <w:szCs w:val="20"/>
                    </w:rPr>
                    <w:t>1</w:t>
                  </w:r>
                </w:p>
              </w:tc>
              <w:tc>
                <w:tcPr>
                  <w:tcW w:w="3827" w:type="dxa"/>
                  <w:vAlign w:val="center"/>
                </w:tcPr>
                <w:p w:rsidR="00C81DE5" w:rsidRPr="00C81DE5" w:rsidRDefault="00C81DE5" w:rsidP="003E1E43">
                  <w:pPr>
                    <w:spacing w:before="60" w:after="60"/>
                    <w:rPr>
                      <w:color w:val="000000"/>
                      <w:sz w:val="20"/>
                      <w:szCs w:val="20"/>
                      <w:lang w:eastAsia="vi-VN"/>
                    </w:rPr>
                  </w:pPr>
                  <w:r w:rsidRPr="00C81DE5">
                    <w:rPr>
                      <w:color w:val="000000"/>
                      <w:spacing w:val="-8"/>
                      <w:sz w:val="20"/>
                      <w:szCs w:val="20"/>
                      <w:lang w:eastAsia="vi-VN"/>
                    </w:rPr>
                    <w:t xml:space="preserve">Tổng Bí thư, Chủ tịch nước, Thủ tướng Chính phủ, Chủ tịch Quốc hội, </w:t>
                  </w:r>
                  <w:r w:rsidRPr="00C81DE5">
                    <w:rPr>
                      <w:iCs/>
                      <w:spacing w:val="-8"/>
                      <w:sz w:val="20"/>
                      <w:szCs w:val="20"/>
                    </w:rPr>
                    <w:t>Thường trực Ban Bí thư</w:t>
                  </w:r>
                  <w:r w:rsidRPr="00C81DE5">
                    <w:rPr>
                      <w:color w:val="000000"/>
                      <w:sz w:val="20"/>
                      <w:szCs w:val="20"/>
                      <w:lang w:eastAsia="vi-VN"/>
                    </w:rPr>
                    <w:t xml:space="preserve"> </w:t>
                  </w:r>
                </w:p>
              </w:tc>
              <w:tc>
                <w:tcPr>
                  <w:tcW w:w="992" w:type="dxa"/>
                  <w:vAlign w:val="center"/>
                </w:tcPr>
                <w:p w:rsidR="00C81DE5" w:rsidRPr="00C81DE5" w:rsidRDefault="00C81DE5" w:rsidP="003E1E43">
                  <w:pPr>
                    <w:spacing w:before="60" w:after="60"/>
                    <w:jc w:val="center"/>
                    <w:rPr>
                      <w:color w:val="000000"/>
                      <w:sz w:val="20"/>
                      <w:szCs w:val="20"/>
                      <w:lang w:eastAsia="vi-VN"/>
                    </w:rPr>
                  </w:pPr>
                  <w:r w:rsidRPr="00C81DE5">
                    <w:rPr>
                      <w:color w:val="000000"/>
                      <w:sz w:val="20"/>
                      <w:szCs w:val="20"/>
                      <w:lang w:eastAsia="vi-VN"/>
                    </w:rPr>
                    <w:t>Được bố trí theo yêu cầu công tác</w:t>
                  </w:r>
                </w:p>
              </w:tc>
            </w:tr>
            <w:tr w:rsidR="00C81DE5" w:rsidRPr="00C81DE5" w:rsidTr="00C81DE5">
              <w:tc>
                <w:tcPr>
                  <w:tcW w:w="252" w:type="dxa"/>
                  <w:vAlign w:val="center"/>
                </w:tcPr>
                <w:p w:rsidR="00C81DE5" w:rsidRPr="00C81DE5" w:rsidRDefault="00C81DE5" w:rsidP="003E1E43">
                  <w:pPr>
                    <w:spacing w:before="60" w:after="60"/>
                    <w:jc w:val="center"/>
                    <w:rPr>
                      <w:sz w:val="20"/>
                      <w:szCs w:val="20"/>
                    </w:rPr>
                  </w:pPr>
                  <w:r w:rsidRPr="00C81DE5">
                    <w:rPr>
                      <w:sz w:val="20"/>
                      <w:szCs w:val="20"/>
                    </w:rPr>
                    <w:t>2</w:t>
                  </w:r>
                </w:p>
              </w:tc>
              <w:tc>
                <w:tcPr>
                  <w:tcW w:w="3827" w:type="dxa"/>
                  <w:vAlign w:val="center"/>
                </w:tcPr>
                <w:p w:rsidR="00C81DE5" w:rsidRPr="00C81DE5" w:rsidRDefault="00C81DE5" w:rsidP="003E1E43">
                  <w:pPr>
                    <w:overflowPunct w:val="0"/>
                    <w:autoSpaceDE w:val="0"/>
                    <w:autoSpaceDN w:val="0"/>
                    <w:adjustRightInd w:val="0"/>
                    <w:spacing w:before="60" w:after="60"/>
                    <w:rPr>
                      <w:sz w:val="20"/>
                      <w:szCs w:val="20"/>
                    </w:rPr>
                  </w:pPr>
                  <w:r w:rsidRPr="00C81DE5">
                    <w:rPr>
                      <w:sz w:val="20"/>
                      <w:szCs w:val="20"/>
                    </w:rPr>
                    <w:t>Ủy viên Bộ Chính trị, Ủy viên Ban Bí thư, Chủ tịch Ủy ban Trung ương Mặt trận Tổ quốc Việt Nam, Chủ nhiệm Ủy ban Kiểm tra Trung ương, trưởng ban đảng ở Trung ương, Chánh Văn phòng Trung ương Đảng, Giám đốc Học viện Chính trị quốc gia Hồ Chí Minh, Phó Chủ tịch nước, Phó Thủ tướng Chính phủ, Phó Chủ tịch Quốc hội, Chánh án Toà án nhân dân tối cao, Viện trưởng Viện Kiểm sát nhân dân tối cao</w:t>
                  </w:r>
                </w:p>
              </w:tc>
              <w:tc>
                <w:tcPr>
                  <w:tcW w:w="992" w:type="dxa"/>
                  <w:vAlign w:val="center"/>
                </w:tcPr>
                <w:p w:rsidR="00C81DE5" w:rsidRPr="00C81DE5" w:rsidRDefault="00C81DE5" w:rsidP="003E1E43">
                  <w:pPr>
                    <w:tabs>
                      <w:tab w:val="left" w:pos="1866"/>
                    </w:tabs>
                    <w:spacing w:before="60" w:after="60"/>
                    <w:jc w:val="center"/>
                    <w:rPr>
                      <w:strike/>
                      <w:sz w:val="20"/>
                      <w:szCs w:val="20"/>
                    </w:rPr>
                  </w:pPr>
                  <w:r w:rsidRPr="00C81DE5">
                    <w:rPr>
                      <w:color w:val="000000"/>
                      <w:sz w:val="20"/>
                      <w:szCs w:val="20"/>
                      <w:lang w:eastAsia="vi-VN"/>
                    </w:rPr>
                    <w:t>Được bố trí theo yêu cầu công tác</w:t>
                  </w:r>
                </w:p>
              </w:tc>
            </w:tr>
            <w:tr w:rsidR="00C81DE5" w:rsidRPr="00C81DE5" w:rsidTr="00C81DE5">
              <w:tc>
                <w:tcPr>
                  <w:tcW w:w="252" w:type="dxa"/>
                  <w:vAlign w:val="center"/>
                </w:tcPr>
                <w:p w:rsidR="00C81DE5" w:rsidRPr="00C81DE5" w:rsidRDefault="00C81DE5" w:rsidP="003E1E43">
                  <w:pPr>
                    <w:spacing w:before="60" w:after="60"/>
                    <w:jc w:val="center"/>
                    <w:rPr>
                      <w:sz w:val="20"/>
                      <w:szCs w:val="20"/>
                    </w:rPr>
                  </w:pPr>
                  <w:r w:rsidRPr="00C81DE5">
                    <w:rPr>
                      <w:sz w:val="20"/>
                      <w:szCs w:val="20"/>
                    </w:rPr>
                    <w:t>3</w:t>
                  </w:r>
                </w:p>
              </w:tc>
              <w:tc>
                <w:tcPr>
                  <w:tcW w:w="3827" w:type="dxa"/>
                </w:tcPr>
                <w:p w:rsidR="00C81DE5" w:rsidRPr="00C81DE5" w:rsidRDefault="00C81DE5" w:rsidP="003E1E43">
                  <w:pPr>
                    <w:spacing w:before="10" w:after="10"/>
                    <w:rPr>
                      <w:b/>
                      <w:sz w:val="20"/>
                      <w:szCs w:val="20"/>
                    </w:rPr>
                  </w:pPr>
                  <w:r w:rsidRPr="00C81DE5">
                    <w:rPr>
                      <w:color w:val="000000"/>
                      <w:sz w:val="20"/>
                      <w:szCs w:val="20"/>
                      <w:lang w:eastAsia="vi-VN"/>
                    </w:rPr>
                    <w:t xml:space="preserve">Các chức danh, chức vụ tại </w:t>
                  </w:r>
                  <w:r w:rsidRPr="00C81DE5">
                    <w:rPr>
                      <w:sz w:val="20"/>
                      <w:szCs w:val="20"/>
                    </w:rPr>
                    <w:t>Nhóm II Danh mục vị trí chức danh, nhóm chức danh, chức vụ lãnh đạo của hệ thống chính trị ban hành kèm theo Quy định số 368-QĐ/TW</w:t>
                  </w:r>
                </w:p>
              </w:tc>
              <w:tc>
                <w:tcPr>
                  <w:tcW w:w="992" w:type="dxa"/>
                  <w:vAlign w:val="center"/>
                </w:tcPr>
                <w:p w:rsidR="00C81DE5" w:rsidRPr="00C81DE5" w:rsidRDefault="00C81DE5" w:rsidP="003E1E43">
                  <w:pPr>
                    <w:spacing w:before="60" w:after="60"/>
                    <w:jc w:val="center"/>
                    <w:rPr>
                      <w:strike/>
                      <w:sz w:val="20"/>
                      <w:szCs w:val="20"/>
                    </w:rPr>
                  </w:pPr>
                  <w:r w:rsidRPr="00C81DE5">
                    <w:rPr>
                      <w:sz w:val="20"/>
                      <w:szCs w:val="20"/>
                    </w:rPr>
                    <w:t>65</w:t>
                  </w:r>
                </w:p>
              </w:tc>
            </w:tr>
            <w:tr w:rsidR="00C81DE5" w:rsidRPr="00C81DE5" w:rsidTr="00C81DE5">
              <w:tc>
                <w:tcPr>
                  <w:tcW w:w="252" w:type="dxa"/>
                  <w:vAlign w:val="center"/>
                </w:tcPr>
                <w:p w:rsidR="00C81DE5" w:rsidRPr="00C81DE5" w:rsidRDefault="00C81DE5" w:rsidP="003E1E43">
                  <w:pPr>
                    <w:spacing w:before="60" w:after="60"/>
                    <w:jc w:val="center"/>
                    <w:rPr>
                      <w:sz w:val="20"/>
                      <w:szCs w:val="20"/>
                    </w:rPr>
                  </w:pPr>
                  <w:r w:rsidRPr="00C81DE5">
                    <w:rPr>
                      <w:sz w:val="20"/>
                      <w:szCs w:val="20"/>
                    </w:rPr>
                    <w:t>4</w:t>
                  </w:r>
                </w:p>
              </w:tc>
              <w:tc>
                <w:tcPr>
                  <w:tcW w:w="3827" w:type="dxa"/>
                </w:tcPr>
                <w:p w:rsidR="00C81DE5" w:rsidRPr="00C81DE5" w:rsidRDefault="00C81DE5" w:rsidP="003E1E43">
                  <w:pPr>
                    <w:spacing w:before="10" w:after="10"/>
                    <w:rPr>
                      <w:color w:val="000000"/>
                      <w:spacing w:val="-4"/>
                      <w:sz w:val="20"/>
                      <w:szCs w:val="20"/>
                      <w:lang w:eastAsia="vi-VN"/>
                    </w:rPr>
                  </w:pPr>
                  <w:r w:rsidRPr="00C81DE5">
                    <w:rPr>
                      <w:color w:val="000000"/>
                      <w:sz w:val="20"/>
                      <w:szCs w:val="20"/>
                      <w:lang w:eastAsia="vi-VN"/>
                    </w:rPr>
                    <w:t xml:space="preserve">Các chức danh, chức vụ tại Nhóm III </w:t>
                  </w:r>
                  <w:r w:rsidRPr="00C81DE5">
                    <w:rPr>
                      <w:sz w:val="20"/>
                      <w:szCs w:val="20"/>
                    </w:rPr>
                    <w:t xml:space="preserve">Danh mục vị trí chức danh, nhóm chức danh, chức vụ lãnh đạo của hệ thống chính trị ban hành kèm theo </w:t>
                  </w:r>
                  <w:r w:rsidRPr="00C81DE5">
                    <w:rPr>
                      <w:color w:val="000000"/>
                      <w:sz w:val="20"/>
                      <w:szCs w:val="20"/>
                      <w:lang w:eastAsia="vi-VN"/>
                    </w:rPr>
                    <w:t>Quy định số 368-QĐ/TW</w:t>
                  </w:r>
                </w:p>
              </w:tc>
              <w:tc>
                <w:tcPr>
                  <w:tcW w:w="992" w:type="dxa"/>
                  <w:vAlign w:val="center"/>
                </w:tcPr>
                <w:p w:rsidR="00C81DE5" w:rsidRPr="00C81DE5" w:rsidRDefault="00C81DE5" w:rsidP="003E1E43">
                  <w:pPr>
                    <w:spacing w:before="60" w:after="60"/>
                    <w:jc w:val="center"/>
                    <w:rPr>
                      <w:sz w:val="20"/>
                      <w:szCs w:val="20"/>
                    </w:rPr>
                  </w:pPr>
                  <w:r w:rsidRPr="00C81DE5">
                    <w:rPr>
                      <w:sz w:val="20"/>
                      <w:szCs w:val="20"/>
                    </w:rPr>
                    <w:t>55</w:t>
                  </w:r>
                </w:p>
              </w:tc>
            </w:tr>
            <w:tr w:rsidR="00C81DE5" w:rsidRPr="00C81DE5" w:rsidTr="00C81DE5">
              <w:tc>
                <w:tcPr>
                  <w:tcW w:w="252" w:type="dxa"/>
                  <w:vAlign w:val="center"/>
                </w:tcPr>
                <w:p w:rsidR="00C81DE5" w:rsidRPr="00C81DE5" w:rsidRDefault="00C81DE5" w:rsidP="003E1E43">
                  <w:pPr>
                    <w:spacing w:before="10" w:after="10"/>
                    <w:jc w:val="center"/>
                    <w:rPr>
                      <w:iCs/>
                      <w:spacing w:val="-2"/>
                      <w:sz w:val="20"/>
                      <w:szCs w:val="20"/>
                    </w:rPr>
                  </w:pPr>
                  <w:r w:rsidRPr="00C81DE5">
                    <w:rPr>
                      <w:iCs/>
                      <w:spacing w:val="-2"/>
                      <w:sz w:val="20"/>
                      <w:szCs w:val="20"/>
                    </w:rPr>
                    <w:t>5</w:t>
                  </w:r>
                </w:p>
              </w:tc>
              <w:tc>
                <w:tcPr>
                  <w:tcW w:w="3827" w:type="dxa"/>
                </w:tcPr>
                <w:p w:rsidR="00C81DE5" w:rsidRPr="00C81DE5" w:rsidRDefault="00C81DE5" w:rsidP="003E1E43">
                  <w:pPr>
                    <w:rPr>
                      <w:color w:val="000000"/>
                      <w:sz w:val="20"/>
                      <w:szCs w:val="20"/>
                      <w:lang w:eastAsia="vi-VN"/>
                    </w:rPr>
                  </w:pPr>
                  <w:r w:rsidRPr="00C81DE5">
                    <w:rPr>
                      <w:color w:val="000000"/>
                      <w:sz w:val="20"/>
                      <w:szCs w:val="20"/>
                      <w:lang w:eastAsia="vi-VN"/>
                    </w:rPr>
                    <w:t xml:space="preserve">Các chức danh, chức vụ tại Bậc 1 Nhóm IV </w:t>
                  </w:r>
                  <w:r w:rsidRPr="00C81DE5">
                    <w:rPr>
                      <w:sz w:val="20"/>
                      <w:szCs w:val="20"/>
                    </w:rPr>
                    <w:t xml:space="preserve">Danh mục vị trí chức danh, nhóm chức danh, chức vụ lãnh đạo của hệ thống chính trị ban hành kèm theo </w:t>
                  </w:r>
                  <w:r w:rsidRPr="00C81DE5">
                    <w:rPr>
                      <w:color w:val="000000"/>
                      <w:sz w:val="20"/>
                      <w:szCs w:val="20"/>
                      <w:lang w:eastAsia="vi-VN"/>
                    </w:rPr>
                    <w:t>Quy định số 368-QĐ/TW</w:t>
                  </w:r>
                </w:p>
              </w:tc>
              <w:tc>
                <w:tcPr>
                  <w:tcW w:w="992" w:type="dxa"/>
                  <w:vAlign w:val="center"/>
                </w:tcPr>
                <w:p w:rsidR="00C81DE5" w:rsidRPr="00C81DE5" w:rsidRDefault="00C81DE5" w:rsidP="003E1E43">
                  <w:pPr>
                    <w:spacing w:before="10" w:after="10"/>
                    <w:jc w:val="center"/>
                    <w:rPr>
                      <w:iCs/>
                      <w:spacing w:val="-2"/>
                      <w:sz w:val="20"/>
                      <w:szCs w:val="20"/>
                    </w:rPr>
                  </w:pPr>
                  <w:r w:rsidRPr="00C81DE5">
                    <w:rPr>
                      <w:iCs/>
                      <w:spacing w:val="-2"/>
                      <w:sz w:val="20"/>
                      <w:szCs w:val="20"/>
                    </w:rPr>
                    <w:t>50</w:t>
                  </w:r>
                </w:p>
              </w:tc>
            </w:tr>
            <w:tr w:rsidR="00C81DE5" w:rsidRPr="00C81DE5" w:rsidTr="00C81DE5">
              <w:tc>
                <w:tcPr>
                  <w:tcW w:w="252" w:type="dxa"/>
                  <w:vAlign w:val="center"/>
                </w:tcPr>
                <w:p w:rsidR="00C81DE5" w:rsidRPr="00C81DE5" w:rsidRDefault="00C81DE5" w:rsidP="003E1E43">
                  <w:pPr>
                    <w:spacing w:before="10" w:after="10"/>
                    <w:jc w:val="center"/>
                    <w:rPr>
                      <w:iCs/>
                      <w:spacing w:val="-2"/>
                      <w:sz w:val="20"/>
                      <w:szCs w:val="20"/>
                    </w:rPr>
                  </w:pPr>
                  <w:r w:rsidRPr="00C81DE5">
                    <w:rPr>
                      <w:iCs/>
                      <w:spacing w:val="-2"/>
                      <w:sz w:val="20"/>
                      <w:szCs w:val="20"/>
                    </w:rPr>
                    <w:t>6</w:t>
                  </w:r>
                </w:p>
              </w:tc>
              <w:tc>
                <w:tcPr>
                  <w:tcW w:w="3827" w:type="dxa"/>
                </w:tcPr>
                <w:p w:rsidR="00C81DE5" w:rsidRPr="00C81DE5" w:rsidRDefault="00C81DE5" w:rsidP="003E1E43">
                  <w:pPr>
                    <w:rPr>
                      <w:iCs/>
                      <w:spacing w:val="-2"/>
                      <w:sz w:val="20"/>
                      <w:szCs w:val="20"/>
                    </w:rPr>
                  </w:pPr>
                  <w:r w:rsidRPr="00C81DE5">
                    <w:rPr>
                      <w:color w:val="000000"/>
                      <w:sz w:val="20"/>
                      <w:szCs w:val="20"/>
                      <w:lang w:eastAsia="vi-VN"/>
                    </w:rPr>
                    <w:t xml:space="preserve">Các chức danh, chức vụ tại Bậc 2 Nhóm IV </w:t>
                  </w:r>
                  <w:r w:rsidRPr="00C81DE5">
                    <w:rPr>
                      <w:sz w:val="20"/>
                      <w:szCs w:val="20"/>
                    </w:rPr>
                    <w:t xml:space="preserve">Danh mục vị trí chức danh, nhóm chức danh, chức vụ lãnh đạo của hệ thống chính trị ban hành kèm theo </w:t>
                  </w:r>
                  <w:r w:rsidRPr="00C81DE5">
                    <w:rPr>
                      <w:color w:val="000000"/>
                      <w:sz w:val="20"/>
                      <w:szCs w:val="20"/>
                      <w:lang w:eastAsia="vi-VN"/>
                    </w:rPr>
                    <w:t>Quy định số 368-QĐ/TW</w:t>
                  </w:r>
                </w:p>
              </w:tc>
              <w:tc>
                <w:tcPr>
                  <w:tcW w:w="992" w:type="dxa"/>
                  <w:vAlign w:val="center"/>
                </w:tcPr>
                <w:p w:rsidR="00C81DE5" w:rsidRPr="00C81DE5" w:rsidRDefault="00C81DE5" w:rsidP="003E1E43">
                  <w:pPr>
                    <w:spacing w:before="10" w:after="10"/>
                    <w:jc w:val="center"/>
                    <w:rPr>
                      <w:iCs/>
                      <w:spacing w:val="-2"/>
                      <w:sz w:val="20"/>
                      <w:szCs w:val="20"/>
                    </w:rPr>
                  </w:pPr>
                  <w:r w:rsidRPr="00C81DE5">
                    <w:rPr>
                      <w:iCs/>
                      <w:spacing w:val="-2"/>
                      <w:sz w:val="20"/>
                      <w:szCs w:val="20"/>
                    </w:rPr>
                    <w:t>45</w:t>
                  </w:r>
                </w:p>
              </w:tc>
            </w:tr>
            <w:tr w:rsidR="00C81DE5" w:rsidRPr="00C81DE5" w:rsidTr="00C81DE5">
              <w:tc>
                <w:tcPr>
                  <w:tcW w:w="252" w:type="dxa"/>
                  <w:vAlign w:val="center"/>
                </w:tcPr>
                <w:p w:rsidR="00C81DE5" w:rsidRPr="00C81DE5" w:rsidRDefault="00C81DE5" w:rsidP="003E1E43">
                  <w:pPr>
                    <w:spacing w:before="60" w:after="60"/>
                    <w:jc w:val="center"/>
                    <w:rPr>
                      <w:sz w:val="20"/>
                      <w:szCs w:val="20"/>
                    </w:rPr>
                  </w:pPr>
                  <w:r w:rsidRPr="00C81DE5">
                    <w:rPr>
                      <w:sz w:val="20"/>
                      <w:szCs w:val="20"/>
                    </w:rPr>
                    <w:t>7</w:t>
                  </w:r>
                </w:p>
              </w:tc>
              <w:tc>
                <w:tcPr>
                  <w:tcW w:w="3827" w:type="dxa"/>
                  <w:vAlign w:val="center"/>
                </w:tcPr>
                <w:p w:rsidR="00C81DE5" w:rsidRPr="00C81DE5" w:rsidRDefault="00C81DE5" w:rsidP="003E1E43">
                  <w:pPr>
                    <w:rPr>
                      <w:color w:val="000000"/>
                      <w:sz w:val="20"/>
                      <w:szCs w:val="20"/>
                      <w:lang w:eastAsia="vi-VN"/>
                    </w:rPr>
                  </w:pPr>
                  <w:r w:rsidRPr="00C81DE5">
                    <w:rPr>
                      <w:color w:val="000000"/>
                      <w:sz w:val="20"/>
                      <w:szCs w:val="20"/>
                      <w:lang w:eastAsia="vi-VN"/>
                    </w:rPr>
                    <w:t xml:space="preserve">Các chức danh, chức vụ tại Bậc 3, Bậc 4 Nhóm IV </w:t>
                  </w:r>
                  <w:r w:rsidRPr="00C81DE5">
                    <w:rPr>
                      <w:sz w:val="20"/>
                      <w:szCs w:val="20"/>
                    </w:rPr>
                    <w:t xml:space="preserve">Danh mục vị trí chức danh, nhóm chức danh, chức vụ lãnh đạo của hệ thống chính trị ban hành kèm theo </w:t>
                  </w:r>
                  <w:r w:rsidRPr="00C81DE5">
                    <w:rPr>
                      <w:color w:val="000000"/>
                      <w:sz w:val="20"/>
                      <w:szCs w:val="20"/>
                      <w:lang w:eastAsia="vi-VN"/>
                    </w:rPr>
                    <w:t>Quy định số 368-QĐ/TW</w:t>
                  </w:r>
                </w:p>
              </w:tc>
              <w:tc>
                <w:tcPr>
                  <w:tcW w:w="992" w:type="dxa"/>
                  <w:vAlign w:val="center"/>
                </w:tcPr>
                <w:p w:rsidR="00C81DE5" w:rsidRPr="00C81DE5" w:rsidRDefault="00C81DE5" w:rsidP="003E1E43">
                  <w:pPr>
                    <w:spacing w:before="60" w:after="60"/>
                    <w:jc w:val="center"/>
                    <w:rPr>
                      <w:sz w:val="20"/>
                      <w:szCs w:val="20"/>
                    </w:rPr>
                  </w:pPr>
                  <w:r w:rsidRPr="00C81DE5">
                    <w:rPr>
                      <w:sz w:val="20"/>
                      <w:szCs w:val="20"/>
                    </w:rPr>
                    <w:t>40</w:t>
                  </w:r>
                </w:p>
              </w:tc>
            </w:tr>
            <w:tr w:rsidR="00C81DE5" w:rsidRPr="00C81DE5" w:rsidTr="00C81DE5">
              <w:tc>
                <w:tcPr>
                  <w:tcW w:w="252" w:type="dxa"/>
                  <w:vAlign w:val="center"/>
                </w:tcPr>
                <w:p w:rsidR="00C81DE5" w:rsidRPr="00C81DE5" w:rsidRDefault="00C81DE5" w:rsidP="003E1E43">
                  <w:pPr>
                    <w:spacing w:before="60" w:after="60"/>
                    <w:jc w:val="center"/>
                    <w:rPr>
                      <w:sz w:val="20"/>
                      <w:szCs w:val="20"/>
                    </w:rPr>
                  </w:pPr>
                  <w:r w:rsidRPr="00C81DE5">
                    <w:rPr>
                      <w:sz w:val="20"/>
                      <w:szCs w:val="20"/>
                    </w:rPr>
                    <w:t>8</w:t>
                  </w:r>
                </w:p>
              </w:tc>
              <w:tc>
                <w:tcPr>
                  <w:tcW w:w="3827" w:type="dxa"/>
                  <w:vAlign w:val="center"/>
                </w:tcPr>
                <w:p w:rsidR="00C81DE5" w:rsidRPr="00C81DE5" w:rsidRDefault="00C81DE5" w:rsidP="003E1E43">
                  <w:pPr>
                    <w:rPr>
                      <w:iCs/>
                      <w:spacing w:val="-2"/>
                      <w:sz w:val="20"/>
                      <w:szCs w:val="20"/>
                      <w:lang w:val="vi-VN"/>
                    </w:rPr>
                  </w:pPr>
                  <w:r w:rsidRPr="00C81DE5">
                    <w:rPr>
                      <w:color w:val="000000"/>
                      <w:sz w:val="20"/>
                      <w:szCs w:val="20"/>
                      <w:lang w:eastAsia="vi-VN"/>
                    </w:rPr>
                    <w:t xml:space="preserve">Các chức danh, chức vụ tại </w:t>
                  </w:r>
                  <w:r w:rsidRPr="00C81DE5">
                    <w:rPr>
                      <w:iCs/>
                      <w:sz w:val="20"/>
                      <w:szCs w:val="20"/>
                    </w:rPr>
                    <w:t xml:space="preserve">Bậc 5, Bậc 6 Nhóm IV </w:t>
                  </w:r>
                  <w:r w:rsidRPr="00C81DE5">
                    <w:rPr>
                      <w:sz w:val="20"/>
                      <w:szCs w:val="20"/>
                    </w:rPr>
                    <w:t xml:space="preserve">Danh mục vị trí chức danh, nhóm chức danh, chức vụ lãnh đạo của hệ thống chính trị ban hành kèm theo </w:t>
                  </w:r>
                  <w:r w:rsidRPr="00C81DE5">
                    <w:rPr>
                      <w:iCs/>
                      <w:sz w:val="20"/>
                      <w:szCs w:val="20"/>
                    </w:rPr>
                    <w:t>Quy định số 368-QĐ/TW</w:t>
                  </w:r>
                </w:p>
              </w:tc>
              <w:tc>
                <w:tcPr>
                  <w:tcW w:w="992" w:type="dxa"/>
                  <w:vAlign w:val="center"/>
                </w:tcPr>
                <w:p w:rsidR="00C81DE5" w:rsidRPr="00C81DE5" w:rsidRDefault="00C81DE5" w:rsidP="003E1E43">
                  <w:pPr>
                    <w:spacing w:before="60" w:after="60"/>
                    <w:jc w:val="center"/>
                    <w:rPr>
                      <w:strike/>
                      <w:sz w:val="20"/>
                      <w:szCs w:val="20"/>
                    </w:rPr>
                  </w:pPr>
                  <w:r w:rsidRPr="00C81DE5">
                    <w:rPr>
                      <w:sz w:val="20"/>
                      <w:szCs w:val="20"/>
                    </w:rPr>
                    <w:t>30</w:t>
                  </w:r>
                </w:p>
                <w:p w:rsidR="00C81DE5" w:rsidRPr="00C81DE5" w:rsidRDefault="00C81DE5" w:rsidP="003E1E43">
                  <w:pPr>
                    <w:spacing w:before="60" w:after="60"/>
                    <w:jc w:val="center"/>
                    <w:rPr>
                      <w:b/>
                      <w:sz w:val="20"/>
                      <w:szCs w:val="20"/>
                      <w:lang w:val="vi-VN"/>
                    </w:rPr>
                  </w:pPr>
                </w:p>
              </w:tc>
            </w:tr>
            <w:tr w:rsidR="00C81DE5" w:rsidRPr="00C81DE5" w:rsidTr="00C81DE5">
              <w:tc>
                <w:tcPr>
                  <w:tcW w:w="252" w:type="dxa"/>
                  <w:vAlign w:val="center"/>
                </w:tcPr>
                <w:p w:rsidR="00C81DE5" w:rsidRPr="00C81DE5" w:rsidRDefault="00C81DE5" w:rsidP="003E1E43">
                  <w:pPr>
                    <w:spacing w:before="60" w:after="60"/>
                    <w:jc w:val="center"/>
                    <w:rPr>
                      <w:sz w:val="20"/>
                      <w:szCs w:val="20"/>
                    </w:rPr>
                  </w:pPr>
                  <w:r w:rsidRPr="00C81DE5">
                    <w:rPr>
                      <w:sz w:val="20"/>
                      <w:szCs w:val="20"/>
                    </w:rPr>
                    <w:t>9</w:t>
                  </w:r>
                </w:p>
              </w:tc>
              <w:tc>
                <w:tcPr>
                  <w:tcW w:w="3827" w:type="dxa"/>
                  <w:vAlign w:val="center"/>
                </w:tcPr>
                <w:p w:rsidR="00C81DE5" w:rsidRPr="00C81DE5" w:rsidRDefault="00C81DE5" w:rsidP="003E1E43">
                  <w:pPr>
                    <w:spacing w:before="20" w:after="20"/>
                    <w:rPr>
                      <w:iCs/>
                      <w:sz w:val="20"/>
                      <w:szCs w:val="20"/>
                    </w:rPr>
                  </w:pPr>
                  <w:r w:rsidRPr="00C81DE5">
                    <w:rPr>
                      <w:iCs/>
                      <w:sz w:val="20"/>
                      <w:szCs w:val="20"/>
                    </w:rPr>
                    <w:t xml:space="preserve">- Các </w:t>
                  </w:r>
                  <w:r w:rsidRPr="00C81DE5">
                    <w:rPr>
                      <w:color w:val="000000"/>
                      <w:sz w:val="20"/>
                      <w:szCs w:val="20"/>
                      <w:lang w:eastAsia="vi-VN"/>
                    </w:rPr>
                    <w:t xml:space="preserve">chức danh, chức vụ tại </w:t>
                  </w:r>
                  <w:r w:rsidRPr="00C81DE5">
                    <w:rPr>
                      <w:iCs/>
                      <w:sz w:val="20"/>
                      <w:szCs w:val="20"/>
                    </w:rPr>
                    <w:t xml:space="preserve">Bậc 7, Bậc 8, Bậc 9, Bậc 10 Nhóm IV </w:t>
                  </w:r>
                  <w:r w:rsidRPr="00C81DE5">
                    <w:rPr>
                      <w:sz w:val="20"/>
                      <w:szCs w:val="20"/>
                    </w:rPr>
                    <w:t xml:space="preserve">Danh mục vị trí chức danh, nhóm chức danh, chức vụ lãnh đạo của hệ thống chính trị ban hành kèm theo </w:t>
                  </w:r>
                  <w:r w:rsidRPr="00C81DE5">
                    <w:rPr>
                      <w:iCs/>
                      <w:sz w:val="20"/>
                      <w:szCs w:val="20"/>
                    </w:rPr>
                    <w:t xml:space="preserve">Quy định số 368-QĐ/TW </w:t>
                  </w:r>
                </w:p>
                <w:p w:rsidR="00C81DE5" w:rsidRPr="00C81DE5" w:rsidRDefault="00C81DE5" w:rsidP="003E1E43">
                  <w:pPr>
                    <w:spacing w:before="60" w:after="60"/>
                    <w:rPr>
                      <w:b/>
                      <w:sz w:val="20"/>
                      <w:szCs w:val="20"/>
                    </w:rPr>
                  </w:pPr>
                  <w:r w:rsidRPr="00C81DE5">
                    <w:rPr>
                      <w:iCs/>
                      <w:sz w:val="20"/>
                      <w:szCs w:val="20"/>
                    </w:rPr>
                    <w:t xml:space="preserve">- Chuyên viên cao cấp, chuyên viên chính </w:t>
                  </w:r>
                  <w:r w:rsidRPr="00C81DE5">
                    <w:rPr>
                      <w:color w:val="000000"/>
                      <w:sz w:val="20"/>
                      <w:szCs w:val="20"/>
                    </w:rPr>
                    <w:t>và các chức danh tương đương</w:t>
                  </w:r>
                </w:p>
              </w:tc>
              <w:tc>
                <w:tcPr>
                  <w:tcW w:w="992" w:type="dxa"/>
                  <w:vAlign w:val="center"/>
                </w:tcPr>
                <w:p w:rsidR="00C81DE5" w:rsidRPr="00C81DE5" w:rsidRDefault="00C81DE5" w:rsidP="003E1E43">
                  <w:pPr>
                    <w:spacing w:before="60" w:after="60"/>
                    <w:ind w:right="15"/>
                    <w:jc w:val="center"/>
                    <w:rPr>
                      <w:sz w:val="20"/>
                      <w:szCs w:val="20"/>
                    </w:rPr>
                  </w:pPr>
                  <w:r w:rsidRPr="00C81DE5">
                    <w:rPr>
                      <w:sz w:val="20"/>
                      <w:szCs w:val="20"/>
                    </w:rPr>
                    <w:t>20</w:t>
                  </w:r>
                </w:p>
              </w:tc>
            </w:tr>
            <w:tr w:rsidR="00C81DE5" w:rsidRPr="00C81DE5" w:rsidTr="00C81DE5">
              <w:tc>
                <w:tcPr>
                  <w:tcW w:w="252" w:type="dxa"/>
                  <w:vAlign w:val="center"/>
                </w:tcPr>
                <w:p w:rsidR="00C81DE5" w:rsidRPr="00C81DE5" w:rsidRDefault="00C81DE5" w:rsidP="003E1E43">
                  <w:pPr>
                    <w:spacing w:before="60" w:after="60"/>
                    <w:jc w:val="center"/>
                    <w:rPr>
                      <w:sz w:val="20"/>
                      <w:szCs w:val="20"/>
                    </w:rPr>
                  </w:pPr>
                  <w:r w:rsidRPr="00C81DE5">
                    <w:rPr>
                      <w:sz w:val="20"/>
                      <w:szCs w:val="20"/>
                    </w:rPr>
                    <w:t>10</w:t>
                  </w:r>
                </w:p>
              </w:tc>
              <w:tc>
                <w:tcPr>
                  <w:tcW w:w="3827" w:type="dxa"/>
                  <w:vAlign w:val="center"/>
                </w:tcPr>
                <w:p w:rsidR="00C81DE5" w:rsidRPr="00C81DE5" w:rsidRDefault="00C81DE5" w:rsidP="003E1E43">
                  <w:pPr>
                    <w:spacing w:before="60" w:after="60"/>
                    <w:rPr>
                      <w:sz w:val="20"/>
                      <w:szCs w:val="20"/>
                    </w:rPr>
                  </w:pPr>
                  <w:r w:rsidRPr="00C81DE5">
                    <w:rPr>
                      <w:sz w:val="20"/>
                      <w:szCs w:val="20"/>
                    </w:rPr>
                    <w:t>- Chuyên viên và các chức danh tương đương.</w:t>
                  </w:r>
                </w:p>
                <w:p w:rsidR="00C81DE5" w:rsidRPr="00C81DE5" w:rsidRDefault="00C81DE5" w:rsidP="003E1E43">
                  <w:pPr>
                    <w:spacing w:before="60" w:after="60"/>
                    <w:rPr>
                      <w:color w:val="000000"/>
                      <w:sz w:val="20"/>
                      <w:szCs w:val="20"/>
                    </w:rPr>
                  </w:pPr>
                  <w:r w:rsidRPr="00C81DE5">
                    <w:rPr>
                      <w:sz w:val="20"/>
                      <w:szCs w:val="20"/>
                    </w:rPr>
                    <w:t xml:space="preserve">- </w:t>
                  </w:r>
                  <w:r w:rsidRPr="00C81DE5">
                    <w:rPr>
                      <w:rFonts w:eastAsia="Arial"/>
                      <w:spacing w:val="-2"/>
                      <w:sz w:val="20"/>
                      <w:szCs w:val="20"/>
                      <w:lang w:val="vi-VN"/>
                    </w:rPr>
                    <w:t xml:space="preserve">Cá nhân ký hợp đồng lao động theo quy định của Chính phủ về hợp đồng đối với một số loại công việc trong </w:t>
                  </w:r>
                  <w:r w:rsidRPr="00C81DE5">
                    <w:rPr>
                      <w:rFonts w:eastAsia="Arial"/>
                      <w:spacing w:val="-2"/>
                      <w:sz w:val="20"/>
                      <w:szCs w:val="20"/>
                    </w:rPr>
                    <w:t xml:space="preserve">cơ quan hành chính, </w:t>
                  </w:r>
                  <w:r w:rsidRPr="00C81DE5">
                    <w:rPr>
                      <w:rFonts w:eastAsia="Arial"/>
                      <w:spacing w:val="-2"/>
                      <w:sz w:val="20"/>
                      <w:szCs w:val="20"/>
                      <w:lang w:val="vi-VN"/>
                    </w:rPr>
                    <w:t>đơn vị sự nghiệp</w:t>
                  </w:r>
                  <w:r w:rsidRPr="00C81DE5">
                    <w:rPr>
                      <w:rFonts w:eastAsia="Arial"/>
                      <w:spacing w:val="-2"/>
                      <w:sz w:val="20"/>
                      <w:szCs w:val="20"/>
                    </w:rPr>
                    <w:t xml:space="preserve"> công lập.</w:t>
                  </w:r>
                </w:p>
              </w:tc>
              <w:tc>
                <w:tcPr>
                  <w:tcW w:w="992" w:type="dxa"/>
                  <w:vAlign w:val="center"/>
                </w:tcPr>
                <w:p w:rsidR="00C81DE5" w:rsidRPr="00C81DE5" w:rsidRDefault="00C81DE5" w:rsidP="003E1E43">
                  <w:pPr>
                    <w:spacing w:before="60" w:after="60"/>
                    <w:ind w:right="15"/>
                    <w:jc w:val="center"/>
                    <w:rPr>
                      <w:sz w:val="20"/>
                      <w:szCs w:val="20"/>
                    </w:rPr>
                  </w:pPr>
                  <w:r w:rsidRPr="00C81DE5">
                    <w:rPr>
                      <w:sz w:val="20"/>
                      <w:szCs w:val="20"/>
                    </w:rPr>
                    <w:t>15</w:t>
                  </w:r>
                </w:p>
              </w:tc>
            </w:tr>
          </w:tbl>
          <w:p w:rsidR="00C81DE5" w:rsidRPr="0023159B" w:rsidRDefault="00C81DE5" w:rsidP="00B357AC">
            <w:pPr>
              <w:ind w:right="28"/>
              <w:jc w:val="both"/>
              <w:rPr>
                <w:bCs/>
              </w:rPr>
            </w:pPr>
          </w:p>
        </w:tc>
        <w:tc>
          <w:tcPr>
            <w:tcW w:w="3260" w:type="dxa"/>
          </w:tcPr>
          <w:p w:rsidR="008D5A45" w:rsidRPr="008D5A45" w:rsidRDefault="008D5A45" w:rsidP="008D5A45">
            <w:pPr>
              <w:ind w:left="28" w:right="28"/>
              <w:jc w:val="both"/>
              <w:rPr>
                <w:lang w:val="nl-NL"/>
              </w:rPr>
            </w:pPr>
            <w:r w:rsidRPr="008D5A45">
              <w:rPr>
                <w:lang w:val="nl-NL"/>
              </w:rPr>
              <w:t xml:space="preserve">Tại </w:t>
            </w:r>
            <w:r w:rsidRPr="008D5A45">
              <w:rPr>
                <w:lang w:val="vi-VN"/>
              </w:rPr>
              <w:t>Nghị định số 155/2025/NĐ-CP</w:t>
            </w:r>
            <w:r w:rsidRPr="008D5A45">
              <w:rPr>
                <w:lang w:val="nl-NL"/>
              </w:rPr>
              <w:t xml:space="preserve"> quy định diện tích làm việc của các chức danh tại Phụ lục I (trung ương), Phụ lục II (địa phương) được xây dựng trên cơ sở hệ thống chức danh theo Kết luận số 35-KL/TW và không tổ chức cấp huyện; theo nguyên tắc phân nhóm chức danh để xác định định mức có tính chất tương đồng giữa các chức danh cùng cấp, bậc, nhóm theo Kết luận số 35-KL/TW gắn với cấp bậc từ cao xuống thấp, bảo đảm tương quan giữa vị trí, chức trách và yêu cầu sử dụng, trong đó có sự điều chỉnh phù hợp đối với một số cấp, bậc trong Nhóm III của Kết luận số </w:t>
            </w:r>
            <w:r w:rsidRPr="008D5A45">
              <w:t>35-KL/TW</w:t>
            </w:r>
            <w:r w:rsidRPr="008D5A45">
              <w:rPr>
                <w:lang w:val="nl-NL"/>
              </w:rPr>
              <w:t xml:space="preserve">; cụ thể: </w:t>
            </w:r>
          </w:p>
          <w:p w:rsidR="008D5A45" w:rsidRPr="008D5A45" w:rsidRDefault="008D5A45" w:rsidP="008D5A45">
            <w:pPr>
              <w:ind w:left="28" w:right="28"/>
              <w:jc w:val="both"/>
              <w:rPr>
                <w:bCs/>
                <w:lang w:val="nl-NL"/>
              </w:rPr>
            </w:pPr>
            <w:r w:rsidRPr="008D5A45">
              <w:rPr>
                <w:bCs/>
                <w:lang w:val="nl-NL"/>
              </w:rPr>
              <w:t>(1) Phụ lục I được chia thành 08 nhóm:</w:t>
            </w:r>
          </w:p>
          <w:p w:rsidR="008D5A45" w:rsidRPr="008D5A45" w:rsidRDefault="008D5A45" w:rsidP="008D5A45">
            <w:pPr>
              <w:ind w:left="28" w:right="28"/>
              <w:jc w:val="both"/>
            </w:pPr>
            <w:r w:rsidRPr="008D5A45">
              <w:rPr>
                <w:bCs/>
                <w:lang w:val="nl-NL"/>
              </w:rPr>
              <w:t>- N</w:t>
            </w:r>
            <w:r w:rsidRPr="008D5A45">
              <w:t>hóm 1, Nhóm 2 tương ứng các chức danh tại STT (I), (II) Kết luận số 35-KL/TW (được bố trí theo yêu cầu công tác).</w:t>
            </w:r>
          </w:p>
          <w:p w:rsidR="008D5A45" w:rsidRPr="008D5A45" w:rsidRDefault="008D5A45" w:rsidP="008D5A45">
            <w:pPr>
              <w:ind w:left="28" w:right="28"/>
              <w:jc w:val="both"/>
            </w:pPr>
            <w:r w:rsidRPr="008D5A45">
              <w:rPr>
                <w:b/>
              </w:rPr>
              <w:t xml:space="preserve">- </w:t>
            </w:r>
            <w:r w:rsidRPr="008D5A45">
              <w:t xml:space="preserve">Nhóm 3 tương ứng các chức danh thuộc bậc 1, </w:t>
            </w:r>
            <w:proofErr w:type="gramStart"/>
            <w:r w:rsidRPr="008D5A45">
              <w:t>2 STT (III) Kết luận số 35-KL/TW (65m</w:t>
            </w:r>
            <w:r w:rsidRPr="008D5A45">
              <w:rPr>
                <w:vertAlign w:val="superscript"/>
              </w:rPr>
              <w:t>2</w:t>
            </w:r>
            <w:r w:rsidRPr="008D5A45">
              <w:t>/người)</w:t>
            </w:r>
            <w:proofErr w:type="gramEnd"/>
            <w:r w:rsidRPr="008D5A45">
              <w:t>.</w:t>
            </w:r>
          </w:p>
          <w:p w:rsidR="008D5A45" w:rsidRPr="008D5A45" w:rsidRDefault="008D5A45" w:rsidP="008D5A45">
            <w:pPr>
              <w:ind w:left="28" w:right="28"/>
              <w:jc w:val="both"/>
            </w:pPr>
            <w:r w:rsidRPr="008D5A45">
              <w:t>- Nhóm 4 tương ứng các chức danh thuộc bậc 3 STT (III) và STT (IV) Kết luận số 35-KL/TW (55m</w:t>
            </w:r>
            <w:r w:rsidRPr="008D5A45">
              <w:rPr>
                <w:vertAlign w:val="superscript"/>
              </w:rPr>
              <w:t>2</w:t>
            </w:r>
            <w:r w:rsidRPr="008D5A45">
              <w:t>/người).</w:t>
            </w:r>
          </w:p>
          <w:p w:rsidR="008D5A45" w:rsidRPr="008D5A45" w:rsidRDefault="008D5A45" w:rsidP="008D5A45">
            <w:pPr>
              <w:ind w:left="28" w:right="28"/>
              <w:jc w:val="both"/>
            </w:pPr>
            <w:r w:rsidRPr="008D5A45">
              <w:t>- Nhóm 5 tương ứng các chức danh thuộc STT (V, VI và VII) Kết luận số 35-KL/TW (40m</w:t>
            </w:r>
            <w:r w:rsidRPr="008D5A45">
              <w:rPr>
                <w:vertAlign w:val="superscript"/>
              </w:rPr>
              <w:t>2</w:t>
            </w:r>
            <w:r w:rsidRPr="008D5A45">
              <w:t>/người).</w:t>
            </w:r>
          </w:p>
          <w:p w:rsidR="008D5A45" w:rsidRPr="008D5A45" w:rsidRDefault="008D5A45" w:rsidP="008D5A45">
            <w:pPr>
              <w:ind w:left="28" w:right="28"/>
              <w:jc w:val="both"/>
            </w:pPr>
            <w:r w:rsidRPr="008D5A45">
              <w:t>- Nhóm 6 tương ứng các chức danh thuộc STT (VIII) Kết luận số 35-KL/TW (30m</w:t>
            </w:r>
            <w:r w:rsidRPr="008D5A45">
              <w:rPr>
                <w:vertAlign w:val="superscript"/>
              </w:rPr>
              <w:t>2</w:t>
            </w:r>
            <w:r w:rsidRPr="008D5A45">
              <w:t xml:space="preserve">/người). </w:t>
            </w:r>
          </w:p>
          <w:p w:rsidR="008D5A45" w:rsidRPr="008D5A45" w:rsidRDefault="008D5A45" w:rsidP="008D5A45">
            <w:pPr>
              <w:ind w:left="28" w:right="28"/>
              <w:jc w:val="both"/>
            </w:pPr>
            <w:r w:rsidRPr="008D5A45">
              <w:t>- Nhóm 7 tương ứng các chức danh thuộc STT (IX, X) Kết luận số 35-KL/TW (20m</w:t>
            </w:r>
            <w:r w:rsidRPr="008D5A45">
              <w:rPr>
                <w:vertAlign w:val="superscript"/>
              </w:rPr>
              <w:t>2</w:t>
            </w:r>
            <w:r w:rsidRPr="008D5A45">
              <w:t xml:space="preserve">/người). </w:t>
            </w:r>
          </w:p>
          <w:p w:rsidR="008D5A45" w:rsidRPr="008D5A45" w:rsidRDefault="008D5A45" w:rsidP="008D5A45">
            <w:pPr>
              <w:ind w:left="28" w:right="28"/>
              <w:jc w:val="both"/>
            </w:pPr>
            <w:r w:rsidRPr="008D5A45">
              <w:t>- Nhóm 8 và Nhóm 9 gồm chuyên viên và các chức danh tương đương, cá nhân ký hợp đồng lao động theo quy định, với định mức 15m</w:t>
            </w:r>
            <w:r w:rsidRPr="008D5A45">
              <w:rPr>
                <w:vertAlign w:val="superscript"/>
              </w:rPr>
              <w:t>2</w:t>
            </w:r>
            <w:r w:rsidRPr="008D5A45">
              <w:t>/người, 12m</w:t>
            </w:r>
            <w:r w:rsidRPr="008D5A45">
              <w:rPr>
                <w:vertAlign w:val="superscript"/>
              </w:rPr>
              <w:t>2</w:t>
            </w:r>
            <w:r w:rsidRPr="008D5A45">
              <w:t>/người.</w:t>
            </w:r>
          </w:p>
          <w:p w:rsidR="008D5A45" w:rsidRPr="008D5A45" w:rsidRDefault="008D5A45" w:rsidP="008D5A45">
            <w:pPr>
              <w:ind w:left="28" w:right="28"/>
              <w:jc w:val="both"/>
              <w:rPr>
                <w:bCs/>
                <w:lang w:val="nl-NL"/>
              </w:rPr>
            </w:pPr>
            <w:r w:rsidRPr="008D5A45">
              <w:rPr>
                <w:bCs/>
                <w:lang w:val="nl-NL"/>
              </w:rPr>
              <w:t>(2) Phụ lục II được chia thành 09 nhóm:</w:t>
            </w:r>
          </w:p>
          <w:p w:rsidR="008D5A45" w:rsidRPr="008D5A45" w:rsidRDefault="008D5A45" w:rsidP="008D5A45">
            <w:pPr>
              <w:ind w:left="28" w:right="28"/>
              <w:jc w:val="both"/>
            </w:pPr>
            <w:r w:rsidRPr="008D5A45">
              <w:rPr>
                <w:bCs/>
                <w:lang w:val="nl-NL"/>
              </w:rPr>
              <w:t>- N</w:t>
            </w:r>
            <w:r w:rsidRPr="008D5A45">
              <w:t>hóm 1 tương ứng các chức danh tại STT (II) Kết luận số 35-KL/TW và Bí thư Thành ủy Hà Nội, Thành phố Hồ Chí Minh (được bố trí theo yêu cầu công tác).</w:t>
            </w:r>
          </w:p>
          <w:p w:rsidR="008D5A45" w:rsidRPr="008D5A45" w:rsidRDefault="008D5A45" w:rsidP="008D5A45">
            <w:pPr>
              <w:ind w:left="28" w:right="28"/>
              <w:jc w:val="both"/>
            </w:pPr>
            <w:r w:rsidRPr="008D5A45">
              <w:rPr>
                <w:b/>
              </w:rPr>
              <w:t xml:space="preserve">- </w:t>
            </w:r>
            <w:r w:rsidRPr="008D5A45">
              <w:t xml:space="preserve">Nhóm 2 tương ứng các chức danh thuộc bậc 1, </w:t>
            </w:r>
            <w:proofErr w:type="gramStart"/>
            <w:r w:rsidRPr="008D5A45">
              <w:t>2 STT (III) Kết luận số 35-KL/TW (65m</w:t>
            </w:r>
            <w:r w:rsidRPr="008D5A45">
              <w:rPr>
                <w:vertAlign w:val="superscript"/>
              </w:rPr>
              <w:t>2</w:t>
            </w:r>
            <w:r w:rsidRPr="008D5A45">
              <w:t>/người)</w:t>
            </w:r>
            <w:proofErr w:type="gramEnd"/>
            <w:r w:rsidRPr="008D5A45">
              <w:t>.</w:t>
            </w:r>
          </w:p>
          <w:p w:rsidR="008D5A45" w:rsidRPr="008D5A45" w:rsidRDefault="008D5A45" w:rsidP="008D5A45">
            <w:pPr>
              <w:ind w:left="28" w:right="28"/>
              <w:jc w:val="both"/>
            </w:pPr>
            <w:r w:rsidRPr="008D5A45">
              <w:t xml:space="preserve">- Nhóm 3 tương ứng các chức danh thuộc STT (IV) và bậc 1, </w:t>
            </w:r>
            <w:proofErr w:type="gramStart"/>
            <w:r w:rsidRPr="008D5A45">
              <w:t>2 STT (V) Kết luận số 35-KL/TW (55m</w:t>
            </w:r>
            <w:r w:rsidRPr="008D5A45">
              <w:rPr>
                <w:vertAlign w:val="superscript"/>
              </w:rPr>
              <w:t>2</w:t>
            </w:r>
            <w:r w:rsidRPr="008D5A45">
              <w:t>/người)</w:t>
            </w:r>
            <w:proofErr w:type="gramEnd"/>
            <w:r w:rsidRPr="008D5A45">
              <w:t xml:space="preserve">. </w:t>
            </w:r>
          </w:p>
          <w:p w:rsidR="008D5A45" w:rsidRPr="008D5A45" w:rsidRDefault="008D5A45" w:rsidP="008D5A45">
            <w:pPr>
              <w:ind w:left="28" w:right="28"/>
              <w:jc w:val="both"/>
            </w:pPr>
            <w:r w:rsidRPr="008D5A45">
              <w:t xml:space="preserve">- Nhóm 4 tương ứng các chức danh thuộc bậc 1, </w:t>
            </w:r>
            <w:proofErr w:type="gramStart"/>
            <w:r w:rsidRPr="008D5A45">
              <w:t>2 STT (VI) Kết luận số 35-KL/TW (45m</w:t>
            </w:r>
            <w:r w:rsidRPr="008D5A45">
              <w:rPr>
                <w:vertAlign w:val="superscript"/>
              </w:rPr>
              <w:t>2</w:t>
            </w:r>
            <w:r w:rsidRPr="008D5A45">
              <w:t>/người)</w:t>
            </w:r>
            <w:proofErr w:type="gramEnd"/>
            <w:r w:rsidRPr="008D5A45">
              <w:t>.</w:t>
            </w:r>
          </w:p>
          <w:p w:rsidR="008D5A45" w:rsidRPr="008D5A45" w:rsidRDefault="008D5A45" w:rsidP="008D5A45">
            <w:pPr>
              <w:ind w:left="28" w:right="28"/>
              <w:jc w:val="both"/>
            </w:pPr>
            <w:r w:rsidRPr="008D5A45">
              <w:t xml:space="preserve">- Nhóm 5 tương ứng các chức danh thuộc bậc 1, </w:t>
            </w:r>
            <w:proofErr w:type="gramStart"/>
            <w:r w:rsidRPr="008D5A45">
              <w:t>3 STT (VII) Kết luận số 35-KL/TW (40m</w:t>
            </w:r>
            <w:r w:rsidRPr="008D5A45">
              <w:rPr>
                <w:vertAlign w:val="superscript"/>
              </w:rPr>
              <w:t>2</w:t>
            </w:r>
            <w:r w:rsidRPr="008D5A45">
              <w:t>/người)</w:t>
            </w:r>
            <w:proofErr w:type="gramEnd"/>
            <w:r w:rsidRPr="008D5A45">
              <w:t>.</w:t>
            </w:r>
          </w:p>
          <w:p w:rsidR="008D5A45" w:rsidRPr="008D5A45" w:rsidRDefault="008D5A45" w:rsidP="008D5A45">
            <w:pPr>
              <w:ind w:left="28" w:right="28"/>
              <w:jc w:val="both"/>
            </w:pPr>
            <w:r w:rsidRPr="008D5A45">
              <w:t>- Nhóm 6 tương ứng các chức danh thuộc bậc 1, 2 STT (VIII) và bậc 1 STT (XI) Kết luận số 35-KL/TW (30m</w:t>
            </w:r>
            <w:r w:rsidRPr="008D5A45">
              <w:rPr>
                <w:vertAlign w:val="superscript"/>
              </w:rPr>
              <w:t>2</w:t>
            </w:r>
            <w:r w:rsidRPr="008D5A45">
              <w:t xml:space="preserve">/người). </w:t>
            </w:r>
          </w:p>
          <w:p w:rsidR="008D5A45" w:rsidRPr="008D5A45" w:rsidRDefault="008D5A45" w:rsidP="008D5A45">
            <w:pPr>
              <w:ind w:left="28" w:right="28"/>
              <w:jc w:val="both"/>
            </w:pPr>
            <w:r w:rsidRPr="008D5A45">
              <w:t>- Nhóm 7 tương ứng các chức danh thuộc bậc 1, 2 STT (IX) và bậc 2</w:t>
            </w:r>
            <w:proofErr w:type="gramStart"/>
            <w:r w:rsidRPr="008D5A45">
              <w:t>,3</w:t>
            </w:r>
            <w:proofErr w:type="gramEnd"/>
            <w:r w:rsidRPr="008D5A45">
              <w:t xml:space="preserve"> STT (XI) Kết luận số 35-KL/TW (20m</w:t>
            </w:r>
            <w:r w:rsidRPr="008D5A45">
              <w:rPr>
                <w:vertAlign w:val="superscript"/>
              </w:rPr>
              <w:t>2</w:t>
            </w:r>
            <w:r w:rsidRPr="008D5A45">
              <w:t>/người).</w:t>
            </w:r>
          </w:p>
          <w:p w:rsidR="008D5A45" w:rsidRPr="008D5A45" w:rsidRDefault="008D5A45" w:rsidP="008D5A45">
            <w:pPr>
              <w:ind w:left="28" w:right="28"/>
              <w:jc w:val="both"/>
            </w:pPr>
            <w:r w:rsidRPr="008D5A45">
              <w:t>- Nhóm 8 gồm lãnh đạo cấp phòng, ban và tương đương thuộc cấp xã (18m</w:t>
            </w:r>
            <w:r w:rsidRPr="008D5A45">
              <w:rPr>
                <w:vertAlign w:val="superscript"/>
              </w:rPr>
              <w:t>2</w:t>
            </w:r>
            <w:r w:rsidRPr="008D5A45">
              <w:t>/người).</w:t>
            </w:r>
          </w:p>
          <w:p w:rsidR="008D5A45" w:rsidRPr="008D5A45" w:rsidRDefault="008D5A45" w:rsidP="008D5A45">
            <w:pPr>
              <w:ind w:left="28" w:right="28"/>
              <w:jc w:val="both"/>
            </w:pPr>
            <w:r w:rsidRPr="008D5A45">
              <w:t>- Nhóm 9, 10 gồm chuyên viên và các chức danh tương đương, cá nhân ký hợp đồng lao động theo quy định, với định mức 15m</w:t>
            </w:r>
            <w:r w:rsidRPr="008D5A45">
              <w:rPr>
                <w:vertAlign w:val="superscript"/>
              </w:rPr>
              <w:t>2</w:t>
            </w:r>
            <w:r w:rsidRPr="008D5A45">
              <w:t>/người, 12m</w:t>
            </w:r>
            <w:r w:rsidRPr="008D5A45">
              <w:rPr>
                <w:vertAlign w:val="superscript"/>
              </w:rPr>
              <w:t>2</w:t>
            </w:r>
            <w:r w:rsidRPr="008D5A45">
              <w:t>/người.</w:t>
            </w:r>
          </w:p>
          <w:p w:rsidR="008D5A45" w:rsidRPr="008D5A45" w:rsidRDefault="008D5A45" w:rsidP="008D5A45">
            <w:pPr>
              <w:ind w:left="28" w:right="28"/>
              <w:jc w:val="both"/>
              <w:rPr>
                <w:bCs/>
                <w:lang w:val="nl-NL"/>
              </w:rPr>
            </w:pPr>
            <w:r w:rsidRPr="008D5A45">
              <w:rPr>
                <w:lang w:val="nl-NL"/>
              </w:rPr>
              <w:t>b) Nay, tại Quy định số 368-QĐ/TW</w:t>
            </w:r>
            <w:r w:rsidR="00A57BCC">
              <w:rPr>
                <w:lang w:val="nl-NL"/>
              </w:rPr>
              <w:t>,</w:t>
            </w:r>
            <w:r w:rsidRPr="008D5A45">
              <w:rPr>
                <w:lang w:val="nl-NL"/>
              </w:rPr>
              <w:t xml:space="preserve"> các chức danh, chức vụ trong hệ thống chính trị được chia thành 04 Nhóm, mỗi nhóm có thể được chia thành chia thành các bậc (cụ thể: </w:t>
            </w:r>
            <w:r w:rsidRPr="008D5A45">
              <w:rPr>
                <w:b/>
                <w:bCs/>
                <w:lang w:val="nl-NL"/>
              </w:rPr>
              <w:t>Nhóm I</w:t>
            </w:r>
            <w:r w:rsidRPr="008D5A45">
              <w:rPr>
                <w:lang w:val="nl-NL"/>
              </w:rPr>
              <w:t xml:space="preserve"> (các chức danh lãnh đạo chủ chốt và lãnh đạo cấp cao của Đảng, Nhà nước, Mặt trận Tổ quốc); </w:t>
            </w:r>
            <w:r w:rsidRPr="008D5A45">
              <w:rPr>
                <w:b/>
                <w:bCs/>
                <w:lang w:val="nl-NL"/>
              </w:rPr>
              <w:t>Nhóm II</w:t>
            </w:r>
            <w:r w:rsidRPr="008D5A45">
              <w:rPr>
                <w:lang w:val="nl-NL"/>
              </w:rPr>
              <w:t xml:space="preserve"> (các chức danh, chức vụ lãnh đạo thuộc diện Bộ Chính trị quản lý), gồm 02 Bậc; N</w:t>
            </w:r>
            <w:r w:rsidRPr="008D5A45">
              <w:rPr>
                <w:b/>
                <w:bCs/>
                <w:lang w:val="nl-NL"/>
              </w:rPr>
              <w:t>hóm III</w:t>
            </w:r>
            <w:r w:rsidRPr="008D5A45">
              <w:rPr>
                <w:lang w:val="nl-NL"/>
              </w:rPr>
              <w:t xml:space="preserve"> (các chức danh, chức vụ lãnh đạo thuộc diện Ban Bí thư quản lý), gồm 3 Bậc và </w:t>
            </w:r>
            <w:r w:rsidRPr="008D5A45">
              <w:rPr>
                <w:b/>
                <w:bCs/>
                <w:lang w:val="nl-NL"/>
              </w:rPr>
              <w:t>Nhóm IV</w:t>
            </w:r>
            <w:r w:rsidRPr="008D5A45">
              <w:rPr>
                <w:lang w:val="nl-NL"/>
              </w:rPr>
              <w:t xml:space="preserve"> (các chức danh, chức vụ lãnh đạo thuộc diện cấp ủy, tổ chức đảng, lãnh đạo cơ quan, đơn vị quản lý), gồm 10 bậc.</w:t>
            </w:r>
            <w:r w:rsidRPr="008D5A45">
              <w:rPr>
                <w:bCs/>
                <w:lang w:val="nl-NL"/>
              </w:rPr>
              <w:t xml:space="preserve"> </w:t>
            </w:r>
          </w:p>
          <w:p w:rsidR="008D5A45" w:rsidRPr="008D5A45" w:rsidRDefault="008D5A45" w:rsidP="008D5A45">
            <w:pPr>
              <w:ind w:left="28" w:right="28"/>
              <w:jc w:val="both"/>
              <w:rPr>
                <w:bCs/>
                <w:lang w:val="nl-NL"/>
              </w:rPr>
            </w:pPr>
            <w:r w:rsidRPr="008D5A45">
              <w:rPr>
                <w:lang w:val="nl-NL"/>
              </w:rPr>
              <w:t>Trên cơ sở đó, Bộ Tài chính kiến nghị 02 phương án:</w:t>
            </w:r>
          </w:p>
          <w:p w:rsidR="008D5A45" w:rsidRPr="008D5A45" w:rsidRDefault="008D5A45" w:rsidP="008D5A45">
            <w:pPr>
              <w:ind w:left="28" w:right="28"/>
              <w:jc w:val="both"/>
              <w:rPr>
                <w:lang w:val="nl-NL"/>
              </w:rPr>
            </w:pPr>
            <w:r w:rsidRPr="008D5A45">
              <w:rPr>
                <w:b/>
                <w:bCs/>
                <w:lang w:val="nl-NL"/>
              </w:rPr>
              <w:t>- Phương án 1:</w:t>
            </w:r>
            <w:r w:rsidRPr="008D5A45">
              <w:rPr>
                <w:lang w:val="nl-NL"/>
              </w:rPr>
              <w:t xml:space="preserve"> </w:t>
            </w:r>
            <w:r w:rsidR="00021A9C" w:rsidRPr="00021A9C">
              <w:rPr>
                <w:lang w:val="nl-NL"/>
              </w:rPr>
              <w:t xml:space="preserve">Giữ nguyên quy định tại Phụ lục I, Phụ lục II ban hành kèm theo Nghị định số </w:t>
            </w:r>
            <w:r w:rsidR="00021A9C" w:rsidRPr="008D5A45">
              <w:rPr>
                <w:lang w:val="vi-VN"/>
              </w:rPr>
              <w:t>155/2025/NĐ-CP</w:t>
            </w:r>
            <w:r w:rsidR="00021A9C" w:rsidRPr="00021A9C">
              <w:rPr>
                <w:lang w:val="nl-NL"/>
              </w:rPr>
              <w:t xml:space="preserve">, chỉ điều chỉnh cục bộ (xếp lại vào nhóm tiêu chuẩn, định mức) đối với các chức danh, chức vụ tại Quy định số </w:t>
            </w:r>
            <w:r w:rsidR="00021A9C" w:rsidRPr="008D5A45">
              <w:rPr>
                <w:lang w:val="nl-NL"/>
              </w:rPr>
              <w:t>368-QĐ/TW</w:t>
            </w:r>
            <w:r w:rsidR="00021A9C" w:rsidRPr="00021A9C">
              <w:rPr>
                <w:lang w:val="nl-NL"/>
              </w:rPr>
              <w:t xml:space="preserve"> có thay đổi so với Kết luận </w:t>
            </w:r>
            <w:r w:rsidR="00021A9C">
              <w:rPr>
                <w:lang w:val="nl-NL"/>
              </w:rPr>
              <w:t xml:space="preserve">số </w:t>
            </w:r>
            <w:r w:rsidR="00021A9C" w:rsidRPr="00021A9C">
              <w:rPr>
                <w:lang w:val="nl-NL"/>
              </w:rPr>
              <w:t>35</w:t>
            </w:r>
            <w:r w:rsidR="00021A9C">
              <w:rPr>
                <w:lang w:val="nl-NL"/>
              </w:rPr>
              <w:t>-KL/TW</w:t>
            </w:r>
            <w:r w:rsidRPr="008D5A45">
              <w:rPr>
                <w:lang w:val="nl-NL"/>
              </w:rPr>
              <w:t>.</w:t>
            </w:r>
          </w:p>
          <w:p w:rsidR="008D5A45" w:rsidRPr="008D5A45" w:rsidRDefault="008D5A45" w:rsidP="008D5A45">
            <w:pPr>
              <w:ind w:left="28" w:right="28"/>
              <w:jc w:val="both"/>
              <w:rPr>
                <w:iCs/>
                <w:lang w:val="nl-NL"/>
              </w:rPr>
            </w:pPr>
            <w:r w:rsidRPr="008D5A45">
              <w:rPr>
                <w:b/>
                <w:lang w:val="nl-NL"/>
              </w:rPr>
              <w:t>-</w:t>
            </w:r>
            <w:r w:rsidRPr="008D5A45">
              <w:rPr>
                <w:lang w:val="nl-NL"/>
              </w:rPr>
              <w:t xml:space="preserve"> </w:t>
            </w:r>
            <w:r w:rsidRPr="008D5A45">
              <w:rPr>
                <w:b/>
                <w:bCs/>
                <w:lang w:val="nl-NL"/>
              </w:rPr>
              <w:t xml:space="preserve">Phương án 2: </w:t>
            </w:r>
            <w:r w:rsidRPr="008D5A45">
              <w:rPr>
                <w:lang w:val="nl-NL"/>
              </w:rPr>
              <w:t xml:space="preserve">Quy định nhóm tiêu chuẩn, định mức theo nguyên tắc chức danh, chức vụ cùng nhóm, cùng bậc theo Quy định số 368-QĐ/TW thì cùng tiêu chuẩn, định mức; đồng thời </w:t>
            </w:r>
            <w:r w:rsidRPr="008D5A45">
              <w:rPr>
                <w:iCs/>
                <w:lang w:val="nl-NL"/>
              </w:rPr>
              <w:t xml:space="preserve">ghép Phụ lục I (trung ương), Phụ lục II (địa phương) thành 01 Phụ lục với 9 Nhóm, cụ thể: </w:t>
            </w:r>
          </w:p>
          <w:p w:rsidR="008D5A45" w:rsidRPr="008D5A45" w:rsidRDefault="008D5A45" w:rsidP="008D5A45">
            <w:pPr>
              <w:ind w:left="28" w:right="28"/>
              <w:jc w:val="both"/>
              <w:rPr>
                <w:iCs/>
                <w:lang w:val="nl-NL"/>
              </w:rPr>
            </w:pPr>
            <w:r w:rsidRPr="008D5A45">
              <w:rPr>
                <w:b/>
                <w:bCs/>
                <w:iCs/>
                <w:lang w:val="nl-NL"/>
              </w:rPr>
              <w:t>(1)</w:t>
            </w:r>
            <w:r w:rsidRPr="008D5A45">
              <w:rPr>
                <w:iCs/>
                <w:lang w:val="nl-NL"/>
              </w:rPr>
              <w:t xml:space="preserve"> Nhóm 1 và Nhóm 2 sẽ liệt kê cụ thể các chức danh thuộc Nhóm I theo Quy định số 368-QĐ/TW; định mức được bố trí theo yêu cầu công tác (tương tự quy định hiện hành).</w:t>
            </w:r>
          </w:p>
          <w:p w:rsidR="008D5A45" w:rsidRPr="008D5A45" w:rsidRDefault="008D5A45" w:rsidP="008D5A45">
            <w:pPr>
              <w:ind w:left="28" w:right="28"/>
              <w:jc w:val="both"/>
              <w:rPr>
                <w:lang w:val="nl-NL"/>
              </w:rPr>
            </w:pPr>
            <w:r w:rsidRPr="008D5A45">
              <w:rPr>
                <w:b/>
                <w:bCs/>
                <w:lang w:val="nl-NL"/>
              </w:rPr>
              <w:t>(2)</w:t>
            </w:r>
            <w:r w:rsidRPr="008D5A45">
              <w:rPr>
                <w:lang w:val="nl-NL"/>
              </w:rPr>
              <w:t xml:space="preserve"> Từ Nhóm 3 đến Nhóm 9 sẽ dẫn chiếu theo các nhóm, bậc tại Quy định số 368-QĐ/TW; trong đó: Nhóm 4,5,6 được tách ra từ Nhóm 5 </w:t>
            </w:r>
            <w:r w:rsidRPr="008D5A45">
              <w:rPr>
                <w:iCs/>
                <w:lang w:val="nl-NL"/>
              </w:rPr>
              <w:t xml:space="preserve">Phụ lục I </w:t>
            </w:r>
            <w:r w:rsidRPr="008D5A45">
              <w:rPr>
                <w:lang w:val="vi-VN"/>
              </w:rPr>
              <w:t>Nghị định số 155/2025/NĐ-CP</w:t>
            </w:r>
            <w:r w:rsidRPr="008D5A45">
              <w:rPr>
                <w:lang w:val="nl-NL"/>
              </w:rPr>
              <w:t>, Nhóm 7 có thêm chức danh c</w:t>
            </w:r>
            <w:r w:rsidRPr="008D5A45">
              <w:rPr>
                <w:iCs/>
                <w:lang w:val="nl-NL"/>
              </w:rPr>
              <w:t xml:space="preserve">huyên viên cao cấp, chuyên viên chính </w:t>
            </w:r>
            <w:r w:rsidRPr="008D5A45">
              <w:rPr>
                <w:lang w:val="nl-NL"/>
              </w:rPr>
              <w:t>và các chức danh tương đương. Với đ</w:t>
            </w:r>
            <w:r w:rsidRPr="008D5A45">
              <w:t>ịnh mức tương ứng của các Nhóm như sau:</w:t>
            </w:r>
            <w:r w:rsidRPr="008D5A45">
              <w:rPr>
                <w:lang w:val="vi-VN"/>
              </w:rPr>
              <w:t xml:space="preserve"> 65m</w:t>
            </w:r>
            <w:r w:rsidRPr="008D5A45">
              <w:rPr>
                <w:vertAlign w:val="superscript"/>
                <w:lang w:val="vi-VN"/>
              </w:rPr>
              <w:t>2</w:t>
            </w:r>
            <w:r w:rsidRPr="008D5A45">
              <w:rPr>
                <w:lang w:val="vi-VN"/>
              </w:rPr>
              <w:t>, 55m</w:t>
            </w:r>
            <w:r w:rsidRPr="008D5A45">
              <w:rPr>
                <w:vertAlign w:val="superscript"/>
                <w:lang w:val="vi-VN"/>
              </w:rPr>
              <w:t>2</w:t>
            </w:r>
            <w:r w:rsidRPr="008D5A45">
              <w:rPr>
                <w:lang w:val="vi-VN"/>
              </w:rPr>
              <w:t>,</w:t>
            </w:r>
            <w:r w:rsidRPr="008D5A45">
              <w:rPr>
                <w:lang w:val="nl-NL"/>
              </w:rPr>
              <w:t xml:space="preserve"> 50m</w:t>
            </w:r>
            <w:r w:rsidRPr="008D5A45">
              <w:rPr>
                <w:vertAlign w:val="superscript"/>
                <w:lang w:val="nl-NL"/>
              </w:rPr>
              <w:t>2</w:t>
            </w:r>
            <w:r w:rsidRPr="008D5A45">
              <w:rPr>
                <w:lang w:val="nl-NL"/>
              </w:rPr>
              <w:t>,</w:t>
            </w:r>
            <w:r w:rsidRPr="008D5A45">
              <w:rPr>
                <w:lang w:val="vi-VN"/>
              </w:rPr>
              <w:t xml:space="preserve"> 45m</w:t>
            </w:r>
            <w:r w:rsidRPr="008D5A45">
              <w:rPr>
                <w:vertAlign w:val="superscript"/>
                <w:lang w:val="vi-VN"/>
              </w:rPr>
              <w:t>2</w:t>
            </w:r>
            <w:r w:rsidRPr="008D5A45">
              <w:rPr>
                <w:lang w:val="vi-VN"/>
              </w:rPr>
              <w:t>, 40m</w:t>
            </w:r>
            <w:r w:rsidRPr="008D5A45">
              <w:rPr>
                <w:vertAlign w:val="superscript"/>
                <w:lang w:val="vi-VN"/>
              </w:rPr>
              <w:t>2</w:t>
            </w:r>
            <w:r w:rsidRPr="008D5A45">
              <w:rPr>
                <w:lang w:val="vi-VN"/>
              </w:rPr>
              <w:t>, 30m</w:t>
            </w:r>
            <w:r w:rsidRPr="008D5A45">
              <w:rPr>
                <w:vertAlign w:val="superscript"/>
                <w:lang w:val="vi-VN"/>
              </w:rPr>
              <w:t>2</w:t>
            </w:r>
            <w:r w:rsidRPr="008D5A45">
              <w:rPr>
                <w:lang w:val="vi-VN"/>
              </w:rPr>
              <w:t>, 20m</w:t>
            </w:r>
            <w:r w:rsidRPr="008D5A45">
              <w:rPr>
                <w:vertAlign w:val="superscript"/>
                <w:lang w:val="vi-VN"/>
              </w:rPr>
              <w:t>2</w:t>
            </w:r>
            <w:r w:rsidRPr="008D5A45">
              <w:rPr>
                <w:lang w:val="vi-VN"/>
              </w:rPr>
              <w:t>/người</w:t>
            </w:r>
            <w:r w:rsidRPr="008D5A45">
              <w:t xml:space="preserve">. </w:t>
            </w:r>
            <w:r w:rsidRPr="008D5A45">
              <w:rPr>
                <w:lang w:val="nl-NL"/>
              </w:rPr>
              <w:t xml:space="preserve"> </w:t>
            </w:r>
          </w:p>
          <w:p w:rsidR="008D5A45" w:rsidRPr="008D5A45" w:rsidRDefault="008D5A45" w:rsidP="008D5A45">
            <w:pPr>
              <w:ind w:left="28" w:right="28"/>
              <w:jc w:val="both"/>
              <w:rPr>
                <w:lang w:val="nl-NL"/>
              </w:rPr>
            </w:pPr>
            <w:r w:rsidRPr="008D5A45">
              <w:rPr>
                <w:u w:val="single"/>
                <w:lang w:val="nl-NL"/>
              </w:rPr>
              <w:t>Lý do:</w:t>
            </w:r>
            <w:r w:rsidRPr="008D5A45">
              <w:rPr>
                <w:lang w:val="nl-NL"/>
              </w:rPr>
              <w:t xml:space="preserve"> </w:t>
            </w:r>
          </w:p>
          <w:p w:rsidR="008D5A45" w:rsidRPr="008D5A45" w:rsidRDefault="008D5A45" w:rsidP="008D5A45">
            <w:pPr>
              <w:ind w:left="28" w:right="28"/>
              <w:jc w:val="both"/>
              <w:rPr>
                <w:lang w:val="nl-NL"/>
              </w:rPr>
            </w:pPr>
            <w:r w:rsidRPr="008D5A45">
              <w:rPr>
                <w:lang w:val="nl-NL"/>
              </w:rPr>
              <w:t xml:space="preserve">- </w:t>
            </w:r>
            <w:r w:rsidR="0035086A">
              <w:rPr>
                <w:lang w:val="nl-NL"/>
              </w:rPr>
              <w:t>T</w:t>
            </w:r>
            <w:r w:rsidRPr="008D5A45">
              <w:rPr>
                <w:lang w:val="nl-NL"/>
              </w:rPr>
              <w:t>ại từng nhóm, từ nhóm II tại Quy định số 368-QĐ/TW được chia ra nhiều bậc, mỗi bậc có nhiều chức danh, chức vụ nên nếu liệt kê cụ thể các chức danh, chức vụ trong Phụ lục sẽ rất dài, trong khi Quy định số 368-QĐ/TW đã có quy định cụ thể.</w:t>
            </w:r>
          </w:p>
          <w:p w:rsidR="008D5A45" w:rsidRPr="008D5A45" w:rsidRDefault="008D5A45" w:rsidP="008D5A45">
            <w:pPr>
              <w:ind w:left="28" w:right="28"/>
              <w:jc w:val="both"/>
              <w:rPr>
                <w:lang w:val="nl-NL"/>
              </w:rPr>
            </w:pPr>
            <w:r w:rsidRPr="008D5A45">
              <w:rPr>
                <w:lang w:val="nl-NL"/>
              </w:rPr>
              <w:t>- Thống nhất tiêu chuẩn, định mức giữa các chức danh, chức vụ ở trung ương và địa phương có cùng nhóm, bậc.</w:t>
            </w:r>
          </w:p>
          <w:p w:rsidR="00AE3EE0" w:rsidRDefault="008D5A45" w:rsidP="008D5A45">
            <w:pPr>
              <w:ind w:left="28" w:right="28"/>
              <w:jc w:val="both"/>
              <w:rPr>
                <w:lang w:val="nl-NL"/>
              </w:rPr>
            </w:pPr>
            <w:r w:rsidRPr="008D5A45">
              <w:rPr>
                <w:b/>
                <w:bCs/>
                <w:lang w:val="nl-NL"/>
              </w:rPr>
              <w:t>(3)</w:t>
            </w:r>
            <w:r w:rsidRPr="008D5A45">
              <w:rPr>
                <w:lang w:val="nl-NL"/>
              </w:rPr>
              <w:t xml:space="preserve"> Nhóm 10 (không phải là chức danh lãnh đạo, không được quy định tại Quy định số 368-QĐ/TW), gồm: chuyên viên, các chức danh tương đương, cá nhân ký hợp đồng lao động theo quy định của Chính phủ về hợp đồng đối với một số loại công việc trong cơ quan hành chính, đơn vị sự nghiệp công lập); với định mức </w:t>
            </w:r>
            <w:r w:rsidRPr="008D5A45">
              <w:rPr>
                <w:lang w:val="vi-VN"/>
              </w:rPr>
              <w:t>15m</w:t>
            </w:r>
            <w:r w:rsidRPr="008D5A45">
              <w:rPr>
                <w:vertAlign w:val="superscript"/>
                <w:lang w:val="vi-VN"/>
              </w:rPr>
              <w:t>2</w:t>
            </w:r>
            <w:r w:rsidRPr="008D5A45">
              <w:rPr>
                <w:lang w:val="vi-VN"/>
              </w:rPr>
              <w:t>/người</w:t>
            </w:r>
            <w:r w:rsidR="001E5E9F">
              <w:t xml:space="preserve"> (điều chỉnh tăng 5</w:t>
            </w:r>
            <w:r w:rsidRPr="008D5A45">
              <w:rPr>
                <w:lang w:val="vi-VN"/>
              </w:rPr>
              <w:t>m</w:t>
            </w:r>
            <w:r w:rsidRPr="008D5A45">
              <w:rPr>
                <w:vertAlign w:val="superscript"/>
                <w:lang w:val="vi-VN"/>
              </w:rPr>
              <w:t>2</w:t>
            </w:r>
            <w:r w:rsidRPr="008D5A45">
              <w:rPr>
                <w:lang w:val="vi-VN"/>
              </w:rPr>
              <w:t>/người</w:t>
            </w:r>
            <w:r w:rsidRPr="008D5A45">
              <w:t xml:space="preserve"> đối với chức danh </w:t>
            </w:r>
            <w:r w:rsidRPr="008D5A45">
              <w:rPr>
                <w:lang w:val="nl-NL"/>
              </w:rPr>
              <w:t>cá nhân ký hợp đồng lao động theo quy định của Chính phủ về hợp đồng đối với một số loại công việc trong cơ quan hành chính, đơn vị sự nghiệp công lập).</w:t>
            </w:r>
            <w:r w:rsidR="00EB021D">
              <w:rPr>
                <w:lang w:val="nl-NL"/>
              </w:rPr>
              <w:t xml:space="preserve"> </w:t>
            </w:r>
          </w:p>
          <w:p w:rsidR="008D5A45" w:rsidRPr="00EB021D" w:rsidRDefault="00EB021D" w:rsidP="008D5A45">
            <w:pPr>
              <w:ind w:left="28" w:right="28"/>
              <w:jc w:val="both"/>
            </w:pPr>
            <w:r w:rsidRPr="00EB021D">
              <w:rPr>
                <w:u w:val="single"/>
                <w:lang w:val="nl-NL"/>
              </w:rPr>
              <w:t>Lý do</w:t>
            </w:r>
            <w:r w:rsidRPr="00EB021D">
              <w:rPr>
                <w:lang w:val="nl-NL"/>
              </w:rPr>
              <w:t>:</w:t>
            </w:r>
            <w:r w:rsidRPr="00EB021D">
              <w:rPr>
                <w:lang w:val="vi-VN"/>
              </w:rPr>
              <w:t xml:space="preserve"> Để bảo đảm </w:t>
            </w:r>
            <w:r w:rsidRPr="00EB021D">
              <w:rPr>
                <w:lang w:val="nl-NL"/>
              </w:rPr>
              <w:t>công bằng khi đảm nhiệm chức năng, nhiệm vụ, vị trí việc làm như nhau, thuận lợi trong bố trí mặt bằng và quản lý tài sản công</w:t>
            </w:r>
            <w:r w:rsidRPr="00EB021D">
              <w:rPr>
                <w:iCs/>
                <w:lang w:val="nl-NL"/>
              </w:rPr>
              <w:t xml:space="preserve"> theo đề xuất của Bộ Khoa học và Công nghệ tại </w:t>
            </w:r>
            <w:r w:rsidRPr="00EB021D">
              <w:rPr>
                <w:iCs/>
                <w:lang w:val="vi-VN"/>
              </w:rPr>
              <w:t>Công văn số 1153/BKHCN-KHTC ngày 05/3/2026</w:t>
            </w:r>
            <w:r>
              <w:rPr>
                <w:iCs/>
                <w:lang w:val="nl-NL"/>
              </w:rPr>
              <w:t>.</w:t>
            </w:r>
          </w:p>
          <w:p w:rsidR="00C81DE5" w:rsidRPr="0023159B" w:rsidRDefault="008D5A45" w:rsidP="008D5A45">
            <w:pPr>
              <w:ind w:left="28" w:right="28"/>
              <w:jc w:val="both"/>
            </w:pPr>
            <w:r w:rsidRPr="008D5A45">
              <w:rPr>
                <w:lang w:val="nl-NL"/>
              </w:rPr>
              <w:t xml:space="preserve">Bộ Tài chính trình Chính phủ theo </w:t>
            </w:r>
            <w:r w:rsidRPr="008D5A45">
              <w:rPr>
                <w:b/>
                <w:lang w:val="nl-NL"/>
              </w:rPr>
              <w:t>Phương án 02</w:t>
            </w:r>
            <w:r w:rsidRPr="008D5A45">
              <w:rPr>
                <w:lang w:val="nl-NL"/>
              </w:rPr>
              <w:t>.</w:t>
            </w:r>
          </w:p>
        </w:tc>
      </w:tr>
    </w:tbl>
    <w:p w:rsidR="00B423E0" w:rsidRPr="003B545E" w:rsidRDefault="00B423E0">
      <w:pPr>
        <w:rPr>
          <w:sz w:val="22"/>
          <w:szCs w:val="22"/>
        </w:rPr>
      </w:pPr>
    </w:p>
    <w:sectPr w:rsidR="00B423E0" w:rsidRPr="003B545E" w:rsidSect="003D0306">
      <w:headerReference w:type="even" r:id="rId8"/>
      <w:headerReference w:type="default" r:id="rId9"/>
      <w:pgSz w:w="16839" w:h="11907" w:orient="landscape" w:code="9"/>
      <w:pgMar w:top="680" w:right="680" w:bottom="680" w:left="851" w:header="34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A74" w:rsidRDefault="00D16A74" w:rsidP="009C11A0">
      <w:r>
        <w:separator/>
      </w:r>
    </w:p>
  </w:endnote>
  <w:endnote w:type="continuationSeparator" w:id="0">
    <w:p w:rsidR="00D16A74" w:rsidRDefault="00D16A74" w:rsidP="009C11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A74" w:rsidRDefault="00D16A74" w:rsidP="009C11A0">
      <w:r>
        <w:separator/>
      </w:r>
    </w:p>
  </w:footnote>
  <w:footnote w:type="continuationSeparator" w:id="0">
    <w:p w:rsidR="00D16A74" w:rsidRDefault="00D16A74" w:rsidP="009C11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966993295"/>
      <w:docPartObj>
        <w:docPartGallery w:val="Page Numbers (Top of Page)"/>
        <w:docPartUnique/>
      </w:docPartObj>
    </w:sdtPr>
    <w:sdtContent>
      <w:p w:rsidR="00D16A74" w:rsidRDefault="00304689" w:rsidP="00707AD1">
        <w:pPr>
          <w:pStyle w:val="Header"/>
          <w:framePr w:wrap="none" w:vAnchor="text" w:hAnchor="margin" w:xAlign="center" w:y="1"/>
          <w:rPr>
            <w:rStyle w:val="PageNumber"/>
          </w:rPr>
        </w:pPr>
        <w:r>
          <w:rPr>
            <w:rStyle w:val="PageNumber"/>
          </w:rPr>
          <w:fldChar w:fldCharType="begin"/>
        </w:r>
        <w:r w:rsidR="00D16A74">
          <w:rPr>
            <w:rStyle w:val="PageNumber"/>
          </w:rPr>
          <w:instrText xml:space="preserve"> PAGE </w:instrText>
        </w:r>
        <w:r>
          <w:rPr>
            <w:rStyle w:val="PageNumber"/>
          </w:rPr>
          <w:fldChar w:fldCharType="end"/>
        </w:r>
      </w:p>
    </w:sdtContent>
  </w:sdt>
  <w:p w:rsidR="00D16A74" w:rsidRDefault="00D16A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698779283"/>
      <w:docPartObj>
        <w:docPartGallery w:val="Page Numbers (Top of Page)"/>
        <w:docPartUnique/>
      </w:docPartObj>
    </w:sdtPr>
    <w:sdtContent>
      <w:p w:rsidR="00D16A74" w:rsidRDefault="00304689" w:rsidP="00707AD1">
        <w:pPr>
          <w:pStyle w:val="Header"/>
          <w:framePr w:wrap="none" w:vAnchor="text" w:hAnchor="margin" w:xAlign="center" w:y="1"/>
          <w:rPr>
            <w:rStyle w:val="PageNumber"/>
          </w:rPr>
        </w:pPr>
        <w:r>
          <w:rPr>
            <w:rStyle w:val="PageNumber"/>
          </w:rPr>
          <w:fldChar w:fldCharType="begin"/>
        </w:r>
        <w:r w:rsidR="00D16A74">
          <w:rPr>
            <w:rStyle w:val="PageNumber"/>
          </w:rPr>
          <w:instrText xml:space="preserve"> PAGE </w:instrText>
        </w:r>
        <w:r>
          <w:rPr>
            <w:rStyle w:val="PageNumber"/>
          </w:rPr>
          <w:fldChar w:fldCharType="separate"/>
        </w:r>
        <w:r w:rsidR="001E5E9F">
          <w:rPr>
            <w:rStyle w:val="PageNumber"/>
            <w:noProof/>
          </w:rPr>
          <w:t>17</w:t>
        </w:r>
        <w:r>
          <w:rPr>
            <w:rStyle w:val="PageNumber"/>
          </w:rPr>
          <w:fldChar w:fldCharType="end"/>
        </w:r>
      </w:p>
    </w:sdtContent>
  </w:sdt>
  <w:p w:rsidR="00D16A74" w:rsidRDefault="00D16A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5F89"/>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45431B5"/>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4D9307D"/>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C6065F6"/>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11877ED"/>
    <w:multiLevelType w:val="hybridMultilevel"/>
    <w:tmpl w:val="95E86B6A"/>
    <w:lvl w:ilvl="0" w:tplc="1C9AC2D2">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19C30E9D"/>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A7C3AD3"/>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C95391C"/>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2ED1671"/>
    <w:multiLevelType w:val="hybridMultilevel"/>
    <w:tmpl w:val="7DDCE01A"/>
    <w:lvl w:ilvl="0" w:tplc="0409000F">
      <w:start w:val="1"/>
      <w:numFmt w:val="decimal"/>
      <w:lvlText w:val="%1."/>
      <w:lvlJc w:val="left"/>
      <w:pPr>
        <w:ind w:left="360"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9">
    <w:nsid w:val="24591E10"/>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6D279C5"/>
    <w:multiLevelType w:val="hybridMultilevel"/>
    <w:tmpl w:val="718A1F2E"/>
    <w:lvl w:ilvl="0" w:tplc="24C4C516">
      <w:start w:val="4"/>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1">
    <w:nsid w:val="2A496D75"/>
    <w:multiLevelType w:val="hybridMultilevel"/>
    <w:tmpl w:val="061807AE"/>
    <w:lvl w:ilvl="0" w:tplc="9A16D590">
      <w:start w:val="1"/>
      <w:numFmt w:val="decimal"/>
      <w:lvlText w:val="%1"/>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D926FC"/>
    <w:multiLevelType w:val="hybridMultilevel"/>
    <w:tmpl w:val="C0449046"/>
    <w:lvl w:ilvl="0" w:tplc="5B6E06F0">
      <w:start w:val="1"/>
      <w:numFmt w:val="decimal"/>
      <w:lvlText w:val="%1"/>
      <w:lvlJc w:val="center"/>
      <w:pPr>
        <w:ind w:left="777" w:hanging="777"/>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3">
    <w:nsid w:val="3167064A"/>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3300781"/>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A905BCD"/>
    <w:multiLevelType w:val="hybridMultilevel"/>
    <w:tmpl w:val="A716639E"/>
    <w:lvl w:ilvl="0" w:tplc="23AABBF8">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E30AC1"/>
    <w:multiLevelType w:val="hybridMultilevel"/>
    <w:tmpl w:val="937A50E2"/>
    <w:lvl w:ilvl="0" w:tplc="AD622C4A">
      <w:start w:val="1"/>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7">
    <w:nsid w:val="3EC000A7"/>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268440E"/>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52014B5"/>
    <w:multiLevelType w:val="hybridMultilevel"/>
    <w:tmpl w:val="3A38DEC8"/>
    <w:lvl w:ilvl="0" w:tplc="D9C4C30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7C721D"/>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7D50B95"/>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D947BB7"/>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3174E06"/>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AA95B2C"/>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ED31C33"/>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22D20A9"/>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63933D97"/>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4ED1FC0"/>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A755826"/>
    <w:multiLevelType w:val="hybridMultilevel"/>
    <w:tmpl w:val="EC10B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5401C8"/>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74BA4EA1"/>
    <w:multiLevelType w:val="hybridMultilevel"/>
    <w:tmpl w:val="3A38DEC8"/>
    <w:lvl w:ilvl="0" w:tplc="FFFFFFFF">
      <w:start w:val="1"/>
      <w:numFmt w:val="decimal"/>
      <w:lvlText w:val="%1"/>
      <w:lvlJc w:val="left"/>
      <w:pPr>
        <w:ind w:left="284"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12"/>
  </w:num>
  <w:num w:numId="3">
    <w:abstractNumId w:val="11"/>
  </w:num>
  <w:num w:numId="4">
    <w:abstractNumId w:val="29"/>
  </w:num>
  <w:num w:numId="5">
    <w:abstractNumId w:val="15"/>
  </w:num>
  <w:num w:numId="6">
    <w:abstractNumId w:val="19"/>
  </w:num>
  <w:num w:numId="7">
    <w:abstractNumId w:val="23"/>
  </w:num>
  <w:num w:numId="8">
    <w:abstractNumId w:val="14"/>
  </w:num>
  <w:num w:numId="9">
    <w:abstractNumId w:val="5"/>
  </w:num>
  <w:num w:numId="10">
    <w:abstractNumId w:val="31"/>
  </w:num>
  <w:num w:numId="11">
    <w:abstractNumId w:val="7"/>
  </w:num>
  <w:num w:numId="12">
    <w:abstractNumId w:val="9"/>
  </w:num>
  <w:num w:numId="13">
    <w:abstractNumId w:val="24"/>
  </w:num>
  <w:num w:numId="14">
    <w:abstractNumId w:val="10"/>
  </w:num>
  <w:num w:numId="15">
    <w:abstractNumId w:val="3"/>
  </w:num>
  <w:num w:numId="16">
    <w:abstractNumId w:val="21"/>
  </w:num>
  <w:num w:numId="17">
    <w:abstractNumId w:val="17"/>
  </w:num>
  <w:num w:numId="18">
    <w:abstractNumId w:val="20"/>
  </w:num>
  <w:num w:numId="19">
    <w:abstractNumId w:val="18"/>
  </w:num>
  <w:num w:numId="20">
    <w:abstractNumId w:val="26"/>
  </w:num>
  <w:num w:numId="21">
    <w:abstractNumId w:val="22"/>
  </w:num>
  <w:num w:numId="22">
    <w:abstractNumId w:val="2"/>
  </w:num>
  <w:num w:numId="23">
    <w:abstractNumId w:val="30"/>
  </w:num>
  <w:num w:numId="24">
    <w:abstractNumId w:val="1"/>
  </w:num>
  <w:num w:numId="25">
    <w:abstractNumId w:val="28"/>
  </w:num>
  <w:num w:numId="26">
    <w:abstractNumId w:val="0"/>
  </w:num>
  <w:num w:numId="27">
    <w:abstractNumId w:val="27"/>
  </w:num>
  <w:num w:numId="28">
    <w:abstractNumId w:val="6"/>
  </w:num>
  <w:num w:numId="29">
    <w:abstractNumId w:val="25"/>
  </w:num>
  <w:num w:numId="30">
    <w:abstractNumId w:val="13"/>
  </w:num>
  <w:num w:numId="31">
    <w:abstractNumId w:val="16"/>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0"/>
  <w:drawingGridHorizontalSpacing w:val="120"/>
  <w:displayHorizontalDrawingGridEvery w:val="2"/>
  <w:characterSpacingControl w:val="doNotCompress"/>
  <w:footnotePr>
    <w:footnote w:id="-1"/>
    <w:footnote w:id="0"/>
  </w:footnotePr>
  <w:endnotePr>
    <w:endnote w:id="-1"/>
    <w:endnote w:id="0"/>
  </w:endnotePr>
  <w:compat/>
  <w:rsids>
    <w:rsidRoot w:val="00F20DAF"/>
    <w:rsid w:val="00002503"/>
    <w:rsid w:val="00006706"/>
    <w:rsid w:val="00007C0D"/>
    <w:rsid w:val="00021A9C"/>
    <w:rsid w:val="00040593"/>
    <w:rsid w:val="0004596F"/>
    <w:rsid w:val="00064926"/>
    <w:rsid w:val="00067D76"/>
    <w:rsid w:val="0007272C"/>
    <w:rsid w:val="00073EAE"/>
    <w:rsid w:val="00080D62"/>
    <w:rsid w:val="00081898"/>
    <w:rsid w:val="00083F17"/>
    <w:rsid w:val="00087B4E"/>
    <w:rsid w:val="00093864"/>
    <w:rsid w:val="00094036"/>
    <w:rsid w:val="000A41D9"/>
    <w:rsid w:val="000B49A2"/>
    <w:rsid w:val="000C7D86"/>
    <w:rsid w:val="000E3877"/>
    <w:rsid w:val="000F5EDE"/>
    <w:rsid w:val="000F6893"/>
    <w:rsid w:val="000F7C5E"/>
    <w:rsid w:val="001036B2"/>
    <w:rsid w:val="00105B7A"/>
    <w:rsid w:val="00110196"/>
    <w:rsid w:val="00126082"/>
    <w:rsid w:val="001279CA"/>
    <w:rsid w:val="001427AB"/>
    <w:rsid w:val="001466E2"/>
    <w:rsid w:val="00151AF5"/>
    <w:rsid w:val="00160F27"/>
    <w:rsid w:val="00166432"/>
    <w:rsid w:val="001678B1"/>
    <w:rsid w:val="0019400A"/>
    <w:rsid w:val="001955BA"/>
    <w:rsid w:val="001A03F1"/>
    <w:rsid w:val="001A24D1"/>
    <w:rsid w:val="001A4C8B"/>
    <w:rsid w:val="001B0384"/>
    <w:rsid w:val="001B0F17"/>
    <w:rsid w:val="001B76C3"/>
    <w:rsid w:val="001C1658"/>
    <w:rsid w:val="001C4C02"/>
    <w:rsid w:val="001C5243"/>
    <w:rsid w:val="001C6DE8"/>
    <w:rsid w:val="001D769E"/>
    <w:rsid w:val="001E5C5A"/>
    <w:rsid w:val="001E5E9F"/>
    <w:rsid w:val="001F0046"/>
    <w:rsid w:val="001F32E0"/>
    <w:rsid w:val="001F7A09"/>
    <w:rsid w:val="00204A2D"/>
    <w:rsid w:val="002119A0"/>
    <w:rsid w:val="0023159B"/>
    <w:rsid w:val="00236B91"/>
    <w:rsid w:val="00241083"/>
    <w:rsid w:val="00247BF6"/>
    <w:rsid w:val="00257A03"/>
    <w:rsid w:val="0026025D"/>
    <w:rsid w:val="002606AD"/>
    <w:rsid w:val="00262323"/>
    <w:rsid w:val="00274C57"/>
    <w:rsid w:val="00275638"/>
    <w:rsid w:val="00276DAE"/>
    <w:rsid w:val="002A188A"/>
    <w:rsid w:val="002A6864"/>
    <w:rsid w:val="002C11F6"/>
    <w:rsid w:val="002C4B08"/>
    <w:rsid w:val="002D4786"/>
    <w:rsid w:val="002D7EF7"/>
    <w:rsid w:val="002E2DA9"/>
    <w:rsid w:val="002E2E41"/>
    <w:rsid w:val="002E31AB"/>
    <w:rsid w:val="002F31D1"/>
    <w:rsid w:val="00304689"/>
    <w:rsid w:val="00310BC1"/>
    <w:rsid w:val="00313D44"/>
    <w:rsid w:val="00315518"/>
    <w:rsid w:val="00316270"/>
    <w:rsid w:val="00316330"/>
    <w:rsid w:val="00331620"/>
    <w:rsid w:val="00334CD9"/>
    <w:rsid w:val="003455CE"/>
    <w:rsid w:val="0035086A"/>
    <w:rsid w:val="003667F0"/>
    <w:rsid w:val="00366AFC"/>
    <w:rsid w:val="00384D0A"/>
    <w:rsid w:val="00392F4B"/>
    <w:rsid w:val="003957DE"/>
    <w:rsid w:val="00397117"/>
    <w:rsid w:val="003A739A"/>
    <w:rsid w:val="003A7B35"/>
    <w:rsid w:val="003B50B9"/>
    <w:rsid w:val="003B545E"/>
    <w:rsid w:val="003B6475"/>
    <w:rsid w:val="003C0FCB"/>
    <w:rsid w:val="003D0306"/>
    <w:rsid w:val="003E1E43"/>
    <w:rsid w:val="003E1F29"/>
    <w:rsid w:val="003E4282"/>
    <w:rsid w:val="004018BD"/>
    <w:rsid w:val="0040292A"/>
    <w:rsid w:val="00402E97"/>
    <w:rsid w:val="00406616"/>
    <w:rsid w:val="00410A66"/>
    <w:rsid w:val="00411316"/>
    <w:rsid w:val="004233DF"/>
    <w:rsid w:val="00425D5F"/>
    <w:rsid w:val="00427C7E"/>
    <w:rsid w:val="004474A8"/>
    <w:rsid w:val="00447F12"/>
    <w:rsid w:val="004506A4"/>
    <w:rsid w:val="004616CE"/>
    <w:rsid w:val="00462FAA"/>
    <w:rsid w:val="00465344"/>
    <w:rsid w:val="00465F5B"/>
    <w:rsid w:val="00483892"/>
    <w:rsid w:val="00485E75"/>
    <w:rsid w:val="00493E12"/>
    <w:rsid w:val="004B31B3"/>
    <w:rsid w:val="004C7D17"/>
    <w:rsid w:val="004C7F90"/>
    <w:rsid w:val="004D1FD2"/>
    <w:rsid w:val="004D59EE"/>
    <w:rsid w:val="004E12CC"/>
    <w:rsid w:val="004E6413"/>
    <w:rsid w:val="004F4AE6"/>
    <w:rsid w:val="00506C40"/>
    <w:rsid w:val="00510AD4"/>
    <w:rsid w:val="005123FA"/>
    <w:rsid w:val="00512553"/>
    <w:rsid w:val="00513592"/>
    <w:rsid w:val="0051777B"/>
    <w:rsid w:val="00523BB4"/>
    <w:rsid w:val="0052450A"/>
    <w:rsid w:val="005310AA"/>
    <w:rsid w:val="00531ABF"/>
    <w:rsid w:val="00536E51"/>
    <w:rsid w:val="00544D59"/>
    <w:rsid w:val="005500C1"/>
    <w:rsid w:val="0056199A"/>
    <w:rsid w:val="005677DC"/>
    <w:rsid w:val="00576BA5"/>
    <w:rsid w:val="00577EFD"/>
    <w:rsid w:val="005805C4"/>
    <w:rsid w:val="00582710"/>
    <w:rsid w:val="00591B91"/>
    <w:rsid w:val="00595920"/>
    <w:rsid w:val="005A2AC7"/>
    <w:rsid w:val="005A5402"/>
    <w:rsid w:val="005B0247"/>
    <w:rsid w:val="005B0AE3"/>
    <w:rsid w:val="005D0854"/>
    <w:rsid w:val="005F7B7C"/>
    <w:rsid w:val="0060111E"/>
    <w:rsid w:val="006052A8"/>
    <w:rsid w:val="00621D7A"/>
    <w:rsid w:val="00622CA6"/>
    <w:rsid w:val="006231B0"/>
    <w:rsid w:val="0062388F"/>
    <w:rsid w:val="00630C68"/>
    <w:rsid w:val="00637213"/>
    <w:rsid w:val="006372AE"/>
    <w:rsid w:val="006477B6"/>
    <w:rsid w:val="0065398A"/>
    <w:rsid w:val="00654D38"/>
    <w:rsid w:val="00672A1B"/>
    <w:rsid w:val="00675BB1"/>
    <w:rsid w:val="00677CDF"/>
    <w:rsid w:val="006B39AF"/>
    <w:rsid w:val="006B74B6"/>
    <w:rsid w:val="006C196F"/>
    <w:rsid w:val="006C3E43"/>
    <w:rsid w:val="006C7199"/>
    <w:rsid w:val="006C7E51"/>
    <w:rsid w:val="006D4AAA"/>
    <w:rsid w:val="006D6DDF"/>
    <w:rsid w:val="006E1D24"/>
    <w:rsid w:val="006E47C6"/>
    <w:rsid w:val="006F4FB9"/>
    <w:rsid w:val="0070681D"/>
    <w:rsid w:val="00707AD1"/>
    <w:rsid w:val="00717800"/>
    <w:rsid w:val="00720343"/>
    <w:rsid w:val="00721C3A"/>
    <w:rsid w:val="00727FF7"/>
    <w:rsid w:val="00732325"/>
    <w:rsid w:val="007336E6"/>
    <w:rsid w:val="00744874"/>
    <w:rsid w:val="007479C9"/>
    <w:rsid w:val="0075446D"/>
    <w:rsid w:val="00765453"/>
    <w:rsid w:val="007759CE"/>
    <w:rsid w:val="00780881"/>
    <w:rsid w:val="00784D22"/>
    <w:rsid w:val="00795632"/>
    <w:rsid w:val="007B626C"/>
    <w:rsid w:val="007C3A1D"/>
    <w:rsid w:val="007C45DB"/>
    <w:rsid w:val="007D23EF"/>
    <w:rsid w:val="007E5EA9"/>
    <w:rsid w:val="00810A33"/>
    <w:rsid w:val="008116DD"/>
    <w:rsid w:val="008206DC"/>
    <w:rsid w:val="008255B4"/>
    <w:rsid w:val="0084327C"/>
    <w:rsid w:val="0084665A"/>
    <w:rsid w:val="00854E5C"/>
    <w:rsid w:val="008601DE"/>
    <w:rsid w:val="00872748"/>
    <w:rsid w:val="00875372"/>
    <w:rsid w:val="008806B2"/>
    <w:rsid w:val="008931DD"/>
    <w:rsid w:val="008A49D6"/>
    <w:rsid w:val="008B475C"/>
    <w:rsid w:val="008B5F65"/>
    <w:rsid w:val="008C0964"/>
    <w:rsid w:val="008D5A45"/>
    <w:rsid w:val="008D77F5"/>
    <w:rsid w:val="008E1A24"/>
    <w:rsid w:val="008E3994"/>
    <w:rsid w:val="008E5451"/>
    <w:rsid w:val="008E7448"/>
    <w:rsid w:val="008F0844"/>
    <w:rsid w:val="008F453F"/>
    <w:rsid w:val="008F79CA"/>
    <w:rsid w:val="009036E0"/>
    <w:rsid w:val="00903FF0"/>
    <w:rsid w:val="00910207"/>
    <w:rsid w:val="00912E64"/>
    <w:rsid w:val="009144FD"/>
    <w:rsid w:val="00915398"/>
    <w:rsid w:val="00915829"/>
    <w:rsid w:val="00920226"/>
    <w:rsid w:val="00925809"/>
    <w:rsid w:val="009264B8"/>
    <w:rsid w:val="009266DD"/>
    <w:rsid w:val="009368B8"/>
    <w:rsid w:val="00953655"/>
    <w:rsid w:val="009564FC"/>
    <w:rsid w:val="00962540"/>
    <w:rsid w:val="00976137"/>
    <w:rsid w:val="00977F0F"/>
    <w:rsid w:val="009804DA"/>
    <w:rsid w:val="00985ED1"/>
    <w:rsid w:val="0098782C"/>
    <w:rsid w:val="0099079A"/>
    <w:rsid w:val="009A1C89"/>
    <w:rsid w:val="009A711C"/>
    <w:rsid w:val="009A7221"/>
    <w:rsid w:val="009B232B"/>
    <w:rsid w:val="009C11A0"/>
    <w:rsid w:val="009C2813"/>
    <w:rsid w:val="009C6B52"/>
    <w:rsid w:val="009D0C63"/>
    <w:rsid w:val="009D1D9A"/>
    <w:rsid w:val="009F347F"/>
    <w:rsid w:val="009F7D7C"/>
    <w:rsid w:val="00A02376"/>
    <w:rsid w:val="00A24C18"/>
    <w:rsid w:val="00A3222E"/>
    <w:rsid w:val="00A34921"/>
    <w:rsid w:val="00A34CD6"/>
    <w:rsid w:val="00A36C13"/>
    <w:rsid w:val="00A41568"/>
    <w:rsid w:val="00A50BF9"/>
    <w:rsid w:val="00A57BCC"/>
    <w:rsid w:val="00A70E73"/>
    <w:rsid w:val="00A76606"/>
    <w:rsid w:val="00A804F2"/>
    <w:rsid w:val="00A875C8"/>
    <w:rsid w:val="00A970A0"/>
    <w:rsid w:val="00AA4BBF"/>
    <w:rsid w:val="00AB737A"/>
    <w:rsid w:val="00AC4ECA"/>
    <w:rsid w:val="00AD740E"/>
    <w:rsid w:val="00AE0621"/>
    <w:rsid w:val="00AE3214"/>
    <w:rsid w:val="00AE3EE0"/>
    <w:rsid w:val="00AE693F"/>
    <w:rsid w:val="00AF20AD"/>
    <w:rsid w:val="00B063E9"/>
    <w:rsid w:val="00B14AC7"/>
    <w:rsid w:val="00B24A8A"/>
    <w:rsid w:val="00B268B2"/>
    <w:rsid w:val="00B357AC"/>
    <w:rsid w:val="00B35823"/>
    <w:rsid w:val="00B40B76"/>
    <w:rsid w:val="00B423E0"/>
    <w:rsid w:val="00B52595"/>
    <w:rsid w:val="00B55C91"/>
    <w:rsid w:val="00B77307"/>
    <w:rsid w:val="00B77385"/>
    <w:rsid w:val="00B80A5B"/>
    <w:rsid w:val="00B86671"/>
    <w:rsid w:val="00B86E94"/>
    <w:rsid w:val="00B9276F"/>
    <w:rsid w:val="00BB34AF"/>
    <w:rsid w:val="00BC0FDC"/>
    <w:rsid w:val="00BC785C"/>
    <w:rsid w:val="00BD460B"/>
    <w:rsid w:val="00BD6B47"/>
    <w:rsid w:val="00BF2544"/>
    <w:rsid w:val="00C02C68"/>
    <w:rsid w:val="00C50AD9"/>
    <w:rsid w:val="00C6621B"/>
    <w:rsid w:val="00C66C00"/>
    <w:rsid w:val="00C71729"/>
    <w:rsid w:val="00C81DE5"/>
    <w:rsid w:val="00CB3C00"/>
    <w:rsid w:val="00CC7F42"/>
    <w:rsid w:val="00CD0B81"/>
    <w:rsid w:val="00CD361A"/>
    <w:rsid w:val="00CE4946"/>
    <w:rsid w:val="00CE5157"/>
    <w:rsid w:val="00CE5647"/>
    <w:rsid w:val="00CE63E5"/>
    <w:rsid w:val="00CF7ED5"/>
    <w:rsid w:val="00D06E30"/>
    <w:rsid w:val="00D13E4E"/>
    <w:rsid w:val="00D16A74"/>
    <w:rsid w:val="00D20D04"/>
    <w:rsid w:val="00D50E51"/>
    <w:rsid w:val="00D51005"/>
    <w:rsid w:val="00D54FBB"/>
    <w:rsid w:val="00D601CD"/>
    <w:rsid w:val="00D64A16"/>
    <w:rsid w:val="00D65E41"/>
    <w:rsid w:val="00D713EC"/>
    <w:rsid w:val="00D84623"/>
    <w:rsid w:val="00D87677"/>
    <w:rsid w:val="00D953DE"/>
    <w:rsid w:val="00DA1B77"/>
    <w:rsid w:val="00DA60CD"/>
    <w:rsid w:val="00DB05D6"/>
    <w:rsid w:val="00DB29E3"/>
    <w:rsid w:val="00DC47D7"/>
    <w:rsid w:val="00DC56E3"/>
    <w:rsid w:val="00DD31FB"/>
    <w:rsid w:val="00DD325D"/>
    <w:rsid w:val="00DE24B5"/>
    <w:rsid w:val="00DF79D1"/>
    <w:rsid w:val="00E1046B"/>
    <w:rsid w:val="00E1337C"/>
    <w:rsid w:val="00E16495"/>
    <w:rsid w:val="00E263CB"/>
    <w:rsid w:val="00E2690E"/>
    <w:rsid w:val="00E33AC3"/>
    <w:rsid w:val="00E34234"/>
    <w:rsid w:val="00E35ED9"/>
    <w:rsid w:val="00E456F6"/>
    <w:rsid w:val="00E46468"/>
    <w:rsid w:val="00E50389"/>
    <w:rsid w:val="00E53403"/>
    <w:rsid w:val="00E549D5"/>
    <w:rsid w:val="00E64374"/>
    <w:rsid w:val="00E7535D"/>
    <w:rsid w:val="00E82810"/>
    <w:rsid w:val="00E930B0"/>
    <w:rsid w:val="00EB021D"/>
    <w:rsid w:val="00EB1B90"/>
    <w:rsid w:val="00EB773E"/>
    <w:rsid w:val="00EB7FD7"/>
    <w:rsid w:val="00EC0C26"/>
    <w:rsid w:val="00ED237B"/>
    <w:rsid w:val="00EE6D02"/>
    <w:rsid w:val="00EE7B81"/>
    <w:rsid w:val="00EF7921"/>
    <w:rsid w:val="00F003B1"/>
    <w:rsid w:val="00F02884"/>
    <w:rsid w:val="00F10550"/>
    <w:rsid w:val="00F123F3"/>
    <w:rsid w:val="00F20DAF"/>
    <w:rsid w:val="00F23B91"/>
    <w:rsid w:val="00F26F6A"/>
    <w:rsid w:val="00F32ADE"/>
    <w:rsid w:val="00F33BE6"/>
    <w:rsid w:val="00F349E1"/>
    <w:rsid w:val="00F35608"/>
    <w:rsid w:val="00F46D74"/>
    <w:rsid w:val="00F569F0"/>
    <w:rsid w:val="00F66881"/>
    <w:rsid w:val="00F846BC"/>
    <w:rsid w:val="00F91493"/>
    <w:rsid w:val="00F97DE0"/>
    <w:rsid w:val="00FA78E1"/>
    <w:rsid w:val="00FB13D2"/>
    <w:rsid w:val="00FB30B5"/>
    <w:rsid w:val="00FB63B9"/>
    <w:rsid w:val="00FC4620"/>
    <w:rsid w:val="00FC6497"/>
    <w:rsid w:val="00FD29A0"/>
    <w:rsid w:val="00FD319B"/>
    <w:rsid w:val="00FD7DEB"/>
    <w:rsid w:val="00FE0C61"/>
    <w:rsid w:val="00FE54D8"/>
    <w:rsid w:val="00FF4E10"/>
    <w:rsid w:val="00FF76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2"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7D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606A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268B2"/>
    <w:pPr>
      <w:keepNext/>
      <w:keepLines/>
      <w:widowControl w:val="0"/>
      <w:spacing w:before="200"/>
      <w:outlineLvl w:val="1"/>
    </w:pPr>
    <w:rPr>
      <w:rFonts w:asciiTheme="majorHAnsi" w:eastAsiaTheme="majorEastAsia" w:hAnsiTheme="majorHAnsi" w:cstheme="majorBidi"/>
      <w:b/>
      <w:bCs/>
      <w:color w:val="4F81BD" w:themeColor="accent1"/>
      <w:sz w:val="26"/>
      <w:szCs w:val="2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qFormat/>
    <w:rsid w:val="00F20DAF"/>
    <w:pPr>
      <w:spacing w:before="100" w:beforeAutospacing="1" w:after="100" w:afterAutospacing="1"/>
    </w:p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qFormat/>
    <w:locked/>
    <w:rsid w:val="00F20DAF"/>
    <w:rPr>
      <w:rFonts w:ascii="Times New Roman" w:eastAsia="Times New Roman" w:hAnsi="Times New Roman" w:cs="Times New Roman"/>
      <w:sz w:val="24"/>
      <w:szCs w:val="24"/>
    </w:rPr>
  </w:style>
  <w:style w:type="character" w:styleId="Strong">
    <w:name w:val="Strong"/>
    <w:basedOn w:val="DefaultParagraphFont"/>
    <w:uiPriority w:val="22"/>
    <w:qFormat/>
    <w:rsid w:val="00F20DAF"/>
    <w:rPr>
      <w:b/>
      <w:bCs/>
    </w:rPr>
  </w:style>
  <w:style w:type="paragraph" w:styleId="ListParagraph">
    <w:name w:val="List Paragraph"/>
    <w:basedOn w:val="Normal"/>
    <w:uiPriority w:val="34"/>
    <w:qFormat/>
    <w:rsid w:val="00F20DAF"/>
    <w:pPr>
      <w:ind w:left="720"/>
      <w:contextualSpacing/>
    </w:pPr>
  </w:style>
  <w:style w:type="paragraph" w:styleId="List2">
    <w:name w:val="List 2"/>
    <w:basedOn w:val="Normal"/>
    <w:unhideWhenUsed/>
    <w:rsid w:val="00166432"/>
    <w:pPr>
      <w:ind w:left="720" w:hanging="360"/>
      <w:contextualSpacing/>
    </w:pPr>
  </w:style>
  <w:style w:type="character" w:customStyle="1" w:styleId="Heading2Char">
    <w:name w:val="Heading 2 Char"/>
    <w:basedOn w:val="DefaultParagraphFont"/>
    <w:link w:val="Heading2"/>
    <w:uiPriority w:val="9"/>
    <w:rsid w:val="00B268B2"/>
    <w:rPr>
      <w:rFonts w:asciiTheme="majorHAnsi" w:eastAsiaTheme="majorEastAsia" w:hAnsiTheme="majorHAnsi" w:cstheme="majorBidi"/>
      <w:b/>
      <w:bCs/>
      <w:color w:val="4F81BD" w:themeColor="accent1"/>
      <w:sz w:val="26"/>
      <w:szCs w:val="26"/>
      <w:lang w:val="vi-VN" w:eastAsia="vi-VN"/>
    </w:rPr>
  </w:style>
  <w:style w:type="paragraph" w:customStyle="1" w:styleId="xmsonormal">
    <w:name w:val="x_msonormal"/>
    <w:basedOn w:val="Normal"/>
    <w:rsid w:val="00411316"/>
    <w:pPr>
      <w:spacing w:before="100" w:beforeAutospacing="1" w:after="100" w:afterAutospacing="1"/>
    </w:pPr>
  </w:style>
  <w:style w:type="character" w:customStyle="1" w:styleId="Heading1Char">
    <w:name w:val="Heading 1 Char"/>
    <w:basedOn w:val="DefaultParagraphFont"/>
    <w:link w:val="Heading1"/>
    <w:uiPriority w:val="9"/>
    <w:rsid w:val="002606AD"/>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rsid w:val="008255B4"/>
  </w:style>
  <w:style w:type="character" w:styleId="Hyperlink">
    <w:name w:val="Hyperlink"/>
    <w:basedOn w:val="DefaultParagraphFont"/>
    <w:uiPriority w:val="99"/>
    <w:unhideWhenUsed/>
    <w:rsid w:val="008255B4"/>
    <w:rPr>
      <w:color w:val="0000FF"/>
      <w:u w:val="single"/>
    </w:rPr>
  </w:style>
  <w:style w:type="paragraph" w:styleId="DocumentMap">
    <w:name w:val="Document Map"/>
    <w:basedOn w:val="Normal"/>
    <w:link w:val="DocumentMapChar"/>
    <w:uiPriority w:val="99"/>
    <w:semiHidden/>
    <w:unhideWhenUsed/>
    <w:rsid w:val="006C7E51"/>
    <w:rPr>
      <w:rFonts w:ascii="Tahoma" w:hAnsi="Tahoma" w:cs="Tahoma"/>
      <w:sz w:val="16"/>
      <w:szCs w:val="16"/>
    </w:rPr>
  </w:style>
  <w:style w:type="character" w:customStyle="1" w:styleId="DocumentMapChar">
    <w:name w:val="Document Map Char"/>
    <w:basedOn w:val="DefaultParagraphFont"/>
    <w:link w:val="DocumentMap"/>
    <w:uiPriority w:val="99"/>
    <w:semiHidden/>
    <w:rsid w:val="006C7E51"/>
    <w:rPr>
      <w:rFonts w:ascii="Tahoma" w:eastAsia="Times New Roman" w:hAnsi="Tahoma" w:cs="Tahoma"/>
      <w:sz w:val="16"/>
      <w:szCs w:val="16"/>
    </w:rPr>
  </w:style>
  <w:style w:type="paragraph" w:styleId="Header">
    <w:name w:val="header"/>
    <w:basedOn w:val="Normal"/>
    <w:link w:val="HeaderChar"/>
    <w:uiPriority w:val="99"/>
    <w:unhideWhenUsed/>
    <w:rsid w:val="009C11A0"/>
    <w:pPr>
      <w:tabs>
        <w:tab w:val="center" w:pos="4680"/>
        <w:tab w:val="right" w:pos="9360"/>
      </w:tabs>
    </w:pPr>
  </w:style>
  <w:style w:type="character" w:customStyle="1" w:styleId="HeaderChar">
    <w:name w:val="Header Char"/>
    <w:basedOn w:val="DefaultParagraphFont"/>
    <w:link w:val="Header"/>
    <w:uiPriority w:val="99"/>
    <w:rsid w:val="009C11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11A0"/>
    <w:pPr>
      <w:tabs>
        <w:tab w:val="center" w:pos="4680"/>
        <w:tab w:val="right" w:pos="9360"/>
      </w:tabs>
    </w:pPr>
  </w:style>
  <w:style w:type="character" w:customStyle="1" w:styleId="FooterChar">
    <w:name w:val="Footer Char"/>
    <w:basedOn w:val="DefaultParagraphFont"/>
    <w:link w:val="Footer"/>
    <w:uiPriority w:val="99"/>
    <w:rsid w:val="009C11A0"/>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2D7EF7"/>
    <w:rPr>
      <w:color w:val="605E5C"/>
      <w:shd w:val="clear" w:color="auto" w:fill="E1DFDD"/>
    </w:rPr>
  </w:style>
  <w:style w:type="character" w:styleId="PageNumber">
    <w:name w:val="page number"/>
    <w:basedOn w:val="DefaultParagraphFont"/>
    <w:uiPriority w:val="99"/>
    <w:semiHidden/>
    <w:unhideWhenUsed/>
    <w:rsid w:val="00FA78E1"/>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fn,single space,ft"/>
    <w:basedOn w:val="Normal"/>
    <w:link w:val="FootnoteTextChar"/>
    <w:qFormat/>
    <w:rsid w:val="00FB63B9"/>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qFormat/>
    <w:rsid w:val="00FB63B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NECG) Footnote Reference, BVI fnr,footnote ref,BVI fnr,Ref,de nota al pie,Footnote + Arial,Black,Footnote Text11,10 p,SUPERS,f1,Re,Footnote,E FNZ,10 pt"/>
    <w:link w:val="4GCharCharChar"/>
    <w:uiPriority w:val="99"/>
    <w:qFormat/>
    <w:rsid w:val="00FB63B9"/>
    <w:rPr>
      <w:vertAlign w:val="superscript"/>
    </w:rPr>
  </w:style>
  <w:style w:type="table" w:styleId="TableGrid">
    <w:name w:val="Table Grid"/>
    <w:basedOn w:val="TableNormal"/>
    <w:uiPriority w:val="59"/>
    <w:rsid w:val="007D23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GCharCharChar">
    <w:name w:val="4_G Char Char Char"/>
    <w:basedOn w:val="Normal"/>
    <w:link w:val="FootnoteReference"/>
    <w:qFormat/>
    <w:rsid w:val="002A188A"/>
    <w:pPr>
      <w:spacing w:before="100" w:line="240" w:lineRule="exact"/>
      <w:jc w:val="both"/>
    </w:pPr>
    <w:rPr>
      <w:rFonts w:asciiTheme="minorHAnsi" w:eastAsiaTheme="minorHAnsi" w:hAnsiTheme="minorHAnsi" w:cstheme="minorBidi"/>
      <w:sz w:val="22"/>
      <w:szCs w:val="22"/>
      <w:vertAlign w:val="superscript"/>
    </w:rPr>
  </w:style>
</w:styles>
</file>

<file path=word/webSettings.xml><?xml version="1.0" encoding="utf-8"?>
<w:webSettings xmlns:r="http://schemas.openxmlformats.org/officeDocument/2006/relationships" xmlns:w="http://schemas.openxmlformats.org/wordprocessingml/2006/main">
  <w:divs>
    <w:div w:id="22217246">
      <w:bodyDiv w:val="1"/>
      <w:marLeft w:val="0"/>
      <w:marRight w:val="0"/>
      <w:marTop w:val="0"/>
      <w:marBottom w:val="0"/>
      <w:divBdr>
        <w:top w:val="none" w:sz="0" w:space="0" w:color="auto"/>
        <w:left w:val="none" w:sz="0" w:space="0" w:color="auto"/>
        <w:bottom w:val="none" w:sz="0" w:space="0" w:color="auto"/>
        <w:right w:val="none" w:sz="0" w:space="0" w:color="auto"/>
      </w:divBdr>
    </w:div>
    <w:div w:id="35006817">
      <w:bodyDiv w:val="1"/>
      <w:marLeft w:val="0"/>
      <w:marRight w:val="0"/>
      <w:marTop w:val="0"/>
      <w:marBottom w:val="0"/>
      <w:divBdr>
        <w:top w:val="none" w:sz="0" w:space="0" w:color="auto"/>
        <w:left w:val="none" w:sz="0" w:space="0" w:color="auto"/>
        <w:bottom w:val="none" w:sz="0" w:space="0" w:color="auto"/>
        <w:right w:val="none" w:sz="0" w:space="0" w:color="auto"/>
      </w:divBdr>
    </w:div>
    <w:div w:id="36900099">
      <w:bodyDiv w:val="1"/>
      <w:marLeft w:val="0"/>
      <w:marRight w:val="0"/>
      <w:marTop w:val="0"/>
      <w:marBottom w:val="0"/>
      <w:divBdr>
        <w:top w:val="none" w:sz="0" w:space="0" w:color="auto"/>
        <w:left w:val="none" w:sz="0" w:space="0" w:color="auto"/>
        <w:bottom w:val="none" w:sz="0" w:space="0" w:color="auto"/>
        <w:right w:val="none" w:sz="0" w:space="0" w:color="auto"/>
      </w:divBdr>
    </w:div>
    <w:div w:id="42681175">
      <w:bodyDiv w:val="1"/>
      <w:marLeft w:val="0"/>
      <w:marRight w:val="0"/>
      <w:marTop w:val="0"/>
      <w:marBottom w:val="0"/>
      <w:divBdr>
        <w:top w:val="none" w:sz="0" w:space="0" w:color="auto"/>
        <w:left w:val="none" w:sz="0" w:space="0" w:color="auto"/>
        <w:bottom w:val="none" w:sz="0" w:space="0" w:color="auto"/>
        <w:right w:val="none" w:sz="0" w:space="0" w:color="auto"/>
      </w:divBdr>
    </w:div>
    <w:div w:id="45613301">
      <w:bodyDiv w:val="1"/>
      <w:marLeft w:val="0"/>
      <w:marRight w:val="0"/>
      <w:marTop w:val="0"/>
      <w:marBottom w:val="0"/>
      <w:divBdr>
        <w:top w:val="none" w:sz="0" w:space="0" w:color="auto"/>
        <w:left w:val="none" w:sz="0" w:space="0" w:color="auto"/>
        <w:bottom w:val="none" w:sz="0" w:space="0" w:color="auto"/>
        <w:right w:val="none" w:sz="0" w:space="0" w:color="auto"/>
      </w:divBdr>
    </w:div>
    <w:div w:id="60904778">
      <w:bodyDiv w:val="1"/>
      <w:marLeft w:val="0"/>
      <w:marRight w:val="0"/>
      <w:marTop w:val="0"/>
      <w:marBottom w:val="0"/>
      <w:divBdr>
        <w:top w:val="none" w:sz="0" w:space="0" w:color="auto"/>
        <w:left w:val="none" w:sz="0" w:space="0" w:color="auto"/>
        <w:bottom w:val="none" w:sz="0" w:space="0" w:color="auto"/>
        <w:right w:val="none" w:sz="0" w:space="0" w:color="auto"/>
      </w:divBdr>
    </w:div>
    <w:div w:id="61222354">
      <w:bodyDiv w:val="1"/>
      <w:marLeft w:val="0"/>
      <w:marRight w:val="0"/>
      <w:marTop w:val="0"/>
      <w:marBottom w:val="0"/>
      <w:divBdr>
        <w:top w:val="none" w:sz="0" w:space="0" w:color="auto"/>
        <w:left w:val="none" w:sz="0" w:space="0" w:color="auto"/>
        <w:bottom w:val="none" w:sz="0" w:space="0" w:color="auto"/>
        <w:right w:val="none" w:sz="0" w:space="0" w:color="auto"/>
      </w:divBdr>
    </w:div>
    <w:div w:id="62026729">
      <w:bodyDiv w:val="1"/>
      <w:marLeft w:val="0"/>
      <w:marRight w:val="0"/>
      <w:marTop w:val="0"/>
      <w:marBottom w:val="0"/>
      <w:divBdr>
        <w:top w:val="none" w:sz="0" w:space="0" w:color="auto"/>
        <w:left w:val="none" w:sz="0" w:space="0" w:color="auto"/>
        <w:bottom w:val="none" w:sz="0" w:space="0" w:color="auto"/>
        <w:right w:val="none" w:sz="0" w:space="0" w:color="auto"/>
      </w:divBdr>
    </w:div>
    <w:div w:id="86540002">
      <w:bodyDiv w:val="1"/>
      <w:marLeft w:val="0"/>
      <w:marRight w:val="0"/>
      <w:marTop w:val="0"/>
      <w:marBottom w:val="0"/>
      <w:divBdr>
        <w:top w:val="none" w:sz="0" w:space="0" w:color="auto"/>
        <w:left w:val="none" w:sz="0" w:space="0" w:color="auto"/>
        <w:bottom w:val="none" w:sz="0" w:space="0" w:color="auto"/>
        <w:right w:val="none" w:sz="0" w:space="0" w:color="auto"/>
      </w:divBdr>
    </w:div>
    <w:div w:id="88628110">
      <w:bodyDiv w:val="1"/>
      <w:marLeft w:val="0"/>
      <w:marRight w:val="0"/>
      <w:marTop w:val="0"/>
      <w:marBottom w:val="0"/>
      <w:divBdr>
        <w:top w:val="none" w:sz="0" w:space="0" w:color="auto"/>
        <w:left w:val="none" w:sz="0" w:space="0" w:color="auto"/>
        <w:bottom w:val="none" w:sz="0" w:space="0" w:color="auto"/>
        <w:right w:val="none" w:sz="0" w:space="0" w:color="auto"/>
      </w:divBdr>
    </w:div>
    <w:div w:id="99297859">
      <w:bodyDiv w:val="1"/>
      <w:marLeft w:val="0"/>
      <w:marRight w:val="0"/>
      <w:marTop w:val="0"/>
      <w:marBottom w:val="0"/>
      <w:divBdr>
        <w:top w:val="none" w:sz="0" w:space="0" w:color="auto"/>
        <w:left w:val="none" w:sz="0" w:space="0" w:color="auto"/>
        <w:bottom w:val="none" w:sz="0" w:space="0" w:color="auto"/>
        <w:right w:val="none" w:sz="0" w:space="0" w:color="auto"/>
      </w:divBdr>
    </w:div>
    <w:div w:id="128136621">
      <w:bodyDiv w:val="1"/>
      <w:marLeft w:val="0"/>
      <w:marRight w:val="0"/>
      <w:marTop w:val="0"/>
      <w:marBottom w:val="0"/>
      <w:divBdr>
        <w:top w:val="none" w:sz="0" w:space="0" w:color="auto"/>
        <w:left w:val="none" w:sz="0" w:space="0" w:color="auto"/>
        <w:bottom w:val="none" w:sz="0" w:space="0" w:color="auto"/>
        <w:right w:val="none" w:sz="0" w:space="0" w:color="auto"/>
      </w:divBdr>
    </w:div>
    <w:div w:id="133839915">
      <w:bodyDiv w:val="1"/>
      <w:marLeft w:val="0"/>
      <w:marRight w:val="0"/>
      <w:marTop w:val="0"/>
      <w:marBottom w:val="0"/>
      <w:divBdr>
        <w:top w:val="none" w:sz="0" w:space="0" w:color="auto"/>
        <w:left w:val="none" w:sz="0" w:space="0" w:color="auto"/>
        <w:bottom w:val="none" w:sz="0" w:space="0" w:color="auto"/>
        <w:right w:val="none" w:sz="0" w:space="0" w:color="auto"/>
      </w:divBdr>
    </w:div>
    <w:div w:id="144665596">
      <w:bodyDiv w:val="1"/>
      <w:marLeft w:val="0"/>
      <w:marRight w:val="0"/>
      <w:marTop w:val="0"/>
      <w:marBottom w:val="0"/>
      <w:divBdr>
        <w:top w:val="none" w:sz="0" w:space="0" w:color="auto"/>
        <w:left w:val="none" w:sz="0" w:space="0" w:color="auto"/>
        <w:bottom w:val="none" w:sz="0" w:space="0" w:color="auto"/>
        <w:right w:val="none" w:sz="0" w:space="0" w:color="auto"/>
      </w:divBdr>
    </w:div>
    <w:div w:id="150603974">
      <w:bodyDiv w:val="1"/>
      <w:marLeft w:val="0"/>
      <w:marRight w:val="0"/>
      <w:marTop w:val="0"/>
      <w:marBottom w:val="0"/>
      <w:divBdr>
        <w:top w:val="none" w:sz="0" w:space="0" w:color="auto"/>
        <w:left w:val="none" w:sz="0" w:space="0" w:color="auto"/>
        <w:bottom w:val="none" w:sz="0" w:space="0" w:color="auto"/>
        <w:right w:val="none" w:sz="0" w:space="0" w:color="auto"/>
      </w:divBdr>
    </w:div>
    <w:div w:id="157157946">
      <w:bodyDiv w:val="1"/>
      <w:marLeft w:val="0"/>
      <w:marRight w:val="0"/>
      <w:marTop w:val="0"/>
      <w:marBottom w:val="0"/>
      <w:divBdr>
        <w:top w:val="none" w:sz="0" w:space="0" w:color="auto"/>
        <w:left w:val="none" w:sz="0" w:space="0" w:color="auto"/>
        <w:bottom w:val="none" w:sz="0" w:space="0" w:color="auto"/>
        <w:right w:val="none" w:sz="0" w:space="0" w:color="auto"/>
      </w:divBdr>
    </w:div>
    <w:div w:id="165444579">
      <w:bodyDiv w:val="1"/>
      <w:marLeft w:val="0"/>
      <w:marRight w:val="0"/>
      <w:marTop w:val="0"/>
      <w:marBottom w:val="0"/>
      <w:divBdr>
        <w:top w:val="none" w:sz="0" w:space="0" w:color="auto"/>
        <w:left w:val="none" w:sz="0" w:space="0" w:color="auto"/>
        <w:bottom w:val="none" w:sz="0" w:space="0" w:color="auto"/>
        <w:right w:val="none" w:sz="0" w:space="0" w:color="auto"/>
      </w:divBdr>
    </w:div>
    <w:div w:id="166211780">
      <w:bodyDiv w:val="1"/>
      <w:marLeft w:val="0"/>
      <w:marRight w:val="0"/>
      <w:marTop w:val="0"/>
      <w:marBottom w:val="0"/>
      <w:divBdr>
        <w:top w:val="none" w:sz="0" w:space="0" w:color="auto"/>
        <w:left w:val="none" w:sz="0" w:space="0" w:color="auto"/>
        <w:bottom w:val="none" w:sz="0" w:space="0" w:color="auto"/>
        <w:right w:val="none" w:sz="0" w:space="0" w:color="auto"/>
      </w:divBdr>
    </w:div>
    <w:div w:id="172375528">
      <w:bodyDiv w:val="1"/>
      <w:marLeft w:val="0"/>
      <w:marRight w:val="0"/>
      <w:marTop w:val="0"/>
      <w:marBottom w:val="0"/>
      <w:divBdr>
        <w:top w:val="none" w:sz="0" w:space="0" w:color="auto"/>
        <w:left w:val="none" w:sz="0" w:space="0" w:color="auto"/>
        <w:bottom w:val="none" w:sz="0" w:space="0" w:color="auto"/>
        <w:right w:val="none" w:sz="0" w:space="0" w:color="auto"/>
      </w:divBdr>
    </w:div>
    <w:div w:id="178277638">
      <w:bodyDiv w:val="1"/>
      <w:marLeft w:val="0"/>
      <w:marRight w:val="0"/>
      <w:marTop w:val="0"/>
      <w:marBottom w:val="0"/>
      <w:divBdr>
        <w:top w:val="none" w:sz="0" w:space="0" w:color="auto"/>
        <w:left w:val="none" w:sz="0" w:space="0" w:color="auto"/>
        <w:bottom w:val="none" w:sz="0" w:space="0" w:color="auto"/>
        <w:right w:val="none" w:sz="0" w:space="0" w:color="auto"/>
      </w:divBdr>
    </w:div>
    <w:div w:id="193688880">
      <w:bodyDiv w:val="1"/>
      <w:marLeft w:val="0"/>
      <w:marRight w:val="0"/>
      <w:marTop w:val="0"/>
      <w:marBottom w:val="0"/>
      <w:divBdr>
        <w:top w:val="none" w:sz="0" w:space="0" w:color="auto"/>
        <w:left w:val="none" w:sz="0" w:space="0" w:color="auto"/>
        <w:bottom w:val="none" w:sz="0" w:space="0" w:color="auto"/>
        <w:right w:val="none" w:sz="0" w:space="0" w:color="auto"/>
      </w:divBdr>
    </w:div>
    <w:div w:id="213587702">
      <w:bodyDiv w:val="1"/>
      <w:marLeft w:val="0"/>
      <w:marRight w:val="0"/>
      <w:marTop w:val="0"/>
      <w:marBottom w:val="0"/>
      <w:divBdr>
        <w:top w:val="none" w:sz="0" w:space="0" w:color="auto"/>
        <w:left w:val="none" w:sz="0" w:space="0" w:color="auto"/>
        <w:bottom w:val="none" w:sz="0" w:space="0" w:color="auto"/>
        <w:right w:val="none" w:sz="0" w:space="0" w:color="auto"/>
      </w:divBdr>
    </w:div>
    <w:div w:id="216164754">
      <w:bodyDiv w:val="1"/>
      <w:marLeft w:val="0"/>
      <w:marRight w:val="0"/>
      <w:marTop w:val="0"/>
      <w:marBottom w:val="0"/>
      <w:divBdr>
        <w:top w:val="none" w:sz="0" w:space="0" w:color="auto"/>
        <w:left w:val="none" w:sz="0" w:space="0" w:color="auto"/>
        <w:bottom w:val="none" w:sz="0" w:space="0" w:color="auto"/>
        <w:right w:val="none" w:sz="0" w:space="0" w:color="auto"/>
      </w:divBdr>
    </w:div>
    <w:div w:id="240145713">
      <w:bodyDiv w:val="1"/>
      <w:marLeft w:val="0"/>
      <w:marRight w:val="0"/>
      <w:marTop w:val="0"/>
      <w:marBottom w:val="0"/>
      <w:divBdr>
        <w:top w:val="none" w:sz="0" w:space="0" w:color="auto"/>
        <w:left w:val="none" w:sz="0" w:space="0" w:color="auto"/>
        <w:bottom w:val="none" w:sz="0" w:space="0" w:color="auto"/>
        <w:right w:val="none" w:sz="0" w:space="0" w:color="auto"/>
      </w:divBdr>
    </w:div>
    <w:div w:id="250893509">
      <w:bodyDiv w:val="1"/>
      <w:marLeft w:val="0"/>
      <w:marRight w:val="0"/>
      <w:marTop w:val="0"/>
      <w:marBottom w:val="0"/>
      <w:divBdr>
        <w:top w:val="none" w:sz="0" w:space="0" w:color="auto"/>
        <w:left w:val="none" w:sz="0" w:space="0" w:color="auto"/>
        <w:bottom w:val="none" w:sz="0" w:space="0" w:color="auto"/>
        <w:right w:val="none" w:sz="0" w:space="0" w:color="auto"/>
      </w:divBdr>
    </w:div>
    <w:div w:id="252906368">
      <w:bodyDiv w:val="1"/>
      <w:marLeft w:val="0"/>
      <w:marRight w:val="0"/>
      <w:marTop w:val="0"/>
      <w:marBottom w:val="0"/>
      <w:divBdr>
        <w:top w:val="none" w:sz="0" w:space="0" w:color="auto"/>
        <w:left w:val="none" w:sz="0" w:space="0" w:color="auto"/>
        <w:bottom w:val="none" w:sz="0" w:space="0" w:color="auto"/>
        <w:right w:val="none" w:sz="0" w:space="0" w:color="auto"/>
      </w:divBdr>
    </w:div>
    <w:div w:id="256601942">
      <w:bodyDiv w:val="1"/>
      <w:marLeft w:val="0"/>
      <w:marRight w:val="0"/>
      <w:marTop w:val="0"/>
      <w:marBottom w:val="0"/>
      <w:divBdr>
        <w:top w:val="none" w:sz="0" w:space="0" w:color="auto"/>
        <w:left w:val="none" w:sz="0" w:space="0" w:color="auto"/>
        <w:bottom w:val="none" w:sz="0" w:space="0" w:color="auto"/>
        <w:right w:val="none" w:sz="0" w:space="0" w:color="auto"/>
      </w:divBdr>
    </w:div>
    <w:div w:id="259416941">
      <w:bodyDiv w:val="1"/>
      <w:marLeft w:val="0"/>
      <w:marRight w:val="0"/>
      <w:marTop w:val="0"/>
      <w:marBottom w:val="0"/>
      <w:divBdr>
        <w:top w:val="none" w:sz="0" w:space="0" w:color="auto"/>
        <w:left w:val="none" w:sz="0" w:space="0" w:color="auto"/>
        <w:bottom w:val="none" w:sz="0" w:space="0" w:color="auto"/>
        <w:right w:val="none" w:sz="0" w:space="0" w:color="auto"/>
      </w:divBdr>
    </w:div>
    <w:div w:id="280721982">
      <w:bodyDiv w:val="1"/>
      <w:marLeft w:val="0"/>
      <w:marRight w:val="0"/>
      <w:marTop w:val="0"/>
      <w:marBottom w:val="0"/>
      <w:divBdr>
        <w:top w:val="none" w:sz="0" w:space="0" w:color="auto"/>
        <w:left w:val="none" w:sz="0" w:space="0" w:color="auto"/>
        <w:bottom w:val="none" w:sz="0" w:space="0" w:color="auto"/>
        <w:right w:val="none" w:sz="0" w:space="0" w:color="auto"/>
      </w:divBdr>
    </w:div>
    <w:div w:id="288896226">
      <w:bodyDiv w:val="1"/>
      <w:marLeft w:val="0"/>
      <w:marRight w:val="0"/>
      <w:marTop w:val="0"/>
      <w:marBottom w:val="0"/>
      <w:divBdr>
        <w:top w:val="none" w:sz="0" w:space="0" w:color="auto"/>
        <w:left w:val="none" w:sz="0" w:space="0" w:color="auto"/>
        <w:bottom w:val="none" w:sz="0" w:space="0" w:color="auto"/>
        <w:right w:val="none" w:sz="0" w:space="0" w:color="auto"/>
      </w:divBdr>
    </w:div>
    <w:div w:id="294798778">
      <w:bodyDiv w:val="1"/>
      <w:marLeft w:val="0"/>
      <w:marRight w:val="0"/>
      <w:marTop w:val="0"/>
      <w:marBottom w:val="0"/>
      <w:divBdr>
        <w:top w:val="none" w:sz="0" w:space="0" w:color="auto"/>
        <w:left w:val="none" w:sz="0" w:space="0" w:color="auto"/>
        <w:bottom w:val="none" w:sz="0" w:space="0" w:color="auto"/>
        <w:right w:val="none" w:sz="0" w:space="0" w:color="auto"/>
      </w:divBdr>
    </w:div>
    <w:div w:id="295456500">
      <w:bodyDiv w:val="1"/>
      <w:marLeft w:val="0"/>
      <w:marRight w:val="0"/>
      <w:marTop w:val="0"/>
      <w:marBottom w:val="0"/>
      <w:divBdr>
        <w:top w:val="none" w:sz="0" w:space="0" w:color="auto"/>
        <w:left w:val="none" w:sz="0" w:space="0" w:color="auto"/>
        <w:bottom w:val="none" w:sz="0" w:space="0" w:color="auto"/>
        <w:right w:val="none" w:sz="0" w:space="0" w:color="auto"/>
      </w:divBdr>
    </w:div>
    <w:div w:id="311064112">
      <w:bodyDiv w:val="1"/>
      <w:marLeft w:val="0"/>
      <w:marRight w:val="0"/>
      <w:marTop w:val="0"/>
      <w:marBottom w:val="0"/>
      <w:divBdr>
        <w:top w:val="none" w:sz="0" w:space="0" w:color="auto"/>
        <w:left w:val="none" w:sz="0" w:space="0" w:color="auto"/>
        <w:bottom w:val="none" w:sz="0" w:space="0" w:color="auto"/>
        <w:right w:val="none" w:sz="0" w:space="0" w:color="auto"/>
      </w:divBdr>
    </w:div>
    <w:div w:id="312682878">
      <w:bodyDiv w:val="1"/>
      <w:marLeft w:val="0"/>
      <w:marRight w:val="0"/>
      <w:marTop w:val="0"/>
      <w:marBottom w:val="0"/>
      <w:divBdr>
        <w:top w:val="none" w:sz="0" w:space="0" w:color="auto"/>
        <w:left w:val="none" w:sz="0" w:space="0" w:color="auto"/>
        <w:bottom w:val="none" w:sz="0" w:space="0" w:color="auto"/>
        <w:right w:val="none" w:sz="0" w:space="0" w:color="auto"/>
      </w:divBdr>
    </w:div>
    <w:div w:id="317342587">
      <w:bodyDiv w:val="1"/>
      <w:marLeft w:val="0"/>
      <w:marRight w:val="0"/>
      <w:marTop w:val="0"/>
      <w:marBottom w:val="0"/>
      <w:divBdr>
        <w:top w:val="none" w:sz="0" w:space="0" w:color="auto"/>
        <w:left w:val="none" w:sz="0" w:space="0" w:color="auto"/>
        <w:bottom w:val="none" w:sz="0" w:space="0" w:color="auto"/>
        <w:right w:val="none" w:sz="0" w:space="0" w:color="auto"/>
      </w:divBdr>
    </w:div>
    <w:div w:id="328947842">
      <w:bodyDiv w:val="1"/>
      <w:marLeft w:val="0"/>
      <w:marRight w:val="0"/>
      <w:marTop w:val="0"/>
      <w:marBottom w:val="0"/>
      <w:divBdr>
        <w:top w:val="none" w:sz="0" w:space="0" w:color="auto"/>
        <w:left w:val="none" w:sz="0" w:space="0" w:color="auto"/>
        <w:bottom w:val="none" w:sz="0" w:space="0" w:color="auto"/>
        <w:right w:val="none" w:sz="0" w:space="0" w:color="auto"/>
      </w:divBdr>
    </w:div>
    <w:div w:id="328949781">
      <w:bodyDiv w:val="1"/>
      <w:marLeft w:val="0"/>
      <w:marRight w:val="0"/>
      <w:marTop w:val="0"/>
      <w:marBottom w:val="0"/>
      <w:divBdr>
        <w:top w:val="none" w:sz="0" w:space="0" w:color="auto"/>
        <w:left w:val="none" w:sz="0" w:space="0" w:color="auto"/>
        <w:bottom w:val="none" w:sz="0" w:space="0" w:color="auto"/>
        <w:right w:val="none" w:sz="0" w:space="0" w:color="auto"/>
      </w:divBdr>
    </w:div>
    <w:div w:id="350227147">
      <w:bodyDiv w:val="1"/>
      <w:marLeft w:val="0"/>
      <w:marRight w:val="0"/>
      <w:marTop w:val="0"/>
      <w:marBottom w:val="0"/>
      <w:divBdr>
        <w:top w:val="none" w:sz="0" w:space="0" w:color="auto"/>
        <w:left w:val="none" w:sz="0" w:space="0" w:color="auto"/>
        <w:bottom w:val="none" w:sz="0" w:space="0" w:color="auto"/>
        <w:right w:val="none" w:sz="0" w:space="0" w:color="auto"/>
      </w:divBdr>
    </w:div>
    <w:div w:id="366371982">
      <w:bodyDiv w:val="1"/>
      <w:marLeft w:val="0"/>
      <w:marRight w:val="0"/>
      <w:marTop w:val="0"/>
      <w:marBottom w:val="0"/>
      <w:divBdr>
        <w:top w:val="none" w:sz="0" w:space="0" w:color="auto"/>
        <w:left w:val="none" w:sz="0" w:space="0" w:color="auto"/>
        <w:bottom w:val="none" w:sz="0" w:space="0" w:color="auto"/>
        <w:right w:val="none" w:sz="0" w:space="0" w:color="auto"/>
      </w:divBdr>
    </w:div>
    <w:div w:id="399791017">
      <w:bodyDiv w:val="1"/>
      <w:marLeft w:val="0"/>
      <w:marRight w:val="0"/>
      <w:marTop w:val="0"/>
      <w:marBottom w:val="0"/>
      <w:divBdr>
        <w:top w:val="none" w:sz="0" w:space="0" w:color="auto"/>
        <w:left w:val="none" w:sz="0" w:space="0" w:color="auto"/>
        <w:bottom w:val="none" w:sz="0" w:space="0" w:color="auto"/>
        <w:right w:val="none" w:sz="0" w:space="0" w:color="auto"/>
      </w:divBdr>
    </w:div>
    <w:div w:id="428307618">
      <w:bodyDiv w:val="1"/>
      <w:marLeft w:val="0"/>
      <w:marRight w:val="0"/>
      <w:marTop w:val="0"/>
      <w:marBottom w:val="0"/>
      <w:divBdr>
        <w:top w:val="none" w:sz="0" w:space="0" w:color="auto"/>
        <w:left w:val="none" w:sz="0" w:space="0" w:color="auto"/>
        <w:bottom w:val="none" w:sz="0" w:space="0" w:color="auto"/>
        <w:right w:val="none" w:sz="0" w:space="0" w:color="auto"/>
      </w:divBdr>
    </w:div>
    <w:div w:id="458113413">
      <w:bodyDiv w:val="1"/>
      <w:marLeft w:val="0"/>
      <w:marRight w:val="0"/>
      <w:marTop w:val="0"/>
      <w:marBottom w:val="0"/>
      <w:divBdr>
        <w:top w:val="none" w:sz="0" w:space="0" w:color="auto"/>
        <w:left w:val="none" w:sz="0" w:space="0" w:color="auto"/>
        <w:bottom w:val="none" w:sz="0" w:space="0" w:color="auto"/>
        <w:right w:val="none" w:sz="0" w:space="0" w:color="auto"/>
      </w:divBdr>
    </w:div>
    <w:div w:id="459767775">
      <w:bodyDiv w:val="1"/>
      <w:marLeft w:val="0"/>
      <w:marRight w:val="0"/>
      <w:marTop w:val="0"/>
      <w:marBottom w:val="0"/>
      <w:divBdr>
        <w:top w:val="none" w:sz="0" w:space="0" w:color="auto"/>
        <w:left w:val="none" w:sz="0" w:space="0" w:color="auto"/>
        <w:bottom w:val="none" w:sz="0" w:space="0" w:color="auto"/>
        <w:right w:val="none" w:sz="0" w:space="0" w:color="auto"/>
      </w:divBdr>
    </w:div>
    <w:div w:id="478159304">
      <w:bodyDiv w:val="1"/>
      <w:marLeft w:val="0"/>
      <w:marRight w:val="0"/>
      <w:marTop w:val="0"/>
      <w:marBottom w:val="0"/>
      <w:divBdr>
        <w:top w:val="none" w:sz="0" w:space="0" w:color="auto"/>
        <w:left w:val="none" w:sz="0" w:space="0" w:color="auto"/>
        <w:bottom w:val="none" w:sz="0" w:space="0" w:color="auto"/>
        <w:right w:val="none" w:sz="0" w:space="0" w:color="auto"/>
      </w:divBdr>
    </w:div>
    <w:div w:id="480269256">
      <w:bodyDiv w:val="1"/>
      <w:marLeft w:val="0"/>
      <w:marRight w:val="0"/>
      <w:marTop w:val="0"/>
      <w:marBottom w:val="0"/>
      <w:divBdr>
        <w:top w:val="none" w:sz="0" w:space="0" w:color="auto"/>
        <w:left w:val="none" w:sz="0" w:space="0" w:color="auto"/>
        <w:bottom w:val="none" w:sz="0" w:space="0" w:color="auto"/>
        <w:right w:val="none" w:sz="0" w:space="0" w:color="auto"/>
      </w:divBdr>
    </w:div>
    <w:div w:id="482738872">
      <w:bodyDiv w:val="1"/>
      <w:marLeft w:val="0"/>
      <w:marRight w:val="0"/>
      <w:marTop w:val="0"/>
      <w:marBottom w:val="0"/>
      <w:divBdr>
        <w:top w:val="none" w:sz="0" w:space="0" w:color="auto"/>
        <w:left w:val="none" w:sz="0" w:space="0" w:color="auto"/>
        <w:bottom w:val="none" w:sz="0" w:space="0" w:color="auto"/>
        <w:right w:val="none" w:sz="0" w:space="0" w:color="auto"/>
      </w:divBdr>
    </w:div>
    <w:div w:id="488324662">
      <w:bodyDiv w:val="1"/>
      <w:marLeft w:val="0"/>
      <w:marRight w:val="0"/>
      <w:marTop w:val="0"/>
      <w:marBottom w:val="0"/>
      <w:divBdr>
        <w:top w:val="none" w:sz="0" w:space="0" w:color="auto"/>
        <w:left w:val="none" w:sz="0" w:space="0" w:color="auto"/>
        <w:bottom w:val="none" w:sz="0" w:space="0" w:color="auto"/>
        <w:right w:val="none" w:sz="0" w:space="0" w:color="auto"/>
      </w:divBdr>
    </w:div>
    <w:div w:id="493186775">
      <w:bodyDiv w:val="1"/>
      <w:marLeft w:val="0"/>
      <w:marRight w:val="0"/>
      <w:marTop w:val="0"/>
      <w:marBottom w:val="0"/>
      <w:divBdr>
        <w:top w:val="none" w:sz="0" w:space="0" w:color="auto"/>
        <w:left w:val="none" w:sz="0" w:space="0" w:color="auto"/>
        <w:bottom w:val="none" w:sz="0" w:space="0" w:color="auto"/>
        <w:right w:val="none" w:sz="0" w:space="0" w:color="auto"/>
      </w:divBdr>
    </w:div>
    <w:div w:id="498081993">
      <w:bodyDiv w:val="1"/>
      <w:marLeft w:val="0"/>
      <w:marRight w:val="0"/>
      <w:marTop w:val="0"/>
      <w:marBottom w:val="0"/>
      <w:divBdr>
        <w:top w:val="none" w:sz="0" w:space="0" w:color="auto"/>
        <w:left w:val="none" w:sz="0" w:space="0" w:color="auto"/>
        <w:bottom w:val="none" w:sz="0" w:space="0" w:color="auto"/>
        <w:right w:val="none" w:sz="0" w:space="0" w:color="auto"/>
      </w:divBdr>
    </w:div>
    <w:div w:id="500856740">
      <w:bodyDiv w:val="1"/>
      <w:marLeft w:val="0"/>
      <w:marRight w:val="0"/>
      <w:marTop w:val="0"/>
      <w:marBottom w:val="0"/>
      <w:divBdr>
        <w:top w:val="none" w:sz="0" w:space="0" w:color="auto"/>
        <w:left w:val="none" w:sz="0" w:space="0" w:color="auto"/>
        <w:bottom w:val="none" w:sz="0" w:space="0" w:color="auto"/>
        <w:right w:val="none" w:sz="0" w:space="0" w:color="auto"/>
      </w:divBdr>
    </w:div>
    <w:div w:id="516385815">
      <w:bodyDiv w:val="1"/>
      <w:marLeft w:val="0"/>
      <w:marRight w:val="0"/>
      <w:marTop w:val="0"/>
      <w:marBottom w:val="0"/>
      <w:divBdr>
        <w:top w:val="none" w:sz="0" w:space="0" w:color="auto"/>
        <w:left w:val="none" w:sz="0" w:space="0" w:color="auto"/>
        <w:bottom w:val="none" w:sz="0" w:space="0" w:color="auto"/>
        <w:right w:val="none" w:sz="0" w:space="0" w:color="auto"/>
      </w:divBdr>
    </w:div>
    <w:div w:id="527259783">
      <w:bodyDiv w:val="1"/>
      <w:marLeft w:val="0"/>
      <w:marRight w:val="0"/>
      <w:marTop w:val="0"/>
      <w:marBottom w:val="0"/>
      <w:divBdr>
        <w:top w:val="none" w:sz="0" w:space="0" w:color="auto"/>
        <w:left w:val="none" w:sz="0" w:space="0" w:color="auto"/>
        <w:bottom w:val="none" w:sz="0" w:space="0" w:color="auto"/>
        <w:right w:val="none" w:sz="0" w:space="0" w:color="auto"/>
      </w:divBdr>
    </w:div>
    <w:div w:id="530530714">
      <w:bodyDiv w:val="1"/>
      <w:marLeft w:val="0"/>
      <w:marRight w:val="0"/>
      <w:marTop w:val="0"/>
      <w:marBottom w:val="0"/>
      <w:divBdr>
        <w:top w:val="none" w:sz="0" w:space="0" w:color="auto"/>
        <w:left w:val="none" w:sz="0" w:space="0" w:color="auto"/>
        <w:bottom w:val="none" w:sz="0" w:space="0" w:color="auto"/>
        <w:right w:val="none" w:sz="0" w:space="0" w:color="auto"/>
      </w:divBdr>
    </w:div>
    <w:div w:id="531308625">
      <w:bodyDiv w:val="1"/>
      <w:marLeft w:val="0"/>
      <w:marRight w:val="0"/>
      <w:marTop w:val="0"/>
      <w:marBottom w:val="0"/>
      <w:divBdr>
        <w:top w:val="none" w:sz="0" w:space="0" w:color="auto"/>
        <w:left w:val="none" w:sz="0" w:space="0" w:color="auto"/>
        <w:bottom w:val="none" w:sz="0" w:space="0" w:color="auto"/>
        <w:right w:val="none" w:sz="0" w:space="0" w:color="auto"/>
      </w:divBdr>
    </w:div>
    <w:div w:id="537356345">
      <w:bodyDiv w:val="1"/>
      <w:marLeft w:val="0"/>
      <w:marRight w:val="0"/>
      <w:marTop w:val="0"/>
      <w:marBottom w:val="0"/>
      <w:divBdr>
        <w:top w:val="none" w:sz="0" w:space="0" w:color="auto"/>
        <w:left w:val="none" w:sz="0" w:space="0" w:color="auto"/>
        <w:bottom w:val="none" w:sz="0" w:space="0" w:color="auto"/>
        <w:right w:val="none" w:sz="0" w:space="0" w:color="auto"/>
      </w:divBdr>
    </w:div>
    <w:div w:id="538862213">
      <w:bodyDiv w:val="1"/>
      <w:marLeft w:val="0"/>
      <w:marRight w:val="0"/>
      <w:marTop w:val="0"/>
      <w:marBottom w:val="0"/>
      <w:divBdr>
        <w:top w:val="none" w:sz="0" w:space="0" w:color="auto"/>
        <w:left w:val="none" w:sz="0" w:space="0" w:color="auto"/>
        <w:bottom w:val="none" w:sz="0" w:space="0" w:color="auto"/>
        <w:right w:val="none" w:sz="0" w:space="0" w:color="auto"/>
      </w:divBdr>
    </w:div>
    <w:div w:id="541745518">
      <w:bodyDiv w:val="1"/>
      <w:marLeft w:val="0"/>
      <w:marRight w:val="0"/>
      <w:marTop w:val="0"/>
      <w:marBottom w:val="0"/>
      <w:divBdr>
        <w:top w:val="none" w:sz="0" w:space="0" w:color="auto"/>
        <w:left w:val="none" w:sz="0" w:space="0" w:color="auto"/>
        <w:bottom w:val="none" w:sz="0" w:space="0" w:color="auto"/>
        <w:right w:val="none" w:sz="0" w:space="0" w:color="auto"/>
      </w:divBdr>
    </w:div>
    <w:div w:id="542403331">
      <w:bodyDiv w:val="1"/>
      <w:marLeft w:val="0"/>
      <w:marRight w:val="0"/>
      <w:marTop w:val="0"/>
      <w:marBottom w:val="0"/>
      <w:divBdr>
        <w:top w:val="none" w:sz="0" w:space="0" w:color="auto"/>
        <w:left w:val="none" w:sz="0" w:space="0" w:color="auto"/>
        <w:bottom w:val="none" w:sz="0" w:space="0" w:color="auto"/>
        <w:right w:val="none" w:sz="0" w:space="0" w:color="auto"/>
      </w:divBdr>
    </w:div>
    <w:div w:id="546573416">
      <w:bodyDiv w:val="1"/>
      <w:marLeft w:val="0"/>
      <w:marRight w:val="0"/>
      <w:marTop w:val="0"/>
      <w:marBottom w:val="0"/>
      <w:divBdr>
        <w:top w:val="none" w:sz="0" w:space="0" w:color="auto"/>
        <w:left w:val="none" w:sz="0" w:space="0" w:color="auto"/>
        <w:bottom w:val="none" w:sz="0" w:space="0" w:color="auto"/>
        <w:right w:val="none" w:sz="0" w:space="0" w:color="auto"/>
      </w:divBdr>
    </w:div>
    <w:div w:id="557788605">
      <w:bodyDiv w:val="1"/>
      <w:marLeft w:val="0"/>
      <w:marRight w:val="0"/>
      <w:marTop w:val="0"/>
      <w:marBottom w:val="0"/>
      <w:divBdr>
        <w:top w:val="none" w:sz="0" w:space="0" w:color="auto"/>
        <w:left w:val="none" w:sz="0" w:space="0" w:color="auto"/>
        <w:bottom w:val="none" w:sz="0" w:space="0" w:color="auto"/>
        <w:right w:val="none" w:sz="0" w:space="0" w:color="auto"/>
      </w:divBdr>
    </w:div>
    <w:div w:id="558789283">
      <w:bodyDiv w:val="1"/>
      <w:marLeft w:val="0"/>
      <w:marRight w:val="0"/>
      <w:marTop w:val="0"/>
      <w:marBottom w:val="0"/>
      <w:divBdr>
        <w:top w:val="none" w:sz="0" w:space="0" w:color="auto"/>
        <w:left w:val="none" w:sz="0" w:space="0" w:color="auto"/>
        <w:bottom w:val="none" w:sz="0" w:space="0" w:color="auto"/>
        <w:right w:val="none" w:sz="0" w:space="0" w:color="auto"/>
      </w:divBdr>
    </w:div>
    <w:div w:id="559360996">
      <w:bodyDiv w:val="1"/>
      <w:marLeft w:val="0"/>
      <w:marRight w:val="0"/>
      <w:marTop w:val="0"/>
      <w:marBottom w:val="0"/>
      <w:divBdr>
        <w:top w:val="none" w:sz="0" w:space="0" w:color="auto"/>
        <w:left w:val="none" w:sz="0" w:space="0" w:color="auto"/>
        <w:bottom w:val="none" w:sz="0" w:space="0" w:color="auto"/>
        <w:right w:val="none" w:sz="0" w:space="0" w:color="auto"/>
      </w:divBdr>
    </w:div>
    <w:div w:id="560363660">
      <w:bodyDiv w:val="1"/>
      <w:marLeft w:val="0"/>
      <w:marRight w:val="0"/>
      <w:marTop w:val="0"/>
      <w:marBottom w:val="0"/>
      <w:divBdr>
        <w:top w:val="none" w:sz="0" w:space="0" w:color="auto"/>
        <w:left w:val="none" w:sz="0" w:space="0" w:color="auto"/>
        <w:bottom w:val="none" w:sz="0" w:space="0" w:color="auto"/>
        <w:right w:val="none" w:sz="0" w:space="0" w:color="auto"/>
      </w:divBdr>
    </w:div>
    <w:div w:id="583879790">
      <w:bodyDiv w:val="1"/>
      <w:marLeft w:val="0"/>
      <w:marRight w:val="0"/>
      <w:marTop w:val="0"/>
      <w:marBottom w:val="0"/>
      <w:divBdr>
        <w:top w:val="none" w:sz="0" w:space="0" w:color="auto"/>
        <w:left w:val="none" w:sz="0" w:space="0" w:color="auto"/>
        <w:bottom w:val="none" w:sz="0" w:space="0" w:color="auto"/>
        <w:right w:val="none" w:sz="0" w:space="0" w:color="auto"/>
      </w:divBdr>
    </w:div>
    <w:div w:id="598953009">
      <w:bodyDiv w:val="1"/>
      <w:marLeft w:val="0"/>
      <w:marRight w:val="0"/>
      <w:marTop w:val="0"/>
      <w:marBottom w:val="0"/>
      <w:divBdr>
        <w:top w:val="none" w:sz="0" w:space="0" w:color="auto"/>
        <w:left w:val="none" w:sz="0" w:space="0" w:color="auto"/>
        <w:bottom w:val="none" w:sz="0" w:space="0" w:color="auto"/>
        <w:right w:val="none" w:sz="0" w:space="0" w:color="auto"/>
      </w:divBdr>
    </w:div>
    <w:div w:id="602885752">
      <w:bodyDiv w:val="1"/>
      <w:marLeft w:val="0"/>
      <w:marRight w:val="0"/>
      <w:marTop w:val="0"/>
      <w:marBottom w:val="0"/>
      <w:divBdr>
        <w:top w:val="none" w:sz="0" w:space="0" w:color="auto"/>
        <w:left w:val="none" w:sz="0" w:space="0" w:color="auto"/>
        <w:bottom w:val="none" w:sz="0" w:space="0" w:color="auto"/>
        <w:right w:val="none" w:sz="0" w:space="0" w:color="auto"/>
      </w:divBdr>
    </w:div>
    <w:div w:id="609969923">
      <w:bodyDiv w:val="1"/>
      <w:marLeft w:val="0"/>
      <w:marRight w:val="0"/>
      <w:marTop w:val="0"/>
      <w:marBottom w:val="0"/>
      <w:divBdr>
        <w:top w:val="none" w:sz="0" w:space="0" w:color="auto"/>
        <w:left w:val="none" w:sz="0" w:space="0" w:color="auto"/>
        <w:bottom w:val="none" w:sz="0" w:space="0" w:color="auto"/>
        <w:right w:val="none" w:sz="0" w:space="0" w:color="auto"/>
      </w:divBdr>
    </w:div>
    <w:div w:id="614142444">
      <w:bodyDiv w:val="1"/>
      <w:marLeft w:val="0"/>
      <w:marRight w:val="0"/>
      <w:marTop w:val="0"/>
      <w:marBottom w:val="0"/>
      <w:divBdr>
        <w:top w:val="none" w:sz="0" w:space="0" w:color="auto"/>
        <w:left w:val="none" w:sz="0" w:space="0" w:color="auto"/>
        <w:bottom w:val="none" w:sz="0" w:space="0" w:color="auto"/>
        <w:right w:val="none" w:sz="0" w:space="0" w:color="auto"/>
      </w:divBdr>
    </w:div>
    <w:div w:id="617108641">
      <w:bodyDiv w:val="1"/>
      <w:marLeft w:val="0"/>
      <w:marRight w:val="0"/>
      <w:marTop w:val="0"/>
      <w:marBottom w:val="0"/>
      <w:divBdr>
        <w:top w:val="none" w:sz="0" w:space="0" w:color="auto"/>
        <w:left w:val="none" w:sz="0" w:space="0" w:color="auto"/>
        <w:bottom w:val="none" w:sz="0" w:space="0" w:color="auto"/>
        <w:right w:val="none" w:sz="0" w:space="0" w:color="auto"/>
      </w:divBdr>
    </w:div>
    <w:div w:id="622224188">
      <w:bodyDiv w:val="1"/>
      <w:marLeft w:val="0"/>
      <w:marRight w:val="0"/>
      <w:marTop w:val="0"/>
      <w:marBottom w:val="0"/>
      <w:divBdr>
        <w:top w:val="none" w:sz="0" w:space="0" w:color="auto"/>
        <w:left w:val="none" w:sz="0" w:space="0" w:color="auto"/>
        <w:bottom w:val="none" w:sz="0" w:space="0" w:color="auto"/>
        <w:right w:val="none" w:sz="0" w:space="0" w:color="auto"/>
      </w:divBdr>
    </w:div>
    <w:div w:id="658269132">
      <w:bodyDiv w:val="1"/>
      <w:marLeft w:val="0"/>
      <w:marRight w:val="0"/>
      <w:marTop w:val="0"/>
      <w:marBottom w:val="0"/>
      <w:divBdr>
        <w:top w:val="none" w:sz="0" w:space="0" w:color="auto"/>
        <w:left w:val="none" w:sz="0" w:space="0" w:color="auto"/>
        <w:bottom w:val="none" w:sz="0" w:space="0" w:color="auto"/>
        <w:right w:val="none" w:sz="0" w:space="0" w:color="auto"/>
      </w:divBdr>
    </w:div>
    <w:div w:id="663973832">
      <w:bodyDiv w:val="1"/>
      <w:marLeft w:val="0"/>
      <w:marRight w:val="0"/>
      <w:marTop w:val="0"/>
      <w:marBottom w:val="0"/>
      <w:divBdr>
        <w:top w:val="none" w:sz="0" w:space="0" w:color="auto"/>
        <w:left w:val="none" w:sz="0" w:space="0" w:color="auto"/>
        <w:bottom w:val="none" w:sz="0" w:space="0" w:color="auto"/>
        <w:right w:val="none" w:sz="0" w:space="0" w:color="auto"/>
      </w:divBdr>
    </w:div>
    <w:div w:id="670916496">
      <w:bodyDiv w:val="1"/>
      <w:marLeft w:val="0"/>
      <w:marRight w:val="0"/>
      <w:marTop w:val="0"/>
      <w:marBottom w:val="0"/>
      <w:divBdr>
        <w:top w:val="none" w:sz="0" w:space="0" w:color="auto"/>
        <w:left w:val="none" w:sz="0" w:space="0" w:color="auto"/>
        <w:bottom w:val="none" w:sz="0" w:space="0" w:color="auto"/>
        <w:right w:val="none" w:sz="0" w:space="0" w:color="auto"/>
      </w:divBdr>
    </w:div>
    <w:div w:id="671492338">
      <w:bodyDiv w:val="1"/>
      <w:marLeft w:val="0"/>
      <w:marRight w:val="0"/>
      <w:marTop w:val="0"/>
      <w:marBottom w:val="0"/>
      <w:divBdr>
        <w:top w:val="none" w:sz="0" w:space="0" w:color="auto"/>
        <w:left w:val="none" w:sz="0" w:space="0" w:color="auto"/>
        <w:bottom w:val="none" w:sz="0" w:space="0" w:color="auto"/>
        <w:right w:val="none" w:sz="0" w:space="0" w:color="auto"/>
      </w:divBdr>
    </w:div>
    <w:div w:id="673917653">
      <w:bodyDiv w:val="1"/>
      <w:marLeft w:val="0"/>
      <w:marRight w:val="0"/>
      <w:marTop w:val="0"/>
      <w:marBottom w:val="0"/>
      <w:divBdr>
        <w:top w:val="none" w:sz="0" w:space="0" w:color="auto"/>
        <w:left w:val="none" w:sz="0" w:space="0" w:color="auto"/>
        <w:bottom w:val="none" w:sz="0" w:space="0" w:color="auto"/>
        <w:right w:val="none" w:sz="0" w:space="0" w:color="auto"/>
      </w:divBdr>
    </w:div>
    <w:div w:id="696321731">
      <w:bodyDiv w:val="1"/>
      <w:marLeft w:val="0"/>
      <w:marRight w:val="0"/>
      <w:marTop w:val="0"/>
      <w:marBottom w:val="0"/>
      <w:divBdr>
        <w:top w:val="none" w:sz="0" w:space="0" w:color="auto"/>
        <w:left w:val="none" w:sz="0" w:space="0" w:color="auto"/>
        <w:bottom w:val="none" w:sz="0" w:space="0" w:color="auto"/>
        <w:right w:val="none" w:sz="0" w:space="0" w:color="auto"/>
      </w:divBdr>
    </w:div>
    <w:div w:id="701396423">
      <w:bodyDiv w:val="1"/>
      <w:marLeft w:val="0"/>
      <w:marRight w:val="0"/>
      <w:marTop w:val="0"/>
      <w:marBottom w:val="0"/>
      <w:divBdr>
        <w:top w:val="none" w:sz="0" w:space="0" w:color="auto"/>
        <w:left w:val="none" w:sz="0" w:space="0" w:color="auto"/>
        <w:bottom w:val="none" w:sz="0" w:space="0" w:color="auto"/>
        <w:right w:val="none" w:sz="0" w:space="0" w:color="auto"/>
      </w:divBdr>
    </w:div>
    <w:div w:id="711419168">
      <w:bodyDiv w:val="1"/>
      <w:marLeft w:val="0"/>
      <w:marRight w:val="0"/>
      <w:marTop w:val="0"/>
      <w:marBottom w:val="0"/>
      <w:divBdr>
        <w:top w:val="none" w:sz="0" w:space="0" w:color="auto"/>
        <w:left w:val="none" w:sz="0" w:space="0" w:color="auto"/>
        <w:bottom w:val="none" w:sz="0" w:space="0" w:color="auto"/>
        <w:right w:val="none" w:sz="0" w:space="0" w:color="auto"/>
      </w:divBdr>
    </w:div>
    <w:div w:id="713580306">
      <w:bodyDiv w:val="1"/>
      <w:marLeft w:val="0"/>
      <w:marRight w:val="0"/>
      <w:marTop w:val="0"/>
      <w:marBottom w:val="0"/>
      <w:divBdr>
        <w:top w:val="none" w:sz="0" w:space="0" w:color="auto"/>
        <w:left w:val="none" w:sz="0" w:space="0" w:color="auto"/>
        <w:bottom w:val="none" w:sz="0" w:space="0" w:color="auto"/>
        <w:right w:val="none" w:sz="0" w:space="0" w:color="auto"/>
      </w:divBdr>
    </w:div>
    <w:div w:id="724177619">
      <w:bodyDiv w:val="1"/>
      <w:marLeft w:val="0"/>
      <w:marRight w:val="0"/>
      <w:marTop w:val="0"/>
      <w:marBottom w:val="0"/>
      <w:divBdr>
        <w:top w:val="none" w:sz="0" w:space="0" w:color="auto"/>
        <w:left w:val="none" w:sz="0" w:space="0" w:color="auto"/>
        <w:bottom w:val="none" w:sz="0" w:space="0" w:color="auto"/>
        <w:right w:val="none" w:sz="0" w:space="0" w:color="auto"/>
      </w:divBdr>
    </w:div>
    <w:div w:id="724185426">
      <w:bodyDiv w:val="1"/>
      <w:marLeft w:val="0"/>
      <w:marRight w:val="0"/>
      <w:marTop w:val="0"/>
      <w:marBottom w:val="0"/>
      <w:divBdr>
        <w:top w:val="none" w:sz="0" w:space="0" w:color="auto"/>
        <w:left w:val="none" w:sz="0" w:space="0" w:color="auto"/>
        <w:bottom w:val="none" w:sz="0" w:space="0" w:color="auto"/>
        <w:right w:val="none" w:sz="0" w:space="0" w:color="auto"/>
      </w:divBdr>
    </w:div>
    <w:div w:id="783037568">
      <w:bodyDiv w:val="1"/>
      <w:marLeft w:val="0"/>
      <w:marRight w:val="0"/>
      <w:marTop w:val="0"/>
      <w:marBottom w:val="0"/>
      <w:divBdr>
        <w:top w:val="none" w:sz="0" w:space="0" w:color="auto"/>
        <w:left w:val="none" w:sz="0" w:space="0" w:color="auto"/>
        <w:bottom w:val="none" w:sz="0" w:space="0" w:color="auto"/>
        <w:right w:val="none" w:sz="0" w:space="0" w:color="auto"/>
      </w:divBdr>
    </w:div>
    <w:div w:id="784348400">
      <w:bodyDiv w:val="1"/>
      <w:marLeft w:val="0"/>
      <w:marRight w:val="0"/>
      <w:marTop w:val="0"/>
      <w:marBottom w:val="0"/>
      <w:divBdr>
        <w:top w:val="none" w:sz="0" w:space="0" w:color="auto"/>
        <w:left w:val="none" w:sz="0" w:space="0" w:color="auto"/>
        <w:bottom w:val="none" w:sz="0" w:space="0" w:color="auto"/>
        <w:right w:val="none" w:sz="0" w:space="0" w:color="auto"/>
      </w:divBdr>
    </w:div>
    <w:div w:id="789055283">
      <w:bodyDiv w:val="1"/>
      <w:marLeft w:val="0"/>
      <w:marRight w:val="0"/>
      <w:marTop w:val="0"/>
      <w:marBottom w:val="0"/>
      <w:divBdr>
        <w:top w:val="none" w:sz="0" w:space="0" w:color="auto"/>
        <w:left w:val="none" w:sz="0" w:space="0" w:color="auto"/>
        <w:bottom w:val="none" w:sz="0" w:space="0" w:color="auto"/>
        <w:right w:val="none" w:sz="0" w:space="0" w:color="auto"/>
      </w:divBdr>
    </w:div>
    <w:div w:id="791748658">
      <w:bodyDiv w:val="1"/>
      <w:marLeft w:val="0"/>
      <w:marRight w:val="0"/>
      <w:marTop w:val="0"/>
      <w:marBottom w:val="0"/>
      <w:divBdr>
        <w:top w:val="none" w:sz="0" w:space="0" w:color="auto"/>
        <w:left w:val="none" w:sz="0" w:space="0" w:color="auto"/>
        <w:bottom w:val="none" w:sz="0" w:space="0" w:color="auto"/>
        <w:right w:val="none" w:sz="0" w:space="0" w:color="auto"/>
      </w:divBdr>
    </w:div>
    <w:div w:id="810248716">
      <w:bodyDiv w:val="1"/>
      <w:marLeft w:val="0"/>
      <w:marRight w:val="0"/>
      <w:marTop w:val="0"/>
      <w:marBottom w:val="0"/>
      <w:divBdr>
        <w:top w:val="none" w:sz="0" w:space="0" w:color="auto"/>
        <w:left w:val="none" w:sz="0" w:space="0" w:color="auto"/>
        <w:bottom w:val="none" w:sz="0" w:space="0" w:color="auto"/>
        <w:right w:val="none" w:sz="0" w:space="0" w:color="auto"/>
      </w:divBdr>
    </w:div>
    <w:div w:id="818964143">
      <w:bodyDiv w:val="1"/>
      <w:marLeft w:val="0"/>
      <w:marRight w:val="0"/>
      <w:marTop w:val="0"/>
      <w:marBottom w:val="0"/>
      <w:divBdr>
        <w:top w:val="none" w:sz="0" w:space="0" w:color="auto"/>
        <w:left w:val="none" w:sz="0" w:space="0" w:color="auto"/>
        <w:bottom w:val="none" w:sz="0" w:space="0" w:color="auto"/>
        <w:right w:val="none" w:sz="0" w:space="0" w:color="auto"/>
      </w:divBdr>
    </w:div>
    <w:div w:id="826751333">
      <w:bodyDiv w:val="1"/>
      <w:marLeft w:val="0"/>
      <w:marRight w:val="0"/>
      <w:marTop w:val="0"/>
      <w:marBottom w:val="0"/>
      <w:divBdr>
        <w:top w:val="none" w:sz="0" w:space="0" w:color="auto"/>
        <w:left w:val="none" w:sz="0" w:space="0" w:color="auto"/>
        <w:bottom w:val="none" w:sz="0" w:space="0" w:color="auto"/>
        <w:right w:val="none" w:sz="0" w:space="0" w:color="auto"/>
      </w:divBdr>
    </w:div>
    <w:div w:id="835657677">
      <w:bodyDiv w:val="1"/>
      <w:marLeft w:val="0"/>
      <w:marRight w:val="0"/>
      <w:marTop w:val="0"/>
      <w:marBottom w:val="0"/>
      <w:divBdr>
        <w:top w:val="none" w:sz="0" w:space="0" w:color="auto"/>
        <w:left w:val="none" w:sz="0" w:space="0" w:color="auto"/>
        <w:bottom w:val="none" w:sz="0" w:space="0" w:color="auto"/>
        <w:right w:val="none" w:sz="0" w:space="0" w:color="auto"/>
      </w:divBdr>
    </w:div>
    <w:div w:id="839004843">
      <w:bodyDiv w:val="1"/>
      <w:marLeft w:val="0"/>
      <w:marRight w:val="0"/>
      <w:marTop w:val="0"/>
      <w:marBottom w:val="0"/>
      <w:divBdr>
        <w:top w:val="none" w:sz="0" w:space="0" w:color="auto"/>
        <w:left w:val="none" w:sz="0" w:space="0" w:color="auto"/>
        <w:bottom w:val="none" w:sz="0" w:space="0" w:color="auto"/>
        <w:right w:val="none" w:sz="0" w:space="0" w:color="auto"/>
      </w:divBdr>
    </w:div>
    <w:div w:id="844978241">
      <w:bodyDiv w:val="1"/>
      <w:marLeft w:val="0"/>
      <w:marRight w:val="0"/>
      <w:marTop w:val="0"/>
      <w:marBottom w:val="0"/>
      <w:divBdr>
        <w:top w:val="none" w:sz="0" w:space="0" w:color="auto"/>
        <w:left w:val="none" w:sz="0" w:space="0" w:color="auto"/>
        <w:bottom w:val="none" w:sz="0" w:space="0" w:color="auto"/>
        <w:right w:val="none" w:sz="0" w:space="0" w:color="auto"/>
      </w:divBdr>
    </w:div>
    <w:div w:id="847210825">
      <w:bodyDiv w:val="1"/>
      <w:marLeft w:val="0"/>
      <w:marRight w:val="0"/>
      <w:marTop w:val="0"/>
      <w:marBottom w:val="0"/>
      <w:divBdr>
        <w:top w:val="none" w:sz="0" w:space="0" w:color="auto"/>
        <w:left w:val="none" w:sz="0" w:space="0" w:color="auto"/>
        <w:bottom w:val="none" w:sz="0" w:space="0" w:color="auto"/>
        <w:right w:val="none" w:sz="0" w:space="0" w:color="auto"/>
      </w:divBdr>
    </w:div>
    <w:div w:id="854686417">
      <w:bodyDiv w:val="1"/>
      <w:marLeft w:val="0"/>
      <w:marRight w:val="0"/>
      <w:marTop w:val="0"/>
      <w:marBottom w:val="0"/>
      <w:divBdr>
        <w:top w:val="none" w:sz="0" w:space="0" w:color="auto"/>
        <w:left w:val="none" w:sz="0" w:space="0" w:color="auto"/>
        <w:bottom w:val="none" w:sz="0" w:space="0" w:color="auto"/>
        <w:right w:val="none" w:sz="0" w:space="0" w:color="auto"/>
      </w:divBdr>
    </w:div>
    <w:div w:id="864640241">
      <w:bodyDiv w:val="1"/>
      <w:marLeft w:val="0"/>
      <w:marRight w:val="0"/>
      <w:marTop w:val="0"/>
      <w:marBottom w:val="0"/>
      <w:divBdr>
        <w:top w:val="none" w:sz="0" w:space="0" w:color="auto"/>
        <w:left w:val="none" w:sz="0" w:space="0" w:color="auto"/>
        <w:bottom w:val="none" w:sz="0" w:space="0" w:color="auto"/>
        <w:right w:val="none" w:sz="0" w:space="0" w:color="auto"/>
      </w:divBdr>
    </w:div>
    <w:div w:id="864949234">
      <w:bodyDiv w:val="1"/>
      <w:marLeft w:val="0"/>
      <w:marRight w:val="0"/>
      <w:marTop w:val="0"/>
      <w:marBottom w:val="0"/>
      <w:divBdr>
        <w:top w:val="none" w:sz="0" w:space="0" w:color="auto"/>
        <w:left w:val="none" w:sz="0" w:space="0" w:color="auto"/>
        <w:bottom w:val="none" w:sz="0" w:space="0" w:color="auto"/>
        <w:right w:val="none" w:sz="0" w:space="0" w:color="auto"/>
      </w:divBdr>
    </w:div>
    <w:div w:id="867714885">
      <w:bodyDiv w:val="1"/>
      <w:marLeft w:val="0"/>
      <w:marRight w:val="0"/>
      <w:marTop w:val="0"/>
      <w:marBottom w:val="0"/>
      <w:divBdr>
        <w:top w:val="none" w:sz="0" w:space="0" w:color="auto"/>
        <w:left w:val="none" w:sz="0" w:space="0" w:color="auto"/>
        <w:bottom w:val="none" w:sz="0" w:space="0" w:color="auto"/>
        <w:right w:val="none" w:sz="0" w:space="0" w:color="auto"/>
      </w:divBdr>
    </w:div>
    <w:div w:id="878317185">
      <w:bodyDiv w:val="1"/>
      <w:marLeft w:val="0"/>
      <w:marRight w:val="0"/>
      <w:marTop w:val="0"/>
      <w:marBottom w:val="0"/>
      <w:divBdr>
        <w:top w:val="none" w:sz="0" w:space="0" w:color="auto"/>
        <w:left w:val="none" w:sz="0" w:space="0" w:color="auto"/>
        <w:bottom w:val="none" w:sz="0" w:space="0" w:color="auto"/>
        <w:right w:val="none" w:sz="0" w:space="0" w:color="auto"/>
      </w:divBdr>
    </w:div>
    <w:div w:id="878325292">
      <w:bodyDiv w:val="1"/>
      <w:marLeft w:val="0"/>
      <w:marRight w:val="0"/>
      <w:marTop w:val="0"/>
      <w:marBottom w:val="0"/>
      <w:divBdr>
        <w:top w:val="none" w:sz="0" w:space="0" w:color="auto"/>
        <w:left w:val="none" w:sz="0" w:space="0" w:color="auto"/>
        <w:bottom w:val="none" w:sz="0" w:space="0" w:color="auto"/>
        <w:right w:val="none" w:sz="0" w:space="0" w:color="auto"/>
      </w:divBdr>
    </w:div>
    <w:div w:id="878934504">
      <w:bodyDiv w:val="1"/>
      <w:marLeft w:val="0"/>
      <w:marRight w:val="0"/>
      <w:marTop w:val="0"/>
      <w:marBottom w:val="0"/>
      <w:divBdr>
        <w:top w:val="none" w:sz="0" w:space="0" w:color="auto"/>
        <w:left w:val="none" w:sz="0" w:space="0" w:color="auto"/>
        <w:bottom w:val="none" w:sz="0" w:space="0" w:color="auto"/>
        <w:right w:val="none" w:sz="0" w:space="0" w:color="auto"/>
      </w:divBdr>
    </w:div>
    <w:div w:id="893349684">
      <w:bodyDiv w:val="1"/>
      <w:marLeft w:val="0"/>
      <w:marRight w:val="0"/>
      <w:marTop w:val="0"/>
      <w:marBottom w:val="0"/>
      <w:divBdr>
        <w:top w:val="none" w:sz="0" w:space="0" w:color="auto"/>
        <w:left w:val="none" w:sz="0" w:space="0" w:color="auto"/>
        <w:bottom w:val="none" w:sz="0" w:space="0" w:color="auto"/>
        <w:right w:val="none" w:sz="0" w:space="0" w:color="auto"/>
      </w:divBdr>
    </w:div>
    <w:div w:id="898058308">
      <w:bodyDiv w:val="1"/>
      <w:marLeft w:val="0"/>
      <w:marRight w:val="0"/>
      <w:marTop w:val="0"/>
      <w:marBottom w:val="0"/>
      <w:divBdr>
        <w:top w:val="none" w:sz="0" w:space="0" w:color="auto"/>
        <w:left w:val="none" w:sz="0" w:space="0" w:color="auto"/>
        <w:bottom w:val="none" w:sz="0" w:space="0" w:color="auto"/>
        <w:right w:val="none" w:sz="0" w:space="0" w:color="auto"/>
      </w:divBdr>
    </w:div>
    <w:div w:id="902376561">
      <w:bodyDiv w:val="1"/>
      <w:marLeft w:val="0"/>
      <w:marRight w:val="0"/>
      <w:marTop w:val="0"/>
      <w:marBottom w:val="0"/>
      <w:divBdr>
        <w:top w:val="none" w:sz="0" w:space="0" w:color="auto"/>
        <w:left w:val="none" w:sz="0" w:space="0" w:color="auto"/>
        <w:bottom w:val="none" w:sz="0" w:space="0" w:color="auto"/>
        <w:right w:val="none" w:sz="0" w:space="0" w:color="auto"/>
      </w:divBdr>
    </w:div>
    <w:div w:id="907308315">
      <w:bodyDiv w:val="1"/>
      <w:marLeft w:val="0"/>
      <w:marRight w:val="0"/>
      <w:marTop w:val="0"/>
      <w:marBottom w:val="0"/>
      <w:divBdr>
        <w:top w:val="none" w:sz="0" w:space="0" w:color="auto"/>
        <w:left w:val="none" w:sz="0" w:space="0" w:color="auto"/>
        <w:bottom w:val="none" w:sz="0" w:space="0" w:color="auto"/>
        <w:right w:val="none" w:sz="0" w:space="0" w:color="auto"/>
      </w:divBdr>
    </w:div>
    <w:div w:id="915939425">
      <w:bodyDiv w:val="1"/>
      <w:marLeft w:val="0"/>
      <w:marRight w:val="0"/>
      <w:marTop w:val="0"/>
      <w:marBottom w:val="0"/>
      <w:divBdr>
        <w:top w:val="none" w:sz="0" w:space="0" w:color="auto"/>
        <w:left w:val="none" w:sz="0" w:space="0" w:color="auto"/>
        <w:bottom w:val="none" w:sz="0" w:space="0" w:color="auto"/>
        <w:right w:val="none" w:sz="0" w:space="0" w:color="auto"/>
      </w:divBdr>
    </w:div>
    <w:div w:id="919951618">
      <w:bodyDiv w:val="1"/>
      <w:marLeft w:val="0"/>
      <w:marRight w:val="0"/>
      <w:marTop w:val="0"/>
      <w:marBottom w:val="0"/>
      <w:divBdr>
        <w:top w:val="none" w:sz="0" w:space="0" w:color="auto"/>
        <w:left w:val="none" w:sz="0" w:space="0" w:color="auto"/>
        <w:bottom w:val="none" w:sz="0" w:space="0" w:color="auto"/>
        <w:right w:val="none" w:sz="0" w:space="0" w:color="auto"/>
      </w:divBdr>
    </w:div>
    <w:div w:id="924069935">
      <w:bodyDiv w:val="1"/>
      <w:marLeft w:val="0"/>
      <w:marRight w:val="0"/>
      <w:marTop w:val="0"/>
      <w:marBottom w:val="0"/>
      <w:divBdr>
        <w:top w:val="none" w:sz="0" w:space="0" w:color="auto"/>
        <w:left w:val="none" w:sz="0" w:space="0" w:color="auto"/>
        <w:bottom w:val="none" w:sz="0" w:space="0" w:color="auto"/>
        <w:right w:val="none" w:sz="0" w:space="0" w:color="auto"/>
      </w:divBdr>
    </w:div>
    <w:div w:id="979307614">
      <w:bodyDiv w:val="1"/>
      <w:marLeft w:val="0"/>
      <w:marRight w:val="0"/>
      <w:marTop w:val="0"/>
      <w:marBottom w:val="0"/>
      <w:divBdr>
        <w:top w:val="none" w:sz="0" w:space="0" w:color="auto"/>
        <w:left w:val="none" w:sz="0" w:space="0" w:color="auto"/>
        <w:bottom w:val="none" w:sz="0" w:space="0" w:color="auto"/>
        <w:right w:val="none" w:sz="0" w:space="0" w:color="auto"/>
      </w:divBdr>
    </w:div>
    <w:div w:id="981345758">
      <w:bodyDiv w:val="1"/>
      <w:marLeft w:val="0"/>
      <w:marRight w:val="0"/>
      <w:marTop w:val="0"/>
      <w:marBottom w:val="0"/>
      <w:divBdr>
        <w:top w:val="none" w:sz="0" w:space="0" w:color="auto"/>
        <w:left w:val="none" w:sz="0" w:space="0" w:color="auto"/>
        <w:bottom w:val="none" w:sz="0" w:space="0" w:color="auto"/>
        <w:right w:val="none" w:sz="0" w:space="0" w:color="auto"/>
      </w:divBdr>
    </w:div>
    <w:div w:id="994987694">
      <w:bodyDiv w:val="1"/>
      <w:marLeft w:val="0"/>
      <w:marRight w:val="0"/>
      <w:marTop w:val="0"/>
      <w:marBottom w:val="0"/>
      <w:divBdr>
        <w:top w:val="none" w:sz="0" w:space="0" w:color="auto"/>
        <w:left w:val="none" w:sz="0" w:space="0" w:color="auto"/>
        <w:bottom w:val="none" w:sz="0" w:space="0" w:color="auto"/>
        <w:right w:val="none" w:sz="0" w:space="0" w:color="auto"/>
      </w:divBdr>
    </w:div>
    <w:div w:id="1002047189">
      <w:bodyDiv w:val="1"/>
      <w:marLeft w:val="0"/>
      <w:marRight w:val="0"/>
      <w:marTop w:val="0"/>
      <w:marBottom w:val="0"/>
      <w:divBdr>
        <w:top w:val="none" w:sz="0" w:space="0" w:color="auto"/>
        <w:left w:val="none" w:sz="0" w:space="0" w:color="auto"/>
        <w:bottom w:val="none" w:sz="0" w:space="0" w:color="auto"/>
        <w:right w:val="none" w:sz="0" w:space="0" w:color="auto"/>
      </w:divBdr>
    </w:div>
    <w:div w:id="1006320831">
      <w:bodyDiv w:val="1"/>
      <w:marLeft w:val="0"/>
      <w:marRight w:val="0"/>
      <w:marTop w:val="0"/>
      <w:marBottom w:val="0"/>
      <w:divBdr>
        <w:top w:val="none" w:sz="0" w:space="0" w:color="auto"/>
        <w:left w:val="none" w:sz="0" w:space="0" w:color="auto"/>
        <w:bottom w:val="none" w:sz="0" w:space="0" w:color="auto"/>
        <w:right w:val="none" w:sz="0" w:space="0" w:color="auto"/>
      </w:divBdr>
    </w:div>
    <w:div w:id="1021248608">
      <w:bodyDiv w:val="1"/>
      <w:marLeft w:val="0"/>
      <w:marRight w:val="0"/>
      <w:marTop w:val="0"/>
      <w:marBottom w:val="0"/>
      <w:divBdr>
        <w:top w:val="none" w:sz="0" w:space="0" w:color="auto"/>
        <w:left w:val="none" w:sz="0" w:space="0" w:color="auto"/>
        <w:bottom w:val="none" w:sz="0" w:space="0" w:color="auto"/>
        <w:right w:val="none" w:sz="0" w:space="0" w:color="auto"/>
      </w:divBdr>
    </w:div>
    <w:div w:id="1022197287">
      <w:bodyDiv w:val="1"/>
      <w:marLeft w:val="0"/>
      <w:marRight w:val="0"/>
      <w:marTop w:val="0"/>
      <w:marBottom w:val="0"/>
      <w:divBdr>
        <w:top w:val="none" w:sz="0" w:space="0" w:color="auto"/>
        <w:left w:val="none" w:sz="0" w:space="0" w:color="auto"/>
        <w:bottom w:val="none" w:sz="0" w:space="0" w:color="auto"/>
        <w:right w:val="none" w:sz="0" w:space="0" w:color="auto"/>
      </w:divBdr>
    </w:div>
    <w:div w:id="1024398930">
      <w:bodyDiv w:val="1"/>
      <w:marLeft w:val="0"/>
      <w:marRight w:val="0"/>
      <w:marTop w:val="0"/>
      <w:marBottom w:val="0"/>
      <w:divBdr>
        <w:top w:val="none" w:sz="0" w:space="0" w:color="auto"/>
        <w:left w:val="none" w:sz="0" w:space="0" w:color="auto"/>
        <w:bottom w:val="none" w:sz="0" w:space="0" w:color="auto"/>
        <w:right w:val="none" w:sz="0" w:space="0" w:color="auto"/>
      </w:divBdr>
    </w:div>
    <w:div w:id="1036740485">
      <w:bodyDiv w:val="1"/>
      <w:marLeft w:val="0"/>
      <w:marRight w:val="0"/>
      <w:marTop w:val="0"/>
      <w:marBottom w:val="0"/>
      <w:divBdr>
        <w:top w:val="none" w:sz="0" w:space="0" w:color="auto"/>
        <w:left w:val="none" w:sz="0" w:space="0" w:color="auto"/>
        <w:bottom w:val="none" w:sz="0" w:space="0" w:color="auto"/>
        <w:right w:val="none" w:sz="0" w:space="0" w:color="auto"/>
      </w:divBdr>
    </w:div>
    <w:div w:id="1052969863">
      <w:bodyDiv w:val="1"/>
      <w:marLeft w:val="0"/>
      <w:marRight w:val="0"/>
      <w:marTop w:val="0"/>
      <w:marBottom w:val="0"/>
      <w:divBdr>
        <w:top w:val="none" w:sz="0" w:space="0" w:color="auto"/>
        <w:left w:val="none" w:sz="0" w:space="0" w:color="auto"/>
        <w:bottom w:val="none" w:sz="0" w:space="0" w:color="auto"/>
        <w:right w:val="none" w:sz="0" w:space="0" w:color="auto"/>
      </w:divBdr>
    </w:div>
    <w:div w:id="1056122976">
      <w:bodyDiv w:val="1"/>
      <w:marLeft w:val="0"/>
      <w:marRight w:val="0"/>
      <w:marTop w:val="0"/>
      <w:marBottom w:val="0"/>
      <w:divBdr>
        <w:top w:val="none" w:sz="0" w:space="0" w:color="auto"/>
        <w:left w:val="none" w:sz="0" w:space="0" w:color="auto"/>
        <w:bottom w:val="none" w:sz="0" w:space="0" w:color="auto"/>
        <w:right w:val="none" w:sz="0" w:space="0" w:color="auto"/>
      </w:divBdr>
    </w:div>
    <w:div w:id="1063796754">
      <w:bodyDiv w:val="1"/>
      <w:marLeft w:val="0"/>
      <w:marRight w:val="0"/>
      <w:marTop w:val="0"/>
      <w:marBottom w:val="0"/>
      <w:divBdr>
        <w:top w:val="none" w:sz="0" w:space="0" w:color="auto"/>
        <w:left w:val="none" w:sz="0" w:space="0" w:color="auto"/>
        <w:bottom w:val="none" w:sz="0" w:space="0" w:color="auto"/>
        <w:right w:val="none" w:sz="0" w:space="0" w:color="auto"/>
      </w:divBdr>
    </w:div>
    <w:div w:id="1066220130">
      <w:bodyDiv w:val="1"/>
      <w:marLeft w:val="0"/>
      <w:marRight w:val="0"/>
      <w:marTop w:val="0"/>
      <w:marBottom w:val="0"/>
      <w:divBdr>
        <w:top w:val="none" w:sz="0" w:space="0" w:color="auto"/>
        <w:left w:val="none" w:sz="0" w:space="0" w:color="auto"/>
        <w:bottom w:val="none" w:sz="0" w:space="0" w:color="auto"/>
        <w:right w:val="none" w:sz="0" w:space="0" w:color="auto"/>
      </w:divBdr>
    </w:div>
    <w:div w:id="1069693538">
      <w:bodyDiv w:val="1"/>
      <w:marLeft w:val="0"/>
      <w:marRight w:val="0"/>
      <w:marTop w:val="0"/>
      <w:marBottom w:val="0"/>
      <w:divBdr>
        <w:top w:val="none" w:sz="0" w:space="0" w:color="auto"/>
        <w:left w:val="none" w:sz="0" w:space="0" w:color="auto"/>
        <w:bottom w:val="none" w:sz="0" w:space="0" w:color="auto"/>
        <w:right w:val="none" w:sz="0" w:space="0" w:color="auto"/>
      </w:divBdr>
    </w:div>
    <w:div w:id="1073576771">
      <w:bodyDiv w:val="1"/>
      <w:marLeft w:val="0"/>
      <w:marRight w:val="0"/>
      <w:marTop w:val="0"/>
      <w:marBottom w:val="0"/>
      <w:divBdr>
        <w:top w:val="none" w:sz="0" w:space="0" w:color="auto"/>
        <w:left w:val="none" w:sz="0" w:space="0" w:color="auto"/>
        <w:bottom w:val="none" w:sz="0" w:space="0" w:color="auto"/>
        <w:right w:val="none" w:sz="0" w:space="0" w:color="auto"/>
      </w:divBdr>
    </w:div>
    <w:div w:id="1073971185">
      <w:bodyDiv w:val="1"/>
      <w:marLeft w:val="0"/>
      <w:marRight w:val="0"/>
      <w:marTop w:val="0"/>
      <w:marBottom w:val="0"/>
      <w:divBdr>
        <w:top w:val="none" w:sz="0" w:space="0" w:color="auto"/>
        <w:left w:val="none" w:sz="0" w:space="0" w:color="auto"/>
        <w:bottom w:val="none" w:sz="0" w:space="0" w:color="auto"/>
        <w:right w:val="none" w:sz="0" w:space="0" w:color="auto"/>
      </w:divBdr>
    </w:div>
    <w:div w:id="1077635428">
      <w:bodyDiv w:val="1"/>
      <w:marLeft w:val="0"/>
      <w:marRight w:val="0"/>
      <w:marTop w:val="0"/>
      <w:marBottom w:val="0"/>
      <w:divBdr>
        <w:top w:val="none" w:sz="0" w:space="0" w:color="auto"/>
        <w:left w:val="none" w:sz="0" w:space="0" w:color="auto"/>
        <w:bottom w:val="none" w:sz="0" w:space="0" w:color="auto"/>
        <w:right w:val="none" w:sz="0" w:space="0" w:color="auto"/>
      </w:divBdr>
    </w:div>
    <w:div w:id="1078407063">
      <w:bodyDiv w:val="1"/>
      <w:marLeft w:val="0"/>
      <w:marRight w:val="0"/>
      <w:marTop w:val="0"/>
      <w:marBottom w:val="0"/>
      <w:divBdr>
        <w:top w:val="none" w:sz="0" w:space="0" w:color="auto"/>
        <w:left w:val="none" w:sz="0" w:space="0" w:color="auto"/>
        <w:bottom w:val="none" w:sz="0" w:space="0" w:color="auto"/>
        <w:right w:val="none" w:sz="0" w:space="0" w:color="auto"/>
      </w:divBdr>
    </w:div>
    <w:div w:id="1080982840">
      <w:bodyDiv w:val="1"/>
      <w:marLeft w:val="0"/>
      <w:marRight w:val="0"/>
      <w:marTop w:val="0"/>
      <w:marBottom w:val="0"/>
      <w:divBdr>
        <w:top w:val="none" w:sz="0" w:space="0" w:color="auto"/>
        <w:left w:val="none" w:sz="0" w:space="0" w:color="auto"/>
        <w:bottom w:val="none" w:sz="0" w:space="0" w:color="auto"/>
        <w:right w:val="none" w:sz="0" w:space="0" w:color="auto"/>
      </w:divBdr>
    </w:div>
    <w:div w:id="1095709371">
      <w:bodyDiv w:val="1"/>
      <w:marLeft w:val="0"/>
      <w:marRight w:val="0"/>
      <w:marTop w:val="0"/>
      <w:marBottom w:val="0"/>
      <w:divBdr>
        <w:top w:val="none" w:sz="0" w:space="0" w:color="auto"/>
        <w:left w:val="none" w:sz="0" w:space="0" w:color="auto"/>
        <w:bottom w:val="none" w:sz="0" w:space="0" w:color="auto"/>
        <w:right w:val="none" w:sz="0" w:space="0" w:color="auto"/>
      </w:divBdr>
    </w:div>
    <w:div w:id="1109350241">
      <w:bodyDiv w:val="1"/>
      <w:marLeft w:val="0"/>
      <w:marRight w:val="0"/>
      <w:marTop w:val="0"/>
      <w:marBottom w:val="0"/>
      <w:divBdr>
        <w:top w:val="none" w:sz="0" w:space="0" w:color="auto"/>
        <w:left w:val="none" w:sz="0" w:space="0" w:color="auto"/>
        <w:bottom w:val="none" w:sz="0" w:space="0" w:color="auto"/>
        <w:right w:val="none" w:sz="0" w:space="0" w:color="auto"/>
      </w:divBdr>
    </w:div>
    <w:div w:id="1113287457">
      <w:bodyDiv w:val="1"/>
      <w:marLeft w:val="0"/>
      <w:marRight w:val="0"/>
      <w:marTop w:val="0"/>
      <w:marBottom w:val="0"/>
      <w:divBdr>
        <w:top w:val="none" w:sz="0" w:space="0" w:color="auto"/>
        <w:left w:val="none" w:sz="0" w:space="0" w:color="auto"/>
        <w:bottom w:val="none" w:sz="0" w:space="0" w:color="auto"/>
        <w:right w:val="none" w:sz="0" w:space="0" w:color="auto"/>
      </w:divBdr>
    </w:div>
    <w:div w:id="1114714095">
      <w:bodyDiv w:val="1"/>
      <w:marLeft w:val="0"/>
      <w:marRight w:val="0"/>
      <w:marTop w:val="0"/>
      <w:marBottom w:val="0"/>
      <w:divBdr>
        <w:top w:val="none" w:sz="0" w:space="0" w:color="auto"/>
        <w:left w:val="none" w:sz="0" w:space="0" w:color="auto"/>
        <w:bottom w:val="none" w:sz="0" w:space="0" w:color="auto"/>
        <w:right w:val="none" w:sz="0" w:space="0" w:color="auto"/>
      </w:divBdr>
    </w:div>
    <w:div w:id="1117797086">
      <w:bodyDiv w:val="1"/>
      <w:marLeft w:val="0"/>
      <w:marRight w:val="0"/>
      <w:marTop w:val="0"/>
      <w:marBottom w:val="0"/>
      <w:divBdr>
        <w:top w:val="none" w:sz="0" w:space="0" w:color="auto"/>
        <w:left w:val="none" w:sz="0" w:space="0" w:color="auto"/>
        <w:bottom w:val="none" w:sz="0" w:space="0" w:color="auto"/>
        <w:right w:val="none" w:sz="0" w:space="0" w:color="auto"/>
      </w:divBdr>
    </w:div>
    <w:div w:id="1120688854">
      <w:bodyDiv w:val="1"/>
      <w:marLeft w:val="0"/>
      <w:marRight w:val="0"/>
      <w:marTop w:val="0"/>
      <w:marBottom w:val="0"/>
      <w:divBdr>
        <w:top w:val="none" w:sz="0" w:space="0" w:color="auto"/>
        <w:left w:val="none" w:sz="0" w:space="0" w:color="auto"/>
        <w:bottom w:val="none" w:sz="0" w:space="0" w:color="auto"/>
        <w:right w:val="none" w:sz="0" w:space="0" w:color="auto"/>
      </w:divBdr>
    </w:div>
    <w:div w:id="1122577542">
      <w:bodyDiv w:val="1"/>
      <w:marLeft w:val="0"/>
      <w:marRight w:val="0"/>
      <w:marTop w:val="0"/>
      <w:marBottom w:val="0"/>
      <w:divBdr>
        <w:top w:val="none" w:sz="0" w:space="0" w:color="auto"/>
        <w:left w:val="none" w:sz="0" w:space="0" w:color="auto"/>
        <w:bottom w:val="none" w:sz="0" w:space="0" w:color="auto"/>
        <w:right w:val="none" w:sz="0" w:space="0" w:color="auto"/>
      </w:divBdr>
    </w:div>
    <w:div w:id="1127355906">
      <w:bodyDiv w:val="1"/>
      <w:marLeft w:val="0"/>
      <w:marRight w:val="0"/>
      <w:marTop w:val="0"/>
      <w:marBottom w:val="0"/>
      <w:divBdr>
        <w:top w:val="none" w:sz="0" w:space="0" w:color="auto"/>
        <w:left w:val="none" w:sz="0" w:space="0" w:color="auto"/>
        <w:bottom w:val="none" w:sz="0" w:space="0" w:color="auto"/>
        <w:right w:val="none" w:sz="0" w:space="0" w:color="auto"/>
      </w:divBdr>
    </w:div>
    <w:div w:id="1136801464">
      <w:bodyDiv w:val="1"/>
      <w:marLeft w:val="0"/>
      <w:marRight w:val="0"/>
      <w:marTop w:val="0"/>
      <w:marBottom w:val="0"/>
      <w:divBdr>
        <w:top w:val="none" w:sz="0" w:space="0" w:color="auto"/>
        <w:left w:val="none" w:sz="0" w:space="0" w:color="auto"/>
        <w:bottom w:val="none" w:sz="0" w:space="0" w:color="auto"/>
        <w:right w:val="none" w:sz="0" w:space="0" w:color="auto"/>
      </w:divBdr>
    </w:div>
    <w:div w:id="1138301225">
      <w:bodyDiv w:val="1"/>
      <w:marLeft w:val="0"/>
      <w:marRight w:val="0"/>
      <w:marTop w:val="0"/>
      <w:marBottom w:val="0"/>
      <w:divBdr>
        <w:top w:val="none" w:sz="0" w:space="0" w:color="auto"/>
        <w:left w:val="none" w:sz="0" w:space="0" w:color="auto"/>
        <w:bottom w:val="none" w:sz="0" w:space="0" w:color="auto"/>
        <w:right w:val="none" w:sz="0" w:space="0" w:color="auto"/>
      </w:divBdr>
    </w:div>
    <w:div w:id="1151559693">
      <w:bodyDiv w:val="1"/>
      <w:marLeft w:val="0"/>
      <w:marRight w:val="0"/>
      <w:marTop w:val="0"/>
      <w:marBottom w:val="0"/>
      <w:divBdr>
        <w:top w:val="none" w:sz="0" w:space="0" w:color="auto"/>
        <w:left w:val="none" w:sz="0" w:space="0" w:color="auto"/>
        <w:bottom w:val="none" w:sz="0" w:space="0" w:color="auto"/>
        <w:right w:val="none" w:sz="0" w:space="0" w:color="auto"/>
      </w:divBdr>
    </w:div>
    <w:div w:id="1163738217">
      <w:bodyDiv w:val="1"/>
      <w:marLeft w:val="0"/>
      <w:marRight w:val="0"/>
      <w:marTop w:val="0"/>
      <w:marBottom w:val="0"/>
      <w:divBdr>
        <w:top w:val="none" w:sz="0" w:space="0" w:color="auto"/>
        <w:left w:val="none" w:sz="0" w:space="0" w:color="auto"/>
        <w:bottom w:val="none" w:sz="0" w:space="0" w:color="auto"/>
        <w:right w:val="none" w:sz="0" w:space="0" w:color="auto"/>
      </w:divBdr>
    </w:div>
    <w:div w:id="1163857210">
      <w:bodyDiv w:val="1"/>
      <w:marLeft w:val="0"/>
      <w:marRight w:val="0"/>
      <w:marTop w:val="0"/>
      <w:marBottom w:val="0"/>
      <w:divBdr>
        <w:top w:val="none" w:sz="0" w:space="0" w:color="auto"/>
        <w:left w:val="none" w:sz="0" w:space="0" w:color="auto"/>
        <w:bottom w:val="none" w:sz="0" w:space="0" w:color="auto"/>
        <w:right w:val="none" w:sz="0" w:space="0" w:color="auto"/>
      </w:divBdr>
    </w:div>
    <w:div w:id="1164004013">
      <w:bodyDiv w:val="1"/>
      <w:marLeft w:val="0"/>
      <w:marRight w:val="0"/>
      <w:marTop w:val="0"/>
      <w:marBottom w:val="0"/>
      <w:divBdr>
        <w:top w:val="none" w:sz="0" w:space="0" w:color="auto"/>
        <w:left w:val="none" w:sz="0" w:space="0" w:color="auto"/>
        <w:bottom w:val="none" w:sz="0" w:space="0" w:color="auto"/>
        <w:right w:val="none" w:sz="0" w:space="0" w:color="auto"/>
      </w:divBdr>
    </w:div>
    <w:div w:id="1182746474">
      <w:bodyDiv w:val="1"/>
      <w:marLeft w:val="0"/>
      <w:marRight w:val="0"/>
      <w:marTop w:val="0"/>
      <w:marBottom w:val="0"/>
      <w:divBdr>
        <w:top w:val="none" w:sz="0" w:space="0" w:color="auto"/>
        <w:left w:val="none" w:sz="0" w:space="0" w:color="auto"/>
        <w:bottom w:val="none" w:sz="0" w:space="0" w:color="auto"/>
        <w:right w:val="none" w:sz="0" w:space="0" w:color="auto"/>
      </w:divBdr>
    </w:div>
    <w:div w:id="1200705796">
      <w:bodyDiv w:val="1"/>
      <w:marLeft w:val="0"/>
      <w:marRight w:val="0"/>
      <w:marTop w:val="0"/>
      <w:marBottom w:val="0"/>
      <w:divBdr>
        <w:top w:val="none" w:sz="0" w:space="0" w:color="auto"/>
        <w:left w:val="none" w:sz="0" w:space="0" w:color="auto"/>
        <w:bottom w:val="none" w:sz="0" w:space="0" w:color="auto"/>
        <w:right w:val="none" w:sz="0" w:space="0" w:color="auto"/>
      </w:divBdr>
    </w:div>
    <w:div w:id="1200819294">
      <w:bodyDiv w:val="1"/>
      <w:marLeft w:val="0"/>
      <w:marRight w:val="0"/>
      <w:marTop w:val="0"/>
      <w:marBottom w:val="0"/>
      <w:divBdr>
        <w:top w:val="none" w:sz="0" w:space="0" w:color="auto"/>
        <w:left w:val="none" w:sz="0" w:space="0" w:color="auto"/>
        <w:bottom w:val="none" w:sz="0" w:space="0" w:color="auto"/>
        <w:right w:val="none" w:sz="0" w:space="0" w:color="auto"/>
      </w:divBdr>
    </w:div>
    <w:div w:id="1218661054">
      <w:bodyDiv w:val="1"/>
      <w:marLeft w:val="0"/>
      <w:marRight w:val="0"/>
      <w:marTop w:val="0"/>
      <w:marBottom w:val="0"/>
      <w:divBdr>
        <w:top w:val="none" w:sz="0" w:space="0" w:color="auto"/>
        <w:left w:val="none" w:sz="0" w:space="0" w:color="auto"/>
        <w:bottom w:val="none" w:sz="0" w:space="0" w:color="auto"/>
        <w:right w:val="none" w:sz="0" w:space="0" w:color="auto"/>
      </w:divBdr>
    </w:div>
    <w:div w:id="1242640137">
      <w:bodyDiv w:val="1"/>
      <w:marLeft w:val="0"/>
      <w:marRight w:val="0"/>
      <w:marTop w:val="0"/>
      <w:marBottom w:val="0"/>
      <w:divBdr>
        <w:top w:val="none" w:sz="0" w:space="0" w:color="auto"/>
        <w:left w:val="none" w:sz="0" w:space="0" w:color="auto"/>
        <w:bottom w:val="none" w:sz="0" w:space="0" w:color="auto"/>
        <w:right w:val="none" w:sz="0" w:space="0" w:color="auto"/>
      </w:divBdr>
    </w:div>
    <w:div w:id="1245845968">
      <w:bodyDiv w:val="1"/>
      <w:marLeft w:val="0"/>
      <w:marRight w:val="0"/>
      <w:marTop w:val="0"/>
      <w:marBottom w:val="0"/>
      <w:divBdr>
        <w:top w:val="none" w:sz="0" w:space="0" w:color="auto"/>
        <w:left w:val="none" w:sz="0" w:space="0" w:color="auto"/>
        <w:bottom w:val="none" w:sz="0" w:space="0" w:color="auto"/>
        <w:right w:val="none" w:sz="0" w:space="0" w:color="auto"/>
      </w:divBdr>
    </w:div>
    <w:div w:id="1260528623">
      <w:bodyDiv w:val="1"/>
      <w:marLeft w:val="0"/>
      <w:marRight w:val="0"/>
      <w:marTop w:val="0"/>
      <w:marBottom w:val="0"/>
      <w:divBdr>
        <w:top w:val="none" w:sz="0" w:space="0" w:color="auto"/>
        <w:left w:val="none" w:sz="0" w:space="0" w:color="auto"/>
        <w:bottom w:val="none" w:sz="0" w:space="0" w:color="auto"/>
        <w:right w:val="none" w:sz="0" w:space="0" w:color="auto"/>
      </w:divBdr>
    </w:div>
    <w:div w:id="1270892707">
      <w:bodyDiv w:val="1"/>
      <w:marLeft w:val="0"/>
      <w:marRight w:val="0"/>
      <w:marTop w:val="0"/>
      <w:marBottom w:val="0"/>
      <w:divBdr>
        <w:top w:val="none" w:sz="0" w:space="0" w:color="auto"/>
        <w:left w:val="none" w:sz="0" w:space="0" w:color="auto"/>
        <w:bottom w:val="none" w:sz="0" w:space="0" w:color="auto"/>
        <w:right w:val="none" w:sz="0" w:space="0" w:color="auto"/>
      </w:divBdr>
    </w:div>
    <w:div w:id="1283533987">
      <w:bodyDiv w:val="1"/>
      <w:marLeft w:val="0"/>
      <w:marRight w:val="0"/>
      <w:marTop w:val="0"/>
      <w:marBottom w:val="0"/>
      <w:divBdr>
        <w:top w:val="none" w:sz="0" w:space="0" w:color="auto"/>
        <w:left w:val="none" w:sz="0" w:space="0" w:color="auto"/>
        <w:bottom w:val="none" w:sz="0" w:space="0" w:color="auto"/>
        <w:right w:val="none" w:sz="0" w:space="0" w:color="auto"/>
      </w:divBdr>
    </w:div>
    <w:div w:id="1292592511">
      <w:bodyDiv w:val="1"/>
      <w:marLeft w:val="0"/>
      <w:marRight w:val="0"/>
      <w:marTop w:val="0"/>
      <w:marBottom w:val="0"/>
      <w:divBdr>
        <w:top w:val="none" w:sz="0" w:space="0" w:color="auto"/>
        <w:left w:val="none" w:sz="0" w:space="0" w:color="auto"/>
        <w:bottom w:val="none" w:sz="0" w:space="0" w:color="auto"/>
        <w:right w:val="none" w:sz="0" w:space="0" w:color="auto"/>
      </w:divBdr>
    </w:div>
    <w:div w:id="1298604509">
      <w:bodyDiv w:val="1"/>
      <w:marLeft w:val="0"/>
      <w:marRight w:val="0"/>
      <w:marTop w:val="0"/>
      <w:marBottom w:val="0"/>
      <w:divBdr>
        <w:top w:val="none" w:sz="0" w:space="0" w:color="auto"/>
        <w:left w:val="none" w:sz="0" w:space="0" w:color="auto"/>
        <w:bottom w:val="none" w:sz="0" w:space="0" w:color="auto"/>
        <w:right w:val="none" w:sz="0" w:space="0" w:color="auto"/>
      </w:divBdr>
    </w:div>
    <w:div w:id="1312632152">
      <w:bodyDiv w:val="1"/>
      <w:marLeft w:val="0"/>
      <w:marRight w:val="0"/>
      <w:marTop w:val="0"/>
      <w:marBottom w:val="0"/>
      <w:divBdr>
        <w:top w:val="none" w:sz="0" w:space="0" w:color="auto"/>
        <w:left w:val="none" w:sz="0" w:space="0" w:color="auto"/>
        <w:bottom w:val="none" w:sz="0" w:space="0" w:color="auto"/>
        <w:right w:val="none" w:sz="0" w:space="0" w:color="auto"/>
      </w:divBdr>
    </w:div>
    <w:div w:id="1358847923">
      <w:bodyDiv w:val="1"/>
      <w:marLeft w:val="0"/>
      <w:marRight w:val="0"/>
      <w:marTop w:val="0"/>
      <w:marBottom w:val="0"/>
      <w:divBdr>
        <w:top w:val="none" w:sz="0" w:space="0" w:color="auto"/>
        <w:left w:val="none" w:sz="0" w:space="0" w:color="auto"/>
        <w:bottom w:val="none" w:sz="0" w:space="0" w:color="auto"/>
        <w:right w:val="none" w:sz="0" w:space="0" w:color="auto"/>
      </w:divBdr>
    </w:div>
    <w:div w:id="1368986094">
      <w:bodyDiv w:val="1"/>
      <w:marLeft w:val="0"/>
      <w:marRight w:val="0"/>
      <w:marTop w:val="0"/>
      <w:marBottom w:val="0"/>
      <w:divBdr>
        <w:top w:val="none" w:sz="0" w:space="0" w:color="auto"/>
        <w:left w:val="none" w:sz="0" w:space="0" w:color="auto"/>
        <w:bottom w:val="none" w:sz="0" w:space="0" w:color="auto"/>
        <w:right w:val="none" w:sz="0" w:space="0" w:color="auto"/>
      </w:divBdr>
    </w:div>
    <w:div w:id="1381780108">
      <w:bodyDiv w:val="1"/>
      <w:marLeft w:val="0"/>
      <w:marRight w:val="0"/>
      <w:marTop w:val="0"/>
      <w:marBottom w:val="0"/>
      <w:divBdr>
        <w:top w:val="none" w:sz="0" w:space="0" w:color="auto"/>
        <w:left w:val="none" w:sz="0" w:space="0" w:color="auto"/>
        <w:bottom w:val="none" w:sz="0" w:space="0" w:color="auto"/>
        <w:right w:val="none" w:sz="0" w:space="0" w:color="auto"/>
      </w:divBdr>
    </w:div>
    <w:div w:id="1384252894">
      <w:bodyDiv w:val="1"/>
      <w:marLeft w:val="0"/>
      <w:marRight w:val="0"/>
      <w:marTop w:val="0"/>
      <w:marBottom w:val="0"/>
      <w:divBdr>
        <w:top w:val="none" w:sz="0" w:space="0" w:color="auto"/>
        <w:left w:val="none" w:sz="0" w:space="0" w:color="auto"/>
        <w:bottom w:val="none" w:sz="0" w:space="0" w:color="auto"/>
        <w:right w:val="none" w:sz="0" w:space="0" w:color="auto"/>
      </w:divBdr>
    </w:div>
    <w:div w:id="1396048377">
      <w:bodyDiv w:val="1"/>
      <w:marLeft w:val="0"/>
      <w:marRight w:val="0"/>
      <w:marTop w:val="0"/>
      <w:marBottom w:val="0"/>
      <w:divBdr>
        <w:top w:val="none" w:sz="0" w:space="0" w:color="auto"/>
        <w:left w:val="none" w:sz="0" w:space="0" w:color="auto"/>
        <w:bottom w:val="none" w:sz="0" w:space="0" w:color="auto"/>
        <w:right w:val="none" w:sz="0" w:space="0" w:color="auto"/>
      </w:divBdr>
    </w:div>
    <w:div w:id="1412002326">
      <w:bodyDiv w:val="1"/>
      <w:marLeft w:val="0"/>
      <w:marRight w:val="0"/>
      <w:marTop w:val="0"/>
      <w:marBottom w:val="0"/>
      <w:divBdr>
        <w:top w:val="none" w:sz="0" w:space="0" w:color="auto"/>
        <w:left w:val="none" w:sz="0" w:space="0" w:color="auto"/>
        <w:bottom w:val="none" w:sz="0" w:space="0" w:color="auto"/>
        <w:right w:val="none" w:sz="0" w:space="0" w:color="auto"/>
      </w:divBdr>
    </w:div>
    <w:div w:id="1417943572">
      <w:bodyDiv w:val="1"/>
      <w:marLeft w:val="0"/>
      <w:marRight w:val="0"/>
      <w:marTop w:val="0"/>
      <w:marBottom w:val="0"/>
      <w:divBdr>
        <w:top w:val="none" w:sz="0" w:space="0" w:color="auto"/>
        <w:left w:val="none" w:sz="0" w:space="0" w:color="auto"/>
        <w:bottom w:val="none" w:sz="0" w:space="0" w:color="auto"/>
        <w:right w:val="none" w:sz="0" w:space="0" w:color="auto"/>
      </w:divBdr>
    </w:div>
    <w:div w:id="1421951488">
      <w:bodyDiv w:val="1"/>
      <w:marLeft w:val="0"/>
      <w:marRight w:val="0"/>
      <w:marTop w:val="0"/>
      <w:marBottom w:val="0"/>
      <w:divBdr>
        <w:top w:val="none" w:sz="0" w:space="0" w:color="auto"/>
        <w:left w:val="none" w:sz="0" w:space="0" w:color="auto"/>
        <w:bottom w:val="none" w:sz="0" w:space="0" w:color="auto"/>
        <w:right w:val="none" w:sz="0" w:space="0" w:color="auto"/>
      </w:divBdr>
    </w:div>
    <w:div w:id="1422026560">
      <w:bodyDiv w:val="1"/>
      <w:marLeft w:val="0"/>
      <w:marRight w:val="0"/>
      <w:marTop w:val="0"/>
      <w:marBottom w:val="0"/>
      <w:divBdr>
        <w:top w:val="none" w:sz="0" w:space="0" w:color="auto"/>
        <w:left w:val="none" w:sz="0" w:space="0" w:color="auto"/>
        <w:bottom w:val="none" w:sz="0" w:space="0" w:color="auto"/>
        <w:right w:val="none" w:sz="0" w:space="0" w:color="auto"/>
      </w:divBdr>
    </w:div>
    <w:div w:id="1424571734">
      <w:bodyDiv w:val="1"/>
      <w:marLeft w:val="0"/>
      <w:marRight w:val="0"/>
      <w:marTop w:val="0"/>
      <w:marBottom w:val="0"/>
      <w:divBdr>
        <w:top w:val="none" w:sz="0" w:space="0" w:color="auto"/>
        <w:left w:val="none" w:sz="0" w:space="0" w:color="auto"/>
        <w:bottom w:val="none" w:sz="0" w:space="0" w:color="auto"/>
        <w:right w:val="none" w:sz="0" w:space="0" w:color="auto"/>
      </w:divBdr>
    </w:div>
    <w:div w:id="1437364964">
      <w:bodyDiv w:val="1"/>
      <w:marLeft w:val="0"/>
      <w:marRight w:val="0"/>
      <w:marTop w:val="0"/>
      <w:marBottom w:val="0"/>
      <w:divBdr>
        <w:top w:val="none" w:sz="0" w:space="0" w:color="auto"/>
        <w:left w:val="none" w:sz="0" w:space="0" w:color="auto"/>
        <w:bottom w:val="none" w:sz="0" w:space="0" w:color="auto"/>
        <w:right w:val="none" w:sz="0" w:space="0" w:color="auto"/>
      </w:divBdr>
    </w:div>
    <w:div w:id="1441409292">
      <w:bodyDiv w:val="1"/>
      <w:marLeft w:val="0"/>
      <w:marRight w:val="0"/>
      <w:marTop w:val="0"/>
      <w:marBottom w:val="0"/>
      <w:divBdr>
        <w:top w:val="none" w:sz="0" w:space="0" w:color="auto"/>
        <w:left w:val="none" w:sz="0" w:space="0" w:color="auto"/>
        <w:bottom w:val="none" w:sz="0" w:space="0" w:color="auto"/>
        <w:right w:val="none" w:sz="0" w:space="0" w:color="auto"/>
      </w:divBdr>
    </w:div>
    <w:div w:id="1447893510">
      <w:bodyDiv w:val="1"/>
      <w:marLeft w:val="0"/>
      <w:marRight w:val="0"/>
      <w:marTop w:val="0"/>
      <w:marBottom w:val="0"/>
      <w:divBdr>
        <w:top w:val="none" w:sz="0" w:space="0" w:color="auto"/>
        <w:left w:val="none" w:sz="0" w:space="0" w:color="auto"/>
        <w:bottom w:val="none" w:sz="0" w:space="0" w:color="auto"/>
        <w:right w:val="none" w:sz="0" w:space="0" w:color="auto"/>
      </w:divBdr>
    </w:div>
    <w:div w:id="1473911256">
      <w:bodyDiv w:val="1"/>
      <w:marLeft w:val="0"/>
      <w:marRight w:val="0"/>
      <w:marTop w:val="0"/>
      <w:marBottom w:val="0"/>
      <w:divBdr>
        <w:top w:val="none" w:sz="0" w:space="0" w:color="auto"/>
        <w:left w:val="none" w:sz="0" w:space="0" w:color="auto"/>
        <w:bottom w:val="none" w:sz="0" w:space="0" w:color="auto"/>
        <w:right w:val="none" w:sz="0" w:space="0" w:color="auto"/>
      </w:divBdr>
    </w:div>
    <w:div w:id="1480538992">
      <w:bodyDiv w:val="1"/>
      <w:marLeft w:val="0"/>
      <w:marRight w:val="0"/>
      <w:marTop w:val="0"/>
      <w:marBottom w:val="0"/>
      <w:divBdr>
        <w:top w:val="none" w:sz="0" w:space="0" w:color="auto"/>
        <w:left w:val="none" w:sz="0" w:space="0" w:color="auto"/>
        <w:bottom w:val="none" w:sz="0" w:space="0" w:color="auto"/>
        <w:right w:val="none" w:sz="0" w:space="0" w:color="auto"/>
      </w:divBdr>
    </w:div>
    <w:div w:id="1480882726">
      <w:bodyDiv w:val="1"/>
      <w:marLeft w:val="0"/>
      <w:marRight w:val="0"/>
      <w:marTop w:val="0"/>
      <w:marBottom w:val="0"/>
      <w:divBdr>
        <w:top w:val="none" w:sz="0" w:space="0" w:color="auto"/>
        <w:left w:val="none" w:sz="0" w:space="0" w:color="auto"/>
        <w:bottom w:val="none" w:sz="0" w:space="0" w:color="auto"/>
        <w:right w:val="none" w:sz="0" w:space="0" w:color="auto"/>
      </w:divBdr>
    </w:div>
    <w:div w:id="1484081069">
      <w:bodyDiv w:val="1"/>
      <w:marLeft w:val="0"/>
      <w:marRight w:val="0"/>
      <w:marTop w:val="0"/>
      <w:marBottom w:val="0"/>
      <w:divBdr>
        <w:top w:val="none" w:sz="0" w:space="0" w:color="auto"/>
        <w:left w:val="none" w:sz="0" w:space="0" w:color="auto"/>
        <w:bottom w:val="none" w:sz="0" w:space="0" w:color="auto"/>
        <w:right w:val="none" w:sz="0" w:space="0" w:color="auto"/>
      </w:divBdr>
    </w:div>
    <w:div w:id="1485465144">
      <w:bodyDiv w:val="1"/>
      <w:marLeft w:val="0"/>
      <w:marRight w:val="0"/>
      <w:marTop w:val="0"/>
      <w:marBottom w:val="0"/>
      <w:divBdr>
        <w:top w:val="none" w:sz="0" w:space="0" w:color="auto"/>
        <w:left w:val="none" w:sz="0" w:space="0" w:color="auto"/>
        <w:bottom w:val="none" w:sz="0" w:space="0" w:color="auto"/>
        <w:right w:val="none" w:sz="0" w:space="0" w:color="auto"/>
      </w:divBdr>
    </w:div>
    <w:div w:id="1498184322">
      <w:bodyDiv w:val="1"/>
      <w:marLeft w:val="0"/>
      <w:marRight w:val="0"/>
      <w:marTop w:val="0"/>
      <w:marBottom w:val="0"/>
      <w:divBdr>
        <w:top w:val="none" w:sz="0" w:space="0" w:color="auto"/>
        <w:left w:val="none" w:sz="0" w:space="0" w:color="auto"/>
        <w:bottom w:val="none" w:sz="0" w:space="0" w:color="auto"/>
        <w:right w:val="none" w:sz="0" w:space="0" w:color="auto"/>
      </w:divBdr>
    </w:div>
    <w:div w:id="1503623395">
      <w:bodyDiv w:val="1"/>
      <w:marLeft w:val="0"/>
      <w:marRight w:val="0"/>
      <w:marTop w:val="0"/>
      <w:marBottom w:val="0"/>
      <w:divBdr>
        <w:top w:val="none" w:sz="0" w:space="0" w:color="auto"/>
        <w:left w:val="none" w:sz="0" w:space="0" w:color="auto"/>
        <w:bottom w:val="none" w:sz="0" w:space="0" w:color="auto"/>
        <w:right w:val="none" w:sz="0" w:space="0" w:color="auto"/>
      </w:divBdr>
    </w:div>
    <w:div w:id="1514765335">
      <w:bodyDiv w:val="1"/>
      <w:marLeft w:val="0"/>
      <w:marRight w:val="0"/>
      <w:marTop w:val="0"/>
      <w:marBottom w:val="0"/>
      <w:divBdr>
        <w:top w:val="none" w:sz="0" w:space="0" w:color="auto"/>
        <w:left w:val="none" w:sz="0" w:space="0" w:color="auto"/>
        <w:bottom w:val="none" w:sz="0" w:space="0" w:color="auto"/>
        <w:right w:val="none" w:sz="0" w:space="0" w:color="auto"/>
      </w:divBdr>
    </w:div>
    <w:div w:id="1515148719">
      <w:bodyDiv w:val="1"/>
      <w:marLeft w:val="0"/>
      <w:marRight w:val="0"/>
      <w:marTop w:val="0"/>
      <w:marBottom w:val="0"/>
      <w:divBdr>
        <w:top w:val="none" w:sz="0" w:space="0" w:color="auto"/>
        <w:left w:val="none" w:sz="0" w:space="0" w:color="auto"/>
        <w:bottom w:val="none" w:sz="0" w:space="0" w:color="auto"/>
        <w:right w:val="none" w:sz="0" w:space="0" w:color="auto"/>
      </w:divBdr>
    </w:div>
    <w:div w:id="1521238123">
      <w:bodyDiv w:val="1"/>
      <w:marLeft w:val="0"/>
      <w:marRight w:val="0"/>
      <w:marTop w:val="0"/>
      <w:marBottom w:val="0"/>
      <w:divBdr>
        <w:top w:val="none" w:sz="0" w:space="0" w:color="auto"/>
        <w:left w:val="none" w:sz="0" w:space="0" w:color="auto"/>
        <w:bottom w:val="none" w:sz="0" w:space="0" w:color="auto"/>
        <w:right w:val="none" w:sz="0" w:space="0" w:color="auto"/>
      </w:divBdr>
    </w:div>
    <w:div w:id="1525749545">
      <w:bodyDiv w:val="1"/>
      <w:marLeft w:val="0"/>
      <w:marRight w:val="0"/>
      <w:marTop w:val="0"/>
      <w:marBottom w:val="0"/>
      <w:divBdr>
        <w:top w:val="none" w:sz="0" w:space="0" w:color="auto"/>
        <w:left w:val="none" w:sz="0" w:space="0" w:color="auto"/>
        <w:bottom w:val="none" w:sz="0" w:space="0" w:color="auto"/>
        <w:right w:val="none" w:sz="0" w:space="0" w:color="auto"/>
      </w:divBdr>
    </w:div>
    <w:div w:id="1526359176">
      <w:bodyDiv w:val="1"/>
      <w:marLeft w:val="0"/>
      <w:marRight w:val="0"/>
      <w:marTop w:val="0"/>
      <w:marBottom w:val="0"/>
      <w:divBdr>
        <w:top w:val="none" w:sz="0" w:space="0" w:color="auto"/>
        <w:left w:val="none" w:sz="0" w:space="0" w:color="auto"/>
        <w:bottom w:val="none" w:sz="0" w:space="0" w:color="auto"/>
        <w:right w:val="none" w:sz="0" w:space="0" w:color="auto"/>
      </w:divBdr>
    </w:div>
    <w:div w:id="1530069486">
      <w:bodyDiv w:val="1"/>
      <w:marLeft w:val="0"/>
      <w:marRight w:val="0"/>
      <w:marTop w:val="0"/>
      <w:marBottom w:val="0"/>
      <w:divBdr>
        <w:top w:val="none" w:sz="0" w:space="0" w:color="auto"/>
        <w:left w:val="none" w:sz="0" w:space="0" w:color="auto"/>
        <w:bottom w:val="none" w:sz="0" w:space="0" w:color="auto"/>
        <w:right w:val="none" w:sz="0" w:space="0" w:color="auto"/>
      </w:divBdr>
    </w:div>
    <w:div w:id="1549299243">
      <w:bodyDiv w:val="1"/>
      <w:marLeft w:val="0"/>
      <w:marRight w:val="0"/>
      <w:marTop w:val="0"/>
      <w:marBottom w:val="0"/>
      <w:divBdr>
        <w:top w:val="none" w:sz="0" w:space="0" w:color="auto"/>
        <w:left w:val="none" w:sz="0" w:space="0" w:color="auto"/>
        <w:bottom w:val="none" w:sz="0" w:space="0" w:color="auto"/>
        <w:right w:val="none" w:sz="0" w:space="0" w:color="auto"/>
      </w:divBdr>
    </w:div>
    <w:div w:id="1576084165">
      <w:bodyDiv w:val="1"/>
      <w:marLeft w:val="0"/>
      <w:marRight w:val="0"/>
      <w:marTop w:val="0"/>
      <w:marBottom w:val="0"/>
      <w:divBdr>
        <w:top w:val="none" w:sz="0" w:space="0" w:color="auto"/>
        <w:left w:val="none" w:sz="0" w:space="0" w:color="auto"/>
        <w:bottom w:val="none" w:sz="0" w:space="0" w:color="auto"/>
        <w:right w:val="none" w:sz="0" w:space="0" w:color="auto"/>
      </w:divBdr>
    </w:div>
    <w:div w:id="1595748686">
      <w:bodyDiv w:val="1"/>
      <w:marLeft w:val="0"/>
      <w:marRight w:val="0"/>
      <w:marTop w:val="0"/>
      <w:marBottom w:val="0"/>
      <w:divBdr>
        <w:top w:val="none" w:sz="0" w:space="0" w:color="auto"/>
        <w:left w:val="none" w:sz="0" w:space="0" w:color="auto"/>
        <w:bottom w:val="none" w:sz="0" w:space="0" w:color="auto"/>
        <w:right w:val="none" w:sz="0" w:space="0" w:color="auto"/>
      </w:divBdr>
    </w:div>
    <w:div w:id="1610120550">
      <w:bodyDiv w:val="1"/>
      <w:marLeft w:val="0"/>
      <w:marRight w:val="0"/>
      <w:marTop w:val="0"/>
      <w:marBottom w:val="0"/>
      <w:divBdr>
        <w:top w:val="none" w:sz="0" w:space="0" w:color="auto"/>
        <w:left w:val="none" w:sz="0" w:space="0" w:color="auto"/>
        <w:bottom w:val="none" w:sz="0" w:space="0" w:color="auto"/>
        <w:right w:val="none" w:sz="0" w:space="0" w:color="auto"/>
      </w:divBdr>
    </w:div>
    <w:div w:id="1631008636">
      <w:bodyDiv w:val="1"/>
      <w:marLeft w:val="0"/>
      <w:marRight w:val="0"/>
      <w:marTop w:val="0"/>
      <w:marBottom w:val="0"/>
      <w:divBdr>
        <w:top w:val="none" w:sz="0" w:space="0" w:color="auto"/>
        <w:left w:val="none" w:sz="0" w:space="0" w:color="auto"/>
        <w:bottom w:val="none" w:sz="0" w:space="0" w:color="auto"/>
        <w:right w:val="none" w:sz="0" w:space="0" w:color="auto"/>
      </w:divBdr>
    </w:div>
    <w:div w:id="1641837548">
      <w:bodyDiv w:val="1"/>
      <w:marLeft w:val="0"/>
      <w:marRight w:val="0"/>
      <w:marTop w:val="0"/>
      <w:marBottom w:val="0"/>
      <w:divBdr>
        <w:top w:val="none" w:sz="0" w:space="0" w:color="auto"/>
        <w:left w:val="none" w:sz="0" w:space="0" w:color="auto"/>
        <w:bottom w:val="none" w:sz="0" w:space="0" w:color="auto"/>
        <w:right w:val="none" w:sz="0" w:space="0" w:color="auto"/>
      </w:divBdr>
    </w:div>
    <w:div w:id="1642075835">
      <w:bodyDiv w:val="1"/>
      <w:marLeft w:val="0"/>
      <w:marRight w:val="0"/>
      <w:marTop w:val="0"/>
      <w:marBottom w:val="0"/>
      <w:divBdr>
        <w:top w:val="none" w:sz="0" w:space="0" w:color="auto"/>
        <w:left w:val="none" w:sz="0" w:space="0" w:color="auto"/>
        <w:bottom w:val="none" w:sz="0" w:space="0" w:color="auto"/>
        <w:right w:val="none" w:sz="0" w:space="0" w:color="auto"/>
      </w:divBdr>
    </w:div>
    <w:div w:id="1664972352">
      <w:bodyDiv w:val="1"/>
      <w:marLeft w:val="0"/>
      <w:marRight w:val="0"/>
      <w:marTop w:val="0"/>
      <w:marBottom w:val="0"/>
      <w:divBdr>
        <w:top w:val="none" w:sz="0" w:space="0" w:color="auto"/>
        <w:left w:val="none" w:sz="0" w:space="0" w:color="auto"/>
        <w:bottom w:val="none" w:sz="0" w:space="0" w:color="auto"/>
        <w:right w:val="none" w:sz="0" w:space="0" w:color="auto"/>
      </w:divBdr>
    </w:div>
    <w:div w:id="1667780623">
      <w:bodyDiv w:val="1"/>
      <w:marLeft w:val="0"/>
      <w:marRight w:val="0"/>
      <w:marTop w:val="0"/>
      <w:marBottom w:val="0"/>
      <w:divBdr>
        <w:top w:val="none" w:sz="0" w:space="0" w:color="auto"/>
        <w:left w:val="none" w:sz="0" w:space="0" w:color="auto"/>
        <w:bottom w:val="none" w:sz="0" w:space="0" w:color="auto"/>
        <w:right w:val="none" w:sz="0" w:space="0" w:color="auto"/>
      </w:divBdr>
    </w:div>
    <w:div w:id="1667826954">
      <w:bodyDiv w:val="1"/>
      <w:marLeft w:val="0"/>
      <w:marRight w:val="0"/>
      <w:marTop w:val="0"/>
      <w:marBottom w:val="0"/>
      <w:divBdr>
        <w:top w:val="none" w:sz="0" w:space="0" w:color="auto"/>
        <w:left w:val="none" w:sz="0" w:space="0" w:color="auto"/>
        <w:bottom w:val="none" w:sz="0" w:space="0" w:color="auto"/>
        <w:right w:val="none" w:sz="0" w:space="0" w:color="auto"/>
      </w:divBdr>
    </w:div>
    <w:div w:id="1681853101">
      <w:bodyDiv w:val="1"/>
      <w:marLeft w:val="0"/>
      <w:marRight w:val="0"/>
      <w:marTop w:val="0"/>
      <w:marBottom w:val="0"/>
      <w:divBdr>
        <w:top w:val="none" w:sz="0" w:space="0" w:color="auto"/>
        <w:left w:val="none" w:sz="0" w:space="0" w:color="auto"/>
        <w:bottom w:val="none" w:sz="0" w:space="0" w:color="auto"/>
        <w:right w:val="none" w:sz="0" w:space="0" w:color="auto"/>
      </w:divBdr>
    </w:div>
    <w:div w:id="1693142330">
      <w:bodyDiv w:val="1"/>
      <w:marLeft w:val="0"/>
      <w:marRight w:val="0"/>
      <w:marTop w:val="0"/>
      <w:marBottom w:val="0"/>
      <w:divBdr>
        <w:top w:val="none" w:sz="0" w:space="0" w:color="auto"/>
        <w:left w:val="none" w:sz="0" w:space="0" w:color="auto"/>
        <w:bottom w:val="none" w:sz="0" w:space="0" w:color="auto"/>
        <w:right w:val="none" w:sz="0" w:space="0" w:color="auto"/>
      </w:divBdr>
    </w:div>
    <w:div w:id="1701854382">
      <w:bodyDiv w:val="1"/>
      <w:marLeft w:val="0"/>
      <w:marRight w:val="0"/>
      <w:marTop w:val="0"/>
      <w:marBottom w:val="0"/>
      <w:divBdr>
        <w:top w:val="none" w:sz="0" w:space="0" w:color="auto"/>
        <w:left w:val="none" w:sz="0" w:space="0" w:color="auto"/>
        <w:bottom w:val="none" w:sz="0" w:space="0" w:color="auto"/>
        <w:right w:val="none" w:sz="0" w:space="0" w:color="auto"/>
      </w:divBdr>
    </w:div>
    <w:div w:id="1713454779">
      <w:bodyDiv w:val="1"/>
      <w:marLeft w:val="0"/>
      <w:marRight w:val="0"/>
      <w:marTop w:val="0"/>
      <w:marBottom w:val="0"/>
      <w:divBdr>
        <w:top w:val="none" w:sz="0" w:space="0" w:color="auto"/>
        <w:left w:val="none" w:sz="0" w:space="0" w:color="auto"/>
        <w:bottom w:val="none" w:sz="0" w:space="0" w:color="auto"/>
        <w:right w:val="none" w:sz="0" w:space="0" w:color="auto"/>
      </w:divBdr>
    </w:div>
    <w:div w:id="1715152831">
      <w:bodyDiv w:val="1"/>
      <w:marLeft w:val="0"/>
      <w:marRight w:val="0"/>
      <w:marTop w:val="0"/>
      <w:marBottom w:val="0"/>
      <w:divBdr>
        <w:top w:val="none" w:sz="0" w:space="0" w:color="auto"/>
        <w:left w:val="none" w:sz="0" w:space="0" w:color="auto"/>
        <w:bottom w:val="none" w:sz="0" w:space="0" w:color="auto"/>
        <w:right w:val="none" w:sz="0" w:space="0" w:color="auto"/>
      </w:divBdr>
    </w:div>
    <w:div w:id="1724407203">
      <w:bodyDiv w:val="1"/>
      <w:marLeft w:val="0"/>
      <w:marRight w:val="0"/>
      <w:marTop w:val="0"/>
      <w:marBottom w:val="0"/>
      <w:divBdr>
        <w:top w:val="none" w:sz="0" w:space="0" w:color="auto"/>
        <w:left w:val="none" w:sz="0" w:space="0" w:color="auto"/>
        <w:bottom w:val="none" w:sz="0" w:space="0" w:color="auto"/>
        <w:right w:val="none" w:sz="0" w:space="0" w:color="auto"/>
      </w:divBdr>
    </w:div>
    <w:div w:id="1727021199">
      <w:bodyDiv w:val="1"/>
      <w:marLeft w:val="0"/>
      <w:marRight w:val="0"/>
      <w:marTop w:val="0"/>
      <w:marBottom w:val="0"/>
      <w:divBdr>
        <w:top w:val="none" w:sz="0" w:space="0" w:color="auto"/>
        <w:left w:val="none" w:sz="0" w:space="0" w:color="auto"/>
        <w:bottom w:val="none" w:sz="0" w:space="0" w:color="auto"/>
        <w:right w:val="none" w:sz="0" w:space="0" w:color="auto"/>
      </w:divBdr>
    </w:div>
    <w:div w:id="1732000303">
      <w:bodyDiv w:val="1"/>
      <w:marLeft w:val="0"/>
      <w:marRight w:val="0"/>
      <w:marTop w:val="0"/>
      <w:marBottom w:val="0"/>
      <w:divBdr>
        <w:top w:val="none" w:sz="0" w:space="0" w:color="auto"/>
        <w:left w:val="none" w:sz="0" w:space="0" w:color="auto"/>
        <w:bottom w:val="none" w:sz="0" w:space="0" w:color="auto"/>
        <w:right w:val="none" w:sz="0" w:space="0" w:color="auto"/>
      </w:divBdr>
    </w:div>
    <w:div w:id="1736778697">
      <w:bodyDiv w:val="1"/>
      <w:marLeft w:val="0"/>
      <w:marRight w:val="0"/>
      <w:marTop w:val="0"/>
      <w:marBottom w:val="0"/>
      <w:divBdr>
        <w:top w:val="none" w:sz="0" w:space="0" w:color="auto"/>
        <w:left w:val="none" w:sz="0" w:space="0" w:color="auto"/>
        <w:bottom w:val="none" w:sz="0" w:space="0" w:color="auto"/>
        <w:right w:val="none" w:sz="0" w:space="0" w:color="auto"/>
      </w:divBdr>
    </w:div>
    <w:div w:id="1737438537">
      <w:bodyDiv w:val="1"/>
      <w:marLeft w:val="0"/>
      <w:marRight w:val="0"/>
      <w:marTop w:val="0"/>
      <w:marBottom w:val="0"/>
      <w:divBdr>
        <w:top w:val="none" w:sz="0" w:space="0" w:color="auto"/>
        <w:left w:val="none" w:sz="0" w:space="0" w:color="auto"/>
        <w:bottom w:val="none" w:sz="0" w:space="0" w:color="auto"/>
        <w:right w:val="none" w:sz="0" w:space="0" w:color="auto"/>
      </w:divBdr>
    </w:div>
    <w:div w:id="1742942075">
      <w:bodyDiv w:val="1"/>
      <w:marLeft w:val="0"/>
      <w:marRight w:val="0"/>
      <w:marTop w:val="0"/>
      <w:marBottom w:val="0"/>
      <w:divBdr>
        <w:top w:val="none" w:sz="0" w:space="0" w:color="auto"/>
        <w:left w:val="none" w:sz="0" w:space="0" w:color="auto"/>
        <w:bottom w:val="none" w:sz="0" w:space="0" w:color="auto"/>
        <w:right w:val="none" w:sz="0" w:space="0" w:color="auto"/>
      </w:divBdr>
    </w:div>
    <w:div w:id="1743915379">
      <w:bodyDiv w:val="1"/>
      <w:marLeft w:val="0"/>
      <w:marRight w:val="0"/>
      <w:marTop w:val="0"/>
      <w:marBottom w:val="0"/>
      <w:divBdr>
        <w:top w:val="none" w:sz="0" w:space="0" w:color="auto"/>
        <w:left w:val="none" w:sz="0" w:space="0" w:color="auto"/>
        <w:bottom w:val="none" w:sz="0" w:space="0" w:color="auto"/>
        <w:right w:val="none" w:sz="0" w:space="0" w:color="auto"/>
      </w:divBdr>
    </w:div>
    <w:div w:id="1753507022">
      <w:bodyDiv w:val="1"/>
      <w:marLeft w:val="0"/>
      <w:marRight w:val="0"/>
      <w:marTop w:val="0"/>
      <w:marBottom w:val="0"/>
      <w:divBdr>
        <w:top w:val="none" w:sz="0" w:space="0" w:color="auto"/>
        <w:left w:val="none" w:sz="0" w:space="0" w:color="auto"/>
        <w:bottom w:val="none" w:sz="0" w:space="0" w:color="auto"/>
        <w:right w:val="none" w:sz="0" w:space="0" w:color="auto"/>
      </w:divBdr>
    </w:div>
    <w:div w:id="1763986945">
      <w:bodyDiv w:val="1"/>
      <w:marLeft w:val="0"/>
      <w:marRight w:val="0"/>
      <w:marTop w:val="0"/>
      <w:marBottom w:val="0"/>
      <w:divBdr>
        <w:top w:val="none" w:sz="0" w:space="0" w:color="auto"/>
        <w:left w:val="none" w:sz="0" w:space="0" w:color="auto"/>
        <w:bottom w:val="none" w:sz="0" w:space="0" w:color="auto"/>
        <w:right w:val="none" w:sz="0" w:space="0" w:color="auto"/>
      </w:divBdr>
    </w:div>
    <w:div w:id="1767339071">
      <w:bodyDiv w:val="1"/>
      <w:marLeft w:val="0"/>
      <w:marRight w:val="0"/>
      <w:marTop w:val="0"/>
      <w:marBottom w:val="0"/>
      <w:divBdr>
        <w:top w:val="none" w:sz="0" w:space="0" w:color="auto"/>
        <w:left w:val="none" w:sz="0" w:space="0" w:color="auto"/>
        <w:bottom w:val="none" w:sz="0" w:space="0" w:color="auto"/>
        <w:right w:val="none" w:sz="0" w:space="0" w:color="auto"/>
      </w:divBdr>
    </w:div>
    <w:div w:id="1767992541">
      <w:bodyDiv w:val="1"/>
      <w:marLeft w:val="0"/>
      <w:marRight w:val="0"/>
      <w:marTop w:val="0"/>
      <w:marBottom w:val="0"/>
      <w:divBdr>
        <w:top w:val="none" w:sz="0" w:space="0" w:color="auto"/>
        <w:left w:val="none" w:sz="0" w:space="0" w:color="auto"/>
        <w:bottom w:val="none" w:sz="0" w:space="0" w:color="auto"/>
        <w:right w:val="none" w:sz="0" w:space="0" w:color="auto"/>
      </w:divBdr>
    </w:div>
    <w:div w:id="1769039153">
      <w:bodyDiv w:val="1"/>
      <w:marLeft w:val="0"/>
      <w:marRight w:val="0"/>
      <w:marTop w:val="0"/>
      <w:marBottom w:val="0"/>
      <w:divBdr>
        <w:top w:val="none" w:sz="0" w:space="0" w:color="auto"/>
        <w:left w:val="none" w:sz="0" w:space="0" w:color="auto"/>
        <w:bottom w:val="none" w:sz="0" w:space="0" w:color="auto"/>
        <w:right w:val="none" w:sz="0" w:space="0" w:color="auto"/>
      </w:divBdr>
    </w:div>
    <w:div w:id="1774548517">
      <w:bodyDiv w:val="1"/>
      <w:marLeft w:val="0"/>
      <w:marRight w:val="0"/>
      <w:marTop w:val="0"/>
      <w:marBottom w:val="0"/>
      <w:divBdr>
        <w:top w:val="none" w:sz="0" w:space="0" w:color="auto"/>
        <w:left w:val="none" w:sz="0" w:space="0" w:color="auto"/>
        <w:bottom w:val="none" w:sz="0" w:space="0" w:color="auto"/>
        <w:right w:val="none" w:sz="0" w:space="0" w:color="auto"/>
      </w:divBdr>
    </w:div>
    <w:div w:id="1776829144">
      <w:bodyDiv w:val="1"/>
      <w:marLeft w:val="0"/>
      <w:marRight w:val="0"/>
      <w:marTop w:val="0"/>
      <w:marBottom w:val="0"/>
      <w:divBdr>
        <w:top w:val="none" w:sz="0" w:space="0" w:color="auto"/>
        <w:left w:val="none" w:sz="0" w:space="0" w:color="auto"/>
        <w:bottom w:val="none" w:sz="0" w:space="0" w:color="auto"/>
        <w:right w:val="none" w:sz="0" w:space="0" w:color="auto"/>
      </w:divBdr>
    </w:div>
    <w:div w:id="1782610322">
      <w:bodyDiv w:val="1"/>
      <w:marLeft w:val="0"/>
      <w:marRight w:val="0"/>
      <w:marTop w:val="0"/>
      <w:marBottom w:val="0"/>
      <w:divBdr>
        <w:top w:val="none" w:sz="0" w:space="0" w:color="auto"/>
        <w:left w:val="none" w:sz="0" w:space="0" w:color="auto"/>
        <w:bottom w:val="none" w:sz="0" w:space="0" w:color="auto"/>
        <w:right w:val="none" w:sz="0" w:space="0" w:color="auto"/>
      </w:divBdr>
    </w:div>
    <w:div w:id="1782996013">
      <w:bodyDiv w:val="1"/>
      <w:marLeft w:val="0"/>
      <w:marRight w:val="0"/>
      <w:marTop w:val="0"/>
      <w:marBottom w:val="0"/>
      <w:divBdr>
        <w:top w:val="none" w:sz="0" w:space="0" w:color="auto"/>
        <w:left w:val="none" w:sz="0" w:space="0" w:color="auto"/>
        <w:bottom w:val="none" w:sz="0" w:space="0" w:color="auto"/>
        <w:right w:val="none" w:sz="0" w:space="0" w:color="auto"/>
      </w:divBdr>
    </w:div>
    <w:div w:id="1789346802">
      <w:bodyDiv w:val="1"/>
      <w:marLeft w:val="0"/>
      <w:marRight w:val="0"/>
      <w:marTop w:val="0"/>
      <w:marBottom w:val="0"/>
      <w:divBdr>
        <w:top w:val="none" w:sz="0" w:space="0" w:color="auto"/>
        <w:left w:val="none" w:sz="0" w:space="0" w:color="auto"/>
        <w:bottom w:val="none" w:sz="0" w:space="0" w:color="auto"/>
        <w:right w:val="none" w:sz="0" w:space="0" w:color="auto"/>
      </w:divBdr>
    </w:div>
    <w:div w:id="1791506582">
      <w:bodyDiv w:val="1"/>
      <w:marLeft w:val="0"/>
      <w:marRight w:val="0"/>
      <w:marTop w:val="0"/>
      <w:marBottom w:val="0"/>
      <w:divBdr>
        <w:top w:val="none" w:sz="0" w:space="0" w:color="auto"/>
        <w:left w:val="none" w:sz="0" w:space="0" w:color="auto"/>
        <w:bottom w:val="none" w:sz="0" w:space="0" w:color="auto"/>
        <w:right w:val="none" w:sz="0" w:space="0" w:color="auto"/>
      </w:divBdr>
    </w:div>
    <w:div w:id="1795715018">
      <w:bodyDiv w:val="1"/>
      <w:marLeft w:val="0"/>
      <w:marRight w:val="0"/>
      <w:marTop w:val="0"/>
      <w:marBottom w:val="0"/>
      <w:divBdr>
        <w:top w:val="none" w:sz="0" w:space="0" w:color="auto"/>
        <w:left w:val="none" w:sz="0" w:space="0" w:color="auto"/>
        <w:bottom w:val="none" w:sz="0" w:space="0" w:color="auto"/>
        <w:right w:val="none" w:sz="0" w:space="0" w:color="auto"/>
      </w:divBdr>
    </w:div>
    <w:div w:id="1803308459">
      <w:bodyDiv w:val="1"/>
      <w:marLeft w:val="0"/>
      <w:marRight w:val="0"/>
      <w:marTop w:val="0"/>
      <w:marBottom w:val="0"/>
      <w:divBdr>
        <w:top w:val="none" w:sz="0" w:space="0" w:color="auto"/>
        <w:left w:val="none" w:sz="0" w:space="0" w:color="auto"/>
        <w:bottom w:val="none" w:sz="0" w:space="0" w:color="auto"/>
        <w:right w:val="none" w:sz="0" w:space="0" w:color="auto"/>
      </w:divBdr>
    </w:div>
    <w:div w:id="1803881508">
      <w:bodyDiv w:val="1"/>
      <w:marLeft w:val="0"/>
      <w:marRight w:val="0"/>
      <w:marTop w:val="0"/>
      <w:marBottom w:val="0"/>
      <w:divBdr>
        <w:top w:val="none" w:sz="0" w:space="0" w:color="auto"/>
        <w:left w:val="none" w:sz="0" w:space="0" w:color="auto"/>
        <w:bottom w:val="none" w:sz="0" w:space="0" w:color="auto"/>
        <w:right w:val="none" w:sz="0" w:space="0" w:color="auto"/>
      </w:divBdr>
    </w:div>
    <w:div w:id="1808467869">
      <w:bodyDiv w:val="1"/>
      <w:marLeft w:val="0"/>
      <w:marRight w:val="0"/>
      <w:marTop w:val="0"/>
      <w:marBottom w:val="0"/>
      <w:divBdr>
        <w:top w:val="none" w:sz="0" w:space="0" w:color="auto"/>
        <w:left w:val="none" w:sz="0" w:space="0" w:color="auto"/>
        <w:bottom w:val="none" w:sz="0" w:space="0" w:color="auto"/>
        <w:right w:val="none" w:sz="0" w:space="0" w:color="auto"/>
      </w:divBdr>
    </w:div>
    <w:div w:id="1813407559">
      <w:bodyDiv w:val="1"/>
      <w:marLeft w:val="0"/>
      <w:marRight w:val="0"/>
      <w:marTop w:val="0"/>
      <w:marBottom w:val="0"/>
      <w:divBdr>
        <w:top w:val="none" w:sz="0" w:space="0" w:color="auto"/>
        <w:left w:val="none" w:sz="0" w:space="0" w:color="auto"/>
        <w:bottom w:val="none" w:sz="0" w:space="0" w:color="auto"/>
        <w:right w:val="none" w:sz="0" w:space="0" w:color="auto"/>
      </w:divBdr>
    </w:div>
    <w:div w:id="1814760910">
      <w:bodyDiv w:val="1"/>
      <w:marLeft w:val="0"/>
      <w:marRight w:val="0"/>
      <w:marTop w:val="0"/>
      <w:marBottom w:val="0"/>
      <w:divBdr>
        <w:top w:val="none" w:sz="0" w:space="0" w:color="auto"/>
        <w:left w:val="none" w:sz="0" w:space="0" w:color="auto"/>
        <w:bottom w:val="none" w:sz="0" w:space="0" w:color="auto"/>
        <w:right w:val="none" w:sz="0" w:space="0" w:color="auto"/>
      </w:divBdr>
    </w:div>
    <w:div w:id="1816339669">
      <w:bodyDiv w:val="1"/>
      <w:marLeft w:val="0"/>
      <w:marRight w:val="0"/>
      <w:marTop w:val="0"/>
      <w:marBottom w:val="0"/>
      <w:divBdr>
        <w:top w:val="none" w:sz="0" w:space="0" w:color="auto"/>
        <w:left w:val="none" w:sz="0" w:space="0" w:color="auto"/>
        <w:bottom w:val="none" w:sz="0" w:space="0" w:color="auto"/>
        <w:right w:val="none" w:sz="0" w:space="0" w:color="auto"/>
      </w:divBdr>
    </w:div>
    <w:div w:id="1822381644">
      <w:bodyDiv w:val="1"/>
      <w:marLeft w:val="0"/>
      <w:marRight w:val="0"/>
      <w:marTop w:val="0"/>
      <w:marBottom w:val="0"/>
      <w:divBdr>
        <w:top w:val="none" w:sz="0" w:space="0" w:color="auto"/>
        <w:left w:val="none" w:sz="0" w:space="0" w:color="auto"/>
        <w:bottom w:val="none" w:sz="0" w:space="0" w:color="auto"/>
        <w:right w:val="none" w:sz="0" w:space="0" w:color="auto"/>
      </w:divBdr>
    </w:div>
    <w:div w:id="1833448828">
      <w:bodyDiv w:val="1"/>
      <w:marLeft w:val="0"/>
      <w:marRight w:val="0"/>
      <w:marTop w:val="0"/>
      <w:marBottom w:val="0"/>
      <w:divBdr>
        <w:top w:val="none" w:sz="0" w:space="0" w:color="auto"/>
        <w:left w:val="none" w:sz="0" w:space="0" w:color="auto"/>
        <w:bottom w:val="none" w:sz="0" w:space="0" w:color="auto"/>
        <w:right w:val="none" w:sz="0" w:space="0" w:color="auto"/>
      </w:divBdr>
    </w:div>
    <w:div w:id="1833719008">
      <w:bodyDiv w:val="1"/>
      <w:marLeft w:val="0"/>
      <w:marRight w:val="0"/>
      <w:marTop w:val="0"/>
      <w:marBottom w:val="0"/>
      <w:divBdr>
        <w:top w:val="none" w:sz="0" w:space="0" w:color="auto"/>
        <w:left w:val="none" w:sz="0" w:space="0" w:color="auto"/>
        <w:bottom w:val="none" w:sz="0" w:space="0" w:color="auto"/>
        <w:right w:val="none" w:sz="0" w:space="0" w:color="auto"/>
      </w:divBdr>
    </w:div>
    <w:div w:id="1843617877">
      <w:bodyDiv w:val="1"/>
      <w:marLeft w:val="0"/>
      <w:marRight w:val="0"/>
      <w:marTop w:val="0"/>
      <w:marBottom w:val="0"/>
      <w:divBdr>
        <w:top w:val="none" w:sz="0" w:space="0" w:color="auto"/>
        <w:left w:val="none" w:sz="0" w:space="0" w:color="auto"/>
        <w:bottom w:val="none" w:sz="0" w:space="0" w:color="auto"/>
        <w:right w:val="none" w:sz="0" w:space="0" w:color="auto"/>
      </w:divBdr>
    </w:div>
    <w:div w:id="1848014145">
      <w:bodyDiv w:val="1"/>
      <w:marLeft w:val="0"/>
      <w:marRight w:val="0"/>
      <w:marTop w:val="0"/>
      <w:marBottom w:val="0"/>
      <w:divBdr>
        <w:top w:val="none" w:sz="0" w:space="0" w:color="auto"/>
        <w:left w:val="none" w:sz="0" w:space="0" w:color="auto"/>
        <w:bottom w:val="none" w:sz="0" w:space="0" w:color="auto"/>
        <w:right w:val="none" w:sz="0" w:space="0" w:color="auto"/>
      </w:divBdr>
    </w:div>
    <w:div w:id="1852989557">
      <w:bodyDiv w:val="1"/>
      <w:marLeft w:val="0"/>
      <w:marRight w:val="0"/>
      <w:marTop w:val="0"/>
      <w:marBottom w:val="0"/>
      <w:divBdr>
        <w:top w:val="none" w:sz="0" w:space="0" w:color="auto"/>
        <w:left w:val="none" w:sz="0" w:space="0" w:color="auto"/>
        <w:bottom w:val="none" w:sz="0" w:space="0" w:color="auto"/>
        <w:right w:val="none" w:sz="0" w:space="0" w:color="auto"/>
      </w:divBdr>
    </w:div>
    <w:div w:id="1872262317">
      <w:bodyDiv w:val="1"/>
      <w:marLeft w:val="0"/>
      <w:marRight w:val="0"/>
      <w:marTop w:val="0"/>
      <w:marBottom w:val="0"/>
      <w:divBdr>
        <w:top w:val="none" w:sz="0" w:space="0" w:color="auto"/>
        <w:left w:val="none" w:sz="0" w:space="0" w:color="auto"/>
        <w:bottom w:val="none" w:sz="0" w:space="0" w:color="auto"/>
        <w:right w:val="none" w:sz="0" w:space="0" w:color="auto"/>
      </w:divBdr>
    </w:div>
    <w:div w:id="1878153942">
      <w:bodyDiv w:val="1"/>
      <w:marLeft w:val="0"/>
      <w:marRight w:val="0"/>
      <w:marTop w:val="0"/>
      <w:marBottom w:val="0"/>
      <w:divBdr>
        <w:top w:val="none" w:sz="0" w:space="0" w:color="auto"/>
        <w:left w:val="none" w:sz="0" w:space="0" w:color="auto"/>
        <w:bottom w:val="none" w:sz="0" w:space="0" w:color="auto"/>
        <w:right w:val="none" w:sz="0" w:space="0" w:color="auto"/>
      </w:divBdr>
    </w:div>
    <w:div w:id="1879663732">
      <w:bodyDiv w:val="1"/>
      <w:marLeft w:val="0"/>
      <w:marRight w:val="0"/>
      <w:marTop w:val="0"/>
      <w:marBottom w:val="0"/>
      <w:divBdr>
        <w:top w:val="none" w:sz="0" w:space="0" w:color="auto"/>
        <w:left w:val="none" w:sz="0" w:space="0" w:color="auto"/>
        <w:bottom w:val="none" w:sz="0" w:space="0" w:color="auto"/>
        <w:right w:val="none" w:sz="0" w:space="0" w:color="auto"/>
      </w:divBdr>
    </w:div>
    <w:div w:id="1882471178">
      <w:bodyDiv w:val="1"/>
      <w:marLeft w:val="0"/>
      <w:marRight w:val="0"/>
      <w:marTop w:val="0"/>
      <w:marBottom w:val="0"/>
      <w:divBdr>
        <w:top w:val="none" w:sz="0" w:space="0" w:color="auto"/>
        <w:left w:val="none" w:sz="0" w:space="0" w:color="auto"/>
        <w:bottom w:val="none" w:sz="0" w:space="0" w:color="auto"/>
        <w:right w:val="none" w:sz="0" w:space="0" w:color="auto"/>
      </w:divBdr>
    </w:div>
    <w:div w:id="1900676635">
      <w:bodyDiv w:val="1"/>
      <w:marLeft w:val="0"/>
      <w:marRight w:val="0"/>
      <w:marTop w:val="0"/>
      <w:marBottom w:val="0"/>
      <w:divBdr>
        <w:top w:val="none" w:sz="0" w:space="0" w:color="auto"/>
        <w:left w:val="none" w:sz="0" w:space="0" w:color="auto"/>
        <w:bottom w:val="none" w:sz="0" w:space="0" w:color="auto"/>
        <w:right w:val="none" w:sz="0" w:space="0" w:color="auto"/>
      </w:divBdr>
    </w:div>
    <w:div w:id="1903640920">
      <w:bodyDiv w:val="1"/>
      <w:marLeft w:val="0"/>
      <w:marRight w:val="0"/>
      <w:marTop w:val="0"/>
      <w:marBottom w:val="0"/>
      <w:divBdr>
        <w:top w:val="none" w:sz="0" w:space="0" w:color="auto"/>
        <w:left w:val="none" w:sz="0" w:space="0" w:color="auto"/>
        <w:bottom w:val="none" w:sz="0" w:space="0" w:color="auto"/>
        <w:right w:val="none" w:sz="0" w:space="0" w:color="auto"/>
      </w:divBdr>
    </w:div>
    <w:div w:id="1904876920">
      <w:bodyDiv w:val="1"/>
      <w:marLeft w:val="0"/>
      <w:marRight w:val="0"/>
      <w:marTop w:val="0"/>
      <w:marBottom w:val="0"/>
      <w:divBdr>
        <w:top w:val="none" w:sz="0" w:space="0" w:color="auto"/>
        <w:left w:val="none" w:sz="0" w:space="0" w:color="auto"/>
        <w:bottom w:val="none" w:sz="0" w:space="0" w:color="auto"/>
        <w:right w:val="none" w:sz="0" w:space="0" w:color="auto"/>
      </w:divBdr>
    </w:div>
    <w:div w:id="1922131159">
      <w:bodyDiv w:val="1"/>
      <w:marLeft w:val="0"/>
      <w:marRight w:val="0"/>
      <w:marTop w:val="0"/>
      <w:marBottom w:val="0"/>
      <w:divBdr>
        <w:top w:val="none" w:sz="0" w:space="0" w:color="auto"/>
        <w:left w:val="none" w:sz="0" w:space="0" w:color="auto"/>
        <w:bottom w:val="none" w:sz="0" w:space="0" w:color="auto"/>
        <w:right w:val="none" w:sz="0" w:space="0" w:color="auto"/>
      </w:divBdr>
    </w:div>
    <w:div w:id="1924142249">
      <w:bodyDiv w:val="1"/>
      <w:marLeft w:val="0"/>
      <w:marRight w:val="0"/>
      <w:marTop w:val="0"/>
      <w:marBottom w:val="0"/>
      <w:divBdr>
        <w:top w:val="none" w:sz="0" w:space="0" w:color="auto"/>
        <w:left w:val="none" w:sz="0" w:space="0" w:color="auto"/>
        <w:bottom w:val="none" w:sz="0" w:space="0" w:color="auto"/>
        <w:right w:val="none" w:sz="0" w:space="0" w:color="auto"/>
      </w:divBdr>
    </w:div>
    <w:div w:id="1929266892">
      <w:bodyDiv w:val="1"/>
      <w:marLeft w:val="0"/>
      <w:marRight w:val="0"/>
      <w:marTop w:val="0"/>
      <w:marBottom w:val="0"/>
      <w:divBdr>
        <w:top w:val="none" w:sz="0" w:space="0" w:color="auto"/>
        <w:left w:val="none" w:sz="0" w:space="0" w:color="auto"/>
        <w:bottom w:val="none" w:sz="0" w:space="0" w:color="auto"/>
        <w:right w:val="none" w:sz="0" w:space="0" w:color="auto"/>
      </w:divBdr>
    </w:div>
    <w:div w:id="1942835639">
      <w:bodyDiv w:val="1"/>
      <w:marLeft w:val="0"/>
      <w:marRight w:val="0"/>
      <w:marTop w:val="0"/>
      <w:marBottom w:val="0"/>
      <w:divBdr>
        <w:top w:val="none" w:sz="0" w:space="0" w:color="auto"/>
        <w:left w:val="none" w:sz="0" w:space="0" w:color="auto"/>
        <w:bottom w:val="none" w:sz="0" w:space="0" w:color="auto"/>
        <w:right w:val="none" w:sz="0" w:space="0" w:color="auto"/>
      </w:divBdr>
    </w:div>
    <w:div w:id="1948346497">
      <w:bodyDiv w:val="1"/>
      <w:marLeft w:val="0"/>
      <w:marRight w:val="0"/>
      <w:marTop w:val="0"/>
      <w:marBottom w:val="0"/>
      <w:divBdr>
        <w:top w:val="none" w:sz="0" w:space="0" w:color="auto"/>
        <w:left w:val="none" w:sz="0" w:space="0" w:color="auto"/>
        <w:bottom w:val="none" w:sz="0" w:space="0" w:color="auto"/>
        <w:right w:val="none" w:sz="0" w:space="0" w:color="auto"/>
      </w:divBdr>
    </w:div>
    <w:div w:id="1949703315">
      <w:bodyDiv w:val="1"/>
      <w:marLeft w:val="0"/>
      <w:marRight w:val="0"/>
      <w:marTop w:val="0"/>
      <w:marBottom w:val="0"/>
      <w:divBdr>
        <w:top w:val="none" w:sz="0" w:space="0" w:color="auto"/>
        <w:left w:val="none" w:sz="0" w:space="0" w:color="auto"/>
        <w:bottom w:val="none" w:sz="0" w:space="0" w:color="auto"/>
        <w:right w:val="none" w:sz="0" w:space="0" w:color="auto"/>
      </w:divBdr>
    </w:div>
    <w:div w:id="1958027704">
      <w:bodyDiv w:val="1"/>
      <w:marLeft w:val="0"/>
      <w:marRight w:val="0"/>
      <w:marTop w:val="0"/>
      <w:marBottom w:val="0"/>
      <w:divBdr>
        <w:top w:val="none" w:sz="0" w:space="0" w:color="auto"/>
        <w:left w:val="none" w:sz="0" w:space="0" w:color="auto"/>
        <w:bottom w:val="none" w:sz="0" w:space="0" w:color="auto"/>
        <w:right w:val="none" w:sz="0" w:space="0" w:color="auto"/>
      </w:divBdr>
    </w:div>
    <w:div w:id="1960641105">
      <w:bodyDiv w:val="1"/>
      <w:marLeft w:val="0"/>
      <w:marRight w:val="0"/>
      <w:marTop w:val="0"/>
      <w:marBottom w:val="0"/>
      <w:divBdr>
        <w:top w:val="none" w:sz="0" w:space="0" w:color="auto"/>
        <w:left w:val="none" w:sz="0" w:space="0" w:color="auto"/>
        <w:bottom w:val="none" w:sz="0" w:space="0" w:color="auto"/>
        <w:right w:val="none" w:sz="0" w:space="0" w:color="auto"/>
      </w:divBdr>
    </w:div>
    <w:div w:id="1976980743">
      <w:bodyDiv w:val="1"/>
      <w:marLeft w:val="0"/>
      <w:marRight w:val="0"/>
      <w:marTop w:val="0"/>
      <w:marBottom w:val="0"/>
      <w:divBdr>
        <w:top w:val="none" w:sz="0" w:space="0" w:color="auto"/>
        <w:left w:val="none" w:sz="0" w:space="0" w:color="auto"/>
        <w:bottom w:val="none" w:sz="0" w:space="0" w:color="auto"/>
        <w:right w:val="none" w:sz="0" w:space="0" w:color="auto"/>
      </w:divBdr>
    </w:div>
    <w:div w:id="1981182107">
      <w:bodyDiv w:val="1"/>
      <w:marLeft w:val="0"/>
      <w:marRight w:val="0"/>
      <w:marTop w:val="0"/>
      <w:marBottom w:val="0"/>
      <w:divBdr>
        <w:top w:val="none" w:sz="0" w:space="0" w:color="auto"/>
        <w:left w:val="none" w:sz="0" w:space="0" w:color="auto"/>
        <w:bottom w:val="none" w:sz="0" w:space="0" w:color="auto"/>
        <w:right w:val="none" w:sz="0" w:space="0" w:color="auto"/>
      </w:divBdr>
    </w:div>
    <w:div w:id="1985429951">
      <w:bodyDiv w:val="1"/>
      <w:marLeft w:val="0"/>
      <w:marRight w:val="0"/>
      <w:marTop w:val="0"/>
      <w:marBottom w:val="0"/>
      <w:divBdr>
        <w:top w:val="none" w:sz="0" w:space="0" w:color="auto"/>
        <w:left w:val="none" w:sz="0" w:space="0" w:color="auto"/>
        <w:bottom w:val="none" w:sz="0" w:space="0" w:color="auto"/>
        <w:right w:val="none" w:sz="0" w:space="0" w:color="auto"/>
      </w:divBdr>
    </w:div>
    <w:div w:id="1986661337">
      <w:bodyDiv w:val="1"/>
      <w:marLeft w:val="0"/>
      <w:marRight w:val="0"/>
      <w:marTop w:val="0"/>
      <w:marBottom w:val="0"/>
      <w:divBdr>
        <w:top w:val="none" w:sz="0" w:space="0" w:color="auto"/>
        <w:left w:val="none" w:sz="0" w:space="0" w:color="auto"/>
        <w:bottom w:val="none" w:sz="0" w:space="0" w:color="auto"/>
        <w:right w:val="none" w:sz="0" w:space="0" w:color="auto"/>
      </w:divBdr>
    </w:div>
    <w:div w:id="2010477240">
      <w:bodyDiv w:val="1"/>
      <w:marLeft w:val="0"/>
      <w:marRight w:val="0"/>
      <w:marTop w:val="0"/>
      <w:marBottom w:val="0"/>
      <w:divBdr>
        <w:top w:val="none" w:sz="0" w:space="0" w:color="auto"/>
        <w:left w:val="none" w:sz="0" w:space="0" w:color="auto"/>
        <w:bottom w:val="none" w:sz="0" w:space="0" w:color="auto"/>
        <w:right w:val="none" w:sz="0" w:space="0" w:color="auto"/>
      </w:divBdr>
    </w:div>
    <w:div w:id="2013415377">
      <w:bodyDiv w:val="1"/>
      <w:marLeft w:val="0"/>
      <w:marRight w:val="0"/>
      <w:marTop w:val="0"/>
      <w:marBottom w:val="0"/>
      <w:divBdr>
        <w:top w:val="none" w:sz="0" w:space="0" w:color="auto"/>
        <w:left w:val="none" w:sz="0" w:space="0" w:color="auto"/>
        <w:bottom w:val="none" w:sz="0" w:space="0" w:color="auto"/>
        <w:right w:val="none" w:sz="0" w:space="0" w:color="auto"/>
      </w:divBdr>
    </w:div>
    <w:div w:id="2014213096">
      <w:bodyDiv w:val="1"/>
      <w:marLeft w:val="0"/>
      <w:marRight w:val="0"/>
      <w:marTop w:val="0"/>
      <w:marBottom w:val="0"/>
      <w:divBdr>
        <w:top w:val="none" w:sz="0" w:space="0" w:color="auto"/>
        <w:left w:val="none" w:sz="0" w:space="0" w:color="auto"/>
        <w:bottom w:val="none" w:sz="0" w:space="0" w:color="auto"/>
        <w:right w:val="none" w:sz="0" w:space="0" w:color="auto"/>
      </w:divBdr>
    </w:div>
    <w:div w:id="2028485768">
      <w:bodyDiv w:val="1"/>
      <w:marLeft w:val="0"/>
      <w:marRight w:val="0"/>
      <w:marTop w:val="0"/>
      <w:marBottom w:val="0"/>
      <w:divBdr>
        <w:top w:val="none" w:sz="0" w:space="0" w:color="auto"/>
        <w:left w:val="none" w:sz="0" w:space="0" w:color="auto"/>
        <w:bottom w:val="none" w:sz="0" w:space="0" w:color="auto"/>
        <w:right w:val="none" w:sz="0" w:space="0" w:color="auto"/>
      </w:divBdr>
    </w:div>
    <w:div w:id="2029868063">
      <w:bodyDiv w:val="1"/>
      <w:marLeft w:val="0"/>
      <w:marRight w:val="0"/>
      <w:marTop w:val="0"/>
      <w:marBottom w:val="0"/>
      <w:divBdr>
        <w:top w:val="none" w:sz="0" w:space="0" w:color="auto"/>
        <w:left w:val="none" w:sz="0" w:space="0" w:color="auto"/>
        <w:bottom w:val="none" w:sz="0" w:space="0" w:color="auto"/>
        <w:right w:val="none" w:sz="0" w:space="0" w:color="auto"/>
      </w:divBdr>
    </w:div>
    <w:div w:id="2034459183">
      <w:bodyDiv w:val="1"/>
      <w:marLeft w:val="0"/>
      <w:marRight w:val="0"/>
      <w:marTop w:val="0"/>
      <w:marBottom w:val="0"/>
      <w:divBdr>
        <w:top w:val="none" w:sz="0" w:space="0" w:color="auto"/>
        <w:left w:val="none" w:sz="0" w:space="0" w:color="auto"/>
        <w:bottom w:val="none" w:sz="0" w:space="0" w:color="auto"/>
        <w:right w:val="none" w:sz="0" w:space="0" w:color="auto"/>
      </w:divBdr>
    </w:div>
    <w:div w:id="2038306514">
      <w:bodyDiv w:val="1"/>
      <w:marLeft w:val="0"/>
      <w:marRight w:val="0"/>
      <w:marTop w:val="0"/>
      <w:marBottom w:val="0"/>
      <w:divBdr>
        <w:top w:val="none" w:sz="0" w:space="0" w:color="auto"/>
        <w:left w:val="none" w:sz="0" w:space="0" w:color="auto"/>
        <w:bottom w:val="none" w:sz="0" w:space="0" w:color="auto"/>
        <w:right w:val="none" w:sz="0" w:space="0" w:color="auto"/>
      </w:divBdr>
    </w:div>
    <w:div w:id="2039506258">
      <w:bodyDiv w:val="1"/>
      <w:marLeft w:val="0"/>
      <w:marRight w:val="0"/>
      <w:marTop w:val="0"/>
      <w:marBottom w:val="0"/>
      <w:divBdr>
        <w:top w:val="none" w:sz="0" w:space="0" w:color="auto"/>
        <w:left w:val="none" w:sz="0" w:space="0" w:color="auto"/>
        <w:bottom w:val="none" w:sz="0" w:space="0" w:color="auto"/>
        <w:right w:val="none" w:sz="0" w:space="0" w:color="auto"/>
      </w:divBdr>
    </w:div>
    <w:div w:id="2043165955">
      <w:bodyDiv w:val="1"/>
      <w:marLeft w:val="0"/>
      <w:marRight w:val="0"/>
      <w:marTop w:val="0"/>
      <w:marBottom w:val="0"/>
      <w:divBdr>
        <w:top w:val="none" w:sz="0" w:space="0" w:color="auto"/>
        <w:left w:val="none" w:sz="0" w:space="0" w:color="auto"/>
        <w:bottom w:val="none" w:sz="0" w:space="0" w:color="auto"/>
        <w:right w:val="none" w:sz="0" w:space="0" w:color="auto"/>
      </w:divBdr>
    </w:div>
    <w:div w:id="2056543870">
      <w:bodyDiv w:val="1"/>
      <w:marLeft w:val="0"/>
      <w:marRight w:val="0"/>
      <w:marTop w:val="0"/>
      <w:marBottom w:val="0"/>
      <w:divBdr>
        <w:top w:val="none" w:sz="0" w:space="0" w:color="auto"/>
        <w:left w:val="none" w:sz="0" w:space="0" w:color="auto"/>
        <w:bottom w:val="none" w:sz="0" w:space="0" w:color="auto"/>
        <w:right w:val="none" w:sz="0" w:space="0" w:color="auto"/>
      </w:divBdr>
    </w:div>
    <w:div w:id="2061664002">
      <w:bodyDiv w:val="1"/>
      <w:marLeft w:val="0"/>
      <w:marRight w:val="0"/>
      <w:marTop w:val="0"/>
      <w:marBottom w:val="0"/>
      <w:divBdr>
        <w:top w:val="none" w:sz="0" w:space="0" w:color="auto"/>
        <w:left w:val="none" w:sz="0" w:space="0" w:color="auto"/>
        <w:bottom w:val="none" w:sz="0" w:space="0" w:color="auto"/>
        <w:right w:val="none" w:sz="0" w:space="0" w:color="auto"/>
      </w:divBdr>
    </w:div>
    <w:div w:id="2064019718">
      <w:bodyDiv w:val="1"/>
      <w:marLeft w:val="0"/>
      <w:marRight w:val="0"/>
      <w:marTop w:val="0"/>
      <w:marBottom w:val="0"/>
      <w:divBdr>
        <w:top w:val="none" w:sz="0" w:space="0" w:color="auto"/>
        <w:left w:val="none" w:sz="0" w:space="0" w:color="auto"/>
        <w:bottom w:val="none" w:sz="0" w:space="0" w:color="auto"/>
        <w:right w:val="none" w:sz="0" w:space="0" w:color="auto"/>
      </w:divBdr>
    </w:div>
    <w:div w:id="2078438030">
      <w:bodyDiv w:val="1"/>
      <w:marLeft w:val="0"/>
      <w:marRight w:val="0"/>
      <w:marTop w:val="0"/>
      <w:marBottom w:val="0"/>
      <w:divBdr>
        <w:top w:val="none" w:sz="0" w:space="0" w:color="auto"/>
        <w:left w:val="none" w:sz="0" w:space="0" w:color="auto"/>
        <w:bottom w:val="none" w:sz="0" w:space="0" w:color="auto"/>
        <w:right w:val="none" w:sz="0" w:space="0" w:color="auto"/>
      </w:divBdr>
    </w:div>
    <w:div w:id="2108307133">
      <w:bodyDiv w:val="1"/>
      <w:marLeft w:val="0"/>
      <w:marRight w:val="0"/>
      <w:marTop w:val="0"/>
      <w:marBottom w:val="0"/>
      <w:divBdr>
        <w:top w:val="none" w:sz="0" w:space="0" w:color="auto"/>
        <w:left w:val="none" w:sz="0" w:space="0" w:color="auto"/>
        <w:bottom w:val="none" w:sz="0" w:space="0" w:color="auto"/>
        <w:right w:val="none" w:sz="0" w:space="0" w:color="auto"/>
      </w:divBdr>
    </w:div>
    <w:div w:id="2110077687">
      <w:bodyDiv w:val="1"/>
      <w:marLeft w:val="0"/>
      <w:marRight w:val="0"/>
      <w:marTop w:val="0"/>
      <w:marBottom w:val="0"/>
      <w:divBdr>
        <w:top w:val="none" w:sz="0" w:space="0" w:color="auto"/>
        <w:left w:val="none" w:sz="0" w:space="0" w:color="auto"/>
        <w:bottom w:val="none" w:sz="0" w:space="0" w:color="auto"/>
        <w:right w:val="none" w:sz="0" w:space="0" w:color="auto"/>
      </w:divBdr>
    </w:div>
    <w:div w:id="2121023495">
      <w:bodyDiv w:val="1"/>
      <w:marLeft w:val="0"/>
      <w:marRight w:val="0"/>
      <w:marTop w:val="0"/>
      <w:marBottom w:val="0"/>
      <w:divBdr>
        <w:top w:val="none" w:sz="0" w:space="0" w:color="auto"/>
        <w:left w:val="none" w:sz="0" w:space="0" w:color="auto"/>
        <w:bottom w:val="none" w:sz="0" w:space="0" w:color="auto"/>
        <w:right w:val="none" w:sz="0" w:space="0" w:color="auto"/>
      </w:divBdr>
    </w:div>
    <w:div w:id="213228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9A4073-9D4D-4891-B18A-7F51A8463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7881</Words>
  <Characters>44926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Quynh Nga</dc:creator>
  <cp:lastModifiedBy>nguyenkimcuong</cp:lastModifiedBy>
  <cp:revision>33</cp:revision>
  <cp:lastPrinted>2026-04-20T09:40:00Z</cp:lastPrinted>
  <dcterms:created xsi:type="dcterms:W3CDTF">2026-04-20T07:32:00Z</dcterms:created>
  <dcterms:modified xsi:type="dcterms:W3CDTF">2026-05-05T09:28:00Z</dcterms:modified>
</cp:coreProperties>
</file>