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1" w:type="dxa"/>
        <w:tblInd w:w="85" w:type="dxa"/>
        <w:tblLayout w:type="fixed"/>
        <w:tblCellMar>
          <w:left w:w="85" w:type="dxa"/>
          <w:right w:w="85" w:type="dxa"/>
        </w:tblCellMar>
        <w:tblLook w:val="0000" w:firstRow="0" w:lastRow="0" w:firstColumn="0" w:lastColumn="0" w:noHBand="0" w:noVBand="0"/>
      </w:tblPr>
      <w:tblGrid>
        <w:gridCol w:w="3261"/>
        <w:gridCol w:w="6010"/>
      </w:tblGrid>
      <w:tr w:rsidR="00D60C2A" w:rsidRPr="009E735E" w14:paraId="2B06013F" w14:textId="77777777" w:rsidTr="00D915C5">
        <w:trPr>
          <w:cantSplit/>
        </w:trPr>
        <w:tc>
          <w:tcPr>
            <w:tcW w:w="3261" w:type="dxa"/>
          </w:tcPr>
          <w:p w14:paraId="79F6E012" w14:textId="77777777" w:rsidR="00FF62B2" w:rsidRPr="009E735E" w:rsidRDefault="00D60C2A" w:rsidP="004C4ADD">
            <w:pPr>
              <w:pStyle w:val="Heading5"/>
              <w:adjustRightInd w:val="0"/>
              <w:ind w:left="-85"/>
              <w:rPr>
                <w:rFonts w:ascii="Times New Roman" w:eastAsia="SimSun" w:hAnsi="Times New Roman" w:cs="Times New Roman"/>
                <w:b/>
                <w:bCs/>
                <w:noProof/>
                <w:sz w:val="26"/>
                <w:szCs w:val="24"/>
                <w:lang w:val="nl-NL" w:eastAsia="zh-CN"/>
              </w:rPr>
            </w:pPr>
            <w:r w:rsidRPr="009E735E">
              <w:rPr>
                <w:rFonts w:ascii="Times New Roman" w:eastAsia="SimSun" w:hAnsi="Times New Roman" w:cs="Times New Roman"/>
                <w:b/>
                <w:bCs/>
                <w:noProof/>
                <w:sz w:val="26"/>
                <w:szCs w:val="24"/>
                <w:lang w:val="nl-NL" w:eastAsia="zh-CN"/>
              </w:rPr>
              <w:t>BỘ TƯ PHÁP</w:t>
            </w:r>
          </w:p>
          <w:p w14:paraId="0EFF0FF9" w14:textId="77777777" w:rsidR="000C3B06" w:rsidRPr="009E735E" w:rsidRDefault="004C4ADD" w:rsidP="000C3B06">
            <w:pPr>
              <w:jc w:val="center"/>
              <w:rPr>
                <w:noProof/>
                <w:lang w:val="nl-NL"/>
              </w:rPr>
            </w:pPr>
            <w:r w:rsidRPr="009E735E">
              <w:rPr>
                <w:bCs/>
                <w:noProof/>
                <w:sz w:val="24"/>
                <w:szCs w:val="20"/>
              </w:rPr>
              <mc:AlternateContent>
                <mc:Choice Requires="wps">
                  <w:drawing>
                    <wp:anchor distT="4294967295" distB="4294967295" distL="114300" distR="114300" simplePos="0" relativeHeight="251658240" behindDoc="0" locked="0" layoutInCell="1" allowOverlap="1" wp14:anchorId="1D27E258" wp14:editId="1E2309F6">
                      <wp:simplePos x="0" y="0"/>
                      <wp:positionH relativeFrom="column">
                        <wp:posOffset>631825</wp:posOffset>
                      </wp:positionH>
                      <wp:positionV relativeFrom="paragraph">
                        <wp:posOffset>28575</wp:posOffset>
                      </wp:positionV>
                      <wp:extent cx="609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5D7679"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2.25pt" to="97.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"/>
                  </w:pict>
                </mc:Fallback>
              </mc:AlternateContent>
            </w:r>
          </w:p>
          <w:p w14:paraId="6A1479A1" w14:textId="77777777" w:rsidR="004C4ADD" w:rsidRPr="009E735E" w:rsidRDefault="004C4ADD" w:rsidP="003446C9">
            <w:pPr>
              <w:jc w:val="center"/>
              <w:rPr>
                <w:noProof/>
                <w:lang w:val="nl-NL"/>
              </w:rPr>
            </w:pPr>
          </w:p>
          <w:p w14:paraId="2E8AFBD7" w14:textId="1771AEE4" w:rsidR="00D60C2A" w:rsidRPr="009E735E" w:rsidRDefault="00D60C2A" w:rsidP="003446C9">
            <w:pPr>
              <w:jc w:val="center"/>
              <w:rPr>
                <w:noProof/>
                <w:lang w:val="nl-NL"/>
              </w:rPr>
            </w:pPr>
            <w:r w:rsidRPr="009E735E">
              <w:rPr>
                <w:noProof/>
                <w:lang w:val="nl-NL"/>
              </w:rPr>
              <w:t>Số</w:t>
            </w:r>
            <w:r w:rsidR="00FF459C" w:rsidRPr="009E735E">
              <w:rPr>
                <w:noProof/>
                <w:lang w:val="nl-NL"/>
              </w:rPr>
              <w:t xml:space="preserve">: </w:t>
            </w:r>
            <w:r w:rsidR="00E35BD6" w:rsidRPr="009E735E">
              <w:rPr>
                <w:noProof/>
                <w:lang w:val="nl-NL"/>
              </w:rPr>
              <w:t xml:space="preserve">         </w:t>
            </w:r>
            <w:r w:rsidRPr="009E735E">
              <w:rPr>
                <w:noProof/>
                <w:lang w:val="nl-NL"/>
              </w:rPr>
              <w:t>/B</w:t>
            </w:r>
            <w:r w:rsidR="00F33B48" w:rsidRPr="009E735E">
              <w:rPr>
                <w:noProof/>
                <w:lang w:val="nl-NL"/>
              </w:rPr>
              <w:t>C</w:t>
            </w:r>
            <w:r w:rsidRPr="009E735E">
              <w:rPr>
                <w:noProof/>
                <w:lang w:val="nl-NL"/>
              </w:rPr>
              <w:t>-</w:t>
            </w:r>
            <w:r w:rsidR="006C0924" w:rsidRPr="009E735E">
              <w:rPr>
                <w:noProof/>
                <w:lang w:val="nl-NL"/>
              </w:rPr>
              <w:t>BTP</w:t>
            </w:r>
          </w:p>
          <w:p w14:paraId="24EC4598" w14:textId="4CC6E912" w:rsidR="00D60C2A" w:rsidRPr="009E735E" w:rsidRDefault="00D60C2A" w:rsidP="00CF7ABC">
            <w:pPr>
              <w:ind w:left="-85"/>
              <w:jc w:val="center"/>
              <w:rPr>
                <w:noProof/>
                <w:sz w:val="24"/>
                <w:lang w:val="nl-NL"/>
              </w:rPr>
            </w:pPr>
          </w:p>
        </w:tc>
        <w:tc>
          <w:tcPr>
            <w:tcW w:w="6010" w:type="dxa"/>
          </w:tcPr>
          <w:p w14:paraId="17368D92" w14:textId="77777777" w:rsidR="00D60C2A" w:rsidRPr="009E735E" w:rsidRDefault="00DD316A" w:rsidP="002D5837">
            <w:pPr>
              <w:pStyle w:val="Heading8"/>
              <w:tabs>
                <w:tab w:val="left" w:pos="5637"/>
              </w:tabs>
              <w:ind w:right="203"/>
              <w:rPr>
                <w:rFonts w:eastAsia="SimSun"/>
                <w:noProof/>
                <w:spacing w:val="0"/>
                <w:sz w:val="24"/>
                <w:szCs w:val="24"/>
                <w:lang w:eastAsia="zh-CN"/>
              </w:rPr>
            </w:pPr>
            <w:r w:rsidRPr="009E735E">
              <w:rPr>
                <w:rFonts w:eastAsia="SimSun"/>
                <w:noProof/>
                <w:spacing w:val="0"/>
                <w:szCs w:val="24"/>
                <w:lang w:eastAsia="zh-CN"/>
              </w:rPr>
              <w:t xml:space="preserve">   </w:t>
            </w:r>
            <w:r w:rsidR="00D60C2A" w:rsidRPr="009E735E">
              <w:rPr>
                <w:rFonts w:eastAsia="SimSun"/>
                <w:noProof/>
                <w:spacing w:val="0"/>
                <w:szCs w:val="24"/>
                <w:lang w:eastAsia="zh-CN"/>
              </w:rPr>
              <w:t>CỘNG HOÀ XÃ HỘI CHỦ NGHĨA VIỆT NAM</w:t>
            </w:r>
          </w:p>
          <w:p w14:paraId="22E1DA1B" w14:textId="77777777" w:rsidR="00D60C2A" w:rsidRPr="009E735E" w:rsidRDefault="00D60C2A" w:rsidP="00216873">
            <w:pPr>
              <w:pStyle w:val="Heading3"/>
              <w:ind w:right="203"/>
              <w:rPr>
                <w:noProof/>
                <w:sz w:val="26"/>
                <w:szCs w:val="26"/>
                <w:u w:val="none"/>
                <w:lang w:val="nl-NL"/>
              </w:rPr>
            </w:pPr>
            <w:r w:rsidRPr="009E735E">
              <w:rPr>
                <w:noProof/>
                <w:sz w:val="26"/>
                <w:szCs w:val="26"/>
                <w:u w:val="none"/>
                <w:lang w:val="nl-NL"/>
              </w:rPr>
              <w:t>Độc lập - Tự do - Hạnh phúc</w:t>
            </w:r>
          </w:p>
          <w:p w14:paraId="4D78FCE6" w14:textId="77777777" w:rsidR="00D60C2A" w:rsidRPr="009E735E" w:rsidRDefault="00F73E7C" w:rsidP="000C3B06">
            <w:pPr>
              <w:pStyle w:val="Heading1"/>
              <w:spacing w:line="240" w:lineRule="auto"/>
              <w:jc w:val="center"/>
              <w:rPr>
                <w:noProof/>
                <w:lang w:val="nl-NL"/>
              </w:rPr>
            </w:pPr>
            <w:r w:rsidRPr="009E735E">
              <w:rPr>
                <w:noProof/>
                <w:lang w:eastAsia="en-US"/>
              </w:rPr>
              <mc:AlternateContent>
                <mc:Choice Requires="wps">
                  <w:drawing>
                    <wp:anchor distT="4294967295" distB="4294967295" distL="114300" distR="114300" simplePos="0" relativeHeight="251657216" behindDoc="0" locked="0" layoutInCell="1" allowOverlap="1" wp14:anchorId="4141DA7D" wp14:editId="0AFAFB0B">
                      <wp:simplePos x="0" y="0"/>
                      <wp:positionH relativeFrom="column">
                        <wp:posOffset>815232</wp:posOffset>
                      </wp:positionH>
                      <wp:positionV relativeFrom="paragraph">
                        <wp:posOffset>24130</wp:posOffset>
                      </wp:positionV>
                      <wp:extent cx="1951355" cy="0"/>
                      <wp:effectExtent l="0" t="0" r="2984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D305FE1"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pt,1.9pt" to="217.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"/>
                  </w:pict>
                </mc:Fallback>
              </mc:AlternateContent>
            </w:r>
          </w:p>
          <w:p w14:paraId="358ADB26" w14:textId="0619F34D" w:rsidR="00D60C2A" w:rsidRPr="009E735E" w:rsidRDefault="00891B15" w:rsidP="003D140D">
            <w:pPr>
              <w:adjustRightInd w:val="0"/>
              <w:jc w:val="center"/>
              <w:rPr>
                <w:bCs/>
                <w:noProof/>
                <w:lang w:val="nl-NL"/>
              </w:rPr>
            </w:pPr>
            <w:r w:rsidRPr="009E735E">
              <w:rPr>
                <w:bCs/>
                <w:i/>
                <w:noProof/>
                <w:lang w:val="nl-NL"/>
              </w:rPr>
              <w:t>Hà Nội, ngày</w:t>
            </w:r>
            <w:r w:rsidR="001777D0" w:rsidRPr="009E735E">
              <w:rPr>
                <w:bCs/>
                <w:i/>
                <w:noProof/>
                <w:lang w:val="nl-NL"/>
              </w:rPr>
              <w:t xml:space="preserve"> </w:t>
            </w:r>
            <w:r w:rsidR="00E35BD6" w:rsidRPr="009E735E">
              <w:rPr>
                <w:bCs/>
                <w:i/>
                <w:noProof/>
                <w:lang w:val="nl-NL"/>
              </w:rPr>
              <w:t xml:space="preserve">     </w:t>
            </w:r>
            <w:r w:rsidR="00DC7472" w:rsidRPr="009E735E">
              <w:rPr>
                <w:bCs/>
                <w:i/>
                <w:noProof/>
                <w:lang w:val="nl-NL"/>
              </w:rPr>
              <w:t xml:space="preserve"> </w:t>
            </w:r>
            <w:r w:rsidR="00D60C2A" w:rsidRPr="009E735E">
              <w:rPr>
                <w:bCs/>
                <w:i/>
                <w:noProof/>
                <w:lang w:val="nl-NL"/>
              </w:rPr>
              <w:t>thán</w:t>
            </w:r>
            <w:r w:rsidR="00C4138B" w:rsidRPr="009E735E">
              <w:rPr>
                <w:bCs/>
                <w:i/>
                <w:noProof/>
                <w:lang w:val="nl-NL"/>
              </w:rPr>
              <w:t>g</w:t>
            </w:r>
            <w:r w:rsidR="00AA0E9D" w:rsidRPr="009E735E">
              <w:rPr>
                <w:bCs/>
                <w:i/>
                <w:noProof/>
                <w:lang w:val="nl-NL"/>
              </w:rPr>
              <w:t xml:space="preserve"> </w:t>
            </w:r>
            <w:r w:rsidR="00183E14">
              <w:rPr>
                <w:bCs/>
                <w:i/>
                <w:noProof/>
                <w:lang w:val="nl-NL"/>
              </w:rPr>
              <w:t xml:space="preserve">     </w:t>
            </w:r>
            <w:r w:rsidR="00D60C2A" w:rsidRPr="009E735E">
              <w:rPr>
                <w:bCs/>
                <w:i/>
                <w:noProof/>
                <w:lang w:val="nl-NL"/>
              </w:rPr>
              <w:t xml:space="preserve"> năm 20</w:t>
            </w:r>
            <w:r w:rsidR="00186C10" w:rsidRPr="009E735E">
              <w:rPr>
                <w:bCs/>
                <w:i/>
                <w:noProof/>
                <w:lang w:val="nl-NL"/>
              </w:rPr>
              <w:t>2</w:t>
            </w:r>
            <w:r w:rsidR="00E35BD6" w:rsidRPr="009E735E">
              <w:rPr>
                <w:bCs/>
                <w:i/>
                <w:noProof/>
                <w:lang w:val="nl-NL"/>
              </w:rPr>
              <w:t>6</w:t>
            </w:r>
          </w:p>
        </w:tc>
      </w:tr>
    </w:tbl>
    <w:tbl>
      <w:tblPr>
        <w:tblStyle w:val="TableGrid"/>
        <w:tblW w:w="83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3"/>
      </w:tblGrid>
      <w:tr w:rsidR="00E100E3" w:rsidRPr="009E735E" w14:paraId="674C38DA" w14:textId="77777777" w:rsidTr="002D5837">
        <w:tc>
          <w:tcPr>
            <w:tcW w:w="8363" w:type="dxa"/>
          </w:tcPr>
          <w:p w14:paraId="10354747" w14:textId="77777777" w:rsidR="0041625C" w:rsidRDefault="0041625C" w:rsidP="00E100E3">
            <w:pPr>
              <w:adjustRightInd w:val="0"/>
              <w:spacing w:line="264" w:lineRule="auto"/>
              <w:jc w:val="center"/>
              <w:rPr>
                <w:b/>
                <w:bCs/>
                <w:noProof/>
                <w:lang w:val="nl-NL"/>
              </w:rPr>
            </w:pPr>
          </w:p>
          <w:p w14:paraId="46C58F0B" w14:textId="30FFB5CC" w:rsidR="00E100E3" w:rsidRPr="009E735E" w:rsidRDefault="00E100E3" w:rsidP="00E100E3">
            <w:pPr>
              <w:adjustRightInd w:val="0"/>
              <w:spacing w:line="264" w:lineRule="auto"/>
              <w:jc w:val="center"/>
              <w:rPr>
                <w:b/>
                <w:bCs/>
                <w:noProof/>
                <w:lang w:val="nl-NL"/>
              </w:rPr>
            </w:pPr>
            <w:r w:rsidRPr="009E735E">
              <w:rPr>
                <w:b/>
                <w:bCs/>
                <w:noProof/>
                <w:lang w:val="nl-NL"/>
              </w:rPr>
              <w:t>BÁO CÁO</w:t>
            </w:r>
          </w:p>
          <w:p w14:paraId="03F389F2" w14:textId="366EF99C" w:rsidR="00E100E3" w:rsidRPr="009E735E" w:rsidRDefault="00E100E3" w:rsidP="002D5837">
            <w:pPr>
              <w:adjustRightInd w:val="0"/>
              <w:spacing w:line="264" w:lineRule="auto"/>
              <w:jc w:val="center"/>
              <w:rPr>
                <w:b/>
                <w:bCs/>
                <w:noProof/>
                <w:lang w:val="nl-NL"/>
              </w:rPr>
            </w:pPr>
            <w:r w:rsidRPr="009E735E">
              <w:rPr>
                <w:b/>
                <w:bCs/>
                <w:noProof/>
                <w:lang w:val="nl-NL"/>
              </w:rPr>
              <w:t xml:space="preserve">Tổng kết </w:t>
            </w:r>
            <w:r w:rsidR="00E35BD6" w:rsidRPr="009E735E">
              <w:rPr>
                <w:b/>
                <w:bCs/>
                <w:noProof/>
                <w:lang w:val="nl-NL"/>
              </w:rPr>
              <w:t>việc thi hành</w:t>
            </w:r>
            <w:r w:rsidRPr="009E735E">
              <w:rPr>
                <w:b/>
                <w:bCs/>
                <w:noProof/>
                <w:lang w:val="nl-NL"/>
              </w:rPr>
              <w:t xml:space="preserve"> Nghị định số 51/2015/NĐ-CP ngày 26/5/2015 của Chính phủ về cấp ý kiến pháp lý</w:t>
            </w:r>
          </w:p>
          <w:p w14:paraId="0A4A813A" w14:textId="7EEDCD8D" w:rsidR="00E100E3" w:rsidRPr="009E735E" w:rsidRDefault="00E100E3" w:rsidP="00E100E3">
            <w:pPr>
              <w:adjustRightInd w:val="0"/>
              <w:spacing w:line="264" w:lineRule="auto"/>
              <w:jc w:val="center"/>
              <w:rPr>
                <w:bCs/>
                <w:noProof/>
                <w:lang w:val="nl-NL"/>
              </w:rPr>
            </w:pPr>
          </w:p>
        </w:tc>
      </w:tr>
      <w:tr w:rsidR="008E353D" w:rsidRPr="009E735E" w14:paraId="11BC650D" w14:textId="77777777" w:rsidTr="002D5837">
        <w:tc>
          <w:tcPr>
            <w:tcW w:w="8363" w:type="dxa"/>
          </w:tcPr>
          <w:p w14:paraId="53CA44C0" w14:textId="43D735FB" w:rsidR="008E353D" w:rsidRPr="009E735E" w:rsidRDefault="008E353D" w:rsidP="00DD3069">
            <w:pPr>
              <w:adjustRightInd w:val="0"/>
              <w:spacing w:line="264" w:lineRule="auto"/>
              <w:rPr>
                <w:bCs/>
                <w:noProof/>
                <w:lang w:val="nl-NL"/>
              </w:rPr>
            </w:pPr>
          </w:p>
        </w:tc>
      </w:tr>
    </w:tbl>
    <w:p w14:paraId="04B69468" w14:textId="25A87063" w:rsidR="004747ED" w:rsidRPr="009E735E" w:rsidRDefault="004747ED"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Thực hiện quy định của Luật Ban hành văn bản quy phạm pháp luật số 64/2025/QH15 </w:t>
      </w:r>
      <w:r w:rsidR="0041625C">
        <w:rPr>
          <w:iCs/>
          <w:noProof/>
          <w:w w:val="102"/>
          <w:lang w:val="nl-NL"/>
        </w:rPr>
        <w:t xml:space="preserve">được </w:t>
      </w:r>
      <w:r w:rsidRPr="009E735E">
        <w:rPr>
          <w:iCs/>
          <w:noProof/>
          <w:w w:val="102"/>
          <w:lang w:val="nl-NL"/>
        </w:rPr>
        <w:t>sửa đổi, bổ sung bởi Luật số 87/2025/QH15</w:t>
      </w:r>
      <w:r w:rsidR="00314DE9" w:rsidRPr="009E735E">
        <w:rPr>
          <w:iCs/>
          <w:noProof/>
          <w:w w:val="102"/>
          <w:lang w:val="nl-NL"/>
        </w:rPr>
        <w:t>, Bộ Tư pháp đã tiến hành tổng kết việc thi hành Nghị định số 51/2015/NĐ-CP</w:t>
      </w:r>
      <w:r w:rsidR="001436AE" w:rsidRPr="009E735E">
        <w:rPr>
          <w:iCs/>
          <w:noProof/>
          <w:w w:val="102"/>
          <w:lang w:val="nl-NL"/>
        </w:rPr>
        <w:t xml:space="preserve"> ngày 26/5/2015 của Chính phủ</w:t>
      </w:r>
      <w:r w:rsidR="00314DE9" w:rsidRPr="009E735E">
        <w:rPr>
          <w:iCs/>
          <w:noProof/>
          <w:w w:val="102"/>
          <w:lang w:val="nl-NL"/>
        </w:rPr>
        <w:t xml:space="preserve"> về cấp ý kiến pháp lý (Nghị định số 51/2015/NĐ-CP). Kết quả như sau:</w:t>
      </w:r>
    </w:p>
    <w:p w14:paraId="10933CA5" w14:textId="4B0815B3" w:rsidR="00314DE9" w:rsidRPr="00A71C23" w:rsidRDefault="00F90E14" w:rsidP="00BB1715">
      <w:pPr>
        <w:tabs>
          <w:tab w:val="left" w:pos="3052"/>
        </w:tabs>
        <w:spacing w:before="120" w:after="120" w:line="264" w:lineRule="auto"/>
        <w:ind w:firstLine="720"/>
        <w:jc w:val="both"/>
        <w:rPr>
          <w:b/>
          <w:bCs/>
          <w:iCs/>
          <w:noProof/>
          <w:w w:val="102"/>
          <w:lang w:val="nl-NL"/>
        </w:rPr>
      </w:pPr>
      <w:r w:rsidRPr="00A71C23">
        <w:rPr>
          <w:b/>
          <w:bCs/>
          <w:iCs/>
          <w:noProof/>
          <w:w w:val="102"/>
          <w:lang w:val="nl-NL"/>
        </w:rPr>
        <w:t>I. BỐI CẢNH</w:t>
      </w:r>
      <w:r w:rsidR="0041625C">
        <w:rPr>
          <w:b/>
          <w:bCs/>
          <w:iCs/>
          <w:noProof/>
          <w:w w:val="102"/>
          <w:lang w:val="nl-NL"/>
        </w:rPr>
        <w:t>, CƠ SỞ CHÍNH TRỊ VÀ PHÁP LÝ</w:t>
      </w:r>
      <w:r w:rsidRPr="00A71C23">
        <w:rPr>
          <w:b/>
          <w:bCs/>
          <w:iCs/>
          <w:noProof/>
          <w:w w:val="102"/>
          <w:lang w:val="nl-NL"/>
        </w:rPr>
        <w:t xml:space="preserve"> THỰC HIỆN TỔNG KẾT</w:t>
      </w:r>
    </w:p>
    <w:p w14:paraId="685DD54F" w14:textId="77777777" w:rsidR="0041625C" w:rsidRDefault="00D32D5E" w:rsidP="00BB1715">
      <w:pPr>
        <w:tabs>
          <w:tab w:val="left" w:pos="3052"/>
        </w:tabs>
        <w:spacing w:before="120" w:after="120" w:line="264" w:lineRule="auto"/>
        <w:ind w:firstLine="720"/>
        <w:jc w:val="both"/>
        <w:rPr>
          <w:b/>
          <w:bCs/>
          <w:iCs/>
          <w:noProof/>
          <w:w w:val="102"/>
          <w:lang w:val="nl-NL"/>
        </w:rPr>
      </w:pPr>
      <w:r w:rsidRPr="00A71C23">
        <w:rPr>
          <w:b/>
          <w:bCs/>
          <w:iCs/>
          <w:noProof/>
          <w:w w:val="102"/>
          <w:lang w:val="nl-NL"/>
        </w:rPr>
        <w:t>1. Bối cảnh trong nước</w:t>
      </w:r>
    </w:p>
    <w:p w14:paraId="2AF88547" w14:textId="0FE1E108" w:rsidR="0041625C" w:rsidRPr="0041625C" w:rsidRDefault="0041625C" w:rsidP="00BB1715">
      <w:pPr>
        <w:tabs>
          <w:tab w:val="left" w:pos="3052"/>
        </w:tabs>
        <w:spacing w:before="120" w:after="120" w:line="264" w:lineRule="auto"/>
        <w:ind w:firstLine="720"/>
        <w:jc w:val="both"/>
        <w:rPr>
          <w:iCs/>
          <w:noProof/>
          <w:w w:val="102"/>
        </w:rPr>
      </w:pPr>
      <w:r w:rsidRPr="0041625C">
        <w:rPr>
          <w:iCs/>
          <w:noProof/>
          <w:w w:val="102"/>
        </w:rPr>
        <w:t xml:space="preserve">Sau </w:t>
      </w:r>
      <w:r w:rsidR="008E70F5">
        <w:rPr>
          <w:iCs/>
          <w:noProof/>
          <w:w w:val="102"/>
        </w:rPr>
        <w:t xml:space="preserve">hơn </w:t>
      </w:r>
      <w:r w:rsidRPr="0041625C">
        <w:rPr>
          <w:iCs/>
          <w:noProof/>
          <w:w w:val="102"/>
        </w:rPr>
        <w:t xml:space="preserve">10 năm thực hiện, </w:t>
      </w:r>
      <w:r w:rsidR="008E70F5" w:rsidRPr="0041625C">
        <w:rPr>
          <w:iCs/>
          <w:noProof/>
          <w:w w:val="102"/>
        </w:rPr>
        <w:t>Nghị định số 51/201</w:t>
      </w:r>
      <w:r w:rsidR="008E70F5">
        <w:rPr>
          <w:iCs/>
          <w:noProof/>
          <w:w w:val="102"/>
        </w:rPr>
        <w:t xml:space="preserve">5/NĐ-CP </w:t>
      </w:r>
      <w:r w:rsidRPr="0041625C">
        <w:rPr>
          <w:iCs/>
          <w:noProof/>
          <w:w w:val="102"/>
        </w:rPr>
        <w:t xml:space="preserve">đã góp phần tăng cường kiểm soát rủi ro pháp lý, bảo đảm tính tuân thủ pháp luật trong hoạt động </w:t>
      </w:r>
      <w:r w:rsidR="008E70F5">
        <w:rPr>
          <w:iCs/>
          <w:noProof/>
          <w:w w:val="102"/>
        </w:rPr>
        <w:t xml:space="preserve">vay vốn nước ngoài, </w:t>
      </w:r>
      <w:r w:rsidRPr="0041625C">
        <w:rPr>
          <w:iCs/>
          <w:noProof/>
          <w:w w:val="102"/>
        </w:rPr>
        <w:t>đầu tư, kinh doanh có yếu tố nước ngoài.</w:t>
      </w:r>
    </w:p>
    <w:p w14:paraId="61DA8B08" w14:textId="4CDAC882" w:rsidR="0041625C" w:rsidRPr="0041625C" w:rsidRDefault="008E70F5" w:rsidP="00BB1715">
      <w:pPr>
        <w:tabs>
          <w:tab w:val="left" w:pos="3052"/>
        </w:tabs>
        <w:spacing w:before="120" w:after="120" w:line="264" w:lineRule="auto"/>
        <w:ind w:firstLine="720"/>
        <w:jc w:val="both"/>
        <w:rPr>
          <w:iCs/>
          <w:noProof/>
          <w:w w:val="102"/>
        </w:rPr>
      </w:pPr>
      <w:r>
        <w:rPr>
          <w:iCs/>
          <w:noProof/>
          <w:w w:val="102"/>
        </w:rPr>
        <w:t>Tuy nhiên</w:t>
      </w:r>
      <w:r w:rsidR="0041625C" w:rsidRPr="0041625C">
        <w:rPr>
          <w:iCs/>
          <w:noProof/>
          <w:w w:val="102"/>
        </w:rPr>
        <w:t>, từ năm 2015 đến nay, hệ thống pháp luật có liên quan đã có nhiều thay đổi quan trọng, đặc biệt là pháp luật về doanh nghiệp, đầu tư, quản lý, sử dụng vốn nhà nước đầu tư</w:t>
      </w:r>
      <w:r w:rsidR="00893BB8">
        <w:rPr>
          <w:iCs/>
          <w:noProof/>
          <w:w w:val="102"/>
        </w:rPr>
        <w:t>, vốn vay nước ngoài</w:t>
      </w:r>
      <w:r w:rsidR="0041625C" w:rsidRPr="0041625C">
        <w:rPr>
          <w:iCs/>
          <w:noProof/>
          <w:w w:val="102"/>
        </w:rPr>
        <w:t xml:space="preserve"> vào sản x</w:t>
      </w:r>
      <w:r w:rsidR="00EB6656">
        <w:rPr>
          <w:iCs/>
          <w:noProof/>
          <w:w w:val="102"/>
        </w:rPr>
        <w:t>uất, kinh doanh</w:t>
      </w:r>
      <w:r w:rsidR="0041625C" w:rsidRPr="0041625C">
        <w:rPr>
          <w:iCs/>
          <w:noProof/>
          <w:w w:val="102"/>
        </w:rPr>
        <w:t xml:space="preserve"> và pháp luật về đấu thầu, đầu tư công. Trong khi đó, một số nội dung của Nghị định số 51/2015/NĐ-</w:t>
      </w:r>
      <w:r>
        <w:rPr>
          <w:iCs/>
          <w:noProof/>
          <w:w w:val="102"/>
        </w:rPr>
        <w:t>CP chưa được cập nhật tương ứng</w:t>
      </w:r>
      <w:r w:rsidR="0041625C" w:rsidRPr="0041625C">
        <w:rPr>
          <w:iCs/>
          <w:noProof/>
          <w:w w:val="102"/>
        </w:rPr>
        <w:t>.</w:t>
      </w:r>
    </w:p>
    <w:p w14:paraId="18148F1F" w14:textId="6D075566" w:rsidR="0041625C" w:rsidRPr="0041625C" w:rsidRDefault="008E70F5" w:rsidP="00BB1715">
      <w:pPr>
        <w:tabs>
          <w:tab w:val="left" w:pos="3052"/>
        </w:tabs>
        <w:spacing w:before="120" w:after="120" w:line="264" w:lineRule="auto"/>
        <w:ind w:firstLine="720"/>
        <w:jc w:val="both"/>
        <w:rPr>
          <w:iCs/>
          <w:noProof/>
          <w:w w:val="102"/>
        </w:rPr>
      </w:pPr>
      <w:r>
        <w:rPr>
          <w:iCs/>
          <w:noProof/>
          <w:w w:val="102"/>
        </w:rPr>
        <w:t>Bên cạnh đó</w:t>
      </w:r>
      <w:r w:rsidR="0041625C" w:rsidRPr="0041625C">
        <w:rPr>
          <w:iCs/>
          <w:noProof/>
          <w:w w:val="102"/>
        </w:rPr>
        <w:t>,</w:t>
      </w:r>
      <w:r>
        <w:rPr>
          <w:iCs/>
          <w:noProof/>
          <w:w w:val="102"/>
        </w:rPr>
        <w:t xml:space="preserve"> trong</w:t>
      </w:r>
      <w:r w:rsidR="0041625C" w:rsidRPr="0041625C">
        <w:rPr>
          <w:iCs/>
          <w:noProof/>
          <w:w w:val="102"/>
        </w:rPr>
        <w:t xml:space="preserve"> quá trình triển khai </w:t>
      </w:r>
      <w:r w:rsidRPr="008E70F5">
        <w:rPr>
          <w:iCs/>
          <w:noProof/>
          <w:w w:val="102"/>
        </w:rPr>
        <w:t>Nghị định số 51/2015/NĐ-CP</w:t>
      </w:r>
      <w:r w:rsidR="0041625C" w:rsidRPr="0041625C">
        <w:rPr>
          <w:iCs/>
          <w:noProof/>
          <w:w w:val="102"/>
        </w:rPr>
        <w:t xml:space="preserve"> cho thấy còn tồn tại một số vướng mắc như: (i) tiêu chí xác định </w:t>
      </w:r>
      <w:r w:rsidR="0061417B">
        <w:rPr>
          <w:iCs/>
          <w:noProof/>
          <w:w w:val="102"/>
        </w:rPr>
        <w:t>đối tượng</w:t>
      </w:r>
      <w:r w:rsidR="0041625C" w:rsidRPr="0041625C">
        <w:rPr>
          <w:iCs/>
          <w:noProof/>
          <w:w w:val="102"/>
        </w:rPr>
        <w:t xml:space="preserve"> cấp ý kiến pháp lý chưa thực sự </w:t>
      </w:r>
      <w:r w:rsidR="0061417B">
        <w:rPr>
          <w:iCs/>
          <w:noProof/>
          <w:w w:val="102"/>
        </w:rPr>
        <w:t>chặt chẽ</w:t>
      </w:r>
      <w:r w:rsidR="00EB6656">
        <w:rPr>
          <w:iCs/>
          <w:noProof/>
          <w:w w:val="102"/>
        </w:rPr>
        <w:t xml:space="preserve"> để </w:t>
      </w:r>
      <w:r w:rsidR="0061417B">
        <w:rPr>
          <w:iCs/>
          <w:noProof/>
          <w:w w:val="102"/>
        </w:rPr>
        <w:t>tránh</w:t>
      </w:r>
      <w:r w:rsidR="0041625C" w:rsidRPr="0041625C">
        <w:rPr>
          <w:iCs/>
          <w:noProof/>
          <w:w w:val="102"/>
        </w:rPr>
        <w:t xml:space="preserve"> rủi ro pháp lý; (ii) trình tự, thủ tục, hồ sơ đề nghị cấp ý kiến </w:t>
      </w:r>
      <w:r w:rsidR="0061417B">
        <w:rPr>
          <w:iCs/>
          <w:noProof/>
          <w:w w:val="102"/>
        </w:rPr>
        <w:t>pháp lý cần được c</w:t>
      </w:r>
      <w:r w:rsidR="00EB6656">
        <w:rPr>
          <w:iCs/>
          <w:noProof/>
          <w:w w:val="102"/>
        </w:rPr>
        <w:t>ả</w:t>
      </w:r>
      <w:r w:rsidR="0061417B">
        <w:rPr>
          <w:iCs/>
          <w:noProof/>
          <w:w w:val="102"/>
        </w:rPr>
        <w:t xml:space="preserve">i tiến, </w:t>
      </w:r>
      <w:r w:rsidR="0041625C" w:rsidRPr="0041625C">
        <w:rPr>
          <w:iCs/>
          <w:noProof/>
          <w:w w:val="102"/>
        </w:rPr>
        <w:t>gắ</w:t>
      </w:r>
      <w:r w:rsidR="0061417B">
        <w:rPr>
          <w:iCs/>
          <w:noProof/>
          <w:w w:val="102"/>
        </w:rPr>
        <w:t>n với yêu cầu chuyển đổi số</w:t>
      </w:r>
      <w:r w:rsidR="0041625C" w:rsidRPr="0041625C">
        <w:rPr>
          <w:iCs/>
          <w:noProof/>
          <w:w w:val="102"/>
        </w:rPr>
        <w:t xml:space="preserve">; (iii) cơ chế phối hợp giữa cơ quan </w:t>
      </w:r>
      <w:r w:rsidR="00EB6656">
        <w:rPr>
          <w:iCs/>
          <w:noProof/>
          <w:w w:val="102"/>
        </w:rPr>
        <w:t xml:space="preserve">nhà nước trong việc </w:t>
      </w:r>
      <w:r w:rsidR="0041625C" w:rsidRPr="0041625C">
        <w:rPr>
          <w:iCs/>
          <w:noProof/>
          <w:w w:val="102"/>
        </w:rPr>
        <w:t xml:space="preserve">cấp ý kiến pháp lý chưa </w:t>
      </w:r>
      <w:r w:rsidR="0061417B">
        <w:rPr>
          <w:iCs/>
          <w:noProof/>
          <w:w w:val="102"/>
        </w:rPr>
        <w:t xml:space="preserve">thực sự </w:t>
      </w:r>
      <w:r w:rsidR="0041625C" w:rsidRPr="0041625C">
        <w:rPr>
          <w:iCs/>
          <w:noProof/>
          <w:w w:val="102"/>
        </w:rPr>
        <w:t>phân định rõ trách nhiệm.</w:t>
      </w:r>
    </w:p>
    <w:p w14:paraId="12984775" w14:textId="5E91C3D1" w:rsidR="0041625C" w:rsidRPr="0041625C" w:rsidRDefault="0061417B" w:rsidP="00BB1715">
      <w:pPr>
        <w:tabs>
          <w:tab w:val="left" w:pos="3052"/>
        </w:tabs>
        <w:spacing w:before="120" w:after="120" w:line="264" w:lineRule="auto"/>
        <w:ind w:firstLine="720"/>
        <w:jc w:val="both"/>
        <w:rPr>
          <w:iCs/>
          <w:noProof/>
          <w:w w:val="102"/>
        </w:rPr>
      </w:pPr>
      <w:r>
        <w:rPr>
          <w:iCs/>
          <w:noProof/>
          <w:w w:val="102"/>
        </w:rPr>
        <w:t>T</w:t>
      </w:r>
      <w:r w:rsidR="0041625C" w:rsidRPr="0041625C">
        <w:rPr>
          <w:iCs/>
          <w:noProof/>
          <w:w w:val="102"/>
        </w:rPr>
        <w:t xml:space="preserve">rong điều kiện Việt Nam </w:t>
      </w:r>
      <w:r>
        <w:rPr>
          <w:iCs/>
          <w:noProof/>
          <w:w w:val="102"/>
        </w:rPr>
        <w:t>ngày càng hội nhập quốc tế sâu rộng</w:t>
      </w:r>
      <w:r w:rsidR="0041625C" w:rsidRPr="0041625C">
        <w:rPr>
          <w:iCs/>
          <w:noProof/>
          <w:w w:val="102"/>
        </w:rPr>
        <w:t xml:space="preserve">, nhiều </w:t>
      </w:r>
      <w:r>
        <w:rPr>
          <w:iCs/>
          <w:noProof/>
          <w:w w:val="102"/>
        </w:rPr>
        <w:t>điều ước quốc tế, thoả thuận quốc tế về</w:t>
      </w:r>
      <w:r w:rsidR="0041625C" w:rsidRPr="0041625C">
        <w:rPr>
          <w:iCs/>
          <w:noProof/>
          <w:w w:val="102"/>
        </w:rPr>
        <w:t xml:space="preserve"> </w:t>
      </w:r>
      <w:r>
        <w:rPr>
          <w:iCs/>
          <w:noProof/>
          <w:w w:val="102"/>
        </w:rPr>
        <w:t>vay vốn nước ngoài</w:t>
      </w:r>
      <w:r w:rsidR="003166F1">
        <w:rPr>
          <w:iCs/>
          <w:noProof/>
          <w:w w:val="102"/>
        </w:rPr>
        <w:t>, bảo lãnh vay vốn của Chính phủ…</w:t>
      </w:r>
      <w:r>
        <w:rPr>
          <w:iCs/>
          <w:noProof/>
          <w:w w:val="102"/>
        </w:rPr>
        <w:t xml:space="preserve"> </w:t>
      </w:r>
      <w:r w:rsidR="0041625C" w:rsidRPr="0041625C">
        <w:rPr>
          <w:iCs/>
          <w:noProof/>
          <w:w w:val="102"/>
        </w:rPr>
        <w:t>có điều khoản lựa chọn luật áp dụng, giải quyết tranh chấp tại trọng tài hoặc tòa án nước ngoài</w:t>
      </w:r>
      <w:r w:rsidR="003166F1">
        <w:rPr>
          <w:iCs/>
          <w:noProof/>
          <w:w w:val="102"/>
        </w:rPr>
        <w:t xml:space="preserve"> (quốc tế)</w:t>
      </w:r>
      <w:r w:rsidR="0041625C" w:rsidRPr="0041625C">
        <w:rPr>
          <w:iCs/>
          <w:noProof/>
          <w:w w:val="102"/>
        </w:rPr>
        <w:t xml:space="preserve">, rủi ro pháp lý phát sinh ngày càng phức tạp. Do đó, cơ chế cấp ý kiến pháp lý cần được hoàn thiện theo hướng chuyên nghiệp hóa, </w:t>
      </w:r>
      <w:r w:rsidR="003166F1">
        <w:rPr>
          <w:iCs/>
          <w:noProof/>
          <w:w w:val="102"/>
        </w:rPr>
        <w:t>tránh rủi ro pháp lý đối với Chính phủ</w:t>
      </w:r>
      <w:r w:rsidR="00144C6F">
        <w:rPr>
          <w:iCs/>
          <w:noProof/>
          <w:w w:val="102"/>
        </w:rPr>
        <w:t>;</w:t>
      </w:r>
      <w:r w:rsidR="0041625C" w:rsidRPr="0041625C">
        <w:rPr>
          <w:iCs/>
          <w:noProof/>
          <w:w w:val="102"/>
        </w:rPr>
        <w:t xml:space="preserve"> đồng thời</w:t>
      </w:r>
      <w:r w:rsidR="00144C6F">
        <w:rPr>
          <w:iCs/>
          <w:noProof/>
          <w:w w:val="102"/>
        </w:rPr>
        <w:t>,</w:t>
      </w:r>
      <w:r w:rsidR="0041625C" w:rsidRPr="0041625C">
        <w:rPr>
          <w:iCs/>
          <w:noProof/>
          <w:w w:val="102"/>
        </w:rPr>
        <w:t xml:space="preserve"> quy định rõ phạm vi, nội dung và trách nhiệm của các bên trong quá trình xin và cấp ý kiến</w:t>
      </w:r>
      <w:r w:rsidR="003166F1">
        <w:rPr>
          <w:iCs/>
          <w:noProof/>
          <w:w w:val="102"/>
        </w:rPr>
        <w:t xml:space="preserve"> pháp lý</w:t>
      </w:r>
      <w:r w:rsidR="0041625C" w:rsidRPr="0041625C">
        <w:rPr>
          <w:iCs/>
          <w:noProof/>
          <w:w w:val="102"/>
        </w:rPr>
        <w:t>.</w:t>
      </w:r>
    </w:p>
    <w:p w14:paraId="76FA1A3C" w14:textId="28C96316" w:rsidR="0041625C" w:rsidRPr="0041625C" w:rsidRDefault="0041625C" w:rsidP="00BB1715">
      <w:pPr>
        <w:tabs>
          <w:tab w:val="left" w:pos="3052"/>
        </w:tabs>
        <w:spacing w:before="120" w:after="120" w:line="264" w:lineRule="auto"/>
        <w:ind w:firstLine="720"/>
        <w:jc w:val="both"/>
        <w:rPr>
          <w:iCs/>
          <w:noProof/>
          <w:w w:val="102"/>
        </w:rPr>
      </w:pPr>
      <w:r w:rsidRPr="0041625C">
        <w:rPr>
          <w:iCs/>
          <w:noProof/>
          <w:w w:val="102"/>
        </w:rPr>
        <w:t xml:space="preserve">Từ những phân tích nêu trên, có thể thấy việc sửa đổi, bổ sung Nghị định số 51/2015/NĐ-CP là cần thiết nhằm: (i) bảo đảm tính thống nhất, đồng bộ với hệ thống pháp luật hiện hành; (ii) khắc phục các bất cập, vướng mắc trong thực tiễn; (iii) nâng cao hiệu quả kiểm soát rủi ro pháp lý </w:t>
      </w:r>
      <w:r w:rsidR="003740F3">
        <w:rPr>
          <w:iCs/>
          <w:noProof/>
          <w:w w:val="102"/>
        </w:rPr>
        <w:t>từ việc cấp ý kiến pháp lý</w:t>
      </w:r>
      <w:r w:rsidRPr="0041625C">
        <w:rPr>
          <w:iCs/>
          <w:noProof/>
          <w:w w:val="102"/>
        </w:rPr>
        <w:t xml:space="preserve"> và (iv) đáp ứng yêu cầu cải</w:t>
      </w:r>
      <w:r w:rsidR="003740F3">
        <w:rPr>
          <w:iCs/>
          <w:noProof/>
          <w:w w:val="102"/>
        </w:rPr>
        <w:t xml:space="preserve"> thủ tục hành chính, áp dụng</w:t>
      </w:r>
      <w:r w:rsidRPr="0041625C">
        <w:rPr>
          <w:iCs/>
          <w:noProof/>
          <w:w w:val="102"/>
        </w:rPr>
        <w:t xml:space="preserve"> chuyển đổi số và</w:t>
      </w:r>
      <w:r w:rsidR="00B05EA2">
        <w:rPr>
          <w:iCs/>
          <w:noProof/>
          <w:w w:val="102"/>
        </w:rPr>
        <w:t>o cấp ý kiến pháp lý</w:t>
      </w:r>
      <w:r w:rsidRPr="0041625C">
        <w:rPr>
          <w:iCs/>
          <w:noProof/>
          <w:w w:val="102"/>
        </w:rPr>
        <w:t>.</w:t>
      </w:r>
    </w:p>
    <w:p w14:paraId="3FCB9F18" w14:textId="50EB1556" w:rsidR="0041625C" w:rsidRPr="00B05EA2" w:rsidRDefault="003166F1" w:rsidP="00BB1715">
      <w:pPr>
        <w:tabs>
          <w:tab w:val="left" w:pos="3052"/>
        </w:tabs>
        <w:spacing w:before="120" w:after="120" w:line="264" w:lineRule="auto"/>
        <w:ind w:firstLine="720"/>
        <w:jc w:val="both"/>
        <w:rPr>
          <w:b/>
          <w:bCs/>
          <w:iCs/>
          <w:noProof/>
          <w:w w:val="102"/>
          <w:lang w:val="nl-NL"/>
        </w:rPr>
      </w:pPr>
      <w:r>
        <w:rPr>
          <w:b/>
          <w:bCs/>
          <w:iCs/>
          <w:noProof/>
          <w:w w:val="102"/>
          <w:lang w:val="nl-NL"/>
        </w:rPr>
        <w:t>2</w:t>
      </w:r>
      <w:r w:rsidRPr="003166F1">
        <w:rPr>
          <w:b/>
          <w:bCs/>
          <w:iCs/>
          <w:noProof/>
          <w:w w:val="102"/>
          <w:lang w:val="nl-NL"/>
        </w:rPr>
        <w:t xml:space="preserve">. </w:t>
      </w:r>
      <w:r>
        <w:rPr>
          <w:b/>
          <w:bCs/>
          <w:iCs/>
          <w:noProof/>
          <w:w w:val="102"/>
          <w:lang w:val="nl-NL"/>
        </w:rPr>
        <w:t>Cơ sở chính trị và pháp lý</w:t>
      </w:r>
    </w:p>
    <w:p w14:paraId="5C81A216" w14:textId="7CF830BD" w:rsidR="009A29A4" w:rsidRPr="009A29A4" w:rsidRDefault="009A29A4" w:rsidP="00BB1715">
      <w:pPr>
        <w:tabs>
          <w:tab w:val="left" w:pos="3052"/>
        </w:tabs>
        <w:spacing w:before="120" w:after="120" w:line="264" w:lineRule="auto"/>
        <w:ind w:firstLine="720"/>
        <w:jc w:val="both"/>
        <w:rPr>
          <w:b/>
          <w:bCs/>
          <w:iCs/>
          <w:noProof/>
          <w:w w:val="102"/>
          <w:lang w:val="nl-NL"/>
        </w:rPr>
      </w:pPr>
      <w:r w:rsidRPr="009A29A4">
        <w:rPr>
          <w:b/>
          <w:bCs/>
          <w:iCs/>
          <w:noProof/>
          <w:w w:val="102"/>
          <w:lang w:val="nl-NL"/>
        </w:rPr>
        <w:t>2.1. Cơ sở chính trị</w:t>
      </w:r>
    </w:p>
    <w:p w14:paraId="4E3A53EC" w14:textId="5DA9F750" w:rsidR="0041625C" w:rsidRDefault="00523DD6" w:rsidP="00BB1715">
      <w:pPr>
        <w:tabs>
          <w:tab w:val="left" w:pos="3052"/>
        </w:tabs>
        <w:spacing w:before="120" w:after="120" w:line="264" w:lineRule="auto"/>
        <w:ind w:firstLine="720"/>
        <w:jc w:val="both"/>
        <w:rPr>
          <w:iCs/>
          <w:noProof/>
          <w:w w:val="102"/>
        </w:rPr>
      </w:pPr>
      <w:r>
        <w:rPr>
          <w:iCs/>
          <w:noProof/>
          <w:w w:val="102"/>
          <w:lang w:val="nl-NL"/>
        </w:rPr>
        <w:t xml:space="preserve">Nghị quyết số 66-NQ/TW ngày 30/4/2025 của Bộ Chính trị </w:t>
      </w:r>
      <w:bookmarkStart w:id="0" w:name="loai_1_name_name"/>
      <w:r w:rsidRPr="00523DD6">
        <w:rPr>
          <w:iCs/>
          <w:noProof/>
          <w:w w:val="102"/>
        </w:rPr>
        <w:t>về đổi mới công tác xây dựng và thi hành pháp luật đáp ứng yêu cầu phát triển đất nước trong kỷ nguyên mới</w:t>
      </w:r>
      <w:bookmarkEnd w:id="0"/>
      <w:r>
        <w:rPr>
          <w:iCs/>
          <w:noProof/>
          <w:w w:val="102"/>
        </w:rPr>
        <w:t xml:space="preserve"> nêu mục tiêu: </w:t>
      </w:r>
      <w:r w:rsidRPr="00523DD6">
        <w:rPr>
          <w:i/>
          <w:noProof/>
          <w:w w:val="102"/>
        </w:rPr>
        <w:t>“Việt Nam có hệ thống pháp luật dân chủ, công bằng, đồng bộ, thống nhất, công khai, minh bạch, khả thi với cơ chế tổ chức thực hiện nghiêm minh, nhất quán, bảo đảm cơ sở pháp lý cho hoạt động bình thường, liên tục, thông suốt của các cơ quan sau sắp xếp tổ chức bộ máy, tháo gỡ vướng mắc phát sinh từ thực tiễn, mở đường cho kiến tạo phát triển”</w:t>
      </w:r>
      <w:r w:rsidR="00E620D9">
        <w:rPr>
          <w:iCs/>
          <w:noProof/>
          <w:w w:val="102"/>
        </w:rPr>
        <w:t xml:space="preserve"> và nêu nhiệm vụ: </w:t>
      </w:r>
      <w:r w:rsidR="00E620D9" w:rsidRPr="00E620D9">
        <w:rPr>
          <w:i/>
          <w:noProof/>
          <w:w w:val="102"/>
        </w:rPr>
        <w:t>“Xác định xây dựng, hoàn thiện thể chế, pháp luật và kiểm tra, giám sát việc tổ chức thi hành pháp luật là nhiệm vụ trọng tâm, xuyên suốt, thường xuyên của các bộ, ngành Trung ương”</w:t>
      </w:r>
      <w:r w:rsidR="0041625C">
        <w:rPr>
          <w:iCs/>
          <w:noProof/>
          <w:w w:val="102"/>
        </w:rPr>
        <w:t>.</w:t>
      </w:r>
    </w:p>
    <w:p w14:paraId="22509D9E" w14:textId="522CE028" w:rsidR="00C8129D" w:rsidRPr="00643C79" w:rsidRDefault="00C8129D" w:rsidP="00BB1715">
      <w:pPr>
        <w:tabs>
          <w:tab w:val="left" w:pos="3052"/>
        </w:tabs>
        <w:spacing w:before="120" w:after="120" w:line="264" w:lineRule="auto"/>
        <w:ind w:firstLine="720"/>
        <w:jc w:val="both"/>
        <w:rPr>
          <w:iCs/>
          <w:noProof/>
          <w:w w:val="102"/>
        </w:rPr>
      </w:pPr>
      <w:r w:rsidRPr="00643C79">
        <w:rPr>
          <w:iCs/>
          <w:noProof/>
          <w:w w:val="102"/>
        </w:rPr>
        <w:t>Nghị quyết số 07-NQ/TW</w:t>
      </w:r>
      <w:r>
        <w:rPr>
          <w:iCs/>
          <w:noProof/>
          <w:w w:val="102"/>
        </w:rPr>
        <w:t xml:space="preserve"> ngày 18/11/2016 của Bộ Chính trị</w:t>
      </w:r>
      <w:r w:rsidRPr="00643C79">
        <w:rPr>
          <w:iCs/>
          <w:noProof/>
          <w:w w:val="102"/>
        </w:rPr>
        <w:t xml:space="preserve"> về chủ trương, giải pháp cơ cấu lại ngân sách nhà nước, quản lý nợ công để đảm bảo nền tài chính quốc gia an toàn, bền vững</w:t>
      </w:r>
      <w:r>
        <w:rPr>
          <w:iCs/>
          <w:noProof/>
          <w:w w:val="102"/>
        </w:rPr>
        <w:t xml:space="preserve"> nêu chủ trương: </w:t>
      </w:r>
      <w:r w:rsidRPr="00643C79">
        <w:rPr>
          <w:i/>
          <w:noProof/>
          <w:w w:val="102"/>
        </w:rPr>
        <w:t>“</w:t>
      </w:r>
      <w:r w:rsidR="00C566AF" w:rsidRPr="00C566AF">
        <w:rPr>
          <w:i/>
          <w:noProof/>
          <w:w w:val="102"/>
        </w:rPr>
        <w:t>Hoàn thiện thể chế, đặc biệt là các chính sách, công cụ, bộ máy quản lý nợ công bảo đảm đúng quy định của Hiến pháp và pháp luật có liên quan để kiểm soát toàn diện rủi ro và hiệu quả nợ công</w:t>
      </w:r>
      <w:r w:rsidR="00C566AF">
        <w:rPr>
          <w:i/>
          <w:noProof/>
          <w:w w:val="102"/>
        </w:rPr>
        <w:t xml:space="preserve">… </w:t>
      </w:r>
      <w:r w:rsidRPr="00643C79">
        <w:rPr>
          <w:i/>
          <w:noProof/>
          <w:w w:val="102"/>
        </w:rPr>
        <w:t>Hạn chế tối đa cấp bảo lãnh chính phủ cho các khoản vay mới”</w:t>
      </w:r>
      <w:r>
        <w:rPr>
          <w:iCs/>
          <w:noProof/>
          <w:w w:val="102"/>
        </w:rPr>
        <w:t>.</w:t>
      </w:r>
    </w:p>
    <w:p w14:paraId="31AB8193" w14:textId="77777777" w:rsidR="0041625C" w:rsidRDefault="00D32D5E" w:rsidP="00BB1715">
      <w:pPr>
        <w:tabs>
          <w:tab w:val="left" w:pos="3052"/>
        </w:tabs>
        <w:spacing w:before="120" w:after="120" w:line="264" w:lineRule="auto"/>
        <w:ind w:firstLine="720"/>
        <w:jc w:val="both"/>
        <w:rPr>
          <w:iCs/>
          <w:noProof/>
          <w:w w:val="102"/>
          <w:lang w:val="nl-NL"/>
        </w:rPr>
      </w:pPr>
      <w:r w:rsidRPr="009E735E">
        <w:rPr>
          <w:iCs/>
          <w:noProof/>
          <w:w w:val="102"/>
          <w:lang w:val="nl-NL"/>
        </w:rPr>
        <w:t>Nghị quyết số 27-NQ/TW ngày 09/11/2022 Hội nghị lần thứ sáu Ban Chấp hành Trung ương Đảng khóa XIII về tiếp tục xây dựng và hoàn thiện nhà nước pháp quyền xã hội chủ nghĩa Việt Nam trong giai đoạn mới có nêu trọng tâm</w:t>
      </w:r>
      <w:r w:rsidR="00523DD6">
        <w:rPr>
          <w:iCs/>
          <w:noProof/>
          <w:w w:val="102"/>
          <w:lang w:val="nl-NL"/>
        </w:rPr>
        <w:t>:</w:t>
      </w:r>
      <w:r w:rsidRPr="009E735E">
        <w:rPr>
          <w:iCs/>
          <w:noProof/>
          <w:w w:val="102"/>
          <w:lang w:val="nl-NL"/>
        </w:rPr>
        <w:t xml:space="preserve"> </w:t>
      </w:r>
      <w:r w:rsidRPr="009E735E">
        <w:rPr>
          <w:i/>
          <w:iCs/>
          <w:noProof/>
          <w:w w:val="102"/>
          <w:lang w:val="nl-NL"/>
        </w:rPr>
        <w:t>“tiếp tục đẩy mạnh cải cách hành chính”,</w:t>
      </w:r>
      <w:r w:rsidRPr="009E735E">
        <w:rPr>
          <w:iCs/>
          <w:noProof/>
          <w:w w:val="102"/>
          <w:lang w:val="nl-NL"/>
        </w:rPr>
        <w:t xml:space="preserve"> nhiệm vụ </w:t>
      </w:r>
      <w:r w:rsidRPr="009E735E">
        <w:rPr>
          <w:i/>
          <w:iCs/>
          <w:noProof/>
          <w:w w:val="102"/>
          <w:lang w:val="nl-NL"/>
        </w:rPr>
        <w:t>“chú trọng lãnh đạo đổi mới, nâng cao chất lượng lập pháp, cải cách hành chính và cải cách tư pháp”</w:t>
      </w:r>
      <w:r w:rsidR="0041625C">
        <w:rPr>
          <w:iCs/>
          <w:noProof/>
          <w:w w:val="102"/>
          <w:lang w:val="nl-NL"/>
        </w:rPr>
        <w:t>.</w:t>
      </w:r>
    </w:p>
    <w:p w14:paraId="73DE02E1" w14:textId="350BBC4A" w:rsidR="00D32D5E" w:rsidRPr="0041625C" w:rsidRDefault="00D32D5E" w:rsidP="00BB1715">
      <w:pPr>
        <w:tabs>
          <w:tab w:val="left" w:pos="3052"/>
        </w:tabs>
        <w:spacing w:before="120" w:after="120" w:line="264" w:lineRule="auto"/>
        <w:ind w:firstLine="720"/>
        <w:jc w:val="both"/>
        <w:rPr>
          <w:b/>
          <w:bCs/>
          <w:iCs/>
          <w:noProof/>
          <w:w w:val="102"/>
          <w:lang w:val="nl-NL"/>
        </w:rPr>
      </w:pPr>
      <w:r w:rsidRPr="009E735E">
        <w:rPr>
          <w:iCs/>
          <w:noProof/>
          <w:w w:val="102"/>
          <w:lang w:val="nl-NL" w:bidi="vi-VN"/>
        </w:rPr>
        <w:t>Nghị quyết số 131/NQ-CP ngày 06/10/2022 của Chính phủ về đẩy mạnh cải cách thủ tục hành chính và hiện đại hóa phương thức chỉ đạo, điều hành phục vụ người dân, doanh nghiệp</w:t>
      </w:r>
      <w:r w:rsidRPr="009E735E">
        <w:rPr>
          <w:iCs/>
          <w:noProof/>
          <w:w w:val="102"/>
          <w:lang w:val="nl-NL"/>
        </w:rPr>
        <w:t xml:space="preserve"> nêu</w:t>
      </w:r>
      <w:r w:rsidR="00523DD6">
        <w:rPr>
          <w:iCs/>
          <w:noProof/>
          <w:w w:val="102"/>
          <w:lang w:val="nl-NL"/>
        </w:rPr>
        <w:t>:</w:t>
      </w:r>
      <w:r w:rsidRPr="009E735E">
        <w:rPr>
          <w:iCs/>
          <w:noProof/>
          <w:w w:val="102"/>
          <w:lang w:val="nl-NL"/>
        </w:rPr>
        <w:t xml:space="preserve"> </w:t>
      </w:r>
      <w:r w:rsidRPr="009E735E">
        <w:rPr>
          <w:i/>
          <w:iCs/>
          <w:noProof/>
          <w:w w:val="102"/>
          <w:lang w:val="nl-NL"/>
        </w:rPr>
        <w:t>“Chính phủ xác định cải cách thủ tục hành chính và hiện đại hóa phương thức chỉ đạo, điều hành là nhiệm vụ quan trọng, thường xuyên”</w:t>
      </w:r>
      <w:r w:rsidR="0096071D">
        <w:rPr>
          <w:iCs/>
          <w:noProof/>
          <w:w w:val="102"/>
          <w:lang w:val="nl-NL"/>
        </w:rPr>
        <w:t>.</w:t>
      </w:r>
    </w:p>
    <w:p w14:paraId="272166DA" w14:textId="63C4D799" w:rsidR="00D32D5E" w:rsidRPr="009E735E" w:rsidRDefault="00D32D5E"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Tại </w:t>
      </w:r>
      <w:r w:rsidRPr="009E735E">
        <w:rPr>
          <w:iCs/>
          <w:noProof/>
          <w:w w:val="102"/>
          <w:lang w:val="nl-NL" w:bidi="vi-VN"/>
        </w:rPr>
        <w:t>Chỉ thị số 23/CT-TTg ngày 02/9/2021 của Thủ tướng Chính phủ về việc đẩy mạnh thực hiện Chương trình tổng thể cải cách hành chính nhà nước giai đoạn 2021-2030</w:t>
      </w:r>
      <w:r w:rsidRPr="009E735E">
        <w:rPr>
          <w:iCs/>
          <w:noProof/>
          <w:w w:val="102"/>
          <w:lang w:val="nl-NL"/>
        </w:rPr>
        <w:t>, Thủ tướng Chính phủ đã chỉ thị</w:t>
      </w:r>
      <w:r w:rsidR="00523DD6">
        <w:rPr>
          <w:iCs/>
          <w:noProof/>
          <w:w w:val="102"/>
          <w:lang w:val="nl-NL"/>
        </w:rPr>
        <w:t>:</w:t>
      </w:r>
      <w:r w:rsidRPr="009E735E">
        <w:rPr>
          <w:iCs/>
          <w:noProof/>
          <w:w w:val="102"/>
          <w:lang w:val="nl-NL"/>
        </w:rPr>
        <w:t xml:space="preserve"> </w:t>
      </w:r>
      <w:r w:rsidRPr="009E735E">
        <w:rPr>
          <w:i/>
          <w:iCs/>
          <w:noProof/>
          <w:w w:val="102"/>
          <w:lang w:val="nl-NL"/>
        </w:rPr>
        <w:t>“Triển khai thực hiện cải cách thủ tục hành chính một cách quyết liệt, thực chất, hiệu quả hơn”</w:t>
      </w:r>
      <w:r w:rsidR="0096071D">
        <w:rPr>
          <w:iCs/>
          <w:noProof/>
          <w:w w:val="102"/>
          <w:lang w:val="nl-NL"/>
        </w:rPr>
        <w:t>.</w:t>
      </w:r>
      <w:r w:rsidRPr="009E735E">
        <w:rPr>
          <w:iCs/>
          <w:noProof/>
          <w:w w:val="102"/>
          <w:lang w:val="nl-NL"/>
        </w:rPr>
        <w:t xml:space="preserve"> </w:t>
      </w:r>
    </w:p>
    <w:p w14:paraId="35E4DE67" w14:textId="26F03405" w:rsidR="009A29A4" w:rsidRDefault="00D32D5E" w:rsidP="00BB1715">
      <w:pPr>
        <w:tabs>
          <w:tab w:val="left" w:pos="3052"/>
        </w:tabs>
        <w:spacing w:before="120" w:after="120" w:line="264" w:lineRule="auto"/>
        <w:ind w:firstLine="720"/>
        <w:jc w:val="both"/>
        <w:rPr>
          <w:iCs/>
          <w:noProof/>
          <w:w w:val="102"/>
          <w:lang w:val="nl-NL"/>
        </w:rPr>
      </w:pPr>
      <w:r w:rsidRPr="009E735E">
        <w:rPr>
          <w:iCs/>
          <w:noProof/>
          <w:w w:val="102"/>
          <w:lang w:val="nl-NL" w:bidi="vi-VN"/>
        </w:rPr>
        <w:t xml:space="preserve">Tại Văn bản số 196/TB-VPCP ngày 04/5/2024 của Văn phòng Chính phủ thông báo Kết luận của Phó Thủ tướng Chính phủ Trần Lưu Quang tại cuộc họp Ban </w:t>
      </w:r>
      <w:r w:rsidRPr="009E735E">
        <w:rPr>
          <w:iCs/>
          <w:noProof/>
          <w:w w:val="102"/>
          <w:lang w:val="nl-NL"/>
        </w:rPr>
        <w:t>C</w:t>
      </w:r>
      <w:r w:rsidRPr="009E735E">
        <w:rPr>
          <w:iCs/>
          <w:noProof/>
          <w:w w:val="102"/>
          <w:lang w:val="nl-NL" w:bidi="vi-VN"/>
        </w:rPr>
        <w:t xml:space="preserve">hỉ đạo </w:t>
      </w:r>
      <w:r w:rsidRPr="009E735E">
        <w:rPr>
          <w:iCs/>
          <w:noProof/>
          <w:w w:val="102"/>
          <w:lang w:val="nl-NL"/>
        </w:rPr>
        <w:t>Q</w:t>
      </w:r>
      <w:r w:rsidRPr="009E735E">
        <w:rPr>
          <w:iCs/>
          <w:noProof/>
          <w:w w:val="102"/>
          <w:lang w:val="nl-NL" w:bidi="vi-VN"/>
        </w:rPr>
        <w:t>uốc gia về ODA và vốn vay ưu đãi nước ngoài với các đối tác phát triển, Phó Thủ tướng Chính phủ Trần Lưu Quang đã giao các Bộ nhiệm vụ</w:t>
      </w:r>
      <w:r w:rsidRPr="009E735E">
        <w:rPr>
          <w:iCs/>
          <w:noProof/>
          <w:w w:val="102"/>
          <w:lang w:val="nl-NL"/>
        </w:rPr>
        <w:t>:</w:t>
      </w:r>
      <w:r w:rsidRPr="009E735E">
        <w:rPr>
          <w:iCs/>
          <w:noProof/>
          <w:w w:val="102"/>
          <w:lang w:val="nl-NL" w:bidi="vi-VN"/>
        </w:rPr>
        <w:t xml:space="preserve"> </w:t>
      </w:r>
      <w:r w:rsidRPr="009E735E">
        <w:rPr>
          <w:i/>
          <w:iCs/>
          <w:noProof/>
          <w:w w:val="102"/>
          <w:lang w:val="nl-NL"/>
        </w:rPr>
        <w:t>(</w:t>
      </w:r>
      <w:r w:rsidRPr="009E735E">
        <w:rPr>
          <w:i/>
          <w:iCs/>
          <w:noProof/>
          <w:w w:val="102"/>
          <w:lang w:val="nl-NL" w:bidi="vi-VN"/>
        </w:rPr>
        <w:t>i) rà soát, báo cáo cấp có thẩm quyền sửa đổi quy định pháp luật đầu tư công theo hướng đơn giản hóa thủ tục đối với các dự án ODA; (ii) cải tiến chất lượng, hiệu quả, thời hạn giải quyết các thủ tục về giải ngân</w:t>
      </w:r>
      <w:r w:rsidRPr="009E735E">
        <w:rPr>
          <w:iCs/>
          <w:noProof/>
          <w:w w:val="102"/>
          <w:lang w:val="nl-NL"/>
        </w:rPr>
        <w:t>.</w:t>
      </w:r>
      <w:r w:rsidR="00770FC0">
        <w:rPr>
          <w:iCs/>
          <w:noProof/>
          <w:w w:val="102"/>
          <w:lang w:val="nl-NL"/>
        </w:rPr>
        <w:t xml:space="preserve"> </w:t>
      </w:r>
    </w:p>
    <w:p w14:paraId="68086886" w14:textId="77777777" w:rsidR="00C8129D" w:rsidRPr="009A29A4" w:rsidRDefault="00C8129D" w:rsidP="00BB1715">
      <w:pPr>
        <w:tabs>
          <w:tab w:val="left" w:pos="3052"/>
        </w:tabs>
        <w:spacing w:before="120" w:after="120" w:line="264" w:lineRule="auto"/>
        <w:ind w:firstLine="720"/>
        <w:jc w:val="both"/>
        <w:rPr>
          <w:b/>
          <w:bCs/>
          <w:iCs/>
          <w:noProof/>
          <w:w w:val="102"/>
          <w:lang w:val="nl-NL"/>
        </w:rPr>
      </w:pPr>
      <w:r w:rsidRPr="009A29A4">
        <w:rPr>
          <w:b/>
          <w:bCs/>
          <w:iCs/>
          <w:noProof/>
          <w:w w:val="102"/>
          <w:lang w:val="nl-NL"/>
        </w:rPr>
        <w:t>2.2. Cơ sở pháp lý</w:t>
      </w:r>
    </w:p>
    <w:p w14:paraId="259ECC2D" w14:textId="3B628636" w:rsidR="00C8129D" w:rsidRDefault="00C8129D" w:rsidP="00BB1715">
      <w:pPr>
        <w:tabs>
          <w:tab w:val="left" w:pos="3052"/>
        </w:tabs>
        <w:spacing w:before="120" w:after="120" w:line="264" w:lineRule="auto"/>
        <w:ind w:firstLine="720"/>
        <w:jc w:val="both"/>
        <w:rPr>
          <w:iCs/>
          <w:noProof/>
          <w:w w:val="102"/>
        </w:rPr>
      </w:pPr>
      <w:r w:rsidRPr="000F536F">
        <w:rPr>
          <w:iCs/>
          <w:noProof/>
          <w:w w:val="102"/>
        </w:rPr>
        <w:t>Luật Đầu tư theo phương thức đối tác công tư số 64/2020/QH14</w:t>
      </w:r>
      <w:r>
        <w:rPr>
          <w:iCs/>
          <w:noProof/>
          <w:w w:val="102"/>
        </w:rPr>
        <w:t xml:space="preserve"> được sửa đổi, bổ sung bởi </w:t>
      </w:r>
      <w:r w:rsidRPr="000F536F">
        <w:rPr>
          <w:iCs/>
          <w:noProof/>
          <w:w w:val="102"/>
        </w:rPr>
        <w:t>Luật số 03/2022/QH15</w:t>
      </w:r>
      <w:r>
        <w:rPr>
          <w:iCs/>
          <w:noProof/>
          <w:w w:val="102"/>
        </w:rPr>
        <w:t xml:space="preserve">, </w:t>
      </w:r>
      <w:r w:rsidRPr="000F536F">
        <w:rPr>
          <w:iCs/>
          <w:noProof/>
          <w:w w:val="102"/>
        </w:rPr>
        <w:t>Luật số 28/2023/QH15</w:t>
      </w:r>
      <w:r>
        <w:rPr>
          <w:iCs/>
          <w:noProof/>
          <w:w w:val="102"/>
        </w:rPr>
        <w:t xml:space="preserve">, </w:t>
      </w:r>
      <w:r w:rsidRPr="000F536F">
        <w:rPr>
          <w:iCs/>
          <w:noProof/>
          <w:w w:val="102"/>
        </w:rPr>
        <w:t>Luật số 35/2024/QH15</w:t>
      </w:r>
      <w:r>
        <w:rPr>
          <w:iCs/>
          <w:noProof/>
          <w:w w:val="102"/>
        </w:rPr>
        <w:t xml:space="preserve">, </w:t>
      </w:r>
      <w:r w:rsidRPr="000F536F">
        <w:rPr>
          <w:iCs/>
          <w:noProof/>
          <w:w w:val="102"/>
        </w:rPr>
        <w:t>Luật số 57/2024/QH15</w:t>
      </w:r>
      <w:r>
        <w:rPr>
          <w:iCs/>
          <w:noProof/>
          <w:w w:val="102"/>
        </w:rPr>
        <w:t xml:space="preserve">, </w:t>
      </w:r>
      <w:r w:rsidRPr="000F536F">
        <w:rPr>
          <w:iCs/>
          <w:noProof/>
          <w:w w:val="102"/>
        </w:rPr>
        <w:t>Luật số 90/2025/QH15</w:t>
      </w:r>
      <w:r>
        <w:rPr>
          <w:iCs/>
          <w:noProof/>
          <w:w w:val="102"/>
        </w:rPr>
        <w:t xml:space="preserve"> (Luật </w:t>
      </w:r>
      <w:r w:rsidRPr="000F536F">
        <w:rPr>
          <w:iCs/>
          <w:noProof/>
          <w:w w:val="102"/>
        </w:rPr>
        <w:t>Đầu tư theo phương thức đối tác công tư</w:t>
      </w:r>
      <w:r>
        <w:rPr>
          <w:iCs/>
          <w:noProof/>
          <w:w w:val="102"/>
        </w:rPr>
        <w:t>) không có quy định về cấp ý kiến pháp lý</w:t>
      </w:r>
      <w:r w:rsidR="000A1A5C">
        <w:rPr>
          <w:iCs/>
          <w:noProof/>
          <w:w w:val="102"/>
        </w:rPr>
        <w:t xml:space="preserve"> cho các dự án đầu tư theo phương thức đối tác công tư</w:t>
      </w:r>
      <w:r>
        <w:rPr>
          <w:iCs/>
          <w:noProof/>
          <w:w w:val="102"/>
        </w:rPr>
        <w:t>.</w:t>
      </w:r>
    </w:p>
    <w:p w14:paraId="0829D045" w14:textId="0F2ECD23" w:rsidR="00C8129D" w:rsidRDefault="00C8129D" w:rsidP="00BB1715">
      <w:pPr>
        <w:tabs>
          <w:tab w:val="left" w:pos="3052"/>
        </w:tabs>
        <w:spacing w:before="120" w:after="120" w:line="264" w:lineRule="auto"/>
        <w:ind w:firstLine="720"/>
        <w:jc w:val="both"/>
        <w:rPr>
          <w:iCs/>
          <w:noProof/>
          <w:w w:val="102"/>
          <w:lang w:val="nl-NL"/>
        </w:rPr>
      </w:pPr>
      <w:r w:rsidRPr="00770FC0">
        <w:rPr>
          <w:iCs/>
          <w:noProof/>
          <w:w w:val="102"/>
          <w:lang w:val="nl-NL"/>
        </w:rPr>
        <w:t>Luật sửa đổi, bổ sung một số điều của Luật Quản lý nợ công</w:t>
      </w:r>
      <w:r w:rsidR="00742142">
        <w:rPr>
          <w:iCs/>
          <w:noProof/>
          <w:w w:val="102"/>
          <w:lang w:val="nl-NL"/>
        </w:rPr>
        <w:t xml:space="preserve"> số 20/2017/QH14 (Luật</w:t>
      </w:r>
      <w:r>
        <w:rPr>
          <w:iCs/>
          <w:noProof/>
          <w:w w:val="102"/>
          <w:lang w:val="nl-NL"/>
        </w:rPr>
        <w:t xml:space="preserve"> số 141/2025/QH15</w:t>
      </w:r>
      <w:r w:rsidR="00742142">
        <w:rPr>
          <w:iCs/>
          <w:noProof/>
          <w:w w:val="102"/>
          <w:lang w:val="nl-NL"/>
        </w:rPr>
        <w:t>)</w:t>
      </w:r>
      <w:r>
        <w:rPr>
          <w:iCs/>
          <w:noProof/>
          <w:w w:val="102"/>
          <w:lang w:val="nl-NL"/>
        </w:rPr>
        <w:t>, trong đó, có nhiều quy định mới về quản lý và sử dụng vốn vay ODA, vay ưu đãi.</w:t>
      </w:r>
    </w:p>
    <w:p w14:paraId="4B94970A" w14:textId="24EBE12A" w:rsidR="00443682" w:rsidRPr="00A71C23" w:rsidRDefault="0068049E" w:rsidP="00BB1715">
      <w:pPr>
        <w:tabs>
          <w:tab w:val="left" w:pos="3052"/>
        </w:tabs>
        <w:spacing w:before="120" w:after="120" w:line="264" w:lineRule="auto"/>
        <w:ind w:firstLine="720"/>
        <w:jc w:val="both"/>
        <w:rPr>
          <w:b/>
          <w:bCs/>
          <w:iCs/>
          <w:noProof/>
          <w:w w:val="102"/>
          <w:lang w:val="nl-NL"/>
        </w:rPr>
      </w:pPr>
      <w:r>
        <w:rPr>
          <w:b/>
          <w:bCs/>
          <w:iCs/>
          <w:noProof/>
          <w:w w:val="102"/>
          <w:lang w:val="nl-NL"/>
        </w:rPr>
        <w:t>3</w:t>
      </w:r>
      <w:r w:rsidR="00443682" w:rsidRPr="00A71C23">
        <w:rPr>
          <w:b/>
          <w:bCs/>
          <w:iCs/>
          <w:noProof/>
          <w:w w:val="102"/>
          <w:lang w:val="nl-NL"/>
        </w:rPr>
        <w:t>. Quá trình thực hiện tổng kết</w:t>
      </w:r>
    </w:p>
    <w:p w14:paraId="0047846F" w14:textId="21721EB1" w:rsidR="00443682" w:rsidRPr="009E735E" w:rsidRDefault="00443682"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Thực hiện Luật Ban hành văn bản quy </w:t>
      </w:r>
      <w:r w:rsidR="0088704B">
        <w:rPr>
          <w:iCs/>
          <w:noProof/>
          <w:w w:val="102"/>
          <w:lang w:val="nl-NL"/>
        </w:rPr>
        <w:t xml:space="preserve">phạm pháp luật số 80/2015/QH13 được </w:t>
      </w:r>
      <w:r w:rsidRPr="009E735E">
        <w:rPr>
          <w:iCs/>
          <w:noProof/>
          <w:w w:val="102"/>
          <w:lang w:val="nl-NL"/>
        </w:rPr>
        <w:t xml:space="preserve">sửa đổi, bổ sung bởi Luật số 63/2020/QH14, Bộ Tư pháp đã trình Thủ tướng Chính phủ hồ sơ đề nghị xây dựng Nghị định bãi bỏ Nghị định số 51/2015/NĐ-CP (gồm Tờ trình số 110/TTr-BTP và Báo cáo tổng kết số 502/BC-BTP ngày 10/12/2024); </w:t>
      </w:r>
    </w:p>
    <w:p w14:paraId="52B03412" w14:textId="2BAC0B02" w:rsidR="00443682" w:rsidRPr="009E735E" w:rsidRDefault="00443682"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Ngày 30/6/2025, Bộ Tư pháp tiếp tục có Công văn số 3106/BTP-PLQT báo cáo Lãnh đạo Chính phủ về một số nội dung liên quan đến việc bãi bỏ Nghị định số 51/2015/NĐ-CP; </w:t>
      </w:r>
    </w:p>
    <w:p w14:paraId="4CCA74A6" w14:textId="0CE844C5" w:rsidR="00443682" w:rsidRPr="009E735E" w:rsidRDefault="00443682"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Ngày 04/7/2025, tại Trụ sở Chính phủ, Phó Thủ tướng Chính phủ Lê Thành Long đã chủ trì cuộc họp về vấn đề này. Tại Văn bản số 360/TB-VPCP ngày 10/7/2025 của Văn phòng Chính phủ thông báo Kết luận cuộc họp, Phó Thủ tướng Chính phủ Lê Thành Long giao: </w:t>
      </w:r>
      <w:r w:rsidRPr="009E735E">
        <w:rPr>
          <w:i/>
          <w:iCs/>
          <w:noProof/>
          <w:w w:val="102"/>
          <w:lang w:val="nl-NL"/>
        </w:rPr>
        <w:t>“Bộ Tư pháp chủ trì, phối hợp chặt chẽ với các Bộ, cơ quan: Tài chính, Công an, Ngoại giao, Xây dựng, Nông nghiệp và Môi trường, Ngân hàng Nhà nước Việt Nam và các cơ quan khác có liên quan tiếp tục nghiên cứu, rà soát, đánh giá kỹ tác động của việc bãi bỏ Nghị định số 51/2015/NĐ-CP; trên cơ sở đó, đề xuất, kiến nghị việc sửa đổi, bổ sung, thay thế hoặc bãi bỏ Nghị định số 51/2015/NĐ-CP và đề xuất các giải pháp liên quan phù hợp, khả thi, hiệu quả, báo cáo Thủ tướng Chính phủ trong năm 2025”</w:t>
      </w:r>
      <w:r w:rsidR="00270647" w:rsidRPr="009E735E">
        <w:rPr>
          <w:iCs/>
          <w:noProof/>
          <w:w w:val="102"/>
          <w:lang w:val="nl-NL"/>
        </w:rPr>
        <w:t>;</w:t>
      </w:r>
    </w:p>
    <w:p w14:paraId="6F5159DD" w14:textId="036756A5" w:rsidR="00443682" w:rsidRPr="009E735E" w:rsidRDefault="00443682"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Ngày </w:t>
      </w:r>
      <w:r w:rsidR="00363239" w:rsidRPr="009E735E">
        <w:rPr>
          <w:iCs/>
          <w:noProof/>
          <w:w w:val="102"/>
          <w:lang w:val="nl-NL"/>
        </w:rPr>
        <w:t>19</w:t>
      </w:r>
      <w:r w:rsidRPr="009E735E">
        <w:rPr>
          <w:iCs/>
          <w:noProof/>
          <w:w w:val="102"/>
          <w:lang w:val="nl-NL"/>
        </w:rPr>
        <w:t>/</w:t>
      </w:r>
      <w:r w:rsidR="00363239" w:rsidRPr="009E735E">
        <w:rPr>
          <w:iCs/>
          <w:noProof/>
          <w:w w:val="102"/>
          <w:lang w:val="nl-NL"/>
        </w:rPr>
        <w:t>12</w:t>
      </w:r>
      <w:r w:rsidRPr="009E735E">
        <w:rPr>
          <w:iCs/>
          <w:noProof/>
          <w:w w:val="102"/>
          <w:lang w:val="nl-NL"/>
        </w:rPr>
        <w:t xml:space="preserve">/2025, </w:t>
      </w:r>
      <w:r w:rsidR="00363239" w:rsidRPr="009E735E">
        <w:rPr>
          <w:iCs/>
          <w:noProof/>
          <w:w w:val="102"/>
          <w:lang w:val="nl-NL"/>
        </w:rPr>
        <w:t>Bộ Tư pháp có Công văn số 8419/BTP-PLQT báo cáo Lãnh đạo Chính phủ</w:t>
      </w:r>
      <w:r w:rsidRPr="009E735E">
        <w:rPr>
          <w:iCs/>
          <w:noProof/>
          <w:w w:val="102"/>
          <w:lang w:val="nl-NL"/>
        </w:rPr>
        <w:t>.</w:t>
      </w:r>
      <w:r w:rsidR="00363239" w:rsidRPr="009E735E">
        <w:rPr>
          <w:iCs/>
          <w:noProof/>
          <w:w w:val="102"/>
          <w:lang w:val="nl-NL"/>
        </w:rPr>
        <w:t xml:space="preserve"> Trong đó, Bộ Tư pháp đề xuất Lãnh đạo Chính phủ giao Bộ Tư pháp sửa đổi, bổ sung Nghị định số 51/2015/NĐ-CP;</w:t>
      </w:r>
    </w:p>
    <w:p w14:paraId="2810A7B3" w14:textId="29B03F5D" w:rsidR="00363239" w:rsidRPr="009E735E" w:rsidRDefault="00F9433A"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Tại Công văn số 13012/VPCP-PL ngày 31/12/2025 của Văn phòng Chính phủ, Phó Thủ tướng Chính phủ Hồ Quốc Dũng có ý kiến chỉ đạo như sau: </w:t>
      </w:r>
      <w:r w:rsidRPr="009E735E">
        <w:rPr>
          <w:i/>
          <w:noProof/>
          <w:w w:val="102"/>
          <w:lang w:val="nl-NL"/>
        </w:rPr>
        <w:t>“Bộ Tư pháp chủ trì, phối hợp với các Bộ, cơ quan: Tài chính, Công an, Ngoại giao, Xây dựng, Nông nghiệp và Môi trường, Ngân hàng Nhà nước Việt Nam và các cơ quan có liên quan tiếp tục tổng kết, đánh giá tình hình thực hiện; trên cơ sở đó xây dựng Nghị định sửa đổi, bổ sung một số điều của Nghị định số 51/2015/NĐCP theo đúng quy định của Luật Ban hành văn bản quy phạm pháp luật năm 2025 và các Nghị định hướng dẫn thi hành; trình Chính phủ dự thảo Nghị định trước ngày 30 tháng 6 năm 2026”</w:t>
      </w:r>
      <w:r w:rsidRPr="009E735E">
        <w:rPr>
          <w:iCs/>
          <w:noProof/>
          <w:w w:val="102"/>
          <w:lang w:val="nl-NL"/>
        </w:rPr>
        <w:t>.</w:t>
      </w:r>
    </w:p>
    <w:p w14:paraId="43E01E3E" w14:textId="2699343D" w:rsidR="00F9433A" w:rsidRPr="00A71C23" w:rsidRDefault="00440464" w:rsidP="00BB1715">
      <w:pPr>
        <w:tabs>
          <w:tab w:val="left" w:pos="3052"/>
        </w:tabs>
        <w:spacing w:before="120" w:after="120" w:line="264" w:lineRule="auto"/>
        <w:ind w:firstLine="720"/>
        <w:jc w:val="both"/>
        <w:rPr>
          <w:b/>
          <w:bCs/>
          <w:iCs/>
          <w:noProof/>
          <w:w w:val="102"/>
          <w:lang w:val="nl-NL"/>
        </w:rPr>
      </w:pPr>
      <w:r w:rsidRPr="00A71C23">
        <w:rPr>
          <w:b/>
          <w:bCs/>
          <w:iCs/>
          <w:noProof/>
          <w:w w:val="102"/>
          <w:lang w:val="nl-NL"/>
        </w:rPr>
        <w:t>II. KẾT QUẢ THỰC HIỆN</w:t>
      </w:r>
    </w:p>
    <w:p w14:paraId="447F0FE8" w14:textId="099F397B" w:rsidR="00D32D5E" w:rsidRPr="009E735E" w:rsidRDefault="00452B59"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Nghị định số 51/2015/NĐ-CP quy định Bộ Tư pháp xem xét cấp ý kiến pháp lý đối với các văn bản mà Nhà nước, Chính phủ hoặc cơ quan Nhà nước là một bên trong các trường hợp sau: (i) Điều ước quốc tế về vay vốn hỗ trợ phát triển chính thức (ODA) và vay ưu đãi; văn bản liên quan khác mà Nhà nước, Chính phủ hoặc cơ quan Nhà nước là một bên (nếu có); (ii) Thỏa thuận vay nhân danh Nhà nước, Chính phủ hoặc Bộ Tài chính; (iii) Văn bản bảo lãnh Chính phủ cho các khoản vay được Chính phủ bảo lãnh hoặc văn bản phát hành trái phiếu quốc tế được Chính phủ bảo lãnh; (iv) Thỏa thuận phát hành trái phiếu quốc tế của Chính phủ; (v) </w:t>
      </w:r>
      <w:bookmarkStart w:id="1" w:name="khoan_5_5"/>
      <w:r w:rsidRPr="009E735E">
        <w:rPr>
          <w:iCs/>
          <w:noProof/>
          <w:w w:val="102"/>
          <w:lang w:val="nl-NL"/>
        </w:rPr>
        <w:t>Dự án đầu tư theo hình thức đối tác công - tư (PPP) (bao gồm hợp đồng dự án, văn bản bảo lãnh Chính phủ (nếu có), hợp đồng thuê đất và các văn bản khác liên quan đến dự án mà Nhà nước, Chính phủ hoặc cơ quan nhà nước là một bên)</w:t>
      </w:r>
      <w:bookmarkEnd w:id="1"/>
      <w:r w:rsidRPr="009E735E">
        <w:rPr>
          <w:iCs/>
          <w:noProof/>
          <w:w w:val="102"/>
          <w:lang w:val="nl-NL"/>
        </w:rPr>
        <w:t>; (vi) Các trường hợp đặc biệt khác theo phân công của Chính phủ, Thủ tướng Chính phủ</w:t>
      </w:r>
      <w:r w:rsidR="00A916E4" w:rsidRPr="009E735E">
        <w:rPr>
          <w:iCs/>
          <w:noProof/>
          <w:w w:val="102"/>
          <w:lang w:val="nl-NL"/>
        </w:rPr>
        <w:t>. Bộ Tư pháp đã phối hợp chặt chẽ với các Bộ, ngành, địa phương và cơ quan, tổ chức có liên quan triển khai thi hành Nghị định này.</w:t>
      </w:r>
      <w:r w:rsidR="007B5D05" w:rsidRPr="009E735E">
        <w:rPr>
          <w:iCs/>
          <w:noProof/>
          <w:w w:val="102"/>
          <w:lang w:val="nl-NL"/>
        </w:rPr>
        <w:t xml:space="preserve"> </w:t>
      </w:r>
    </w:p>
    <w:p w14:paraId="008DA33D" w14:textId="6F8A9453" w:rsidR="009B1469" w:rsidRPr="00A71C23" w:rsidRDefault="00A916E4" w:rsidP="00BB1715">
      <w:pPr>
        <w:tabs>
          <w:tab w:val="left" w:pos="3052"/>
        </w:tabs>
        <w:spacing w:before="120" w:after="120" w:line="264" w:lineRule="auto"/>
        <w:ind w:firstLine="720"/>
        <w:jc w:val="both"/>
        <w:rPr>
          <w:b/>
          <w:bCs/>
          <w:iCs/>
          <w:noProof/>
          <w:w w:val="102"/>
          <w:lang w:val="nl-NL"/>
        </w:rPr>
      </w:pPr>
      <w:r w:rsidRPr="00A71C23">
        <w:rPr>
          <w:b/>
          <w:bCs/>
          <w:iCs/>
          <w:noProof/>
          <w:w w:val="102"/>
          <w:lang w:val="nl-NL"/>
        </w:rPr>
        <w:t>1. Kết quả thi hành Nghị định số 51/2015/NĐ-CP</w:t>
      </w:r>
    </w:p>
    <w:p w14:paraId="556D60FA" w14:textId="7A8DE58F" w:rsidR="00A916E4" w:rsidRPr="009E735E" w:rsidRDefault="00A916E4" w:rsidP="00BB1715">
      <w:pPr>
        <w:tabs>
          <w:tab w:val="left" w:pos="3052"/>
        </w:tabs>
        <w:spacing w:before="120" w:after="120" w:line="264" w:lineRule="auto"/>
        <w:ind w:firstLine="720"/>
        <w:jc w:val="both"/>
        <w:rPr>
          <w:iCs/>
          <w:noProof/>
          <w:w w:val="102"/>
          <w:lang w:val="nl-NL"/>
        </w:rPr>
      </w:pPr>
      <w:r w:rsidRPr="009E735E">
        <w:rPr>
          <w:iCs/>
          <w:noProof/>
          <w:w w:val="102"/>
          <w:lang w:val="nl-NL"/>
        </w:rPr>
        <w:t>- Từ khi Nghị định số 51/2015/NĐ-CP có hiệu lực (từ ngày 15/7/2015) đến nay, Bộ Tư pháp đã cấp 208 ý kiến pháp lý. Phần lớn ý kiến pháp lý</w:t>
      </w:r>
      <w:r w:rsidR="008B2BB0">
        <w:rPr>
          <w:iCs/>
          <w:noProof/>
          <w:w w:val="102"/>
          <w:lang w:val="nl-NL"/>
        </w:rPr>
        <w:t xml:space="preserve"> (khoảng 95%)</w:t>
      </w:r>
      <w:r w:rsidRPr="009E735E">
        <w:rPr>
          <w:iCs/>
          <w:noProof/>
          <w:w w:val="102"/>
          <w:lang w:val="nl-NL"/>
        </w:rPr>
        <w:t xml:space="preserve"> được cấp cho các điều ước quốc tế về vốn ODA, thỏa thuận về vốn ODA nhân danh Chính phủ</w:t>
      </w:r>
      <w:r w:rsidR="008B2BB0">
        <w:rPr>
          <w:iCs/>
          <w:noProof/>
          <w:w w:val="102"/>
          <w:lang w:val="nl-NL"/>
        </w:rPr>
        <w:t>; việc cấp ý kiến pháp lý cho các đối tượng khác rất hiếm khi xảy ra</w:t>
      </w:r>
      <w:r w:rsidRPr="009E735E">
        <w:rPr>
          <w:iCs/>
          <w:noProof/>
          <w:w w:val="102"/>
          <w:lang w:val="nl-NL"/>
        </w:rPr>
        <w:t>;</w:t>
      </w:r>
    </w:p>
    <w:p w14:paraId="477E5AC7" w14:textId="602E4B1B" w:rsidR="00A916E4" w:rsidRDefault="00A916E4" w:rsidP="00BB1715">
      <w:pPr>
        <w:tabs>
          <w:tab w:val="left" w:pos="3052"/>
        </w:tabs>
        <w:spacing w:before="120" w:after="120" w:line="264" w:lineRule="auto"/>
        <w:ind w:firstLine="720"/>
        <w:jc w:val="both"/>
        <w:rPr>
          <w:iCs/>
          <w:noProof/>
          <w:w w:val="102"/>
          <w:lang w:val="nl-NL"/>
        </w:rPr>
      </w:pPr>
      <w:r w:rsidRPr="009E735E">
        <w:rPr>
          <w:iCs/>
          <w:noProof/>
          <w:w w:val="102"/>
          <w:lang w:val="nl-NL"/>
        </w:rPr>
        <w:t>- Các ý kiến pháp lý được cấp theo Nghị định số 51/2015/NĐ-CP thể hiện sự cam kết, ràng buộc của Chính phủ Việt Nam với các bên cho vay nước ngoài nên Nghị định này đã có đóng góp lớn trong việc huy động vốn vay, đặc biệt là trong giai đoạn từ thời điểm Nghị định số 51/2015/NĐ-CP được ban hành đến thời điểm Việt Nam “tốt nghiệp” ODA vào tháng 7/2017, khi Việt Nam được các tổ chức quốc tế, Chính phủ nước ngoài cho vay số vốn ODA lớn với mức độ ưu đãi cao.</w:t>
      </w:r>
    </w:p>
    <w:p w14:paraId="3F219BA4" w14:textId="426F2D8E" w:rsidR="00F1677E" w:rsidRPr="003A6A75" w:rsidRDefault="003A6A75" w:rsidP="00BB1715">
      <w:pPr>
        <w:tabs>
          <w:tab w:val="left" w:pos="3052"/>
        </w:tabs>
        <w:spacing w:before="120" w:after="120" w:line="264" w:lineRule="auto"/>
        <w:ind w:firstLine="720"/>
        <w:jc w:val="both"/>
        <w:rPr>
          <w:b/>
          <w:iCs/>
          <w:noProof/>
          <w:w w:val="102"/>
          <w:lang w:val="nl-NL"/>
        </w:rPr>
      </w:pPr>
      <w:r w:rsidRPr="003A6A75">
        <w:rPr>
          <w:b/>
          <w:iCs/>
          <w:noProof/>
          <w:w w:val="102"/>
          <w:lang w:val="nl-NL"/>
        </w:rPr>
        <w:t>2. Ư</w:t>
      </w:r>
      <w:r>
        <w:rPr>
          <w:b/>
          <w:iCs/>
          <w:noProof/>
          <w:w w:val="102"/>
          <w:lang w:val="nl-NL"/>
        </w:rPr>
        <w:t>u</w:t>
      </w:r>
      <w:r w:rsidRPr="003A6A75">
        <w:rPr>
          <w:b/>
          <w:iCs/>
          <w:noProof/>
          <w:w w:val="102"/>
          <w:lang w:val="nl-NL"/>
        </w:rPr>
        <w:t xml:space="preserve"> điểm và hạn chế của Nghị định số 51/2015/NĐ-CP</w:t>
      </w:r>
    </w:p>
    <w:p w14:paraId="1E3489F9" w14:textId="61A2ED1C" w:rsidR="00A916E4" w:rsidRPr="00BD63AD" w:rsidRDefault="00A916E4" w:rsidP="00BB1715">
      <w:pPr>
        <w:tabs>
          <w:tab w:val="left" w:pos="3052"/>
        </w:tabs>
        <w:spacing w:before="120" w:after="120" w:line="264" w:lineRule="auto"/>
        <w:ind w:firstLine="720"/>
        <w:jc w:val="both"/>
        <w:rPr>
          <w:b/>
          <w:bCs/>
          <w:iCs/>
          <w:noProof/>
          <w:w w:val="102"/>
          <w:lang w:val="nl-NL"/>
        </w:rPr>
      </w:pPr>
      <w:r w:rsidRPr="00BD63AD">
        <w:rPr>
          <w:b/>
          <w:bCs/>
          <w:iCs/>
          <w:noProof/>
          <w:w w:val="102"/>
          <w:lang w:val="nl-NL"/>
        </w:rPr>
        <w:t>2.</w:t>
      </w:r>
      <w:r w:rsidR="003A6A75" w:rsidRPr="00BD63AD">
        <w:rPr>
          <w:b/>
          <w:bCs/>
          <w:iCs/>
          <w:noProof/>
          <w:w w:val="102"/>
          <w:lang w:val="nl-NL"/>
        </w:rPr>
        <w:t>1.</w:t>
      </w:r>
      <w:r w:rsidRPr="00BD63AD">
        <w:rPr>
          <w:b/>
          <w:bCs/>
          <w:iCs/>
          <w:noProof/>
          <w:w w:val="102"/>
          <w:lang w:val="nl-NL"/>
        </w:rPr>
        <w:t xml:space="preserve"> Ưu điểm</w:t>
      </w:r>
    </w:p>
    <w:p w14:paraId="1E1098FE" w14:textId="0570EC99" w:rsidR="005E000F" w:rsidRPr="009E735E" w:rsidRDefault="005E000F" w:rsidP="00BB1715">
      <w:pPr>
        <w:tabs>
          <w:tab w:val="left" w:pos="3052"/>
        </w:tabs>
        <w:spacing w:before="120" w:after="120" w:line="264" w:lineRule="auto"/>
        <w:ind w:firstLine="720"/>
        <w:jc w:val="both"/>
        <w:rPr>
          <w:bCs/>
          <w:iCs/>
          <w:noProof/>
          <w:w w:val="102"/>
          <w:lang w:val="nl-NL"/>
        </w:rPr>
      </w:pPr>
      <w:r w:rsidRPr="009E735E">
        <w:rPr>
          <w:iCs/>
          <w:noProof/>
          <w:w w:val="102"/>
          <w:lang w:val="nl-NL"/>
        </w:rPr>
        <w:t>- Nghị định số 51/2015/NĐ-CP quy định</w:t>
      </w:r>
      <w:r w:rsidRPr="009E735E">
        <w:rPr>
          <w:bCs/>
          <w:iCs/>
          <w:noProof/>
          <w:w w:val="102"/>
          <w:lang w:val="nl-NL"/>
        </w:rPr>
        <w:t xml:space="preserve"> về các đối tượng được xem xét cấp ý kiến pháp lý, nguyên tắc, phạm vi, trình tự, thủ tục cấp ý kiến pháp lý, nội dung cơ bản của ý kiến pháp lý do Bộ Tư pháp cấp và trách nhiệm của các cơ quan, tổ chức liên quan. Điều này giúp cho hoạt động cấp ý kiến pháp lý được thực hiện chặt chẽ hơn, rõ ràng và thuận tiện hơn so với trước khi có Nghị định;</w:t>
      </w:r>
    </w:p>
    <w:p w14:paraId="295FD265" w14:textId="010E2D3D" w:rsidR="00A916E4" w:rsidRPr="009E735E" w:rsidRDefault="005E000F" w:rsidP="00BB1715">
      <w:pPr>
        <w:tabs>
          <w:tab w:val="left" w:pos="3052"/>
        </w:tabs>
        <w:spacing w:before="120" w:after="120" w:line="264" w:lineRule="auto"/>
        <w:ind w:firstLine="720"/>
        <w:jc w:val="both"/>
        <w:rPr>
          <w:bCs/>
          <w:iCs/>
          <w:noProof/>
          <w:w w:val="102"/>
          <w:lang w:val="nl-NL"/>
        </w:rPr>
      </w:pPr>
      <w:r w:rsidRPr="009E735E">
        <w:rPr>
          <w:bCs/>
          <w:iCs/>
          <w:noProof/>
          <w:w w:val="102"/>
          <w:lang w:val="nl-NL"/>
        </w:rPr>
        <w:t>- Vào thời điểm Nghị định này mới được ban hành, thị trường dịch vụ pháp lý của Việt Nam chưa phát triển nên việc cấp ý kiến pháp lý theo yêu cầu của Bên cho vay tạo thêm được niềm tin thông qua sự ràng buộc Chính phủ Việt Nam bằng ý kiến pháp lý của cơ quan nhà nước có thẩm quyền.</w:t>
      </w:r>
    </w:p>
    <w:p w14:paraId="0F16665B" w14:textId="186BF961" w:rsidR="005E000F" w:rsidRPr="00A71C23" w:rsidRDefault="005E000F" w:rsidP="00BB1715">
      <w:pPr>
        <w:tabs>
          <w:tab w:val="left" w:pos="3052"/>
        </w:tabs>
        <w:spacing w:before="120" w:after="120" w:line="264" w:lineRule="auto"/>
        <w:ind w:firstLine="720"/>
        <w:jc w:val="both"/>
        <w:rPr>
          <w:b/>
          <w:iCs/>
          <w:noProof/>
          <w:w w:val="102"/>
          <w:lang w:val="nl-NL"/>
        </w:rPr>
      </w:pPr>
      <w:r w:rsidRPr="00A71C23">
        <w:rPr>
          <w:b/>
          <w:iCs/>
          <w:noProof/>
          <w:w w:val="102"/>
          <w:lang w:val="nl-NL"/>
        </w:rPr>
        <w:t>2.</w:t>
      </w:r>
      <w:r w:rsidR="00A12AC1">
        <w:rPr>
          <w:b/>
          <w:iCs/>
          <w:noProof/>
          <w:w w:val="102"/>
          <w:lang w:val="nl-NL"/>
        </w:rPr>
        <w:t>2</w:t>
      </w:r>
      <w:r w:rsidRPr="00A71C23">
        <w:rPr>
          <w:b/>
          <w:iCs/>
          <w:noProof/>
          <w:w w:val="102"/>
          <w:lang w:val="nl-NL"/>
        </w:rPr>
        <w:t>. Bất cập, hạn chế</w:t>
      </w:r>
    </w:p>
    <w:p w14:paraId="18E76508" w14:textId="677E82D9" w:rsidR="00A818F2" w:rsidRPr="009E735E" w:rsidRDefault="00A818F2"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w:t>
      </w:r>
      <w:r w:rsidRPr="009E735E">
        <w:rPr>
          <w:iCs/>
          <w:noProof/>
          <w:w w:val="102"/>
          <w:lang w:val="nl-NL" w:bidi="vi-VN"/>
        </w:rPr>
        <w:t>V</w:t>
      </w:r>
      <w:r w:rsidRPr="009E735E">
        <w:rPr>
          <w:iCs/>
          <w:noProof/>
          <w:w w:val="102"/>
          <w:lang w:val="nl-NL"/>
        </w:rPr>
        <w:t>iệc Bộ Tư pháp cấp ý kiến pháp lý sẽ làm tăng thêm một “vòng” ràng buộc pháp lý nữa của Chính phủ, điều này cũng đồng nghĩa với việc phát sinh rủi ro pháp lý cho Chính phủ Việt Nam trong trường hợp xảy ra tranh chấp với bên nước ngoài phát sinh trên cơ sở hiệp định, thỏa thuận được cấp ý kiến pháp lý</w:t>
      </w:r>
      <w:r w:rsidR="00453494">
        <w:rPr>
          <w:iCs/>
          <w:noProof/>
          <w:w w:val="102"/>
          <w:lang w:val="nl-NL"/>
        </w:rPr>
        <w:t>.</w:t>
      </w:r>
      <w:r w:rsidR="00534630">
        <w:rPr>
          <w:iCs/>
          <w:noProof/>
          <w:w w:val="102"/>
          <w:lang w:val="nl-NL"/>
        </w:rPr>
        <w:t xml:space="preserve"> Do đó, việc cấp ý kiến pháp lý cần được thực hiện một cách chặt chẽ, bảo đảm sự phối hợp của các cơ quan, tổ chức có liên quan nhằm hạn chế tối đa rủi ro cho Chính phủ Việt Nam</w:t>
      </w:r>
      <w:r w:rsidRPr="009E735E">
        <w:rPr>
          <w:iCs/>
          <w:noProof/>
          <w:w w:val="102"/>
          <w:lang w:val="nl-NL"/>
        </w:rPr>
        <w:t>;</w:t>
      </w:r>
    </w:p>
    <w:p w14:paraId="001B9AAF" w14:textId="61988D17" w:rsidR="00A818F2" w:rsidRPr="009E735E" w:rsidRDefault="00A818F2" w:rsidP="00BB1715">
      <w:pPr>
        <w:tabs>
          <w:tab w:val="left" w:pos="3052"/>
        </w:tabs>
        <w:spacing w:before="120" w:after="120" w:line="264" w:lineRule="auto"/>
        <w:ind w:firstLine="720"/>
        <w:jc w:val="both"/>
        <w:rPr>
          <w:bCs/>
          <w:iCs/>
          <w:noProof/>
          <w:w w:val="102"/>
          <w:lang w:val="nl-NL"/>
        </w:rPr>
      </w:pPr>
      <w:r w:rsidRPr="009E735E">
        <w:rPr>
          <w:iCs/>
          <w:noProof/>
          <w:w w:val="102"/>
          <w:lang w:val="nl-NL"/>
        </w:rPr>
        <w:t xml:space="preserve">- Việc Bộ Tư pháp (một cơ quan thuộc Chính phủ) cấp </w:t>
      </w:r>
      <w:r w:rsidR="00453494" w:rsidRPr="009E735E">
        <w:rPr>
          <w:iCs/>
          <w:noProof/>
          <w:w w:val="102"/>
          <w:lang w:val="nl-NL"/>
        </w:rPr>
        <w:t>ý kiến pháp lý</w:t>
      </w:r>
      <w:r w:rsidRPr="009E735E">
        <w:rPr>
          <w:iCs/>
          <w:noProof/>
          <w:w w:val="102"/>
          <w:lang w:val="nl-NL"/>
        </w:rPr>
        <w:t xml:space="preserve"> </w:t>
      </w:r>
      <w:r w:rsidRPr="009E735E">
        <w:rPr>
          <w:bCs/>
          <w:iCs/>
          <w:noProof/>
          <w:w w:val="102"/>
          <w:lang w:val="nl-NL"/>
        </w:rPr>
        <w:t>là không</w:t>
      </w:r>
      <w:r w:rsidR="0002198A" w:rsidRPr="009E735E">
        <w:rPr>
          <w:bCs/>
          <w:iCs/>
          <w:noProof/>
          <w:w w:val="102"/>
          <w:lang w:val="nl-NL"/>
        </w:rPr>
        <w:t xml:space="preserve"> thực sự</w:t>
      </w:r>
      <w:r w:rsidRPr="009E735E">
        <w:rPr>
          <w:bCs/>
          <w:iCs/>
          <w:noProof/>
          <w:w w:val="102"/>
          <w:lang w:val="nl-NL"/>
        </w:rPr>
        <w:t xml:space="preserve"> đảm bảo tính khách quan, độc lập, đúng như bản chất vốn có của </w:t>
      </w:r>
      <w:r w:rsidR="00453494" w:rsidRPr="009E735E">
        <w:rPr>
          <w:iCs/>
          <w:noProof/>
          <w:w w:val="102"/>
          <w:lang w:val="nl-NL"/>
        </w:rPr>
        <w:t>ý kiến pháp lý</w:t>
      </w:r>
      <w:r w:rsidR="009D269A">
        <w:rPr>
          <w:iCs/>
          <w:noProof/>
          <w:w w:val="102"/>
          <w:lang w:val="nl-NL"/>
        </w:rPr>
        <w:t xml:space="preserve"> nên cần có sự phối hợp, tham gia chặt chẽ của cơ quan, tổ chức có liên quan để bảo đảm tính chính xác, khách quan của ý kiến pháp lý</w:t>
      </w:r>
      <w:r w:rsidRPr="009E735E">
        <w:rPr>
          <w:bCs/>
          <w:iCs/>
          <w:noProof/>
          <w:w w:val="102"/>
          <w:lang w:val="nl-NL"/>
        </w:rPr>
        <w:t>;</w:t>
      </w:r>
    </w:p>
    <w:p w14:paraId="3E09D695" w14:textId="3DB8E7E5" w:rsidR="00A818F2" w:rsidRPr="009E735E" w:rsidRDefault="00A818F2"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w:t>
      </w:r>
      <w:r w:rsidR="00EC3CCC" w:rsidRPr="009E735E">
        <w:rPr>
          <w:iCs/>
          <w:noProof/>
          <w:w w:val="102"/>
          <w:lang w:val="nl-NL"/>
        </w:rPr>
        <w:t xml:space="preserve">Bên cho vay coi </w:t>
      </w:r>
      <w:r w:rsidR="008A2B49" w:rsidRPr="009E735E">
        <w:rPr>
          <w:iCs/>
          <w:noProof/>
          <w:w w:val="102"/>
          <w:lang w:val="nl-NL"/>
        </w:rPr>
        <w:t>ý kiến pháp lý</w:t>
      </w:r>
      <w:r w:rsidR="00EC3CCC" w:rsidRPr="009E735E">
        <w:rPr>
          <w:iCs/>
          <w:noProof/>
          <w:w w:val="102"/>
          <w:lang w:val="nl-NL"/>
        </w:rPr>
        <w:t xml:space="preserve"> của Bộ Tư pháp là một trong những điều kiện tiên quyết để giải ngân. Điều này</w:t>
      </w:r>
      <w:r w:rsidRPr="009E735E">
        <w:rPr>
          <w:iCs/>
          <w:noProof/>
          <w:w w:val="102"/>
          <w:lang w:val="nl-NL"/>
        </w:rPr>
        <w:t xml:space="preserve"> </w:t>
      </w:r>
      <w:r w:rsidR="008A2B49" w:rsidRPr="009E735E">
        <w:rPr>
          <w:iCs/>
          <w:noProof/>
          <w:w w:val="102"/>
          <w:lang w:val="nl-NL"/>
        </w:rPr>
        <w:t>khiến</w:t>
      </w:r>
      <w:r w:rsidRPr="009E735E">
        <w:rPr>
          <w:iCs/>
          <w:noProof/>
          <w:w w:val="102"/>
          <w:lang w:val="nl-NL"/>
        </w:rPr>
        <w:t xml:space="preserve"> </w:t>
      </w:r>
      <w:r w:rsidR="008A2B49" w:rsidRPr="009E735E">
        <w:rPr>
          <w:iCs/>
          <w:noProof/>
          <w:w w:val="102"/>
          <w:lang w:val="nl-NL"/>
        </w:rPr>
        <w:t>cho</w:t>
      </w:r>
      <w:r w:rsidRPr="009E735E">
        <w:rPr>
          <w:iCs/>
          <w:noProof/>
          <w:w w:val="102"/>
          <w:lang w:val="nl-NL"/>
        </w:rPr>
        <w:t xml:space="preserve"> các </w:t>
      </w:r>
      <w:r w:rsidR="00EC3CCC" w:rsidRPr="009E735E">
        <w:rPr>
          <w:iCs/>
          <w:noProof/>
          <w:w w:val="102"/>
          <w:lang w:val="nl-NL"/>
        </w:rPr>
        <w:t>điều ước quốc tế</w:t>
      </w:r>
      <w:r w:rsidRPr="009E735E">
        <w:rPr>
          <w:iCs/>
          <w:noProof/>
          <w:w w:val="102"/>
          <w:lang w:val="nl-NL"/>
        </w:rPr>
        <w:t xml:space="preserve">, thỏa thuận </w:t>
      </w:r>
      <w:r w:rsidR="00EC3CCC" w:rsidRPr="009E735E">
        <w:rPr>
          <w:iCs/>
          <w:noProof/>
          <w:w w:val="102"/>
          <w:lang w:val="nl-NL"/>
        </w:rPr>
        <w:t>về vốn ODA</w:t>
      </w:r>
      <w:r w:rsidRPr="009E735E">
        <w:rPr>
          <w:iCs/>
          <w:noProof/>
          <w:w w:val="102"/>
          <w:lang w:val="nl-NL"/>
        </w:rPr>
        <w:t xml:space="preserve"> sau khi được ký kết, có hiệu lực nhưng vẫn chưa được giải ngân để thực hiện do còn phải đợi </w:t>
      </w:r>
      <w:r w:rsidR="008A2B49" w:rsidRPr="009E735E">
        <w:rPr>
          <w:iCs/>
          <w:noProof/>
          <w:w w:val="102"/>
          <w:lang w:val="nl-NL"/>
        </w:rPr>
        <w:t>ý kiến pháp lý</w:t>
      </w:r>
      <w:r w:rsidRPr="009E735E">
        <w:rPr>
          <w:iCs/>
          <w:noProof/>
          <w:w w:val="102"/>
          <w:lang w:val="nl-NL"/>
        </w:rPr>
        <w:t xml:space="preserve"> được cấp</w:t>
      </w:r>
      <w:r w:rsidR="00176693" w:rsidRPr="009E735E">
        <w:rPr>
          <w:iCs/>
          <w:noProof/>
          <w:w w:val="102"/>
          <w:lang w:val="nl-NL"/>
        </w:rPr>
        <w:t>;</w:t>
      </w:r>
    </w:p>
    <w:p w14:paraId="43912947" w14:textId="6CD74169" w:rsidR="00EE71B9" w:rsidRPr="009E735E" w:rsidRDefault="00176693"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w:t>
      </w:r>
      <w:r w:rsidR="00636200" w:rsidRPr="009E735E">
        <w:rPr>
          <w:iCs/>
          <w:noProof/>
          <w:w w:val="102"/>
          <w:lang w:val="nl-NL"/>
        </w:rPr>
        <w:t>Quy định về các trường hợp từ chối cấp ý kiến pháp lý còn hạn chế, chưa bảo đảm bao quát các trường hợp phát sinh trên thực tế;</w:t>
      </w:r>
    </w:p>
    <w:p w14:paraId="038FF097" w14:textId="6621C4AE" w:rsidR="004F7C25" w:rsidRPr="009E735E" w:rsidRDefault="00EE71B9" w:rsidP="00BB1715">
      <w:pPr>
        <w:tabs>
          <w:tab w:val="left" w:pos="3052"/>
        </w:tabs>
        <w:spacing w:before="120" w:after="120" w:line="264" w:lineRule="auto"/>
        <w:ind w:firstLine="720"/>
        <w:jc w:val="both"/>
        <w:rPr>
          <w:iCs/>
          <w:noProof/>
          <w:w w:val="102"/>
          <w:lang w:val="nl-NL"/>
        </w:rPr>
      </w:pPr>
      <w:r w:rsidRPr="009E735E">
        <w:rPr>
          <w:iCs/>
          <w:noProof/>
          <w:w w:val="102"/>
          <w:lang w:val="nl-NL"/>
        </w:rPr>
        <w:t>- Nghị định số 51/2015/NĐ-CP quy định nhiều đối tượng được xem xét cấp ý kiến pháp lý nhưng thực tiễn cho thấy hầu hết những trường hợp được cấp ý kiến pháp lý là điều ước quốc tế về vốn ODA, thỏa thuận về vốn ODA nhân danh Chính phủ</w:t>
      </w:r>
      <w:r w:rsidR="000317F4">
        <w:rPr>
          <w:iCs/>
          <w:noProof/>
          <w:w w:val="102"/>
          <w:lang w:val="nl-NL"/>
        </w:rPr>
        <w:t xml:space="preserve"> (trong tổng số 208 ý kiến pháp lý mà Bộ Tư pháp đã cấp kể từ khi Nghị định số 51/2015/NĐ-CP có hiệu lực, có khoảng 200 ý kiến pháp lý cấp cho điều ước quốc tế, thỏa thuận về vốn ODA). Bên cạnh đó, như đã nêu tại Mục I của Báo cáo tổng kết này, Bộ Chính trị đã có chủ trương h</w:t>
      </w:r>
      <w:r w:rsidR="000317F4" w:rsidRPr="003C119D">
        <w:rPr>
          <w:iCs/>
          <w:noProof/>
          <w:w w:val="102"/>
        </w:rPr>
        <w:t>ạn chế tối đa cấp bảo lãnh chính phủ cho các khoản vay mới</w:t>
      </w:r>
      <w:r w:rsidR="000317F4">
        <w:rPr>
          <w:iCs/>
          <w:noProof/>
          <w:w w:val="102"/>
        </w:rPr>
        <w:t xml:space="preserve"> và Luật </w:t>
      </w:r>
      <w:r w:rsidR="000317F4" w:rsidRPr="000F536F">
        <w:rPr>
          <w:iCs/>
          <w:noProof/>
          <w:w w:val="102"/>
        </w:rPr>
        <w:t>Đầu tư theo phương thức đối tác công tư</w:t>
      </w:r>
      <w:r w:rsidR="000317F4">
        <w:rPr>
          <w:iCs/>
          <w:noProof/>
          <w:w w:val="102"/>
        </w:rPr>
        <w:t xml:space="preserve"> cũng không có quy định về việc cấp ý kiến pháp lý cho dự án đ</w:t>
      </w:r>
      <w:r w:rsidR="000317F4" w:rsidRPr="000F536F">
        <w:rPr>
          <w:iCs/>
          <w:noProof/>
          <w:w w:val="102"/>
        </w:rPr>
        <w:t>ầu tư theo phương thức đối tác công tư</w:t>
      </w:r>
      <w:r w:rsidR="000317F4">
        <w:rPr>
          <w:iCs/>
          <w:noProof/>
          <w:w w:val="102"/>
        </w:rPr>
        <w:t>. Do vậy, cần thu hẹp các đối tượng được xem xét cấp ý kiến pháp lý</w:t>
      </w:r>
      <w:r w:rsidR="004F7C25" w:rsidRPr="009E735E">
        <w:rPr>
          <w:iCs/>
          <w:noProof/>
          <w:w w:val="102"/>
          <w:lang w:val="nl-NL"/>
        </w:rPr>
        <w:t>;</w:t>
      </w:r>
    </w:p>
    <w:p w14:paraId="4B490127" w14:textId="66607591" w:rsidR="00176693" w:rsidRPr="009E735E" w:rsidRDefault="004F7C25" w:rsidP="00BB1715">
      <w:pPr>
        <w:tabs>
          <w:tab w:val="left" w:pos="3052"/>
        </w:tabs>
        <w:spacing w:before="120" w:after="120" w:line="264" w:lineRule="auto"/>
        <w:ind w:firstLine="720"/>
        <w:jc w:val="both"/>
        <w:rPr>
          <w:iCs/>
          <w:noProof/>
          <w:w w:val="102"/>
          <w:lang w:val="nl-NL"/>
        </w:rPr>
      </w:pPr>
      <w:r w:rsidRPr="009E735E">
        <w:rPr>
          <w:iCs/>
          <w:noProof/>
          <w:w w:val="102"/>
          <w:lang w:val="nl-NL"/>
        </w:rPr>
        <w:t>- Bên cạnh quy định về trách nhiệm của cơ quan, tổ chức yêu cầu cấp ý kiến pháp lý thì</w:t>
      </w:r>
      <w:r w:rsidR="00460EE9">
        <w:rPr>
          <w:iCs/>
          <w:noProof/>
          <w:w w:val="102"/>
          <w:lang w:val="nl-NL"/>
        </w:rPr>
        <w:t xml:space="preserve"> </w:t>
      </w:r>
      <w:r w:rsidR="00460EE9" w:rsidRPr="009E735E">
        <w:rPr>
          <w:iCs/>
          <w:noProof/>
          <w:w w:val="102"/>
          <w:lang w:val="nl-NL"/>
        </w:rPr>
        <w:t>Nghị định số 51/2015/NĐ-CP</w:t>
      </w:r>
      <w:r w:rsidRPr="009E735E">
        <w:rPr>
          <w:iCs/>
          <w:noProof/>
          <w:w w:val="102"/>
          <w:lang w:val="nl-NL"/>
        </w:rPr>
        <w:t xml:space="preserve"> chưa có quy định</w:t>
      </w:r>
      <w:r w:rsidR="004531E0">
        <w:rPr>
          <w:iCs/>
          <w:noProof/>
          <w:w w:val="102"/>
          <w:lang w:val="nl-NL"/>
        </w:rPr>
        <w:t xml:space="preserve"> thực sự</w:t>
      </w:r>
      <w:r w:rsidRPr="009E735E">
        <w:rPr>
          <w:iCs/>
          <w:noProof/>
          <w:w w:val="102"/>
          <w:lang w:val="nl-NL"/>
        </w:rPr>
        <w:t xml:space="preserve"> rõ ràng về trách nhiệm của các cơ quan, tổ chức khác có liên quan đến việc cấp ý kiến pháp lý</w:t>
      </w:r>
      <w:r w:rsidR="004531E0">
        <w:rPr>
          <w:iCs/>
          <w:noProof/>
          <w:w w:val="102"/>
          <w:lang w:val="nl-NL"/>
        </w:rPr>
        <w:t>,</w:t>
      </w:r>
      <w:r w:rsidR="00460EE9">
        <w:rPr>
          <w:iCs/>
          <w:noProof/>
          <w:w w:val="102"/>
          <w:lang w:val="nl-NL"/>
        </w:rPr>
        <w:t xml:space="preserve"> đặc biệt là các cơ quan quản lý chuyên ngành trong trường hợp văn bản được xem xét cấp ý kiến pháp lý có nhiều nội dung kỹ thuật, chuyên ngành</w:t>
      </w:r>
      <w:r w:rsidRPr="009E735E">
        <w:rPr>
          <w:iCs/>
          <w:noProof/>
          <w:w w:val="102"/>
          <w:lang w:val="nl-NL"/>
        </w:rPr>
        <w:t xml:space="preserve">.  </w:t>
      </w:r>
      <w:r w:rsidR="00EE71B9" w:rsidRPr="009E735E">
        <w:rPr>
          <w:iCs/>
          <w:noProof/>
          <w:w w:val="102"/>
          <w:lang w:val="nl-NL"/>
        </w:rPr>
        <w:t xml:space="preserve"> </w:t>
      </w:r>
      <w:r w:rsidR="00176693" w:rsidRPr="009E735E">
        <w:rPr>
          <w:iCs/>
          <w:noProof/>
          <w:w w:val="102"/>
          <w:lang w:val="nl-NL"/>
        </w:rPr>
        <w:t xml:space="preserve">  </w:t>
      </w:r>
    </w:p>
    <w:p w14:paraId="31D59D4E" w14:textId="2455CEFD" w:rsidR="0002198A" w:rsidRPr="00A71C23" w:rsidRDefault="0002198A" w:rsidP="00BB1715">
      <w:pPr>
        <w:tabs>
          <w:tab w:val="left" w:pos="3052"/>
        </w:tabs>
        <w:spacing w:before="120" w:after="120" w:line="264" w:lineRule="auto"/>
        <w:ind w:firstLine="720"/>
        <w:jc w:val="both"/>
        <w:rPr>
          <w:b/>
          <w:bCs/>
          <w:iCs/>
          <w:noProof/>
          <w:w w:val="102"/>
          <w:lang w:val="nl-NL"/>
        </w:rPr>
      </w:pPr>
      <w:r w:rsidRPr="00A71C23">
        <w:rPr>
          <w:b/>
          <w:bCs/>
          <w:iCs/>
          <w:noProof/>
          <w:w w:val="102"/>
          <w:lang w:val="nl-NL"/>
        </w:rPr>
        <w:t xml:space="preserve">3. Khó khăn, vướng mắc </w:t>
      </w:r>
      <w:r w:rsidR="00D200BF">
        <w:rPr>
          <w:b/>
          <w:bCs/>
          <w:iCs/>
          <w:noProof/>
          <w:w w:val="102"/>
          <w:lang w:val="nl-NL"/>
        </w:rPr>
        <w:t xml:space="preserve">trong việc cấp ý kiến pháp lý </w:t>
      </w:r>
      <w:r w:rsidRPr="00A71C23">
        <w:rPr>
          <w:b/>
          <w:bCs/>
          <w:iCs/>
          <w:noProof/>
          <w:w w:val="102"/>
          <w:lang w:val="nl-NL"/>
        </w:rPr>
        <w:t>và nguyên nhân</w:t>
      </w:r>
    </w:p>
    <w:p w14:paraId="3BF60860" w14:textId="4C0022B0" w:rsidR="0002198A" w:rsidRPr="009E735E" w:rsidRDefault="0002198A" w:rsidP="00BB1715">
      <w:pPr>
        <w:tabs>
          <w:tab w:val="left" w:pos="3052"/>
        </w:tabs>
        <w:spacing w:before="120" w:after="120" w:line="264" w:lineRule="auto"/>
        <w:ind w:firstLine="720"/>
        <w:jc w:val="both"/>
        <w:rPr>
          <w:iCs/>
          <w:noProof/>
          <w:w w:val="102"/>
          <w:lang w:val="nl-NL"/>
        </w:rPr>
      </w:pPr>
      <w:r w:rsidRPr="009E735E">
        <w:rPr>
          <w:iCs/>
          <w:noProof/>
          <w:w w:val="102"/>
          <w:lang w:val="nl-NL"/>
        </w:rPr>
        <w:t>- Nhận thức chung của một số cơ quan Bộ, ngành, địa phương và các bên nước ngoài về ý kiến pháp lý chưa đúng, kể cả việc chỉ coi đây là thủ tục “cho đủ” đáp ứng yêu cầu của bên cho vay và nhà đầu tư; chưa thực sự nhận thức rõ các hậu quả pháp lý của việc cấp ý kiến pháp lý;</w:t>
      </w:r>
    </w:p>
    <w:p w14:paraId="7150E5B7" w14:textId="156BF0EA" w:rsidR="0002198A" w:rsidRPr="009E735E" w:rsidRDefault="0002198A"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w:t>
      </w:r>
      <w:r w:rsidR="00176693" w:rsidRPr="009E735E">
        <w:rPr>
          <w:iCs/>
          <w:noProof/>
          <w:w w:val="102"/>
          <w:lang w:val="nl-NL"/>
        </w:rPr>
        <w:t>C</w:t>
      </w:r>
      <w:r w:rsidRPr="009E735E">
        <w:rPr>
          <w:iCs/>
          <w:noProof/>
          <w:w w:val="102"/>
          <w:lang w:val="nl-NL"/>
        </w:rPr>
        <w:t>ó những trường hợp bên cho vay nước ngoài muốn đưa vào ý kiến pháp lý những nội dung không phù hợp hoặc vượt quá chức năng, nhiệm vụ của Bộ Tư pháp nên việc đàm phán về nội dung ý kiến pháp lý mất nhiều thời gian (có k</w:t>
      </w:r>
      <w:r w:rsidR="00D200BF">
        <w:rPr>
          <w:iCs/>
          <w:noProof/>
          <w:w w:val="102"/>
          <w:lang w:val="nl-NL"/>
        </w:rPr>
        <w:t xml:space="preserve">hông ít những trường hợp từ 3-6 </w:t>
      </w:r>
      <w:r w:rsidRPr="009E735E">
        <w:rPr>
          <w:iCs/>
          <w:noProof/>
          <w:w w:val="102"/>
          <w:lang w:val="nl-NL"/>
        </w:rPr>
        <w:t>tháng, cá biệt có những trường hợp lên đến hơn 01 năm như đối với Quỹ Cô-oét, Ngân hàng tái thiết Đức), dẫn đến tiến độ giải ngân bị chậm đi đáng kể</w:t>
      </w:r>
      <w:r w:rsidR="00176693" w:rsidRPr="009E735E">
        <w:rPr>
          <w:iCs/>
          <w:noProof/>
          <w:w w:val="102"/>
          <w:lang w:val="nl-NL"/>
        </w:rPr>
        <w:t>;</w:t>
      </w:r>
    </w:p>
    <w:p w14:paraId="6487E6DD" w14:textId="440275DC" w:rsidR="00636200" w:rsidRPr="009E735E" w:rsidRDefault="00636200" w:rsidP="00BB1715">
      <w:pPr>
        <w:tabs>
          <w:tab w:val="left" w:pos="3052"/>
        </w:tabs>
        <w:spacing w:before="120" w:after="120" w:line="264" w:lineRule="auto"/>
        <w:ind w:firstLine="720"/>
        <w:jc w:val="both"/>
        <w:rPr>
          <w:iCs/>
          <w:noProof/>
          <w:w w:val="102"/>
          <w:lang w:val="nl-NL"/>
        </w:rPr>
      </w:pPr>
      <w:r w:rsidRPr="009E735E">
        <w:rPr>
          <w:iCs/>
          <w:noProof/>
          <w:w w:val="102"/>
          <w:lang w:val="nl-NL"/>
        </w:rPr>
        <w:t>- Nghị định số 51/2015/NĐ-CP có quy định về từ chối cấp ý kiến pháp lý, tuy nhiên, quy định này chỉ cho phép Bộ Tư pháp từ chối cấp ý kiến pháp lý trong trường hợp hồ sơ yêu cầu cấp ý kiến pháp lý không đáp ứng quy định của Nghị định số 51/2015/NĐ-CP. Trong những trường hợp khác, ví dụ</w:t>
      </w:r>
      <w:r w:rsidR="00937593">
        <w:rPr>
          <w:iCs/>
          <w:noProof/>
          <w:w w:val="102"/>
          <w:lang w:val="nl-NL"/>
        </w:rPr>
        <w:t>:</w:t>
      </w:r>
      <w:r w:rsidRPr="009E735E">
        <w:rPr>
          <w:iCs/>
          <w:noProof/>
          <w:w w:val="102"/>
          <w:lang w:val="nl-NL"/>
        </w:rPr>
        <w:t xml:space="preserve"> khi bên cho vay nước ngoài muốn đưa vào ý kiến pháp lý những nội dung không phù hợp với pháp luật Việt Nam thì Bộ Tư pháp cũng không có cơ sở pháp lý rõ ràng để từ chối cấp ý kiến pháp lý;</w:t>
      </w:r>
    </w:p>
    <w:p w14:paraId="267548A4" w14:textId="38292775" w:rsidR="00176693" w:rsidRPr="009E735E" w:rsidRDefault="00176693" w:rsidP="00BB1715">
      <w:pPr>
        <w:tabs>
          <w:tab w:val="left" w:pos="3052"/>
        </w:tabs>
        <w:spacing w:before="120" w:after="120" w:line="264" w:lineRule="auto"/>
        <w:ind w:firstLine="720"/>
        <w:jc w:val="both"/>
        <w:rPr>
          <w:iCs/>
          <w:noProof/>
          <w:w w:val="102"/>
          <w:lang w:val="nl-NL"/>
        </w:rPr>
      </w:pPr>
      <w:r w:rsidRPr="009E735E">
        <w:rPr>
          <w:iCs/>
          <w:noProof/>
          <w:w w:val="102"/>
          <w:lang w:val="nl-NL"/>
        </w:rPr>
        <w:t>- Theo Nghị định số 51/2015/NĐ-CP thì Bộ Tư pháp được giao chủ trì việc cấp ý kiến pháp lý. Tuy nhiên,</w:t>
      </w:r>
      <w:r w:rsidRPr="009E735E">
        <w:rPr>
          <w:i/>
          <w:iCs/>
          <w:noProof/>
          <w:w w:val="102"/>
          <w:lang w:val="nl-NL"/>
        </w:rPr>
        <w:t xml:space="preserve"> </w:t>
      </w:r>
      <w:r w:rsidRPr="009E735E">
        <w:rPr>
          <w:iCs/>
          <w:noProof/>
          <w:w w:val="102"/>
          <w:lang w:val="nl-NL"/>
        </w:rPr>
        <w:t>nhiều nội dung mà phía nước ngoài yêu cầu có tại ý kiến pháp lý thuộc chức năng, nhiệm vụ, quyền hạn và lĩnh vực chuyên môn của các cơ quan khác, không phải Bộ Tư pháp. Ví dụ: bên cho vay luôn yêu cầu ý kiến pháp lý đánh giá về trình tự, thủ tục ký kết các điều ước quốc tế, thoả thuận vay nhưng đây là vấn đề thuộc trách nhiệm của Bộ Ngoại giao (đối với điều ước quốc tế</w:t>
      </w:r>
      <w:r w:rsidRPr="009E735E">
        <w:rPr>
          <w:iCs/>
          <w:noProof/>
          <w:w w:val="102"/>
          <w:vertAlign w:val="superscript"/>
          <w:lang w:val="nl-NL"/>
        </w:rPr>
        <w:footnoteReference w:id="1"/>
      </w:r>
      <w:r w:rsidRPr="009E735E">
        <w:rPr>
          <w:iCs/>
          <w:noProof/>
          <w:w w:val="102"/>
          <w:lang w:val="nl-NL"/>
        </w:rPr>
        <w:t>), Bộ Tài chính (đối với thoả thuận vay nhân danh Chính phủ</w:t>
      </w:r>
      <w:r w:rsidRPr="009E735E">
        <w:rPr>
          <w:iCs/>
          <w:noProof/>
          <w:w w:val="102"/>
          <w:vertAlign w:val="superscript"/>
          <w:lang w:val="nl-NL"/>
        </w:rPr>
        <w:footnoteReference w:id="2"/>
      </w:r>
      <w:r w:rsidRPr="009E735E">
        <w:rPr>
          <w:iCs/>
          <w:noProof/>
          <w:w w:val="102"/>
          <w:lang w:val="nl-NL"/>
        </w:rPr>
        <w:t xml:space="preserve">); hoặc bên cho vay yêu cầu đánh giá các vấn đề liên quan tới khoản vay (như nghĩa vụ trả nợ) nhưng đây là nội dung thuộc lĩnh vực của Bộ Tài chính... Như vậy, Bộ Tư pháp không phải là cơ quan có hiểu biết và chuyên môn sâu đối với tất cả những nội dung mà phía nước ngoài yêu cầu tại ý kiến pháp lý. Bên cạnh đó, </w:t>
      </w:r>
      <w:r w:rsidRPr="009E735E">
        <w:rPr>
          <w:iCs/>
          <w:noProof/>
          <w:w w:val="102"/>
          <w:lang w:val="nl-NL" w:bidi="vi-VN"/>
        </w:rPr>
        <w:t xml:space="preserve">trường hợp trình tự, thủ tục ký kết văn kiện vay hoặc nội dung của văn kiện vay là không phù hợp với pháp luật thì Bộ Tư pháp cũng không thể cấp </w:t>
      </w:r>
      <w:r w:rsidRPr="009E735E">
        <w:rPr>
          <w:iCs/>
          <w:noProof/>
          <w:w w:val="102"/>
          <w:lang w:val="nl-NL"/>
        </w:rPr>
        <w:t>ý kiến pháp lý</w:t>
      </w:r>
      <w:r w:rsidR="00507FCA" w:rsidRPr="009E735E">
        <w:rPr>
          <w:iCs/>
          <w:noProof/>
          <w:w w:val="102"/>
          <w:lang w:val="nl-NL"/>
        </w:rPr>
        <w:t>;</w:t>
      </w:r>
    </w:p>
    <w:p w14:paraId="08B67292" w14:textId="7C81064C" w:rsidR="00507FCA" w:rsidRDefault="00507FCA"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 Nghị định số 51/2015/NĐ-CP đã quy định cụ thể về các cơ quan, tổ chức có quyền yêu cầu cấp ý kiến pháp lý và trách nhiệm của các cơ quan này. Tuy nhiên, trong nhiều trường hợp, việc cấp ý kiến pháp lý còn liên quan đến các cơ quan, tổ chức khác (ví dụ: đối với điều ước quốc tế về vay vốn ODA để thực hiện dự án của địa phương thì Bộ Tài chính là cơ quan có quyền yêu cầu Bộ Tư pháp cấp ý kiến pháp lý. Tuy nhiên, Bộ Tài chính không phải là cơ quan chủ quản dự án, cơ quan thực hiện dự án mà vai trò này là của Ủy ban nhân dân cấp tỉnh, Ban quản lý dự án của địa phương đó. Vì vậy, trong trường hợp này các cơ quan, tổ chức của địa phương có dự án cũng cần phải có </w:t>
      </w:r>
      <w:r w:rsidR="00262DCB" w:rsidRPr="009E735E">
        <w:rPr>
          <w:iCs/>
          <w:noProof/>
          <w:w w:val="102"/>
          <w:lang w:val="nl-NL"/>
        </w:rPr>
        <w:t>trách nhiệm</w:t>
      </w:r>
      <w:r w:rsidR="0083596C" w:rsidRPr="009E735E">
        <w:rPr>
          <w:iCs/>
          <w:noProof/>
          <w:w w:val="102"/>
          <w:lang w:val="nl-NL"/>
        </w:rPr>
        <w:t xml:space="preserve"> trong việc</w:t>
      </w:r>
      <w:r w:rsidR="00262DCB" w:rsidRPr="009E735E">
        <w:rPr>
          <w:iCs/>
          <w:noProof/>
          <w:w w:val="102"/>
          <w:lang w:val="nl-NL"/>
        </w:rPr>
        <w:t xml:space="preserve"> cung cấp thông tin, ý kiến</w:t>
      </w:r>
      <w:r w:rsidR="0083596C" w:rsidRPr="009E735E">
        <w:rPr>
          <w:iCs/>
          <w:noProof/>
          <w:w w:val="102"/>
          <w:lang w:val="nl-NL"/>
        </w:rPr>
        <w:t>, hồ sơ, tài liệu</w:t>
      </w:r>
      <w:r w:rsidR="00262DCB" w:rsidRPr="009E735E">
        <w:rPr>
          <w:iCs/>
          <w:noProof/>
          <w:w w:val="102"/>
          <w:lang w:val="nl-NL"/>
        </w:rPr>
        <w:t xml:space="preserve"> để Bộ Tư pháp, Bộ Tài chính có cơ sở giải quyết việc cấp ý kiến pháp lý). </w:t>
      </w:r>
      <w:r w:rsidRPr="009E735E">
        <w:rPr>
          <w:iCs/>
          <w:noProof/>
          <w:w w:val="102"/>
          <w:lang w:val="nl-NL"/>
        </w:rPr>
        <w:t xml:space="preserve"> </w:t>
      </w:r>
    </w:p>
    <w:p w14:paraId="060A12CB" w14:textId="3BC00253" w:rsidR="00A0672E" w:rsidRPr="00BD63AD" w:rsidRDefault="00A0672E" w:rsidP="00BB1715">
      <w:pPr>
        <w:tabs>
          <w:tab w:val="left" w:pos="3052"/>
        </w:tabs>
        <w:spacing w:before="120" w:after="120" w:line="264" w:lineRule="auto"/>
        <w:ind w:firstLine="720"/>
        <w:jc w:val="both"/>
        <w:rPr>
          <w:b/>
          <w:iCs/>
          <w:noProof/>
          <w:w w:val="102"/>
          <w:lang w:val="nl-NL"/>
        </w:rPr>
      </w:pPr>
      <w:r w:rsidRPr="00BD63AD">
        <w:rPr>
          <w:b/>
          <w:iCs/>
          <w:noProof/>
          <w:w w:val="102"/>
          <w:lang w:val="nl-NL"/>
        </w:rPr>
        <w:t>4. Kinh nghiệm quốc tế</w:t>
      </w:r>
    </w:p>
    <w:p w14:paraId="0659BD4E" w14:textId="282DF6F0" w:rsidR="00A0672E" w:rsidRPr="009E735E" w:rsidRDefault="00F96D93" w:rsidP="00BB1715">
      <w:pPr>
        <w:tabs>
          <w:tab w:val="left" w:pos="3052"/>
        </w:tabs>
        <w:spacing w:before="120" w:after="120" w:line="264" w:lineRule="auto"/>
        <w:ind w:firstLine="720"/>
        <w:jc w:val="both"/>
        <w:rPr>
          <w:iCs/>
          <w:noProof/>
          <w:w w:val="102"/>
          <w:lang w:val="nl-NL"/>
        </w:rPr>
      </w:pPr>
      <w:r w:rsidRPr="00F96D93">
        <w:rPr>
          <w:bCs/>
          <w:iCs/>
          <w:noProof/>
          <w:w w:val="102"/>
        </w:rPr>
        <w:t>Yêu cầu cấp ý kiến pháp lý xuất phát từ phía bên cho vay, nhà tài trợ nước ngoài do họ không nắm rõ quy định của pháp luật nước sở tại. Tuy nhiên, việc cơ quan Nhà nước, Chính phủ (ví dụ: Bộ Tư pháp) cấp ý kiến pháp lý cho những văn bản mà Nhà nước, Chính phủ hoặc cơ quan Nhà nước là một bên thực chất là làm tăng thêm một “vòng” ràng buộc pháp lý nữa. Điều này đồng nghĩa với việc phát sinh rủi ro pháp lý cho Chính phủ trong trường hợp xảy ra tranh chấp với bên nước ngoài có liên quan đến văn bản được cấp ý kiến pháp lý. Tuy nhiên, nhằm mục tiêu phát triển kinh tế - xã hội, các quốc gia có nhu cầu thu hút nguồn vốn nước ngoài vẫn cấp ý kiến pháp lý cho các hiệp định, thỏa thuận vay của Nhà nước, Chính phủ (Trung Quốc, Phi-lip-pin, Cam-pu-chia).</w:t>
      </w:r>
    </w:p>
    <w:p w14:paraId="0C6F4E2A" w14:textId="142EFD28" w:rsidR="00176693" w:rsidRDefault="00A0672E" w:rsidP="00BB1715">
      <w:pPr>
        <w:tabs>
          <w:tab w:val="left" w:pos="3052"/>
        </w:tabs>
        <w:spacing w:before="120" w:after="120" w:line="264" w:lineRule="auto"/>
        <w:ind w:firstLine="720"/>
        <w:jc w:val="both"/>
        <w:rPr>
          <w:b/>
          <w:bCs/>
          <w:iCs/>
          <w:noProof/>
          <w:w w:val="102"/>
          <w:lang w:val="nl-NL"/>
        </w:rPr>
      </w:pPr>
      <w:r>
        <w:rPr>
          <w:b/>
          <w:bCs/>
          <w:iCs/>
          <w:noProof/>
          <w:w w:val="102"/>
          <w:lang w:val="nl-NL"/>
        </w:rPr>
        <w:t>5</w:t>
      </w:r>
      <w:r w:rsidR="00176693" w:rsidRPr="00A71C23">
        <w:rPr>
          <w:b/>
          <w:bCs/>
          <w:iCs/>
          <w:noProof/>
          <w:w w:val="102"/>
          <w:lang w:val="nl-NL"/>
        </w:rPr>
        <w:t>. Xác định những vấn đề mới phát sinh trong thực tiễn</w:t>
      </w:r>
    </w:p>
    <w:p w14:paraId="1F8AC38A" w14:textId="50A41604" w:rsidR="00041EDA" w:rsidRDefault="004C4318" w:rsidP="00BB1715">
      <w:pPr>
        <w:tabs>
          <w:tab w:val="left" w:pos="3052"/>
        </w:tabs>
        <w:spacing w:before="120" w:after="120" w:line="264" w:lineRule="auto"/>
        <w:ind w:firstLine="720"/>
        <w:jc w:val="both"/>
        <w:rPr>
          <w:iCs/>
          <w:noProof/>
          <w:w w:val="102"/>
          <w:lang w:val="nl-NL" w:bidi="vi-VN"/>
        </w:rPr>
      </w:pPr>
      <w:r>
        <w:rPr>
          <w:iCs/>
          <w:noProof/>
          <w:w w:val="102"/>
          <w:lang w:val="nl-NL"/>
        </w:rPr>
        <w:t xml:space="preserve">Ngày 10/12/2025, Quốc hội đã ban hành </w:t>
      </w:r>
      <w:r w:rsidRPr="00770FC0">
        <w:rPr>
          <w:iCs/>
          <w:noProof/>
          <w:w w:val="102"/>
          <w:lang w:val="nl-NL"/>
        </w:rPr>
        <w:t>Luật sửa đổi, bổ sung một số điều của Luật Quản lý nợ công</w:t>
      </w:r>
      <w:r>
        <w:rPr>
          <w:iCs/>
          <w:noProof/>
          <w:w w:val="102"/>
          <w:lang w:val="nl-NL"/>
        </w:rPr>
        <w:t xml:space="preserve"> số 141/2025/QH15 với nhiều quy định mới về quản lý và sử dụng vốn vay ODA, vay ưu đãi. Trong đó, có những quy định liên quan trực tiếp đến công tác cấp ý kiến pháp lý như: danh nghĩa ký kết thỏa thuận vay ODA, vay ưu đãi nước ngoài; trình tự, thủ tục, </w:t>
      </w:r>
      <w:r>
        <w:rPr>
          <w:iCs/>
          <w:noProof/>
          <w:w w:val="102"/>
          <w:lang w:val="en"/>
        </w:rPr>
        <w:t>đ</w:t>
      </w:r>
      <w:r w:rsidRPr="001D1FFF">
        <w:rPr>
          <w:iCs/>
          <w:noProof/>
          <w:w w:val="102"/>
          <w:lang w:val="en"/>
        </w:rPr>
        <w:t>àm phán, ký, phê chu</w:t>
      </w:r>
      <w:r w:rsidRPr="001D1FFF">
        <w:rPr>
          <w:iCs/>
          <w:noProof/>
          <w:w w:val="102"/>
        </w:rPr>
        <w:t>ẩn, phê duyệt điều ước quốc tế, thỏa thuận về vay ODA, vay ưu đãi nước ngoài</w:t>
      </w:r>
      <w:r>
        <w:rPr>
          <w:iCs/>
          <w:noProof/>
          <w:w w:val="102"/>
        </w:rPr>
        <w:t xml:space="preserve">; nhiệm vụ, quyền hạn của các cơ quan, tổ chức có liên quan… Vì vậy, </w:t>
      </w:r>
      <w:r w:rsidRPr="009E735E">
        <w:rPr>
          <w:iCs/>
          <w:noProof/>
          <w:w w:val="102"/>
          <w:lang w:val="nl-NL"/>
        </w:rPr>
        <w:t>Nghị định số 51/2015/NĐ-CP</w:t>
      </w:r>
      <w:r>
        <w:rPr>
          <w:iCs/>
          <w:noProof/>
          <w:w w:val="102"/>
          <w:lang w:val="nl-NL"/>
        </w:rPr>
        <w:t xml:space="preserve"> cần được sửa đổi, bổ sung để bảo đảm phù hợp với Luật số 141/2025/QH15 nêu trên.</w:t>
      </w:r>
    </w:p>
    <w:p w14:paraId="08B0678A" w14:textId="6CC9B932" w:rsidR="00F009F7" w:rsidRPr="00A71C23" w:rsidRDefault="00F009F7" w:rsidP="00BB1715">
      <w:pPr>
        <w:tabs>
          <w:tab w:val="left" w:pos="3052"/>
        </w:tabs>
        <w:spacing w:before="120" w:after="120" w:line="264" w:lineRule="auto"/>
        <w:ind w:firstLine="720"/>
        <w:jc w:val="both"/>
        <w:rPr>
          <w:b/>
          <w:bCs/>
          <w:iCs/>
          <w:noProof/>
          <w:w w:val="102"/>
          <w:lang w:val="nl-NL"/>
        </w:rPr>
      </w:pPr>
      <w:r w:rsidRPr="00A71C23">
        <w:rPr>
          <w:b/>
          <w:bCs/>
          <w:iCs/>
          <w:noProof/>
          <w:w w:val="102"/>
          <w:lang w:val="nl-NL"/>
        </w:rPr>
        <w:t>III. ĐỀ XUẤT, KIẾN NGHỊ</w:t>
      </w:r>
    </w:p>
    <w:p w14:paraId="579D387C" w14:textId="165F64D5" w:rsidR="00F009F7" w:rsidRPr="009E735E" w:rsidRDefault="00F009F7" w:rsidP="00BB1715">
      <w:pPr>
        <w:tabs>
          <w:tab w:val="left" w:pos="3052"/>
        </w:tabs>
        <w:spacing w:before="120" w:after="120" w:line="264" w:lineRule="auto"/>
        <w:ind w:firstLine="720"/>
        <w:jc w:val="both"/>
        <w:rPr>
          <w:iCs/>
          <w:noProof/>
          <w:w w:val="102"/>
          <w:lang w:val="nl-NL"/>
        </w:rPr>
      </w:pPr>
      <w:r w:rsidRPr="009E735E">
        <w:rPr>
          <w:iCs/>
          <w:noProof/>
          <w:w w:val="102"/>
          <w:lang w:val="nl-NL"/>
        </w:rPr>
        <w:t xml:space="preserve">Trên cơ sở tổng kết thi hành Nghị định số 51/2015/NĐ-CP nêu trên, Bộ Tư pháp thấy rằng cần sửa đổi, bổ sung Nghị định số 51/2015/NĐ-CP để thực hiện hiệu quả hơn công tác cấp ý kiến pháp lý trong tình hình mới, hạn chế rủi ro pháp lý cho Chính phủ Việt Nam và thực hiện chủ trương cải cách thủ tục hành chính, rút ngắn thời gian giải ngân vốn ODA. </w:t>
      </w:r>
    </w:p>
    <w:p w14:paraId="164AE561" w14:textId="0E117E03" w:rsidR="001436AE" w:rsidRPr="009E735E" w:rsidRDefault="001436AE" w:rsidP="00BB1715">
      <w:pPr>
        <w:tabs>
          <w:tab w:val="left" w:pos="3052"/>
        </w:tabs>
        <w:spacing w:before="120" w:after="120" w:line="264" w:lineRule="auto"/>
        <w:ind w:firstLine="720"/>
        <w:jc w:val="both"/>
        <w:rPr>
          <w:iCs/>
          <w:noProof/>
          <w:w w:val="102"/>
          <w:lang w:val="nl-NL"/>
        </w:rPr>
      </w:pPr>
      <w:r w:rsidRPr="009E735E">
        <w:rPr>
          <w:iCs/>
          <w:noProof/>
          <w:w w:val="102"/>
          <w:lang w:val="nl-NL"/>
        </w:rPr>
        <w:t>Theo đó, Nghị định sửa đổi, bổ sung Nghị định số 51/2015/NĐ-CP cần tập trung vào một số vấn đề như (i) thu hẹp đối tượng cấp ý kiến pháp lý; (ii) quy định chặt chẽ, rõ ràng hơn về hồ sơ đề nghị cấp ý kiến pháp lý; (iii) tăng cường trách nhiệm của các cơ quan, tổ chứ</w:t>
      </w:r>
      <w:bookmarkStart w:id="2" w:name="_GoBack"/>
      <w:bookmarkEnd w:id="2"/>
      <w:r w:rsidRPr="009E735E">
        <w:rPr>
          <w:iCs/>
          <w:noProof/>
          <w:w w:val="102"/>
          <w:lang w:val="nl-NL"/>
        </w:rPr>
        <w:t>c có liên quan đến hoạt động cấp ý kiến pháp lý.</w:t>
      </w:r>
    </w:p>
    <w:p w14:paraId="07852155" w14:textId="21B4FD7E" w:rsidR="009B1469" w:rsidRPr="009E735E" w:rsidRDefault="001436AE" w:rsidP="00BB1715">
      <w:pPr>
        <w:tabs>
          <w:tab w:val="left" w:pos="3052"/>
        </w:tabs>
        <w:spacing w:before="120" w:after="120" w:line="264" w:lineRule="auto"/>
        <w:ind w:firstLine="720"/>
        <w:jc w:val="both"/>
        <w:rPr>
          <w:iCs/>
          <w:noProof/>
          <w:w w:val="102"/>
          <w:lang w:val="nl-NL"/>
        </w:rPr>
      </w:pPr>
      <w:r w:rsidRPr="009E735E">
        <w:rPr>
          <w:iCs/>
          <w:noProof/>
          <w:w w:val="102"/>
          <w:lang w:val="nl-NL"/>
        </w:rPr>
        <w:t>Trên đây là Báo cáo tổng kết việc thi hành Nghị định số 51/2015/NĐ-CP ngày 26/5/2015 của Chính phủ về cấp ý kiến pháp lý. Bộ Tư pháp kính báo cáo Chính phủ./.</w:t>
      </w:r>
    </w:p>
    <w:tbl>
      <w:tblPr>
        <w:tblW w:w="10172" w:type="dxa"/>
        <w:tblLayout w:type="fixed"/>
        <w:tblLook w:val="0000" w:firstRow="0" w:lastRow="0" w:firstColumn="0" w:lastColumn="0" w:noHBand="0" w:noVBand="0"/>
      </w:tblPr>
      <w:tblGrid>
        <w:gridCol w:w="4361"/>
        <w:gridCol w:w="5811"/>
      </w:tblGrid>
      <w:tr w:rsidR="00D60C2A" w:rsidRPr="009E735E" w14:paraId="165F6C8F" w14:textId="77777777" w:rsidTr="00485564">
        <w:tc>
          <w:tcPr>
            <w:tcW w:w="4361" w:type="dxa"/>
            <w:tcBorders>
              <w:top w:val="nil"/>
              <w:left w:val="nil"/>
              <w:bottom w:val="nil"/>
              <w:right w:val="nil"/>
            </w:tcBorders>
          </w:tcPr>
          <w:p w14:paraId="2967FA6F" w14:textId="77777777" w:rsidR="00D60C2A" w:rsidRPr="009E735E" w:rsidRDefault="00D60C2A" w:rsidP="00654510">
            <w:pPr>
              <w:rPr>
                <w:b/>
                <w:bCs/>
                <w:i/>
                <w:iCs/>
                <w:noProof/>
                <w:sz w:val="24"/>
                <w:szCs w:val="26"/>
                <w:lang w:val="nl-NL"/>
              </w:rPr>
            </w:pPr>
            <w:r w:rsidRPr="009E735E">
              <w:rPr>
                <w:b/>
                <w:bCs/>
                <w:i/>
                <w:iCs/>
                <w:noProof/>
                <w:sz w:val="24"/>
                <w:szCs w:val="26"/>
                <w:lang w:val="nl-NL"/>
              </w:rPr>
              <w:t>Nơi nhận:</w:t>
            </w:r>
          </w:p>
          <w:p w14:paraId="14FF2DA6" w14:textId="77777777" w:rsidR="00D60C2A" w:rsidRPr="009E735E" w:rsidRDefault="00D60C2A" w:rsidP="00654510">
            <w:pPr>
              <w:rPr>
                <w:noProof/>
                <w:sz w:val="22"/>
                <w:szCs w:val="22"/>
                <w:lang w:val="nl-NL"/>
              </w:rPr>
            </w:pPr>
            <w:r w:rsidRPr="009E735E">
              <w:rPr>
                <w:noProof/>
                <w:sz w:val="22"/>
                <w:szCs w:val="22"/>
                <w:lang w:val="nl-NL"/>
              </w:rPr>
              <w:t>-</w:t>
            </w:r>
            <w:r w:rsidRPr="009E735E">
              <w:rPr>
                <w:noProof/>
                <w:sz w:val="24"/>
                <w:szCs w:val="26"/>
                <w:lang w:val="nl-NL"/>
              </w:rPr>
              <w:t xml:space="preserve"> </w:t>
            </w:r>
            <w:r w:rsidRPr="009E735E">
              <w:rPr>
                <w:noProof/>
                <w:sz w:val="22"/>
                <w:szCs w:val="22"/>
                <w:lang w:val="nl-NL"/>
              </w:rPr>
              <w:t>Như trên;</w:t>
            </w:r>
          </w:p>
          <w:p w14:paraId="1C86EB0F" w14:textId="05C9A285" w:rsidR="00D60C2A" w:rsidRPr="009E735E" w:rsidRDefault="00D60C2A" w:rsidP="00654510">
            <w:pPr>
              <w:rPr>
                <w:noProof/>
                <w:sz w:val="22"/>
                <w:szCs w:val="22"/>
                <w:lang w:val="nl-NL"/>
              </w:rPr>
            </w:pPr>
            <w:r w:rsidRPr="009E735E">
              <w:rPr>
                <w:noProof/>
                <w:sz w:val="22"/>
                <w:szCs w:val="22"/>
                <w:lang w:val="nl-NL"/>
              </w:rPr>
              <w:t>- Bộ trưởng (để b/c);</w:t>
            </w:r>
          </w:p>
          <w:p w14:paraId="01789A6D" w14:textId="4FC9D3BE" w:rsidR="00D60C2A" w:rsidRPr="009E735E" w:rsidRDefault="00D60C2A" w:rsidP="00654510">
            <w:pPr>
              <w:rPr>
                <w:noProof/>
                <w:sz w:val="22"/>
                <w:szCs w:val="22"/>
                <w:lang w:val="nl-NL"/>
              </w:rPr>
            </w:pPr>
            <w:r w:rsidRPr="009E735E">
              <w:rPr>
                <w:noProof/>
                <w:sz w:val="22"/>
                <w:szCs w:val="22"/>
                <w:lang w:val="nl-NL"/>
              </w:rPr>
              <w:t xml:space="preserve">- Lưu: VT, </w:t>
            </w:r>
            <w:r w:rsidR="001436AE" w:rsidRPr="009E735E">
              <w:rPr>
                <w:noProof/>
                <w:sz w:val="22"/>
                <w:szCs w:val="22"/>
                <w:lang w:val="nl-NL"/>
              </w:rPr>
              <w:t>Cục</w:t>
            </w:r>
            <w:r w:rsidRPr="009E735E">
              <w:rPr>
                <w:noProof/>
                <w:sz w:val="22"/>
                <w:szCs w:val="22"/>
                <w:lang w:val="nl-NL"/>
              </w:rPr>
              <w:t xml:space="preserve"> PLQT</w:t>
            </w:r>
            <w:r w:rsidR="00485564">
              <w:rPr>
                <w:noProof/>
                <w:sz w:val="22"/>
                <w:szCs w:val="22"/>
                <w:lang w:val="nl-NL"/>
              </w:rPr>
              <w:t>&amp;GQTCĐTQT</w:t>
            </w:r>
            <w:r w:rsidR="00ED2404" w:rsidRPr="009E735E">
              <w:rPr>
                <w:noProof/>
                <w:sz w:val="22"/>
                <w:szCs w:val="22"/>
                <w:lang w:val="nl-NL"/>
              </w:rPr>
              <w:t>(</w:t>
            </w:r>
            <w:r w:rsidR="00216873" w:rsidRPr="009E735E">
              <w:rPr>
                <w:noProof/>
                <w:sz w:val="22"/>
                <w:szCs w:val="22"/>
                <w:lang w:val="nl-NL"/>
              </w:rPr>
              <w:t>Tr</w:t>
            </w:r>
            <w:r w:rsidR="00AE1A30" w:rsidRPr="009E735E">
              <w:rPr>
                <w:noProof/>
                <w:sz w:val="22"/>
                <w:szCs w:val="22"/>
                <w:lang w:val="nl-NL"/>
              </w:rPr>
              <w:t>)</w:t>
            </w:r>
            <w:r w:rsidRPr="009E735E">
              <w:rPr>
                <w:noProof/>
                <w:sz w:val="22"/>
                <w:szCs w:val="22"/>
                <w:lang w:val="nl-NL"/>
              </w:rPr>
              <w:t>.</w:t>
            </w:r>
          </w:p>
          <w:p w14:paraId="0AC8E6FF" w14:textId="77777777" w:rsidR="00D60C2A" w:rsidRPr="009E735E" w:rsidRDefault="00D60C2A" w:rsidP="00AE1A30">
            <w:pPr>
              <w:rPr>
                <w:noProof/>
                <w:sz w:val="26"/>
                <w:szCs w:val="26"/>
                <w:lang w:val="nl-NL"/>
              </w:rPr>
            </w:pPr>
          </w:p>
        </w:tc>
        <w:tc>
          <w:tcPr>
            <w:tcW w:w="5811" w:type="dxa"/>
            <w:tcBorders>
              <w:top w:val="nil"/>
              <w:left w:val="nil"/>
              <w:bottom w:val="nil"/>
              <w:right w:val="nil"/>
            </w:tcBorders>
          </w:tcPr>
          <w:p w14:paraId="58527C3C" w14:textId="7AFF089D" w:rsidR="00D60C2A" w:rsidRPr="009E735E" w:rsidRDefault="00BE0CA7" w:rsidP="00654510">
            <w:pPr>
              <w:pStyle w:val="Heading9"/>
              <w:rPr>
                <w:noProof/>
                <w:sz w:val="28"/>
                <w:szCs w:val="28"/>
              </w:rPr>
            </w:pPr>
            <w:r w:rsidRPr="009E735E">
              <w:rPr>
                <w:noProof/>
                <w:sz w:val="28"/>
                <w:szCs w:val="28"/>
              </w:rPr>
              <w:t xml:space="preserve">KT. </w:t>
            </w:r>
            <w:r w:rsidR="00D60C2A" w:rsidRPr="009E735E">
              <w:rPr>
                <w:noProof/>
                <w:sz w:val="28"/>
                <w:szCs w:val="28"/>
              </w:rPr>
              <w:t>BỘ TRƯỞNG</w:t>
            </w:r>
          </w:p>
          <w:p w14:paraId="72BF40D0" w14:textId="24FA6DBE" w:rsidR="00D60C2A" w:rsidRPr="009E735E" w:rsidRDefault="00BE0CA7" w:rsidP="00F33B48">
            <w:pPr>
              <w:jc w:val="center"/>
              <w:rPr>
                <w:b/>
                <w:noProof/>
                <w:lang w:val="nl-NL"/>
              </w:rPr>
            </w:pPr>
            <w:r w:rsidRPr="009E735E">
              <w:rPr>
                <w:b/>
                <w:noProof/>
                <w:lang w:val="nl-NL"/>
              </w:rPr>
              <w:t>THỨ TRƯỞNG</w:t>
            </w:r>
          </w:p>
          <w:p w14:paraId="176E5530" w14:textId="77777777" w:rsidR="00851E2D" w:rsidRPr="009E735E" w:rsidRDefault="00851E2D" w:rsidP="00654510">
            <w:pPr>
              <w:jc w:val="center"/>
              <w:rPr>
                <w:b/>
                <w:noProof/>
                <w:lang w:val="nl-NL"/>
              </w:rPr>
            </w:pPr>
          </w:p>
          <w:p w14:paraId="448C9A8F" w14:textId="77777777" w:rsidR="00F33B48" w:rsidRPr="009E735E" w:rsidRDefault="00F33B48" w:rsidP="00654510">
            <w:pPr>
              <w:jc w:val="center"/>
              <w:rPr>
                <w:b/>
                <w:noProof/>
                <w:lang w:val="nl-NL"/>
              </w:rPr>
            </w:pPr>
          </w:p>
          <w:p w14:paraId="329FE546" w14:textId="0C772BCC" w:rsidR="006132F6" w:rsidRPr="009E735E" w:rsidRDefault="006132F6" w:rsidP="00654510">
            <w:pPr>
              <w:jc w:val="center"/>
              <w:rPr>
                <w:b/>
                <w:noProof/>
                <w:lang w:val="nl-NL"/>
              </w:rPr>
            </w:pPr>
          </w:p>
          <w:p w14:paraId="28AB9CE1" w14:textId="77777777" w:rsidR="00F55676" w:rsidRPr="009E735E" w:rsidRDefault="00F55676" w:rsidP="00654510">
            <w:pPr>
              <w:jc w:val="center"/>
              <w:rPr>
                <w:b/>
                <w:noProof/>
                <w:lang w:val="nl-NL"/>
              </w:rPr>
            </w:pPr>
          </w:p>
          <w:p w14:paraId="4CA7224E" w14:textId="77777777" w:rsidR="00F55676" w:rsidRPr="009E735E" w:rsidRDefault="00F55676" w:rsidP="00654510">
            <w:pPr>
              <w:jc w:val="center"/>
              <w:rPr>
                <w:b/>
                <w:noProof/>
                <w:lang w:val="nl-NL"/>
              </w:rPr>
            </w:pPr>
          </w:p>
          <w:p w14:paraId="20B1B9DB" w14:textId="77777777" w:rsidR="00B81A57" w:rsidRPr="009E735E" w:rsidRDefault="00B81A57" w:rsidP="00654510">
            <w:pPr>
              <w:jc w:val="center"/>
              <w:rPr>
                <w:b/>
                <w:noProof/>
                <w:lang w:val="nl-NL"/>
              </w:rPr>
            </w:pPr>
          </w:p>
          <w:p w14:paraId="1F46601B" w14:textId="64474EB0" w:rsidR="00F55676" w:rsidRPr="009E735E" w:rsidRDefault="001436AE" w:rsidP="00654510">
            <w:pPr>
              <w:jc w:val="center"/>
              <w:rPr>
                <w:b/>
                <w:noProof/>
                <w:lang w:val="nl-NL"/>
              </w:rPr>
            </w:pPr>
            <w:r w:rsidRPr="009E735E">
              <w:rPr>
                <w:b/>
                <w:noProof/>
                <w:lang w:val="nl-NL"/>
              </w:rPr>
              <w:t>Đặng Hoàng Oanh</w:t>
            </w:r>
          </w:p>
          <w:p w14:paraId="5413CAFF" w14:textId="3650CB7F" w:rsidR="00D60C2A" w:rsidRPr="009E735E" w:rsidRDefault="00D60C2A" w:rsidP="00BB1715">
            <w:pPr>
              <w:rPr>
                <w:b/>
                <w:noProof/>
                <w:lang w:val="nl-NL"/>
              </w:rPr>
            </w:pPr>
          </w:p>
        </w:tc>
      </w:tr>
      <w:tr w:rsidR="004327E7" w:rsidRPr="009E735E" w14:paraId="657B07F6" w14:textId="77777777" w:rsidTr="00485564">
        <w:tc>
          <w:tcPr>
            <w:tcW w:w="4361" w:type="dxa"/>
            <w:tcBorders>
              <w:top w:val="nil"/>
              <w:left w:val="nil"/>
              <w:bottom w:val="nil"/>
              <w:right w:val="nil"/>
            </w:tcBorders>
          </w:tcPr>
          <w:p w14:paraId="65D46E35" w14:textId="77777777" w:rsidR="004327E7" w:rsidRPr="009E735E" w:rsidRDefault="004327E7" w:rsidP="00654510">
            <w:pPr>
              <w:rPr>
                <w:b/>
                <w:bCs/>
                <w:i/>
                <w:iCs/>
                <w:noProof/>
                <w:sz w:val="24"/>
                <w:szCs w:val="26"/>
                <w:lang w:val="nl-NL"/>
              </w:rPr>
            </w:pPr>
          </w:p>
        </w:tc>
        <w:tc>
          <w:tcPr>
            <w:tcW w:w="5811" w:type="dxa"/>
            <w:tcBorders>
              <w:top w:val="nil"/>
              <w:left w:val="nil"/>
              <w:bottom w:val="nil"/>
              <w:right w:val="nil"/>
            </w:tcBorders>
          </w:tcPr>
          <w:p w14:paraId="2194D34D" w14:textId="77777777" w:rsidR="004327E7" w:rsidRPr="009E735E" w:rsidRDefault="004327E7" w:rsidP="00FA2A06">
            <w:pPr>
              <w:pStyle w:val="Heading9"/>
              <w:jc w:val="left"/>
              <w:rPr>
                <w:noProof/>
                <w:sz w:val="28"/>
                <w:szCs w:val="28"/>
              </w:rPr>
            </w:pPr>
          </w:p>
        </w:tc>
      </w:tr>
    </w:tbl>
    <w:p w14:paraId="2E85F7EB" w14:textId="77777777" w:rsidR="009E735E" w:rsidRPr="009E735E" w:rsidRDefault="009E735E" w:rsidP="00392B17">
      <w:pPr>
        <w:rPr>
          <w:noProof/>
          <w:lang w:val="nl-NL"/>
        </w:rPr>
      </w:pPr>
    </w:p>
    <w:p w14:paraId="58C028F7" w14:textId="77777777" w:rsidR="009E735E" w:rsidRPr="009E735E" w:rsidRDefault="009E735E" w:rsidP="00392B17">
      <w:pPr>
        <w:rPr>
          <w:noProof/>
          <w:lang w:val="nl-NL"/>
        </w:rPr>
      </w:pPr>
    </w:p>
    <w:p w14:paraId="4795024A" w14:textId="5CED5B21" w:rsidR="009E735E" w:rsidRPr="009E735E" w:rsidRDefault="009E735E" w:rsidP="00392B17">
      <w:pPr>
        <w:rPr>
          <w:noProof/>
          <w:lang w:val="nl-NL"/>
        </w:rPr>
      </w:pPr>
    </w:p>
    <w:p w14:paraId="33D6B9AF" w14:textId="77777777" w:rsidR="009E735E" w:rsidRPr="009E735E" w:rsidRDefault="009E735E" w:rsidP="00392B17">
      <w:pPr>
        <w:rPr>
          <w:noProof/>
          <w:lang w:val="nl-NL"/>
        </w:rPr>
      </w:pPr>
    </w:p>
    <w:p w14:paraId="04221525" w14:textId="77777777" w:rsidR="009E735E" w:rsidRPr="009E735E" w:rsidRDefault="009E735E" w:rsidP="00392B17">
      <w:pPr>
        <w:rPr>
          <w:noProof/>
          <w:lang w:val="nl-NL"/>
        </w:rPr>
      </w:pPr>
    </w:p>
    <w:p w14:paraId="119363B3" w14:textId="77777777" w:rsidR="009E735E" w:rsidRPr="009E735E" w:rsidRDefault="009E735E" w:rsidP="00392B17">
      <w:pPr>
        <w:rPr>
          <w:noProof/>
          <w:lang w:val="nl-NL"/>
        </w:rPr>
        <w:sectPr w:rsidR="009E735E" w:rsidRPr="009E735E" w:rsidSect="009E735E">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81"/>
        </w:sectPr>
      </w:pPr>
    </w:p>
    <w:p w14:paraId="61C040B8" w14:textId="0A2E8836" w:rsidR="009E735E" w:rsidRPr="009E735E" w:rsidRDefault="009E735E" w:rsidP="00F36805">
      <w:pPr>
        <w:autoSpaceDE w:val="0"/>
        <w:autoSpaceDN w:val="0"/>
        <w:adjustRightInd w:val="0"/>
        <w:spacing w:before="120" w:after="120" w:line="276" w:lineRule="auto"/>
        <w:rPr>
          <w:noProof/>
          <w:lang w:val="nl-NL"/>
        </w:rPr>
      </w:pPr>
    </w:p>
    <w:sectPr w:rsidR="009E735E" w:rsidRPr="009E735E" w:rsidSect="009E735E">
      <w:pgSz w:w="16840" w:h="11907" w:orient="landscape" w:code="9"/>
      <w:pgMar w:top="993" w:right="1134" w:bottom="1134" w:left="1134" w:header="720" w:footer="720" w:gutter="0"/>
      <w:pgNumType w:start="1"/>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414EF9" w16cid:durableId="69414EF9"/>
  <w16cid:commentId w16cid:paraId="1D19F58E" w16cid:durableId="1D19F5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CE9B2" w14:textId="77777777" w:rsidR="00C70B90" w:rsidRDefault="00C70B90">
      <w:r>
        <w:separator/>
      </w:r>
    </w:p>
  </w:endnote>
  <w:endnote w:type="continuationSeparator" w:id="0">
    <w:p w14:paraId="312AE179" w14:textId="77777777" w:rsidR="00C70B90" w:rsidRDefault="00C7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F96CF" w14:textId="77777777" w:rsidR="000C3B06" w:rsidRDefault="0034236C" w:rsidP="00654510">
    <w:pPr>
      <w:pStyle w:val="Footer"/>
      <w:framePr w:wrap="around" w:vAnchor="text" w:hAnchor="margin" w:xAlign="right" w:y="1"/>
      <w:rPr>
        <w:rStyle w:val="PageNumber"/>
      </w:rPr>
    </w:pPr>
    <w:r>
      <w:rPr>
        <w:rStyle w:val="PageNumber"/>
      </w:rPr>
      <w:fldChar w:fldCharType="begin"/>
    </w:r>
    <w:r w:rsidR="000C3B06">
      <w:rPr>
        <w:rStyle w:val="PageNumber"/>
      </w:rPr>
      <w:instrText xml:space="preserve">PAGE  </w:instrText>
    </w:r>
    <w:r>
      <w:rPr>
        <w:rStyle w:val="PageNumber"/>
      </w:rPr>
      <w:fldChar w:fldCharType="end"/>
    </w:r>
  </w:p>
  <w:p w14:paraId="71597550" w14:textId="77777777" w:rsidR="000C3B06" w:rsidRDefault="000C3B06" w:rsidP="006545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8A841" w14:textId="77777777" w:rsidR="000C3B06" w:rsidRPr="00EA59B9" w:rsidRDefault="000C3B06" w:rsidP="00654510">
    <w:pPr>
      <w:pStyle w:val="Footer"/>
      <w:adjustRightInd w:val="0"/>
      <w:spacing w:before="0" w:after="0" w:line="240" w:lineRule="auto"/>
      <w:ind w:right="360" w:firstLine="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DA664" w14:textId="77777777" w:rsidR="00C70B90" w:rsidRDefault="00C70B90">
      <w:r>
        <w:separator/>
      </w:r>
    </w:p>
  </w:footnote>
  <w:footnote w:type="continuationSeparator" w:id="0">
    <w:p w14:paraId="0CE0C216" w14:textId="77777777" w:rsidR="00C70B90" w:rsidRDefault="00C70B90">
      <w:r>
        <w:continuationSeparator/>
      </w:r>
    </w:p>
  </w:footnote>
  <w:footnote w:id="1">
    <w:p w14:paraId="5E237A30" w14:textId="69B2AB30" w:rsidR="00176693" w:rsidRPr="00430B0F" w:rsidRDefault="00176693" w:rsidP="00176693">
      <w:pPr>
        <w:pStyle w:val="FootnoteText"/>
        <w:jc w:val="both"/>
      </w:pPr>
      <w:r>
        <w:rPr>
          <w:rStyle w:val="FootnoteReference"/>
        </w:rPr>
        <w:footnoteRef/>
      </w:r>
      <w:r>
        <w:t xml:space="preserve"> Điểm e khoản 2 Điều 18 Luật Điều ước quốc tế </w:t>
      </w:r>
      <w:r w:rsidR="00F96D93">
        <w:t>số 108/2016/QH13 được sửa đổi, bổ sung bởi Luật số 137/2015/QH15</w:t>
      </w:r>
      <w:r>
        <w:t xml:space="preserve"> quy định Bộ Ngoại giao có trách nhiệm </w:t>
      </w:r>
      <w:r w:rsidRPr="00430B0F">
        <w:rPr>
          <w:i/>
        </w:rPr>
        <w:t>“kiểm tra việc tuân thủ trình tự, thủ tục đề xuất ký điều ước quốc tế”</w:t>
      </w:r>
      <w:r>
        <w:t>.</w:t>
      </w:r>
    </w:p>
  </w:footnote>
  <w:footnote w:id="2">
    <w:p w14:paraId="12136F6A" w14:textId="065E5178" w:rsidR="00176693" w:rsidRPr="00430B0F" w:rsidRDefault="00176693" w:rsidP="00176693">
      <w:pPr>
        <w:pStyle w:val="FootnoteText"/>
        <w:jc w:val="both"/>
      </w:pPr>
      <w:r>
        <w:rPr>
          <w:rStyle w:val="FootnoteReference"/>
        </w:rPr>
        <w:footnoteRef/>
      </w:r>
      <w:r>
        <w:t xml:space="preserve"> Điểm g khoản 1 Điều 15 Luật Quản lý nợ công </w:t>
      </w:r>
      <w:r w:rsidR="00F96D93">
        <w:t xml:space="preserve">số 20/2017/QH14 được sửa đổi, bổ sung bởi </w:t>
      </w:r>
      <w:r w:rsidR="00F96D93" w:rsidRPr="00F96D93">
        <w:rPr>
          <w:iCs/>
          <w:lang w:val="nl-NL"/>
        </w:rPr>
        <w:t>số 141/2025/QH15</w:t>
      </w:r>
      <w:r>
        <w:t xml:space="preserve"> quy định Bộ Tài chính </w:t>
      </w:r>
      <w:r w:rsidRPr="00430B0F">
        <w:rPr>
          <w:i/>
        </w:rPr>
        <w:t>“</w:t>
      </w:r>
      <w:r w:rsidRPr="00430B0F">
        <w:rPr>
          <w:i/>
          <w:lang w:val="vi-VN"/>
        </w:rPr>
        <w:t>chủ trì tổ chức thực hiện đàm phán, ký kết thỏa thuận vay thương mại, hiệp định khung, hiệp định cụ thể về vay ODA và va</w:t>
      </w:r>
      <w:r w:rsidRPr="00430B0F">
        <w:rPr>
          <w:i/>
        </w:rPr>
        <w:t>y </w:t>
      </w:r>
      <w:r w:rsidRPr="00430B0F">
        <w:rPr>
          <w:i/>
          <w:lang w:val="vi-VN"/>
        </w:rPr>
        <w:t>ưu đãi nước ngoài nhân danh Nhà nước và Chính phủ</w:t>
      </w:r>
      <w:r w:rsidRPr="00430B0F">
        <w:rPr>
          <w:i/>
        </w:rPr>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101443"/>
      <w:docPartObj>
        <w:docPartGallery w:val="Page Numbers (Top of Page)"/>
        <w:docPartUnique/>
      </w:docPartObj>
    </w:sdtPr>
    <w:sdtEndPr>
      <w:rPr>
        <w:noProof/>
      </w:rPr>
    </w:sdtEndPr>
    <w:sdtContent>
      <w:p w14:paraId="3D4BDD10" w14:textId="36389712" w:rsidR="00243AF0" w:rsidRDefault="00243AF0">
        <w:pPr>
          <w:pStyle w:val="Header"/>
          <w:jc w:val="center"/>
        </w:pPr>
        <w:r w:rsidRPr="00243AF0">
          <w:rPr>
            <w:sz w:val="24"/>
          </w:rPr>
          <w:fldChar w:fldCharType="begin"/>
        </w:r>
        <w:r w:rsidRPr="00243AF0">
          <w:rPr>
            <w:sz w:val="24"/>
          </w:rPr>
          <w:instrText xml:space="preserve"> PAGE   \* MERGEFORMAT </w:instrText>
        </w:r>
        <w:r w:rsidRPr="00243AF0">
          <w:rPr>
            <w:sz w:val="24"/>
          </w:rPr>
          <w:fldChar w:fldCharType="separate"/>
        </w:r>
        <w:r w:rsidR="00BD63AD">
          <w:rPr>
            <w:noProof/>
            <w:sz w:val="24"/>
          </w:rPr>
          <w:t>8</w:t>
        </w:r>
        <w:r w:rsidRPr="00243AF0">
          <w:rPr>
            <w:noProof/>
            <w:sz w:val="24"/>
          </w:rPr>
          <w:fldChar w:fldCharType="end"/>
        </w:r>
      </w:p>
    </w:sdtContent>
  </w:sdt>
  <w:p w14:paraId="671CFE42" w14:textId="77777777" w:rsidR="00243AF0" w:rsidRDefault="00243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556D88"/>
    <w:multiLevelType w:val="hybridMultilevel"/>
    <w:tmpl w:val="10EC8C16"/>
    <w:lvl w:ilvl="0" w:tplc="9BD27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BA0631"/>
    <w:multiLevelType w:val="hybridMultilevel"/>
    <w:tmpl w:val="14404136"/>
    <w:lvl w:ilvl="0" w:tplc="75DE2F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2A"/>
    <w:rsid w:val="0000356A"/>
    <w:rsid w:val="0000362A"/>
    <w:rsid w:val="0000553A"/>
    <w:rsid w:val="00006173"/>
    <w:rsid w:val="00010B15"/>
    <w:rsid w:val="0001719C"/>
    <w:rsid w:val="000213FB"/>
    <w:rsid w:val="0002198A"/>
    <w:rsid w:val="00024929"/>
    <w:rsid w:val="00025530"/>
    <w:rsid w:val="000317F4"/>
    <w:rsid w:val="0003230B"/>
    <w:rsid w:val="00033B03"/>
    <w:rsid w:val="000360DB"/>
    <w:rsid w:val="000365A2"/>
    <w:rsid w:val="000374EB"/>
    <w:rsid w:val="00041EDA"/>
    <w:rsid w:val="000425ED"/>
    <w:rsid w:val="0004356F"/>
    <w:rsid w:val="000453D2"/>
    <w:rsid w:val="00045407"/>
    <w:rsid w:val="0004553E"/>
    <w:rsid w:val="00045D0B"/>
    <w:rsid w:val="00046020"/>
    <w:rsid w:val="00046C23"/>
    <w:rsid w:val="00047ADB"/>
    <w:rsid w:val="00047DF9"/>
    <w:rsid w:val="00053940"/>
    <w:rsid w:val="00054DB9"/>
    <w:rsid w:val="000553BC"/>
    <w:rsid w:val="00062D9A"/>
    <w:rsid w:val="00063989"/>
    <w:rsid w:val="000640F6"/>
    <w:rsid w:val="000643B4"/>
    <w:rsid w:val="00065D00"/>
    <w:rsid w:val="00066E44"/>
    <w:rsid w:val="000724B5"/>
    <w:rsid w:val="000744F3"/>
    <w:rsid w:val="00074DDF"/>
    <w:rsid w:val="00076F16"/>
    <w:rsid w:val="0007741F"/>
    <w:rsid w:val="000801E2"/>
    <w:rsid w:val="00080C93"/>
    <w:rsid w:val="000824E5"/>
    <w:rsid w:val="00082B40"/>
    <w:rsid w:val="000838FC"/>
    <w:rsid w:val="00086200"/>
    <w:rsid w:val="000862A9"/>
    <w:rsid w:val="000862D7"/>
    <w:rsid w:val="00087990"/>
    <w:rsid w:val="00091290"/>
    <w:rsid w:val="00091549"/>
    <w:rsid w:val="00092950"/>
    <w:rsid w:val="00095F29"/>
    <w:rsid w:val="000A1157"/>
    <w:rsid w:val="000A18EF"/>
    <w:rsid w:val="000A1945"/>
    <w:rsid w:val="000A1A5C"/>
    <w:rsid w:val="000A28B9"/>
    <w:rsid w:val="000A330B"/>
    <w:rsid w:val="000A410D"/>
    <w:rsid w:val="000A4A6E"/>
    <w:rsid w:val="000A606A"/>
    <w:rsid w:val="000A772B"/>
    <w:rsid w:val="000B2548"/>
    <w:rsid w:val="000B25C1"/>
    <w:rsid w:val="000B288F"/>
    <w:rsid w:val="000B34E5"/>
    <w:rsid w:val="000B46DA"/>
    <w:rsid w:val="000B4B76"/>
    <w:rsid w:val="000B4EF5"/>
    <w:rsid w:val="000B77A4"/>
    <w:rsid w:val="000C1201"/>
    <w:rsid w:val="000C3B06"/>
    <w:rsid w:val="000C5243"/>
    <w:rsid w:val="000C5659"/>
    <w:rsid w:val="000D1828"/>
    <w:rsid w:val="000D2272"/>
    <w:rsid w:val="000D25BA"/>
    <w:rsid w:val="000D2B41"/>
    <w:rsid w:val="000D4B31"/>
    <w:rsid w:val="000D61A9"/>
    <w:rsid w:val="000E0B41"/>
    <w:rsid w:val="000E1DEC"/>
    <w:rsid w:val="000E3989"/>
    <w:rsid w:val="000E4386"/>
    <w:rsid w:val="000E4FA9"/>
    <w:rsid w:val="000E5FDF"/>
    <w:rsid w:val="000E61E7"/>
    <w:rsid w:val="000E74DC"/>
    <w:rsid w:val="000E76EE"/>
    <w:rsid w:val="000F02DE"/>
    <w:rsid w:val="000F0656"/>
    <w:rsid w:val="000F09EA"/>
    <w:rsid w:val="000F14E4"/>
    <w:rsid w:val="000F536F"/>
    <w:rsid w:val="000F7417"/>
    <w:rsid w:val="00100404"/>
    <w:rsid w:val="001004BA"/>
    <w:rsid w:val="00101FF5"/>
    <w:rsid w:val="00102CF6"/>
    <w:rsid w:val="00102E63"/>
    <w:rsid w:val="00104691"/>
    <w:rsid w:val="00105AD8"/>
    <w:rsid w:val="00106B9A"/>
    <w:rsid w:val="00107235"/>
    <w:rsid w:val="001077E7"/>
    <w:rsid w:val="00111C1D"/>
    <w:rsid w:val="001127F3"/>
    <w:rsid w:val="00113865"/>
    <w:rsid w:val="00116136"/>
    <w:rsid w:val="00116481"/>
    <w:rsid w:val="00117680"/>
    <w:rsid w:val="00120EBD"/>
    <w:rsid w:val="00122C55"/>
    <w:rsid w:val="00124FB9"/>
    <w:rsid w:val="00125154"/>
    <w:rsid w:val="001304BF"/>
    <w:rsid w:val="001318B5"/>
    <w:rsid w:val="00132B6E"/>
    <w:rsid w:val="00133FA2"/>
    <w:rsid w:val="00134748"/>
    <w:rsid w:val="00135802"/>
    <w:rsid w:val="00136821"/>
    <w:rsid w:val="00137620"/>
    <w:rsid w:val="001376ED"/>
    <w:rsid w:val="001414E2"/>
    <w:rsid w:val="00142077"/>
    <w:rsid w:val="00142419"/>
    <w:rsid w:val="001436AE"/>
    <w:rsid w:val="00143D27"/>
    <w:rsid w:val="00144C6F"/>
    <w:rsid w:val="001504B1"/>
    <w:rsid w:val="00155D77"/>
    <w:rsid w:val="00161801"/>
    <w:rsid w:val="00162AEC"/>
    <w:rsid w:val="00163D88"/>
    <w:rsid w:val="00164ACE"/>
    <w:rsid w:val="001659DD"/>
    <w:rsid w:val="00165AFA"/>
    <w:rsid w:val="0016643F"/>
    <w:rsid w:val="0016653F"/>
    <w:rsid w:val="0017441D"/>
    <w:rsid w:val="001753E2"/>
    <w:rsid w:val="00176693"/>
    <w:rsid w:val="001777D0"/>
    <w:rsid w:val="00177A9F"/>
    <w:rsid w:val="001808A2"/>
    <w:rsid w:val="00183E14"/>
    <w:rsid w:val="00186C10"/>
    <w:rsid w:val="0019078A"/>
    <w:rsid w:val="001928BF"/>
    <w:rsid w:val="00192CFC"/>
    <w:rsid w:val="00193DEC"/>
    <w:rsid w:val="00194F12"/>
    <w:rsid w:val="001A1362"/>
    <w:rsid w:val="001A2A43"/>
    <w:rsid w:val="001A2D7A"/>
    <w:rsid w:val="001A3D8C"/>
    <w:rsid w:val="001A5CA0"/>
    <w:rsid w:val="001B0EA4"/>
    <w:rsid w:val="001B113A"/>
    <w:rsid w:val="001B3C8C"/>
    <w:rsid w:val="001B489A"/>
    <w:rsid w:val="001B6FE3"/>
    <w:rsid w:val="001C1772"/>
    <w:rsid w:val="001C1B21"/>
    <w:rsid w:val="001C3343"/>
    <w:rsid w:val="001C3796"/>
    <w:rsid w:val="001C4BD3"/>
    <w:rsid w:val="001C512D"/>
    <w:rsid w:val="001C5660"/>
    <w:rsid w:val="001C657D"/>
    <w:rsid w:val="001C6707"/>
    <w:rsid w:val="001C673E"/>
    <w:rsid w:val="001C7703"/>
    <w:rsid w:val="001C7BF8"/>
    <w:rsid w:val="001D1FFF"/>
    <w:rsid w:val="001D3F17"/>
    <w:rsid w:val="001D5575"/>
    <w:rsid w:val="001D66F7"/>
    <w:rsid w:val="001D7392"/>
    <w:rsid w:val="001E16AC"/>
    <w:rsid w:val="001E1F39"/>
    <w:rsid w:val="001E21CF"/>
    <w:rsid w:val="001E299C"/>
    <w:rsid w:val="001E5121"/>
    <w:rsid w:val="001E681F"/>
    <w:rsid w:val="001E7294"/>
    <w:rsid w:val="001F062E"/>
    <w:rsid w:val="001F1AE4"/>
    <w:rsid w:val="001F2A71"/>
    <w:rsid w:val="001F3482"/>
    <w:rsid w:val="001F3ED2"/>
    <w:rsid w:val="001F42D5"/>
    <w:rsid w:val="001F4A65"/>
    <w:rsid w:val="001F6A8D"/>
    <w:rsid w:val="002025A7"/>
    <w:rsid w:val="0020295A"/>
    <w:rsid w:val="00203CA9"/>
    <w:rsid w:val="0020425C"/>
    <w:rsid w:val="00205186"/>
    <w:rsid w:val="002064FE"/>
    <w:rsid w:val="00206A5F"/>
    <w:rsid w:val="00206F7E"/>
    <w:rsid w:val="002105C7"/>
    <w:rsid w:val="00211D41"/>
    <w:rsid w:val="00216004"/>
    <w:rsid w:val="00216873"/>
    <w:rsid w:val="00216BB5"/>
    <w:rsid w:val="0022033A"/>
    <w:rsid w:val="00221764"/>
    <w:rsid w:val="002242C3"/>
    <w:rsid w:val="00224A09"/>
    <w:rsid w:val="00224BFB"/>
    <w:rsid w:val="00225029"/>
    <w:rsid w:val="00226473"/>
    <w:rsid w:val="00227C3F"/>
    <w:rsid w:val="00231B47"/>
    <w:rsid w:val="002362BA"/>
    <w:rsid w:val="00236AB8"/>
    <w:rsid w:val="002371EC"/>
    <w:rsid w:val="00241B14"/>
    <w:rsid w:val="00241DF3"/>
    <w:rsid w:val="00242B27"/>
    <w:rsid w:val="00242B60"/>
    <w:rsid w:val="00243AF0"/>
    <w:rsid w:val="00243B47"/>
    <w:rsid w:val="00245884"/>
    <w:rsid w:val="002474CC"/>
    <w:rsid w:val="002508C2"/>
    <w:rsid w:val="002508F5"/>
    <w:rsid w:val="00251942"/>
    <w:rsid w:val="0025232A"/>
    <w:rsid w:val="00253D95"/>
    <w:rsid w:val="00254009"/>
    <w:rsid w:val="00254CF9"/>
    <w:rsid w:val="00255092"/>
    <w:rsid w:val="002552BE"/>
    <w:rsid w:val="00255AB9"/>
    <w:rsid w:val="002564B0"/>
    <w:rsid w:val="002600B9"/>
    <w:rsid w:val="00261D1E"/>
    <w:rsid w:val="00262DCB"/>
    <w:rsid w:val="00265F93"/>
    <w:rsid w:val="00266933"/>
    <w:rsid w:val="00270062"/>
    <w:rsid w:val="00270647"/>
    <w:rsid w:val="002711AF"/>
    <w:rsid w:val="00271DDE"/>
    <w:rsid w:val="002727B9"/>
    <w:rsid w:val="00273829"/>
    <w:rsid w:val="00283A80"/>
    <w:rsid w:val="00286AD2"/>
    <w:rsid w:val="00287881"/>
    <w:rsid w:val="00292072"/>
    <w:rsid w:val="0029322C"/>
    <w:rsid w:val="00293A9C"/>
    <w:rsid w:val="00293F32"/>
    <w:rsid w:val="00294B90"/>
    <w:rsid w:val="0029741C"/>
    <w:rsid w:val="0029790D"/>
    <w:rsid w:val="00297A02"/>
    <w:rsid w:val="00297F52"/>
    <w:rsid w:val="002A1E75"/>
    <w:rsid w:val="002A3A1B"/>
    <w:rsid w:val="002A69CA"/>
    <w:rsid w:val="002A7FF4"/>
    <w:rsid w:val="002B13C2"/>
    <w:rsid w:val="002B2309"/>
    <w:rsid w:val="002B2ADA"/>
    <w:rsid w:val="002B2E9A"/>
    <w:rsid w:val="002B6792"/>
    <w:rsid w:val="002B7564"/>
    <w:rsid w:val="002C126D"/>
    <w:rsid w:val="002C3D10"/>
    <w:rsid w:val="002C63AD"/>
    <w:rsid w:val="002C6E73"/>
    <w:rsid w:val="002D033C"/>
    <w:rsid w:val="002D0C95"/>
    <w:rsid w:val="002D26C6"/>
    <w:rsid w:val="002D3116"/>
    <w:rsid w:val="002D5837"/>
    <w:rsid w:val="002D60B5"/>
    <w:rsid w:val="002D70D0"/>
    <w:rsid w:val="002E5877"/>
    <w:rsid w:val="002E5AFE"/>
    <w:rsid w:val="002E7657"/>
    <w:rsid w:val="002F1081"/>
    <w:rsid w:val="002F551D"/>
    <w:rsid w:val="003008F5"/>
    <w:rsid w:val="00301990"/>
    <w:rsid w:val="00304A0F"/>
    <w:rsid w:val="0031061C"/>
    <w:rsid w:val="0031291E"/>
    <w:rsid w:val="00313902"/>
    <w:rsid w:val="00314DE9"/>
    <w:rsid w:val="003166F1"/>
    <w:rsid w:val="00320BBD"/>
    <w:rsid w:val="0032126F"/>
    <w:rsid w:val="00327E7B"/>
    <w:rsid w:val="00330B48"/>
    <w:rsid w:val="00333230"/>
    <w:rsid w:val="00334466"/>
    <w:rsid w:val="00337F26"/>
    <w:rsid w:val="003421BA"/>
    <w:rsid w:val="0034236C"/>
    <w:rsid w:val="00342790"/>
    <w:rsid w:val="003446C9"/>
    <w:rsid w:val="003465BC"/>
    <w:rsid w:val="003466F8"/>
    <w:rsid w:val="00347F23"/>
    <w:rsid w:val="00350B87"/>
    <w:rsid w:val="00350DDF"/>
    <w:rsid w:val="003541EE"/>
    <w:rsid w:val="00355CCA"/>
    <w:rsid w:val="0035699F"/>
    <w:rsid w:val="00357380"/>
    <w:rsid w:val="003579FA"/>
    <w:rsid w:val="003600C2"/>
    <w:rsid w:val="00360B21"/>
    <w:rsid w:val="003611A0"/>
    <w:rsid w:val="00362EAA"/>
    <w:rsid w:val="00363239"/>
    <w:rsid w:val="003636BE"/>
    <w:rsid w:val="003636D8"/>
    <w:rsid w:val="003651B3"/>
    <w:rsid w:val="00366125"/>
    <w:rsid w:val="00367439"/>
    <w:rsid w:val="003702F5"/>
    <w:rsid w:val="003706B0"/>
    <w:rsid w:val="003740F3"/>
    <w:rsid w:val="0037418C"/>
    <w:rsid w:val="00374255"/>
    <w:rsid w:val="00375CB8"/>
    <w:rsid w:val="003811A7"/>
    <w:rsid w:val="00381842"/>
    <w:rsid w:val="00381AF6"/>
    <w:rsid w:val="0038345F"/>
    <w:rsid w:val="00385F76"/>
    <w:rsid w:val="003870F2"/>
    <w:rsid w:val="00390045"/>
    <w:rsid w:val="003900BB"/>
    <w:rsid w:val="0039084A"/>
    <w:rsid w:val="00390FAF"/>
    <w:rsid w:val="00392B17"/>
    <w:rsid w:val="00393A26"/>
    <w:rsid w:val="003947F2"/>
    <w:rsid w:val="003A0FBB"/>
    <w:rsid w:val="003A20D0"/>
    <w:rsid w:val="003A61CE"/>
    <w:rsid w:val="003A64E7"/>
    <w:rsid w:val="003A6A75"/>
    <w:rsid w:val="003A715E"/>
    <w:rsid w:val="003B239A"/>
    <w:rsid w:val="003B70AA"/>
    <w:rsid w:val="003B71CC"/>
    <w:rsid w:val="003C0566"/>
    <w:rsid w:val="003C119D"/>
    <w:rsid w:val="003C1D42"/>
    <w:rsid w:val="003C3489"/>
    <w:rsid w:val="003C4F29"/>
    <w:rsid w:val="003C7FAF"/>
    <w:rsid w:val="003D0173"/>
    <w:rsid w:val="003D140D"/>
    <w:rsid w:val="003D26B7"/>
    <w:rsid w:val="003D616F"/>
    <w:rsid w:val="003D6221"/>
    <w:rsid w:val="003D6367"/>
    <w:rsid w:val="003D6D15"/>
    <w:rsid w:val="003D740C"/>
    <w:rsid w:val="003E0050"/>
    <w:rsid w:val="003E0572"/>
    <w:rsid w:val="003E23B0"/>
    <w:rsid w:val="003E2FEB"/>
    <w:rsid w:val="003E44D3"/>
    <w:rsid w:val="003E5A49"/>
    <w:rsid w:val="003E658A"/>
    <w:rsid w:val="003E6D6C"/>
    <w:rsid w:val="003E7E50"/>
    <w:rsid w:val="003F2443"/>
    <w:rsid w:val="003F2947"/>
    <w:rsid w:val="003F36D1"/>
    <w:rsid w:val="003F3C79"/>
    <w:rsid w:val="003F7238"/>
    <w:rsid w:val="003F76D3"/>
    <w:rsid w:val="00403C7D"/>
    <w:rsid w:val="00404DD7"/>
    <w:rsid w:val="0040543C"/>
    <w:rsid w:val="004072EC"/>
    <w:rsid w:val="004074FF"/>
    <w:rsid w:val="0041625C"/>
    <w:rsid w:val="00417116"/>
    <w:rsid w:val="00423B25"/>
    <w:rsid w:val="0042535D"/>
    <w:rsid w:val="00425721"/>
    <w:rsid w:val="00426125"/>
    <w:rsid w:val="004275FB"/>
    <w:rsid w:val="004327E7"/>
    <w:rsid w:val="0043302D"/>
    <w:rsid w:val="00434CA1"/>
    <w:rsid w:val="00437A67"/>
    <w:rsid w:val="00440464"/>
    <w:rsid w:val="00441C62"/>
    <w:rsid w:val="00443521"/>
    <w:rsid w:val="00443682"/>
    <w:rsid w:val="004444E7"/>
    <w:rsid w:val="00446DFB"/>
    <w:rsid w:val="00450AED"/>
    <w:rsid w:val="00452B59"/>
    <w:rsid w:val="004531DB"/>
    <w:rsid w:val="004531E0"/>
    <w:rsid w:val="00453494"/>
    <w:rsid w:val="00456257"/>
    <w:rsid w:val="00460EE9"/>
    <w:rsid w:val="00463E51"/>
    <w:rsid w:val="00464036"/>
    <w:rsid w:val="00465B31"/>
    <w:rsid w:val="004678F3"/>
    <w:rsid w:val="00471787"/>
    <w:rsid w:val="004747ED"/>
    <w:rsid w:val="00481975"/>
    <w:rsid w:val="0048206A"/>
    <w:rsid w:val="0048532F"/>
    <w:rsid w:val="00485564"/>
    <w:rsid w:val="00487569"/>
    <w:rsid w:val="00487B8C"/>
    <w:rsid w:val="00490B01"/>
    <w:rsid w:val="00493B62"/>
    <w:rsid w:val="0049417F"/>
    <w:rsid w:val="00495E56"/>
    <w:rsid w:val="004A17D0"/>
    <w:rsid w:val="004A2B73"/>
    <w:rsid w:val="004A47D8"/>
    <w:rsid w:val="004B34CF"/>
    <w:rsid w:val="004B3946"/>
    <w:rsid w:val="004B3C4C"/>
    <w:rsid w:val="004B40CD"/>
    <w:rsid w:val="004B417A"/>
    <w:rsid w:val="004B4813"/>
    <w:rsid w:val="004B5B33"/>
    <w:rsid w:val="004C1A90"/>
    <w:rsid w:val="004C4318"/>
    <w:rsid w:val="004C4ADD"/>
    <w:rsid w:val="004D20F6"/>
    <w:rsid w:val="004D3FEF"/>
    <w:rsid w:val="004D4772"/>
    <w:rsid w:val="004D7C07"/>
    <w:rsid w:val="004D7DD3"/>
    <w:rsid w:val="004E07A7"/>
    <w:rsid w:val="004E2846"/>
    <w:rsid w:val="004E4C24"/>
    <w:rsid w:val="004E6CA1"/>
    <w:rsid w:val="004F086D"/>
    <w:rsid w:val="004F2188"/>
    <w:rsid w:val="004F61E7"/>
    <w:rsid w:val="004F7544"/>
    <w:rsid w:val="004F7C25"/>
    <w:rsid w:val="0050390B"/>
    <w:rsid w:val="00504BEA"/>
    <w:rsid w:val="00505DC8"/>
    <w:rsid w:val="00505EA2"/>
    <w:rsid w:val="005062C7"/>
    <w:rsid w:val="0050706E"/>
    <w:rsid w:val="00507FCA"/>
    <w:rsid w:val="00510339"/>
    <w:rsid w:val="0051738F"/>
    <w:rsid w:val="00520B18"/>
    <w:rsid w:val="005216CB"/>
    <w:rsid w:val="00521DE5"/>
    <w:rsid w:val="00522BD4"/>
    <w:rsid w:val="0052335E"/>
    <w:rsid w:val="0052398D"/>
    <w:rsid w:val="00523DD6"/>
    <w:rsid w:val="00526E6C"/>
    <w:rsid w:val="005310CE"/>
    <w:rsid w:val="00531436"/>
    <w:rsid w:val="0053323F"/>
    <w:rsid w:val="00533EC9"/>
    <w:rsid w:val="00534630"/>
    <w:rsid w:val="00535D2B"/>
    <w:rsid w:val="0053659E"/>
    <w:rsid w:val="0053774B"/>
    <w:rsid w:val="00540B25"/>
    <w:rsid w:val="005410C0"/>
    <w:rsid w:val="00544C63"/>
    <w:rsid w:val="00546306"/>
    <w:rsid w:val="00551253"/>
    <w:rsid w:val="00554A1D"/>
    <w:rsid w:val="0055531E"/>
    <w:rsid w:val="00555759"/>
    <w:rsid w:val="00555A1E"/>
    <w:rsid w:val="00560351"/>
    <w:rsid w:val="005620E5"/>
    <w:rsid w:val="0056341B"/>
    <w:rsid w:val="00564BFE"/>
    <w:rsid w:val="005651B0"/>
    <w:rsid w:val="00570BCA"/>
    <w:rsid w:val="00571A7E"/>
    <w:rsid w:val="00571C39"/>
    <w:rsid w:val="00573926"/>
    <w:rsid w:val="00575065"/>
    <w:rsid w:val="00576168"/>
    <w:rsid w:val="005777AC"/>
    <w:rsid w:val="00577FA5"/>
    <w:rsid w:val="005819E3"/>
    <w:rsid w:val="005850F3"/>
    <w:rsid w:val="00587AEF"/>
    <w:rsid w:val="005901ED"/>
    <w:rsid w:val="00590ABB"/>
    <w:rsid w:val="00593424"/>
    <w:rsid w:val="00593DA3"/>
    <w:rsid w:val="00594C6A"/>
    <w:rsid w:val="005965B0"/>
    <w:rsid w:val="0059726A"/>
    <w:rsid w:val="005A2D3D"/>
    <w:rsid w:val="005A3728"/>
    <w:rsid w:val="005A3B83"/>
    <w:rsid w:val="005A4D5E"/>
    <w:rsid w:val="005B0530"/>
    <w:rsid w:val="005B0CA4"/>
    <w:rsid w:val="005B1D28"/>
    <w:rsid w:val="005B38C2"/>
    <w:rsid w:val="005B3F69"/>
    <w:rsid w:val="005B66F8"/>
    <w:rsid w:val="005B74C3"/>
    <w:rsid w:val="005B765C"/>
    <w:rsid w:val="005B7F60"/>
    <w:rsid w:val="005C1BD5"/>
    <w:rsid w:val="005C2A70"/>
    <w:rsid w:val="005C3C21"/>
    <w:rsid w:val="005C42B0"/>
    <w:rsid w:val="005C63C7"/>
    <w:rsid w:val="005D0746"/>
    <w:rsid w:val="005D0A79"/>
    <w:rsid w:val="005D3EEF"/>
    <w:rsid w:val="005D51AC"/>
    <w:rsid w:val="005D561B"/>
    <w:rsid w:val="005E000F"/>
    <w:rsid w:val="005E02B8"/>
    <w:rsid w:val="005E19F4"/>
    <w:rsid w:val="005E3074"/>
    <w:rsid w:val="005E36C8"/>
    <w:rsid w:val="005E5F16"/>
    <w:rsid w:val="005E6610"/>
    <w:rsid w:val="005E6897"/>
    <w:rsid w:val="005E6C07"/>
    <w:rsid w:val="005F0DAB"/>
    <w:rsid w:val="005F2ECC"/>
    <w:rsid w:val="005F5471"/>
    <w:rsid w:val="005F57CA"/>
    <w:rsid w:val="005F74EA"/>
    <w:rsid w:val="0060083F"/>
    <w:rsid w:val="006015B7"/>
    <w:rsid w:val="006016D9"/>
    <w:rsid w:val="00603265"/>
    <w:rsid w:val="00607680"/>
    <w:rsid w:val="006105D1"/>
    <w:rsid w:val="00610DB6"/>
    <w:rsid w:val="00610E93"/>
    <w:rsid w:val="00612941"/>
    <w:rsid w:val="006132F6"/>
    <w:rsid w:val="0061417B"/>
    <w:rsid w:val="0061557C"/>
    <w:rsid w:val="006157C3"/>
    <w:rsid w:val="00615F7E"/>
    <w:rsid w:val="006171AA"/>
    <w:rsid w:val="00620A45"/>
    <w:rsid w:val="006213A9"/>
    <w:rsid w:val="006233CB"/>
    <w:rsid w:val="00624E31"/>
    <w:rsid w:val="0062631E"/>
    <w:rsid w:val="00626F25"/>
    <w:rsid w:val="00632031"/>
    <w:rsid w:val="00634749"/>
    <w:rsid w:val="00634A01"/>
    <w:rsid w:val="0063504D"/>
    <w:rsid w:val="0063521C"/>
    <w:rsid w:val="00636200"/>
    <w:rsid w:val="00636492"/>
    <w:rsid w:val="00640690"/>
    <w:rsid w:val="006416F3"/>
    <w:rsid w:val="00643C79"/>
    <w:rsid w:val="00644BE4"/>
    <w:rsid w:val="00650BE1"/>
    <w:rsid w:val="00654510"/>
    <w:rsid w:val="006559B0"/>
    <w:rsid w:val="00655B34"/>
    <w:rsid w:val="00657847"/>
    <w:rsid w:val="006613C5"/>
    <w:rsid w:val="006620F9"/>
    <w:rsid w:val="00667A29"/>
    <w:rsid w:val="00676B47"/>
    <w:rsid w:val="0068049E"/>
    <w:rsid w:val="006842CF"/>
    <w:rsid w:val="00684490"/>
    <w:rsid w:val="00684674"/>
    <w:rsid w:val="00685D36"/>
    <w:rsid w:val="00686D01"/>
    <w:rsid w:val="00687CEB"/>
    <w:rsid w:val="00690CBF"/>
    <w:rsid w:val="006911F5"/>
    <w:rsid w:val="00691938"/>
    <w:rsid w:val="006922CC"/>
    <w:rsid w:val="00692D11"/>
    <w:rsid w:val="006933F2"/>
    <w:rsid w:val="00694496"/>
    <w:rsid w:val="0069646D"/>
    <w:rsid w:val="006A1B05"/>
    <w:rsid w:val="006A29D7"/>
    <w:rsid w:val="006A2C82"/>
    <w:rsid w:val="006A314F"/>
    <w:rsid w:val="006A41C1"/>
    <w:rsid w:val="006A719C"/>
    <w:rsid w:val="006B08E6"/>
    <w:rsid w:val="006B6CBF"/>
    <w:rsid w:val="006B759E"/>
    <w:rsid w:val="006C0924"/>
    <w:rsid w:val="006C2C57"/>
    <w:rsid w:val="006C35DE"/>
    <w:rsid w:val="006C3BEC"/>
    <w:rsid w:val="006C5EF1"/>
    <w:rsid w:val="006D0A15"/>
    <w:rsid w:val="006D19D2"/>
    <w:rsid w:val="006E0C29"/>
    <w:rsid w:val="006E1AAB"/>
    <w:rsid w:val="006E50E9"/>
    <w:rsid w:val="006F032E"/>
    <w:rsid w:val="006F09A0"/>
    <w:rsid w:val="006F0CDE"/>
    <w:rsid w:val="006F0E45"/>
    <w:rsid w:val="006F1036"/>
    <w:rsid w:val="006F7E60"/>
    <w:rsid w:val="00701E0A"/>
    <w:rsid w:val="00702278"/>
    <w:rsid w:val="0070504F"/>
    <w:rsid w:val="007072A2"/>
    <w:rsid w:val="00707661"/>
    <w:rsid w:val="007110C9"/>
    <w:rsid w:val="00711D62"/>
    <w:rsid w:val="00713057"/>
    <w:rsid w:val="00715FF3"/>
    <w:rsid w:val="00716885"/>
    <w:rsid w:val="00717079"/>
    <w:rsid w:val="00717446"/>
    <w:rsid w:val="0071761E"/>
    <w:rsid w:val="00717899"/>
    <w:rsid w:val="00717F04"/>
    <w:rsid w:val="0072085A"/>
    <w:rsid w:val="00720D9D"/>
    <w:rsid w:val="00723CFE"/>
    <w:rsid w:val="007242B6"/>
    <w:rsid w:val="00724674"/>
    <w:rsid w:val="00724C18"/>
    <w:rsid w:val="007276C7"/>
    <w:rsid w:val="0073325E"/>
    <w:rsid w:val="00742142"/>
    <w:rsid w:val="00742A47"/>
    <w:rsid w:val="00743F78"/>
    <w:rsid w:val="00747B4A"/>
    <w:rsid w:val="007504CC"/>
    <w:rsid w:val="007507CA"/>
    <w:rsid w:val="00751762"/>
    <w:rsid w:val="00754DFF"/>
    <w:rsid w:val="0075624D"/>
    <w:rsid w:val="00756D02"/>
    <w:rsid w:val="007642AC"/>
    <w:rsid w:val="00765604"/>
    <w:rsid w:val="007704BA"/>
    <w:rsid w:val="00770D20"/>
    <w:rsid w:val="00770FC0"/>
    <w:rsid w:val="00771989"/>
    <w:rsid w:val="00772856"/>
    <w:rsid w:val="0077301F"/>
    <w:rsid w:val="00774E72"/>
    <w:rsid w:val="00775157"/>
    <w:rsid w:val="00775603"/>
    <w:rsid w:val="0077588C"/>
    <w:rsid w:val="0077600F"/>
    <w:rsid w:val="00777A25"/>
    <w:rsid w:val="007800C2"/>
    <w:rsid w:val="0078218A"/>
    <w:rsid w:val="00782E4D"/>
    <w:rsid w:val="00791702"/>
    <w:rsid w:val="00794778"/>
    <w:rsid w:val="007976EB"/>
    <w:rsid w:val="007A23C2"/>
    <w:rsid w:val="007A255A"/>
    <w:rsid w:val="007A320B"/>
    <w:rsid w:val="007A3EF3"/>
    <w:rsid w:val="007A577E"/>
    <w:rsid w:val="007A5E08"/>
    <w:rsid w:val="007A7309"/>
    <w:rsid w:val="007A75D0"/>
    <w:rsid w:val="007B0288"/>
    <w:rsid w:val="007B1A19"/>
    <w:rsid w:val="007B5D05"/>
    <w:rsid w:val="007B6ABA"/>
    <w:rsid w:val="007C2109"/>
    <w:rsid w:val="007C4A5E"/>
    <w:rsid w:val="007C5D87"/>
    <w:rsid w:val="007D1E91"/>
    <w:rsid w:val="007D34B6"/>
    <w:rsid w:val="007D4A53"/>
    <w:rsid w:val="007D55D4"/>
    <w:rsid w:val="007D694A"/>
    <w:rsid w:val="007E1019"/>
    <w:rsid w:val="007E1A62"/>
    <w:rsid w:val="007E29AD"/>
    <w:rsid w:val="007E491F"/>
    <w:rsid w:val="007E4D21"/>
    <w:rsid w:val="007E574A"/>
    <w:rsid w:val="007F07CF"/>
    <w:rsid w:val="007F543B"/>
    <w:rsid w:val="007F7882"/>
    <w:rsid w:val="008003E9"/>
    <w:rsid w:val="00800A67"/>
    <w:rsid w:val="00801D07"/>
    <w:rsid w:val="00806AEA"/>
    <w:rsid w:val="00807D2C"/>
    <w:rsid w:val="008103B5"/>
    <w:rsid w:val="00811756"/>
    <w:rsid w:val="0081498E"/>
    <w:rsid w:val="00814C2E"/>
    <w:rsid w:val="00816237"/>
    <w:rsid w:val="00817886"/>
    <w:rsid w:val="0082253C"/>
    <w:rsid w:val="00824F74"/>
    <w:rsid w:val="008310A1"/>
    <w:rsid w:val="00832681"/>
    <w:rsid w:val="008327BE"/>
    <w:rsid w:val="0083281D"/>
    <w:rsid w:val="008328DE"/>
    <w:rsid w:val="00835132"/>
    <w:rsid w:val="0083596C"/>
    <w:rsid w:val="00835FC4"/>
    <w:rsid w:val="008405B5"/>
    <w:rsid w:val="00841068"/>
    <w:rsid w:val="00841277"/>
    <w:rsid w:val="00842FBF"/>
    <w:rsid w:val="00847EEC"/>
    <w:rsid w:val="00850436"/>
    <w:rsid w:val="008509CD"/>
    <w:rsid w:val="00851263"/>
    <w:rsid w:val="00851E2D"/>
    <w:rsid w:val="008524A8"/>
    <w:rsid w:val="00854EA0"/>
    <w:rsid w:val="00861034"/>
    <w:rsid w:val="00863C24"/>
    <w:rsid w:val="00863FF1"/>
    <w:rsid w:val="00863FFF"/>
    <w:rsid w:val="00865B04"/>
    <w:rsid w:val="00866DCF"/>
    <w:rsid w:val="00867D91"/>
    <w:rsid w:val="00870D33"/>
    <w:rsid w:val="00872824"/>
    <w:rsid w:val="00872840"/>
    <w:rsid w:val="008729D4"/>
    <w:rsid w:val="0087357D"/>
    <w:rsid w:val="00873CD3"/>
    <w:rsid w:val="00873F57"/>
    <w:rsid w:val="00874320"/>
    <w:rsid w:val="0087477F"/>
    <w:rsid w:val="00876A90"/>
    <w:rsid w:val="00882EBB"/>
    <w:rsid w:val="00883617"/>
    <w:rsid w:val="00884994"/>
    <w:rsid w:val="0088704B"/>
    <w:rsid w:val="00887AF4"/>
    <w:rsid w:val="00891B15"/>
    <w:rsid w:val="00891FDC"/>
    <w:rsid w:val="00893BB8"/>
    <w:rsid w:val="0089574E"/>
    <w:rsid w:val="00895C51"/>
    <w:rsid w:val="008969AF"/>
    <w:rsid w:val="008A2B49"/>
    <w:rsid w:val="008A6BC3"/>
    <w:rsid w:val="008B16FD"/>
    <w:rsid w:val="008B1E94"/>
    <w:rsid w:val="008B2BB0"/>
    <w:rsid w:val="008B481B"/>
    <w:rsid w:val="008C0FB6"/>
    <w:rsid w:val="008C235D"/>
    <w:rsid w:val="008C3D98"/>
    <w:rsid w:val="008D0519"/>
    <w:rsid w:val="008D0F76"/>
    <w:rsid w:val="008D41AA"/>
    <w:rsid w:val="008D5F46"/>
    <w:rsid w:val="008D61C2"/>
    <w:rsid w:val="008D711B"/>
    <w:rsid w:val="008D715F"/>
    <w:rsid w:val="008D7F7E"/>
    <w:rsid w:val="008E07FE"/>
    <w:rsid w:val="008E103E"/>
    <w:rsid w:val="008E1549"/>
    <w:rsid w:val="008E1F23"/>
    <w:rsid w:val="008E33AF"/>
    <w:rsid w:val="008E353D"/>
    <w:rsid w:val="008E70F5"/>
    <w:rsid w:val="008F1FD7"/>
    <w:rsid w:val="008F38B4"/>
    <w:rsid w:val="008F3DD2"/>
    <w:rsid w:val="008F47AF"/>
    <w:rsid w:val="008F6FB0"/>
    <w:rsid w:val="008F74A7"/>
    <w:rsid w:val="008F79F3"/>
    <w:rsid w:val="008F7D12"/>
    <w:rsid w:val="00900711"/>
    <w:rsid w:val="00900D25"/>
    <w:rsid w:val="00904BBD"/>
    <w:rsid w:val="009058DB"/>
    <w:rsid w:val="00907AE4"/>
    <w:rsid w:val="00910B1F"/>
    <w:rsid w:val="0091265F"/>
    <w:rsid w:val="0091361C"/>
    <w:rsid w:val="009156E9"/>
    <w:rsid w:val="009166A4"/>
    <w:rsid w:val="00920BE1"/>
    <w:rsid w:val="00922216"/>
    <w:rsid w:val="009309EB"/>
    <w:rsid w:val="009339D1"/>
    <w:rsid w:val="00933BF4"/>
    <w:rsid w:val="009373EF"/>
    <w:rsid w:val="00937593"/>
    <w:rsid w:val="009408A9"/>
    <w:rsid w:val="0094213A"/>
    <w:rsid w:val="009421C1"/>
    <w:rsid w:val="00943CD4"/>
    <w:rsid w:val="00944D1D"/>
    <w:rsid w:val="00944F93"/>
    <w:rsid w:val="00945EC3"/>
    <w:rsid w:val="00951395"/>
    <w:rsid w:val="00951733"/>
    <w:rsid w:val="00952047"/>
    <w:rsid w:val="00953787"/>
    <w:rsid w:val="00955E00"/>
    <w:rsid w:val="0096067F"/>
    <w:rsid w:val="0096071D"/>
    <w:rsid w:val="00960A2C"/>
    <w:rsid w:val="0096230B"/>
    <w:rsid w:val="00962A34"/>
    <w:rsid w:val="00971067"/>
    <w:rsid w:val="00972A1A"/>
    <w:rsid w:val="00974F02"/>
    <w:rsid w:val="00980373"/>
    <w:rsid w:val="0098135C"/>
    <w:rsid w:val="00981BCE"/>
    <w:rsid w:val="00981C59"/>
    <w:rsid w:val="00981C5F"/>
    <w:rsid w:val="009845B1"/>
    <w:rsid w:val="00984B79"/>
    <w:rsid w:val="00985F00"/>
    <w:rsid w:val="00986CF5"/>
    <w:rsid w:val="00990AB4"/>
    <w:rsid w:val="009948E8"/>
    <w:rsid w:val="00995F57"/>
    <w:rsid w:val="009970E2"/>
    <w:rsid w:val="00997223"/>
    <w:rsid w:val="0099782F"/>
    <w:rsid w:val="009A29A4"/>
    <w:rsid w:val="009A29A6"/>
    <w:rsid w:val="009A3A4D"/>
    <w:rsid w:val="009A4B60"/>
    <w:rsid w:val="009A5CA1"/>
    <w:rsid w:val="009A5E55"/>
    <w:rsid w:val="009B001E"/>
    <w:rsid w:val="009B03B3"/>
    <w:rsid w:val="009B0C36"/>
    <w:rsid w:val="009B1469"/>
    <w:rsid w:val="009B22A5"/>
    <w:rsid w:val="009B417E"/>
    <w:rsid w:val="009B4E85"/>
    <w:rsid w:val="009C0FC7"/>
    <w:rsid w:val="009C1414"/>
    <w:rsid w:val="009C1CBC"/>
    <w:rsid w:val="009C328F"/>
    <w:rsid w:val="009C3305"/>
    <w:rsid w:val="009C74A7"/>
    <w:rsid w:val="009D04DD"/>
    <w:rsid w:val="009D137D"/>
    <w:rsid w:val="009D1D1D"/>
    <w:rsid w:val="009D1D61"/>
    <w:rsid w:val="009D269A"/>
    <w:rsid w:val="009D4286"/>
    <w:rsid w:val="009D5507"/>
    <w:rsid w:val="009D67C3"/>
    <w:rsid w:val="009E180A"/>
    <w:rsid w:val="009E390E"/>
    <w:rsid w:val="009E3D5E"/>
    <w:rsid w:val="009E41F4"/>
    <w:rsid w:val="009E6E80"/>
    <w:rsid w:val="009E735E"/>
    <w:rsid w:val="009E7BA6"/>
    <w:rsid w:val="009E7DFB"/>
    <w:rsid w:val="009F0777"/>
    <w:rsid w:val="009F2F35"/>
    <w:rsid w:val="009F3785"/>
    <w:rsid w:val="009F4289"/>
    <w:rsid w:val="009F6A8E"/>
    <w:rsid w:val="00A00758"/>
    <w:rsid w:val="00A046E7"/>
    <w:rsid w:val="00A04E37"/>
    <w:rsid w:val="00A0672E"/>
    <w:rsid w:val="00A0677C"/>
    <w:rsid w:val="00A07F8A"/>
    <w:rsid w:val="00A1165B"/>
    <w:rsid w:val="00A1193E"/>
    <w:rsid w:val="00A12AC1"/>
    <w:rsid w:val="00A149CD"/>
    <w:rsid w:val="00A17656"/>
    <w:rsid w:val="00A21963"/>
    <w:rsid w:val="00A219BD"/>
    <w:rsid w:val="00A221F9"/>
    <w:rsid w:val="00A22B9C"/>
    <w:rsid w:val="00A23DCC"/>
    <w:rsid w:val="00A27E79"/>
    <w:rsid w:val="00A30E0D"/>
    <w:rsid w:val="00A3129F"/>
    <w:rsid w:val="00A320C6"/>
    <w:rsid w:val="00A35CE3"/>
    <w:rsid w:val="00A36F2D"/>
    <w:rsid w:val="00A403B1"/>
    <w:rsid w:val="00A40E8C"/>
    <w:rsid w:val="00A45A19"/>
    <w:rsid w:val="00A50A08"/>
    <w:rsid w:val="00A51740"/>
    <w:rsid w:val="00A522DB"/>
    <w:rsid w:val="00A52A6A"/>
    <w:rsid w:val="00A52E98"/>
    <w:rsid w:val="00A53162"/>
    <w:rsid w:val="00A55AEA"/>
    <w:rsid w:val="00A607A2"/>
    <w:rsid w:val="00A60CE4"/>
    <w:rsid w:val="00A6342E"/>
    <w:rsid w:val="00A648D5"/>
    <w:rsid w:val="00A64CDE"/>
    <w:rsid w:val="00A67541"/>
    <w:rsid w:val="00A70C08"/>
    <w:rsid w:val="00A71C23"/>
    <w:rsid w:val="00A73B64"/>
    <w:rsid w:val="00A75539"/>
    <w:rsid w:val="00A75DED"/>
    <w:rsid w:val="00A7645D"/>
    <w:rsid w:val="00A77879"/>
    <w:rsid w:val="00A818F2"/>
    <w:rsid w:val="00A82450"/>
    <w:rsid w:val="00A85738"/>
    <w:rsid w:val="00A858B6"/>
    <w:rsid w:val="00A85A81"/>
    <w:rsid w:val="00A86084"/>
    <w:rsid w:val="00A86CC0"/>
    <w:rsid w:val="00A86E3D"/>
    <w:rsid w:val="00A907E0"/>
    <w:rsid w:val="00A90A2F"/>
    <w:rsid w:val="00A916E4"/>
    <w:rsid w:val="00A92990"/>
    <w:rsid w:val="00A929FE"/>
    <w:rsid w:val="00A93F19"/>
    <w:rsid w:val="00AA059C"/>
    <w:rsid w:val="00AA0E9D"/>
    <w:rsid w:val="00AA106E"/>
    <w:rsid w:val="00AA2341"/>
    <w:rsid w:val="00AA37AF"/>
    <w:rsid w:val="00AB0C84"/>
    <w:rsid w:val="00AB1E4F"/>
    <w:rsid w:val="00AB615D"/>
    <w:rsid w:val="00AB61B3"/>
    <w:rsid w:val="00AB6A1D"/>
    <w:rsid w:val="00AC0E26"/>
    <w:rsid w:val="00AC445F"/>
    <w:rsid w:val="00AD08E7"/>
    <w:rsid w:val="00AD19DD"/>
    <w:rsid w:val="00AD1B48"/>
    <w:rsid w:val="00AD1BB9"/>
    <w:rsid w:val="00AD2F5C"/>
    <w:rsid w:val="00AD52B2"/>
    <w:rsid w:val="00AD5C21"/>
    <w:rsid w:val="00AD66CA"/>
    <w:rsid w:val="00AD76A0"/>
    <w:rsid w:val="00AE067E"/>
    <w:rsid w:val="00AE1A30"/>
    <w:rsid w:val="00AE2EBE"/>
    <w:rsid w:val="00AE38B9"/>
    <w:rsid w:val="00AE4EA3"/>
    <w:rsid w:val="00AE7021"/>
    <w:rsid w:val="00AF1AA7"/>
    <w:rsid w:val="00AF2A34"/>
    <w:rsid w:val="00AF4049"/>
    <w:rsid w:val="00AF46AF"/>
    <w:rsid w:val="00AF50FE"/>
    <w:rsid w:val="00AF6812"/>
    <w:rsid w:val="00B01985"/>
    <w:rsid w:val="00B01B99"/>
    <w:rsid w:val="00B05C7B"/>
    <w:rsid w:val="00B05EA2"/>
    <w:rsid w:val="00B07154"/>
    <w:rsid w:val="00B1301A"/>
    <w:rsid w:val="00B14312"/>
    <w:rsid w:val="00B224AA"/>
    <w:rsid w:val="00B24191"/>
    <w:rsid w:val="00B24E91"/>
    <w:rsid w:val="00B26ED0"/>
    <w:rsid w:val="00B31B18"/>
    <w:rsid w:val="00B32415"/>
    <w:rsid w:val="00B32DE4"/>
    <w:rsid w:val="00B333BD"/>
    <w:rsid w:val="00B33F52"/>
    <w:rsid w:val="00B34A26"/>
    <w:rsid w:val="00B35B8A"/>
    <w:rsid w:val="00B367F8"/>
    <w:rsid w:val="00B40D17"/>
    <w:rsid w:val="00B41B8D"/>
    <w:rsid w:val="00B42E5C"/>
    <w:rsid w:val="00B43080"/>
    <w:rsid w:val="00B471F6"/>
    <w:rsid w:val="00B5221C"/>
    <w:rsid w:val="00B5735D"/>
    <w:rsid w:val="00B7387C"/>
    <w:rsid w:val="00B739C4"/>
    <w:rsid w:val="00B7434C"/>
    <w:rsid w:val="00B74547"/>
    <w:rsid w:val="00B74A6C"/>
    <w:rsid w:val="00B762A9"/>
    <w:rsid w:val="00B770C9"/>
    <w:rsid w:val="00B773CC"/>
    <w:rsid w:val="00B77A10"/>
    <w:rsid w:val="00B81A57"/>
    <w:rsid w:val="00B81BAA"/>
    <w:rsid w:val="00B8234E"/>
    <w:rsid w:val="00B83D65"/>
    <w:rsid w:val="00B8431C"/>
    <w:rsid w:val="00B84375"/>
    <w:rsid w:val="00B87735"/>
    <w:rsid w:val="00B9212B"/>
    <w:rsid w:val="00B93F8E"/>
    <w:rsid w:val="00B951CE"/>
    <w:rsid w:val="00B96134"/>
    <w:rsid w:val="00B96F75"/>
    <w:rsid w:val="00B97F43"/>
    <w:rsid w:val="00BA261C"/>
    <w:rsid w:val="00BA2BD6"/>
    <w:rsid w:val="00BA5A6B"/>
    <w:rsid w:val="00BA5DD6"/>
    <w:rsid w:val="00BA7129"/>
    <w:rsid w:val="00BB0CA0"/>
    <w:rsid w:val="00BB1715"/>
    <w:rsid w:val="00BB2183"/>
    <w:rsid w:val="00BB24D5"/>
    <w:rsid w:val="00BB2B93"/>
    <w:rsid w:val="00BB504C"/>
    <w:rsid w:val="00BB5505"/>
    <w:rsid w:val="00BB643F"/>
    <w:rsid w:val="00BB6C99"/>
    <w:rsid w:val="00BC0B69"/>
    <w:rsid w:val="00BC13C5"/>
    <w:rsid w:val="00BC3757"/>
    <w:rsid w:val="00BC3F75"/>
    <w:rsid w:val="00BC49D6"/>
    <w:rsid w:val="00BC4FDC"/>
    <w:rsid w:val="00BC5B42"/>
    <w:rsid w:val="00BC7F93"/>
    <w:rsid w:val="00BD0287"/>
    <w:rsid w:val="00BD1A9A"/>
    <w:rsid w:val="00BD45FC"/>
    <w:rsid w:val="00BD6171"/>
    <w:rsid w:val="00BD63AD"/>
    <w:rsid w:val="00BD6B59"/>
    <w:rsid w:val="00BE0680"/>
    <w:rsid w:val="00BE0CA7"/>
    <w:rsid w:val="00BE4F0D"/>
    <w:rsid w:val="00BF05F8"/>
    <w:rsid w:val="00BF112D"/>
    <w:rsid w:val="00BF1444"/>
    <w:rsid w:val="00BF1BEB"/>
    <w:rsid w:val="00BF1CAF"/>
    <w:rsid w:val="00BF560E"/>
    <w:rsid w:val="00BF5B42"/>
    <w:rsid w:val="00C005F4"/>
    <w:rsid w:val="00C02307"/>
    <w:rsid w:val="00C0256D"/>
    <w:rsid w:val="00C030BD"/>
    <w:rsid w:val="00C042B5"/>
    <w:rsid w:val="00C04D00"/>
    <w:rsid w:val="00C054A0"/>
    <w:rsid w:val="00C055D9"/>
    <w:rsid w:val="00C12603"/>
    <w:rsid w:val="00C159FD"/>
    <w:rsid w:val="00C15BAA"/>
    <w:rsid w:val="00C23324"/>
    <w:rsid w:val="00C235BF"/>
    <w:rsid w:val="00C26404"/>
    <w:rsid w:val="00C315A7"/>
    <w:rsid w:val="00C3247E"/>
    <w:rsid w:val="00C33EAF"/>
    <w:rsid w:val="00C35B42"/>
    <w:rsid w:val="00C37847"/>
    <w:rsid w:val="00C4063C"/>
    <w:rsid w:val="00C40B07"/>
    <w:rsid w:val="00C4138B"/>
    <w:rsid w:val="00C44A49"/>
    <w:rsid w:val="00C453E9"/>
    <w:rsid w:val="00C461B7"/>
    <w:rsid w:val="00C47CBB"/>
    <w:rsid w:val="00C519F3"/>
    <w:rsid w:val="00C51DD2"/>
    <w:rsid w:val="00C52545"/>
    <w:rsid w:val="00C52745"/>
    <w:rsid w:val="00C52CE2"/>
    <w:rsid w:val="00C5329A"/>
    <w:rsid w:val="00C554D4"/>
    <w:rsid w:val="00C566AF"/>
    <w:rsid w:val="00C57C44"/>
    <w:rsid w:val="00C63222"/>
    <w:rsid w:val="00C6472B"/>
    <w:rsid w:val="00C64F03"/>
    <w:rsid w:val="00C65DCD"/>
    <w:rsid w:val="00C706B5"/>
    <w:rsid w:val="00C70B90"/>
    <w:rsid w:val="00C70E51"/>
    <w:rsid w:val="00C70F58"/>
    <w:rsid w:val="00C73358"/>
    <w:rsid w:val="00C77040"/>
    <w:rsid w:val="00C773A8"/>
    <w:rsid w:val="00C80D5E"/>
    <w:rsid w:val="00C8129D"/>
    <w:rsid w:val="00C81314"/>
    <w:rsid w:val="00C84920"/>
    <w:rsid w:val="00C85BFB"/>
    <w:rsid w:val="00C86F1A"/>
    <w:rsid w:val="00C87A18"/>
    <w:rsid w:val="00C87A73"/>
    <w:rsid w:val="00C91EC7"/>
    <w:rsid w:val="00C932BC"/>
    <w:rsid w:val="00CA0C83"/>
    <w:rsid w:val="00CA109D"/>
    <w:rsid w:val="00CA2B4E"/>
    <w:rsid w:val="00CA46C9"/>
    <w:rsid w:val="00CA69D4"/>
    <w:rsid w:val="00CA7DEB"/>
    <w:rsid w:val="00CB4493"/>
    <w:rsid w:val="00CB45E6"/>
    <w:rsid w:val="00CB52EB"/>
    <w:rsid w:val="00CC1627"/>
    <w:rsid w:val="00CC1CF8"/>
    <w:rsid w:val="00CC21A4"/>
    <w:rsid w:val="00CC2B96"/>
    <w:rsid w:val="00CC398B"/>
    <w:rsid w:val="00CC42D0"/>
    <w:rsid w:val="00CC6BF9"/>
    <w:rsid w:val="00CC6DB5"/>
    <w:rsid w:val="00CD2349"/>
    <w:rsid w:val="00CD439E"/>
    <w:rsid w:val="00CE0413"/>
    <w:rsid w:val="00CE14B9"/>
    <w:rsid w:val="00CE1F13"/>
    <w:rsid w:val="00CE1F62"/>
    <w:rsid w:val="00CE3C25"/>
    <w:rsid w:val="00CE6A8B"/>
    <w:rsid w:val="00CF1C0B"/>
    <w:rsid w:val="00CF2B6F"/>
    <w:rsid w:val="00CF419C"/>
    <w:rsid w:val="00CF423A"/>
    <w:rsid w:val="00CF7ABC"/>
    <w:rsid w:val="00D063E0"/>
    <w:rsid w:val="00D07540"/>
    <w:rsid w:val="00D07FF6"/>
    <w:rsid w:val="00D119F2"/>
    <w:rsid w:val="00D14E13"/>
    <w:rsid w:val="00D1605E"/>
    <w:rsid w:val="00D16203"/>
    <w:rsid w:val="00D17D7E"/>
    <w:rsid w:val="00D200BF"/>
    <w:rsid w:val="00D24D6A"/>
    <w:rsid w:val="00D262C4"/>
    <w:rsid w:val="00D3069D"/>
    <w:rsid w:val="00D3118E"/>
    <w:rsid w:val="00D32D5E"/>
    <w:rsid w:val="00D32FA0"/>
    <w:rsid w:val="00D377BC"/>
    <w:rsid w:val="00D408DB"/>
    <w:rsid w:val="00D40F69"/>
    <w:rsid w:val="00D44670"/>
    <w:rsid w:val="00D44852"/>
    <w:rsid w:val="00D44ED5"/>
    <w:rsid w:val="00D45F14"/>
    <w:rsid w:val="00D525AC"/>
    <w:rsid w:val="00D5312A"/>
    <w:rsid w:val="00D5414F"/>
    <w:rsid w:val="00D55B62"/>
    <w:rsid w:val="00D60C2A"/>
    <w:rsid w:val="00D60FD2"/>
    <w:rsid w:val="00D628E1"/>
    <w:rsid w:val="00D64263"/>
    <w:rsid w:val="00D65614"/>
    <w:rsid w:val="00D66DB3"/>
    <w:rsid w:val="00D67C72"/>
    <w:rsid w:val="00D67D82"/>
    <w:rsid w:val="00D723FB"/>
    <w:rsid w:val="00D74EF2"/>
    <w:rsid w:val="00D7587F"/>
    <w:rsid w:val="00D7762A"/>
    <w:rsid w:val="00D82544"/>
    <w:rsid w:val="00D83F0C"/>
    <w:rsid w:val="00D84514"/>
    <w:rsid w:val="00D8553F"/>
    <w:rsid w:val="00D87FF3"/>
    <w:rsid w:val="00D90013"/>
    <w:rsid w:val="00D915C5"/>
    <w:rsid w:val="00D92DDE"/>
    <w:rsid w:val="00D944F4"/>
    <w:rsid w:val="00D95CE5"/>
    <w:rsid w:val="00D9777C"/>
    <w:rsid w:val="00DA0F6D"/>
    <w:rsid w:val="00DA2800"/>
    <w:rsid w:val="00DA3502"/>
    <w:rsid w:val="00DA4C9D"/>
    <w:rsid w:val="00DA748B"/>
    <w:rsid w:val="00DA75C1"/>
    <w:rsid w:val="00DB075D"/>
    <w:rsid w:val="00DB2502"/>
    <w:rsid w:val="00DB2A05"/>
    <w:rsid w:val="00DB734D"/>
    <w:rsid w:val="00DC25D7"/>
    <w:rsid w:val="00DC2D01"/>
    <w:rsid w:val="00DC3C21"/>
    <w:rsid w:val="00DC4937"/>
    <w:rsid w:val="00DC51AA"/>
    <w:rsid w:val="00DC7472"/>
    <w:rsid w:val="00DC7F86"/>
    <w:rsid w:val="00DD0A42"/>
    <w:rsid w:val="00DD21C0"/>
    <w:rsid w:val="00DD3069"/>
    <w:rsid w:val="00DD316A"/>
    <w:rsid w:val="00DD33A0"/>
    <w:rsid w:val="00DD5FD7"/>
    <w:rsid w:val="00DE0089"/>
    <w:rsid w:val="00DE0E5E"/>
    <w:rsid w:val="00DE211D"/>
    <w:rsid w:val="00DF1190"/>
    <w:rsid w:val="00DF1BDF"/>
    <w:rsid w:val="00DF21E3"/>
    <w:rsid w:val="00DF3AFA"/>
    <w:rsid w:val="00DF3DA1"/>
    <w:rsid w:val="00DF5A3B"/>
    <w:rsid w:val="00DF6E0C"/>
    <w:rsid w:val="00E00645"/>
    <w:rsid w:val="00E009F1"/>
    <w:rsid w:val="00E02E65"/>
    <w:rsid w:val="00E054F4"/>
    <w:rsid w:val="00E05B88"/>
    <w:rsid w:val="00E05D2B"/>
    <w:rsid w:val="00E069E3"/>
    <w:rsid w:val="00E07024"/>
    <w:rsid w:val="00E100E3"/>
    <w:rsid w:val="00E1164F"/>
    <w:rsid w:val="00E12DD7"/>
    <w:rsid w:val="00E14E1D"/>
    <w:rsid w:val="00E21623"/>
    <w:rsid w:val="00E238FD"/>
    <w:rsid w:val="00E24290"/>
    <w:rsid w:val="00E25E77"/>
    <w:rsid w:val="00E30875"/>
    <w:rsid w:val="00E323AA"/>
    <w:rsid w:val="00E33EBA"/>
    <w:rsid w:val="00E34641"/>
    <w:rsid w:val="00E35BD6"/>
    <w:rsid w:val="00E3730A"/>
    <w:rsid w:val="00E41020"/>
    <w:rsid w:val="00E421E8"/>
    <w:rsid w:val="00E43084"/>
    <w:rsid w:val="00E43475"/>
    <w:rsid w:val="00E4425A"/>
    <w:rsid w:val="00E46883"/>
    <w:rsid w:val="00E47168"/>
    <w:rsid w:val="00E52B28"/>
    <w:rsid w:val="00E53B7D"/>
    <w:rsid w:val="00E54D16"/>
    <w:rsid w:val="00E56A10"/>
    <w:rsid w:val="00E57B9D"/>
    <w:rsid w:val="00E61E2E"/>
    <w:rsid w:val="00E620D9"/>
    <w:rsid w:val="00E63372"/>
    <w:rsid w:val="00E64F3A"/>
    <w:rsid w:val="00E65548"/>
    <w:rsid w:val="00E66BA8"/>
    <w:rsid w:val="00E72170"/>
    <w:rsid w:val="00E74529"/>
    <w:rsid w:val="00E762FB"/>
    <w:rsid w:val="00E7707F"/>
    <w:rsid w:val="00E77891"/>
    <w:rsid w:val="00E77F9D"/>
    <w:rsid w:val="00E81301"/>
    <w:rsid w:val="00E82126"/>
    <w:rsid w:val="00E86B6F"/>
    <w:rsid w:val="00E8711C"/>
    <w:rsid w:val="00E87721"/>
    <w:rsid w:val="00E9145A"/>
    <w:rsid w:val="00E9335B"/>
    <w:rsid w:val="00E94D4D"/>
    <w:rsid w:val="00E95215"/>
    <w:rsid w:val="00E95755"/>
    <w:rsid w:val="00E95FDE"/>
    <w:rsid w:val="00E97587"/>
    <w:rsid w:val="00EA01C4"/>
    <w:rsid w:val="00EA0ADF"/>
    <w:rsid w:val="00EA2E29"/>
    <w:rsid w:val="00EA73B1"/>
    <w:rsid w:val="00EB16EC"/>
    <w:rsid w:val="00EB6656"/>
    <w:rsid w:val="00EB6761"/>
    <w:rsid w:val="00EC1F11"/>
    <w:rsid w:val="00EC3CCC"/>
    <w:rsid w:val="00EC50F3"/>
    <w:rsid w:val="00EC7710"/>
    <w:rsid w:val="00ED1B3E"/>
    <w:rsid w:val="00ED2184"/>
    <w:rsid w:val="00ED234B"/>
    <w:rsid w:val="00ED2404"/>
    <w:rsid w:val="00ED276F"/>
    <w:rsid w:val="00ED3385"/>
    <w:rsid w:val="00ED4BF4"/>
    <w:rsid w:val="00ED59A2"/>
    <w:rsid w:val="00ED7777"/>
    <w:rsid w:val="00EE3592"/>
    <w:rsid w:val="00EE6197"/>
    <w:rsid w:val="00EE6FE1"/>
    <w:rsid w:val="00EE71B9"/>
    <w:rsid w:val="00EE75CF"/>
    <w:rsid w:val="00EE77B6"/>
    <w:rsid w:val="00EF4A00"/>
    <w:rsid w:val="00EF6576"/>
    <w:rsid w:val="00EF747E"/>
    <w:rsid w:val="00EF7C91"/>
    <w:rsid w:val="00F00755"/>
    <w:rsid w:val="00F009F7"/>
    <w:rsid w:val="00F01C51"/>
    <w:rsid w:val="00F01E2E"/>
    <w:rsid w:val="00F0480C"/>
    <w:rsid w:val="00F05275"/>
    <w:rsid w:val="00F0594E"/>
    <w:rsid w:val="00F05CD1"/>
    <w:rsid w:val="00F05F8D"/>
    <w:rsid w:val="00F07452"/>
    <w:rsid w:val="00F075A7"/>
    <w:rsid w:val="00F1147E"/>
    <w:rsid w:val="00F1149B"/>
    <w:rsid w:val="00F1183E"/>
    <w:rsid w:val="00F11D4F"/>
    <w:rsid w:val="00F11EAF"/>
    <w:rsid w:val="00F12661"/>
    <w:rsid w:val="00F14903"/>
    <w:rsid w:val="00F1677E"/>
    <w:rsid w:val="00F16ECA"/>
    <w:rsid w:val="00F17413"/>
    <w:rsid w:val="00F17B77"/>
    <w:rsid w:val="00F21AB3"/>
    <w:rsid w:val="00F2252E"/>
    <w:rsid w:val="00F22B91"/>
    <w:rsid w:val="00F23194"/>
    <w:rsid w:val="00F246E8"/>
    <w:rsid w:val="00F250B7"/>
    <w:rsid w:val="00F300C2"/>
    <w:rsid w:val="00F32FAC"/>
    <w:rsid w:val="00F33B48"/>
    <w:rsid w:val="00F33D3F"/>
    <w:rsid w:val="00F35E3A"/>
    <w:rsid w:val="00F36805"/>
    <w:rsid w:val="00F368C2"/>
    <w:rsid w:val="00F40193"/>
    <w:rsid w:val="00F40F59"/>
    <w:rsid w:val="00F41805"/>
    <w:rsid w:val="00F4195C"/>
    <w:rsid w:val="00F42D8B"/>
    <w:rsid w:val="00F437DF"/>
    <w:rsid w:val="00F452DA"/>
    <w:rsid w:val="00F45916"/>
    <w:rsid w:val="00F46B7F"/>
    <w:rsid w:val="00F5198E"/>
    <w:rsid w:val="00F527CB"/>
    <w:rsid w:val="00F54758"/>
    <w:rsid w:val="00F5548D"/>
    <w:rsid w:val="00F55676"/>
    <w:rsid w:val="00F568F5"/>
    <w:rsid w:val="00F61ED8"/>
    <w:rsid w:val="00F62306"/>
    <w:rsid w:val="00F62C91"/>
    <w:rsid w:val="00F63FFE"/>
    <w:rsid w:val="00F718E8"/>
    <w:rsid w:val="00F72FEE"/>
    <w:rsid w:val="00F73E7C"/>
    <w:rsid w:val="00F75BF4"/>
    <w:rsid w:val="00F76B94"/>
    <w:rsid w:val="00F76E58"/>
    <w:rsid w:val="00F77A1E"/>
    <w:rsid w:val="00F80EC6"/>
    <w:rsid w:val="00F86786"/>
    <w:rsid w:val="00F90691"/>
    <w:rsid w:val="00F90E14"/>
    <w:rsid w:val="00F9277A"/>
    <w:rsid w:val="00F9433A"/>
    <w:rsid w:val="00F954D5"/>
    <w:rsid w:val="00F95F28"/>
    <w:rsid w:val="00F962E9"/>
    <w:rsid w:val="00F9669A"/>
    <w:rsid w:val="00F96D93"/>
    <w:rsid w:val="00FA2A06"/>
    <w:rsid w:val="00FA5F6E"/>
    <w:rsid w:val="00FA601B"/>
    <w:rsid w:val="00FA6F3F"/>
    <w:rsid w:val="00FA7B4B"/>
    <w:rsid w:val="00FB1EE3"/>
    <w:rsid w:val="00FB44FC"/>
    <w:rsid w:val="00FB556E"/>
    <w:rsid w:val="00FB5A20"/>
    <w:rsid w:val="00FB7CCC"/>
    <w:rsid w:val="00FC1689"/>
    <w:rsid w:val="00FC2E8E"/>
    <w:rsid w:val="00FC66AE"/>
    <w:rsid w:val="00FC698D"/>
    <w:rsid w:val="00FD302F"/>
    <w:rsid w:val="00FD40CA"/>
    <w:rsid w:val="00FD64BD"/>
    <w:rsid w:val="00FD6813"/>
    <w:rsid w:val="00FE02C8"/>
    <w:rsid w:val="00FE02EE"/>
    <w:rsid w:val="00FE04E0"/>
    <w:rsid w:val="00FE62FB"/>
    <w:rsid w:val="00FF1540"/>
    <w:rsid w:val="00FF35B2"/>
    <w:rsid w:val="00FF3D81"/>
    <w:rsid w:val="00FF459C"/>
    <w:rsid w:val="00FF522E"/>
    <w:rsid w:val="00FF5A35"/>
    <w:rsid w:val="00FF62B2"/>
    <w:rsid w:val="00FF643C"/>
    <w:rsid w:val="00FF6522"/>
    <w:rsid w:val="00FF7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563C8"/>
  <w15:docId w15:val="{55543CC8-D16A-4BFB-B79B-3EA44F90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A73"/>
    <w:rPr>
      <w:sz w:val="28"/>
      <w:szCs w:val="24"/>
    </w:rPr>
  </w:style>
  <w:style w:type="paragraph" w:styleId="Heading1">
    <w:name w:val="heading 1"/>
    <w:basedOn w:val="Normal"/>
    <w:next w:val="Normal"/>
    <w:link w:val="Heading1Char"/>
    <w:qFormat/>
    <w:rsid w:val="00D60C2A"/>
    <w:pPr>
      <w:keepNext/>
      <w:adjustRightInd w:val="0"/>
      <w:snapToGrid w:val="0"/>
      <w:spacing w:line="264" w:lineRule="auto"/>
      <w:jc w:val="right"/>
      <w:outlineLvl w:val="0"/>
    </w:pPr>
    <w:rPr>
      <w:rFonts w:eastAsia="SimSun"/>
      <w:b/>
      <w:i/>
      <w:iCs/>
      <w:sz w:val="24"/>
      <w:lang w:eastAsia="zh-CN"/>
    </w:rPr>
  </w:style>
  <w:style w:type="paragraph" w:styleId="Heading2">
    <w:name w:val="heading 2"/>
    <w:basedOn w:val="Normal"/>
    <w:next w:val="Normal"/>
    <w:link w:val="Heading2Char"/>
    <w:semiHidden/>
    <w:unhideWhenUsed/>
    <w:qFormat/>
    <w:rsid w:val="00544C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D60C2A"/>
    <w:pPr>
      <w:keepNext/>
      <w:adjustRightInd w:val="0"/>
      <w:snapToGrid w:val="0"/>
      <w:jc w:val="center"/>
      <w:outlineLvl w:val="2"/>
    </w:pPr>
    <w:rPr>
      <w:rFonts w:eastAsia="SimSun"/>
      <w:b/>
      <w:bCs/>
      <w:sz w:val="24"/>
      <w:u w:val="single"/>
      <w:lang w:eastAsia="zh-CN"/>
    </w:rPr>
  </w:style>
  <w:style w:type="paragraph" w:styleId="Heading5">
    <w:name w:val="heading 5"/>
    <w:basedOn w:val="Normal"/>
    <w:next w:val="Normal"/>
    <w:link w:val="Heading5Char"/>
    <w:qFormat/>
    <w:rsid w:val="00D60C2A"/>
    <w:pPr>
      <w:keepNext/>
      <w:autoSpaceDE w:val="0"/>
      <w:autoSpaceDN w:val="0"/>
      <w:jc w:val="center"/>
      <w:outlineLvl w:val="4"/>
    </w:pPr>
    <w:rPr>
      <w:rFonts w:ascii=".VnTime" w:hAnsi=".VnTime" w:cs=".VnTime"/>
      <w:szCs w:val="28"/>
      <w:lang w:val="en-GB"/>
    </w:rPr>
  </w:style>
  <w:style w:type="paragraph" w:styleId="Heading8">
    <w:name w:val="heading 8"/>
    <w:basedOn w:val="Normal"/>
    <w:next w:val="Normal"/>
    <w:link w:val="Heading8Char"/>
    <w:qFormat/>
    <w:rsid w:val="00D60C2A"/>
    <w:pPr>
      <w:keepNext/>
      <w:adjustRightInd w:val="0"/>
      <w:snapToGrid w:val="0"/>
      <w:jc w:val="center"/>
      <w:outlineLvl w:val="7"/>
    </w:pPr>
    <w:rPr>
      <w:b/>
      <w:bCs/>
      <w:spacing w:val="-6"/>
      <w:sz w:val="26"/>
      <w:szCs w:val="26"/>
      <w:lang w:val="nl-NL"/>
    </w:rPr>
  </w:style>
  <w:style w:type="paragraph" w:styleId="Heading9">
    <w:name w:val="heading 9"/>
    <w:basedOn w:val="Normal"/>
    <w:next w:val="Normal"/>
    <w:link w:val="Heading9Char"/>
    <w:qFormat/>
    <w:rsid w:val="00D60C2A"/>
    <w:pPr>
      <w:keepNext/>
      <w:adjustRightInd w:val="0"/>
      <w:snapToGrid w:val="0"/>
      <w:jc w:val="center"/>
      <w:outlineLvl w:val="8"/>
    </w:pPr>
    <w:rPr>
      <w:b/>
      <w:bCs/>
      <w:spacing w:val="-6"/>
      <w:sz w:val="24"/>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0C2A"/>
    <w:rPr>
      <w:rFonts w:eastAsia="SimSun"/>
      <w:b/>
      <w:i/>
      <w:iCs/>
      <w:sz w:val="24"/>
      <w:szCs w:val="24"/>
      <w:lang w:val="en-US" w:eastAsia="zh-CN" w:bidi="ar-SA"/>
    </w:rPr>
  </w:style>
  <w:style w:type="character" w:customStyle="1" w:styleId="Heading3Char">
    <w:name w:val="Heading 3 Char"/>
    <w:link w:val="Heading3"/>
    <w:rsid w:val="00D60C2A"/>
    <w:rPr>
      <w:rFonts w:eastAsia="SimSun"/>
      <w:b/>
      <w:bCs/>
      <w:sz w:val="24"/>
      <w:szCs w:val="24"/>
      <w:u w:val="single"/>
      <w:lang w:val="en-US" w:eastAsia="zh-CN" w:bidi="ar-SA"/>
    </w:rPr>
  </w:style>
  <w:style w:type="character" w:customStyle="1" w:styleId="Heading5Char">
    <w:name w:val="Heading 5 Char"/>
    <w:link w:val="Heading5"/>
    <w:rsid w:val="00D60C2A"/>
    <w:rPr>
      <w:rFonts w:ascii=".VnTime" w:hAnsi=".VnTime" w:cs=".VnTime"/>
      <w:sz w:val="28"/>
      <w:szCs w:val="28"/>
      <w:lang w:val="en-GB" w:eastAsia="en-US" w:bidi="ar-SA"/>
    </w:rPr>
  </w:style>
  <w:style w:type="character" w:customStyle="1" w:styleId="Heading8Char">
    <w:name w:val="Heading 8 Char"/>
    <w:link w:val="Heading8"/>
    <w:rsid w:val="00D60C2A"/>
    <w:rPr>
      <w:b/>
      <w:bCs/>
      <w:spacing w:val="-6"/>
      <w:sz w:val="26"/>
      <w:szCs w:val="26"/>
      <w:lang w:val="nl-NL" w:eastAsia="en-US" w:bidi="ar-SA"/>
    </w:rPr>
  </w:style>
  <w:style w:type="character" w:customStyle="1" w:styleId="Heading9Char">
    <w:name w:val="Heading 9 Char"/>
    <w:link w:val="Heading9"/>
    <w:rsid w:val="00D60C2A"/>
    <w:rPr>
      <w:b/>
      <w:bCs/>
      <w:spacing w:val="-6"/>
      <w:sz w:val="24"/>
      <w:szCs w:val="26"/>
      <w:lang w:val="nl-NL" w:eastAsia="en-US" w:bidi="ar-SA"/>
    </w:rPr>
  </w:style>
  <w:style w:type="paragraph" w:styleId="Footer">
    <w:name w:val="footer"/>
    <w:basedOn w:val="Normal"/>
    <w:link w:val="FooterChar"/>
    <w:rsid w:val="00D60C2A"/>
    <w:pPr>
      <w:tabs>
        <w:tab w:val="center" w:pos="4320"/>
        <w:tab w:val="right" w:pos="8640"/>
      </w:tabs>
      <w:snapToGrid w:val="0"/>
      <w:spacing w:before="120" w:after="120" w:line="264" w:lineRule="auto"/>
      <w:ind w:firstLine="720"/>
      <w:jc w:val="both"/>
    </w:pPr>
    <w:rPr>
      <w:rFonts w:ascii=".VnTime" w:eastAsia="SimSun" w:hAnsi=".VnTime" w:cs="Arial"/>
      <w:szCs w:val="28"/>
      <w:lang w:eastAsia="zh-CN"/>
    </w:rPr>
  </w:style>
  <w:style w:type="character" w:customStyle="1" w:styleId="FooterChar">
    <w:name w:val="Footer Char"/>
    <w:link w:val="Footer"/>
    <w:rsid w:val="00D60C2A"/>
    <w:rPr>
      <w:rFonts w:ascii=".VnTime" w:eastAsia="SimSun" w:hAnsi=".VnTime" w:cs="Arial"/>
      <w:sz w:val="28"/>
      <w:szCs w:val="28"/>
      <w:lang w:val="en-US" w:eastAsia="zh-CN" w:bidi="ar-SA"/>
    </w:rPr>
  </w:style>
  <w:style w:type="character" w:styleId="PageNumber">
    <w:name w:val="page number"/>
    <w:basedOn w:val="DefaultParagraphFont"/>
    <w:rsid w:val="00D60C2A"/>
  </w:style>
  <w:style w:type="character" w:customStyle="1" w:styleId="normal-h">
    <w:name w:val="normal-h"/>
    <w:basedOn w:val="DefaultParagraphFont"/>
    <w:rsid w:val="00D60C2A"/>
  </w:style>
  <w:style w:type="paragraph" w:customStyle="1" w:styleId="Char">
    <w:name w:val="Char"/>
    <w:basedOn w:val="Normal"/>
    <w:rsid w:val="00944F93"/>
    <w:pPr>
      <w:spacing w:after="160" w:line="240" w:lineRule="exact"/>
    </w:pPr>
    <w:rPr>
      <w:rFonts w:ascii="Verdana" w:hAnsi="Verdana"/>
      <w:sz w:val="20"/>
      <w:szCs w:val="20"/>
    </w:rPr>
  </w:style>
  <w:style w:type="paragraph" w:styleId="BalloonText">
    <w:name w:val="Balloon Text"/>
    <w:basedOn w:val="Normal"/>
    <w:link w:val="BalloonTextChar"/>
    <w:rsid w:val="00245884"/>
    <w:rPr>
      <w:rFonts w:ascii="Tahoma" w:hAnsi="Tahoma" w:cs="Tahoma"/>
      <w:sz w:val="16"/>
      <w:szCs w:val="16"/>
    </w:rPr>
  </w:style>
  <w:style w:type="character" w:customStyle="1" w:styleId="BalloonTextChar">
    <w:name w:val="Balloon Text Char"/>
    <w:basedOn w:val="DefaultParagraphFont"/>
    <w:link w:val="BalloonText"/>
    <w:rsid w:val="00245884"/>
    <w:rPr>
      <w:rFonts w:ascii="Tahoma" w:hAnsi="Tahoma" w:cs="Tahoma"/>
      <w:sz w:val="16"/>
      <w:szCs w:val="16"/>
    </w:rPr>
  </w:style>
  <w:style w:type="paragraph" w:styleId="ListParagraph">
    <w:name w:val="List Paragraph"/>
    <w:basedOn w:val="Normal"/>
    <w:uiPriority w:val="34"/>
    <w:qFormat/>
    <w:rsid w:val="003611A0"/>
    <w:pPr>
      <w:ind w:left="720"/>
      <w:contextualSpacing/>
    </w:pPr>
  </w:style>
  <w:style w:type="character" w:customStyle="1" w:styleId="apple-converted-space">
    <w:name w:val="apple-converted-space"/>
    <w:basedOn w:val="DefaultParagraphFont"/>
    <w:rsid w:val="00A93F19"/>
  </w:style>
  <w:style w:type="paragraph" w:styleId="Header">
    <w:name w:val="header"/>
    <w:basedOn w:val="Normal"/>
    <w:link w:val="HeaderChar"/>
    <w:uiPriority w:val="99"/>
    <w:unhideWhenUsed/>
    <w:rsid w:val="00872824"/>
    <w:pPr>
      <w:tabs>
        <w:tab w:val="center" w:pos="4680"/>
        <w:tab w:val="right" w:pos="9360"/>
      </w:tabs>
    </w:pPr>
  </w:style>
  <w:style w:type="character" w:customStyle="1" w:styleId="HeaderChar">
    <w:name w:val="Header Char"/>
    <w:basedOn w:val="DefaultParagraphFont"/>
    <w:link w:val="Header"/>
    <w:uiPriority w:val="99"/>
    <w:rsid w:val="00872824"/>
    <w:rPr>
      <w:sz w:val="28"/>
      <w:szCs w:val="24"/>
    </w:rPr>
  </w:style>
  <w:style w:type="paragraph" w:styleId="FootnoteText">
    <w:name w:val="footnote text"/>
    <w:basedOn w:val="Normal"/>
    <w:link w:val="FootnoteTextChar"/>
    <w:semiHidden/>
    <w:unhideWhenUsed/>
    <w:rsid w:val="00F33B48"/>
    <w:rPr>
      <w:sz w:val="20"/>
      <w:szCs w:val="20"/>
    </w:rPr>
  </w:style>
  <w:style w:type="character" w:customStyle="1" w:styleId="FootnoteTextChar">
    <w:name w:val="Footnote Text Char"/>
    <w:basedOn w:val="DefaultParagraphFont"/>
    <w:link w:val="FootnoteText"/>
    <w:semiHidden/>
    <w:rsid w:val="00F33B48"/>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fr"/>
    <w:unhideWhenUsed/>
    <w:qFormat/>
    <w:rsid w:val="00F33B48"/>
    <w:rPr>
      <w:vertAlign w:val="superscript"/>
    </w:rPr>
  </w:style>
  <w:style w:type="character" w:styleId="Hyperlink">
    <w:name w:val="Hyperlink"/>
    <w:basedOn w:val="DefaultParagraphFont"/>
    <w:unhideWhenUsed/>
    <w:rsid w:val="000E0B41"/>
    <w:rPr>
      <w:color w:val="0000FF" w:themeColor="hyperlink"/>
      <w:u w:val="single"/>
    </w:rPr>
  </w:style>
  <w:style w:type="table" w:styleId="TableGrid">
    <w:name w:val="Table Grid"/>
    <w:basedOn w:val="TableNormal"/>
    <w:rsid w:val="00E100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544C6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87A18"/>
    <w:rPr>
      <w:sz w:val="16"/>
      <w:szCs w:val="16"/>
    </w:rPr>
  </w:style>
  <w:style w:type="paragraph" w:styleId="CommentText">
    <w:name w:val="annotation text"/>
    <w:basedOn w:val="Normal"/>
    <w:link w:val="CommentTextChar"/>
    <w:semiHidden/>
    <w:unhideWhenUsed/>
    <w:rsid w:val="00C87A18"/>
    <w:rPr>
      <w:sz w:val="20"/>
      <w:szCs w:val="20"/>
    </w:rPr>
  </w:style>
  <w:style w:type="character" w:customStyle="1" w:styleId="CommentTextChar">
    <w:name w:val="Comment Text Char"/>
    <w:basedOn w:val="DefaultParagraphFont"/>
    <w:link w:val="CommentText"/>
    <w:semiHidden/>
    <w:rsid w:val="00C87A18"/>
  </w:style>
  <w:style w:type="paragraph" w:styleId="CommentSubject">
    <w:name w:val="annotation subject"/>
    <w:basedOn w:val="CommentText"/>
    <w:next w:val="CommentText"/>
    <w:link w:val="CommentSubjectChar"/>
    <w:semiHidden/>
    <w:unhideWhenUsed/>
    <w:rsid w:val="00C87A18"/>
    <w:rPr>
      <w:b/>
      <w:bCs/>
    </w:rPr>
  </w:style>
  <w:style w:type="character" w:customStyle="1" w:styleId="CommentSubjectChar">
    <w:name w:val="Comment Subject Char"/>
    <w:basedOn w:val="CommentTextChar"/>
    <w:link w:val="CommentSubject"/>
    <w:semiHidden/>
    <w:rsid w:val="00C87A18"/>
    <w:rPr>
      <w:b/>
      <w:bCs/>
    </w:rPr>
  </w:style>
  <w:style w:type="paragraph" w:styleId="Revision">
    <w:name w:val="Revision"/>
    <w:hidden/>
    <w:uiPriority w:val="99"/>
    <w:semiHidden/>
    <w:rsid w:val="00C8129D"/>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51828">
      <w:bodyDiv w:val="1"/>
      <w:marLeft w:val="0"/>
      <w:marRight w:val="0"/>
      <w:marTop w:val="0"/>
      <w:marBottom w:val="0"/>
      <w:divBdr>
        <w:top w:val="none" w:sz="0" w:space="0" w:color="auto"/>
        <w:left w:val="none" w:sz="0" w:space="0" w:color="auto"/>
        <w:bottom w:val="none" w:sz="0" w:space="0" w:color="auto"/>
        <w:right w:val="none" w:sz="0" w:space="0" w:color="auto"/>
      </w:divBdr>
    </w:div>
    <w:div w:id="792747135">
      <w:bodyDiv w:val="1"/>
      <w:marLeft w:val="0"/>
      <w:marRight w:val="0"/>
      <w:marTop w:val="0"/>
      <w:marBottom w:val="0"/>
      <w:divBdr>
        <w:top w:val="none" w:sz="0" w:space="0" w:color="auto"/>
        <w:left w:val="none" w:sz="0" w:space="0" w:color="auto"/>
        <w:bottom w:val="none" w:sz="0" w:space="0" w:color="auto"/>
        <w:right w:val="none" w:sz="0" w:space="0" w:color="auto"/>
      </w:divBdr>
    </w:div>
    <w:div w:id="158757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1ABA-F6F9-4E33-9AB8-A94DC764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2748</Words>
  <Characters>15665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BỘ TƯ PHÁP</vt:lpstr>
    </vt:vector>
  </TitlesOfParts>
  <Company>VietNam.Com</Company>
  <LinksUpToDate>false</LinksUpToDate>
  <CharactersWithSpaces>18377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Trinh</dc:creator>
  <cp:lastModifiedBy>dell</cp:lastModifiedBy>
  <cp:revision>7</cp:revision>
  <cp:lastPrinted>2026-03-31T03:42:00Z</cp:lastPrinted>
  <dcterms:created xsi:type="dcterms:W3CDTF">2026-03-11T07:33:00Z</dcterms:created>
  <dcterms:modified xsi:type="dcterms:W3CDTF">2026-03-31T03:42:00Z</dcterms:modified>
</cp:coreProperties>
</file>