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BD18" w14:textId="08565B2C" w:rsidR="00A75145" w:rsidRPr="00BC48E5" w:rsidRDefault="00067C62" w:rsidP="0097604B">
      <w:pPr>
        <w:jc w:val="center"/>
        <w:rPr>
          <w:b/>
          <w:color w:val="000000" w:themeColor="text1"/>
          <w:sz w:val="28"/>
          <w:szCs w:val="28"/>
        </w:rPr>
      </w:pPr>
      <w:r w:rsidRPr="00BC48E5">
        <w:rPr>
          <w:b/>
          <w:color w:val="000000" w:themeColor="text1"/>
          <w:sz w:val="28"/>
          <w:szCs w:val="28"/>
        </w:rPr>
        <w:t>Phụ lục</w:t>
      </w:r>
    </w:p>
    <w:p w14:paraId="23124EFB" w14:textId="77777777" w:rsidR="000D3C4A" w:rsidRDefault="005E5F2B" w:rsidP="0097604B">
      <w:pPr>
        <w:jc w:val="center"/>
        <w:rPr>
          <w:b/>
          <w:bCs/>
          <w:color w:val="000000" w:themeColor="text1"/>
          <w:sz w:val="28"/>
        </w:rPr>
      </w:pPr>
      <w:r w:rsidRPr="00BC48E5">
        <w:rPr>
          <w:b/>
          <w:bCs/>
          <w:color w:val="000000" w:themeColor="text1"/>
          <w:sz w:val="28"/>
        </w:rPr>
        <w:t xml:space="preserve">RÀ SOÁT CÁC CHỦ TRƯƠNG, ĐƯỜNG LỐI CỦA ĐẢNG, VĂN BẢN QUY PHẠM PHÁP LUẬT, </w:t>
      </w:r>
    </w:p>
    <w:p w14:paraId="73F44DB8" w14:textId="106CC9E1" w:rsidR="005E5F2B" w:rsidRPr="00BC48E5" w:rsidRDefault="005E5F2B" w:rsidP="0097604B">
      <w:pPr>
        <w:jc w:val="center"/>
        <w:rPr>
          <w:b/>
          <w:bCs/>
          <w:color w:val="000000" w:themeColor="text1"/>
          <w:sz w:val="28"/>
        </w:rPr>
      </w:pPr>
      <w:r w:rsidRPr="00BC48E5">
        <w:rPr>
          <w:b/>
          <w:bCs/>
          <w:color w:val="000000" w:themeColor="text1"/>
          <w:sz w:val="28"/>
        </w:rPr>
        <w:t xml:space="preserve">ĐIỀU ƯỚC QUỐC TẾ CÓ LIÊN QUAN ĐẾN </w:t>
      </w:r>
      <w:r w:rsidR="003950EF">
        <w:rPr>
          <w:b/>
          <w:bCs/>
          <w:color w:val="000000" w:themeColor="text1"/>
          <w:sz w:val="28"/>
        </w:rPr>
        <w:t>NGHỊ ĐỊNH</w:t>
      </w:r>
    </w:p>
    <w:p w14:paraId="25AB365A" w14:textId="596C0672" w:rsidR="00215894" w:rsidRPr="00BC48E5" w:rsidRDefault="00215894" w:rsidP="0097604B">
      <w:pPr>
        <w:ind w:left="-426"/>
        <w:jc w:val="center"/>
        <w:rPr>
          <w:i/>
          <w:color w:val="000000" w:themeColor="text1"/>
          <w:spacing w:val="-4"/>
          <w:sz w:val="28"/>
          <w:szCs w:val="28"/>
        </w:rPr>
      </w:pPr>
      <w:r w:rsidRPr="00BC48E5">
        <w:rPr>
          <w:i/>
          <w:color w:val="000000" w:themeColor="text1"/>
          <w:spacing w:val="-4"/>
          <w:sz w:val="28"/>
          <w:szCs w:val="28"/>
        </w:rPr>
        <w:t>(Kèm theo Báo cáo số           /BC-</w:t>
      </w:r>
      <w:r w:rsidR="003950EF">
        <w:rPr>
          <w:i/>
          <w:color w:val="000000" w:themeColor="text1"/>
          <w:spacing w:val="-4"/>
          <w:sz w:val="28"/>
          <w:szCs w:val="28"/>
        </w:rPr>
        <w:t>BTC</w:t>
      </w:r>
      <w:r w:rsidRPr="00BC48E5">
        <w:rPr>
          <w:i/>
          <w:color w:val="000000" w:themeColor="text1"/>
          <w:spacing w:val="-4"/>
          <w:sz w:val="28"/>
          <w:szCs w:val="28"/>
        </w:rPr>
        <w:t xml:space="preserve"> ngày      tháng       năm 202</w:t>
      </w:r>
      <w:r w:rsidR="003950EF">
        <w:rPr>
          <w:i/>
          <w:color w:val="000000" w:themeColor="text1"/>
          <w:spacing w:val="-4"/>
          <w:sz w:val="28"/>
          <w:szCs w:val="28"/>
        </w:rPr>
        <w:t>6</w:t>
      </w:r>
      <w:r w:rsidRPr="00BC48E5">
        <w:rPr>
          <w:i/>
          <w:color w:val="000000" w:themeColor="text1"/>
          <w:spacing w:val="-4"/>
          <w:sz w:val="28"/>
          <w:szCs w:val="28"/>
        </w:rPr>
        <w:t xml:space="preserve"> của </w:t>
      </w:r>
      <w:r w:rsidR="003950EF">
        <w:rPr>
          <w:i/>
          <w:color w:val="000000" w:themeColor="text1"/>
          <w:spacing w:val="-4"/>
          <w:sz w:val="28"/>
          <w:szCs w:val="28"/>
        </w:rPr>
        <w:t>Bộ Tài chính</w:t>
      </w:r>
      <w:r w:rsidRPr="00BC48E5">
        <w:rPr>
          <w:i/>
          <w:color w:val="000000" w:themeColor="text1"/>
          <w:spacing w:val="-4"/>
          <w:sz w:val="28"/>
          <w:szCs w:val="28"/>
        </w:rPr>
        <w:t>)</w:t>
      </w:r>
    </w:p>
    <w:p w14:paraId="23EC9AD4" w14:textId="27713571" w:rsidR="00142D58" w:rsidRPr="00BC48E5" w:rsidRDefault="00142D58" w:rsidP="0097604B">
      <w:pPr>
        <w:ind w:left="-426"/>
        <w:jc w:val="center"/>
        <w:rPr>
          <w:i/>
          <w:color w:val="000000" w:themeColor="text1"/>
          <w:spacing w:val="-4"/>
          <w:sz w:val="28"/>
          <w:szCs w:val="28"/>
        </w:rPr>
      </w:pPr>
      <w:r w:rsidRPr="00BC48E5">
        <w:rPr>
          <w:i/>
          <w:noProof/>
          <w:color w:val="000000" w:themeColor="text1"/>
          <w:spacing w:val="-4"/>
          <w:sz w:val="28"/>
          <w:szCs w:val="28"/>
        </w:rPr>
        <mc:AlternateContent>
          <mc:Choice Requires="wps">
            <w:drawing>
              <wp:anchor distT="0" distB="0" distL="114300" distR="114300" simplePos="0" relativeHeight="251664896" behindDoc="0" locked="0" layoutInCell="1" allowOverlap="1" wp14:anchorId="3D1BF43C" wp14:editId="52277781">
                <wp:simplePos x="0" y="0"/>
                <wp:positionH relativeFrom="column">
                  <wp:posOffset>3299460</wp:posOffset>
                </wp:positionH>
                <wp:positionV relativeFrom="paragraph">
                  <wp:posOffset>114300</wp:posOffset>
                </wp:positionV>
                <wp:extent cx="248064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806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96FEB" id="Straight Connector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59.8pt,9pt" to="45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qotQEAALcDAAAOAAAAZHJzL2Uyb0RvYy54bWysU8GO0zAQvSPxD5bvNGm1Wi1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" strokecolor="black [3040]"/>
            </w:pict>
          </mc:Fallback>
        </mc:AlternateContent>
      </w:r>
    </w:p>
    <w:p w14:paraId="32AA2DB1" w14:textId="77777777" w:rsidR="000E3DCD" w:rsidRDefault="000E3DCD" w:rsidP="003C5F6B">
      <w:pPr>
        <w:spacing w:after="120"/>
        <w:jc w:val="both"/>
        <w:rPr>
          <w:b/>
          <w:color w:val="000000" w:themeColor="text1"/>
          <w:sz w:val="28"/>
          <w:szCs w:val="28"/>
        </w:rPr>
      </w:pPr>
    </w:p>
    <w:p w14:paraId="0224DC1B" w14:textId="45C506FF" w:rsidR="00A75145" w:rsidRDefault="00A75145" w:rsidP="003C5F6B">
      <w:pPr>
        <w:spacing w:after="120"/>
        <w:jc w:val="both"/>
        <w:rPr>
          <w:b/>
          <w:color w:val="000000" w:themeColor="text1"/>
          <w:sz w:val="28"/>
          <w:szCs w:val="28"/>
        </w:rPr>
      </w:pPr>
      <w:r w:rsidRPr="00BC48E5">
        <w:rPr>
          <w:b/>
          <w:color w:val="000000" w:themeColor="text1"/>
          <w:sz w:val="28"/>
          <w:szCs w:val="28"/>
        </w:rPr>
        <w:t>1. Chủ trương, đường lối của Đảng có liên quan đến dự thảo</w:t>
      </w:r>
    </w:p>
    <w:tbl>
      <w:tblPr>
        <w:tblStyle w:val="TableGrid"/>
        <w:tblW w:w="14617" w:type="dxa"/>
        <w:jc w:val="center"/>
        <w:tblLook w:val="04A0" w:firstRow="1" w:lastRow="0" w:firstColumn="1" w:lastColumn="0" w:noHBand="0" w:noVBand="1"/>
      </w:tblPr>
      <w:tblGrid>
        <w:gridCol w:w="5119"/>
        <w:gridCol w:w="3381"/>
        <w:gridCol w:w="4274"/>
        <w:gridCol w:w="1843"/>
      </w:tblGrid>
      <w:tr w:rsidR="0097604B" w:rsidRPr="00AA0C80" w14:paraId="461BCA5E" w14:textId="77777777" w:rsidTr="003C5F6B">
        <w:trPr>
          <w:tblHeader/>
          <w:jc w:val="center"/>
        </w:trPr>
        <w:tc>
          <w:tcPr>
            <w:tcW w:w="5119" w:type="dxa"/>
            <w:vAlign w:val="center"/>
          </w:tcPr>
          <w:p w14:paraId="22D29DCE" w14:textId="77777777" w:rsidR="003C5F6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 xml:space="preserve">CHỦ TRƯƠNG, ĐƯỜNG LỐI </w:t>
            </w:r>
          </w:p>
          <w:p w14:paraId="6F492A2E" w14:textId="70DE7F9D" w:rsidR="0097604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CỦA ĐẢNG</w:t>
            </w:r>
          </w:p>
        </w:tc>
        <w:tc>
          <w:tcPr>
            <w:tcW w:w="3381" w:type="dxa"/>
            <w:vAlign w:val="center"/>
          </w:tcPr>
          <w:p w14:paraId="60E3A7B7" w14:textId="0E019F4E" w:rsidR="0097604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CHÍNH SÁCH/ QUY ĐỊNH CỦA DỰ THẢO VĂN BẢN</w:t>
            </w:r>
          </w:p>
        </w:tc>
        <w:tc>
          <w:tcPr>
            <w:tcW w:w="4274" w:type="dxa"/>
            <w:vAlign w:val="center"/>
          </w:tcPr>
          <w:p w14:paraId="3443E4A4" w14:textId="7F0F1D4B" w:rsidR="0097604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ĐÁNH GIÁ</w:t>
            </w:r>
          </w:p>
        </w:tc>
        <w:tc>
          <w:tcPr>
            <w:tcW w:w="1843" w:type="dxa"/>
            <w:vAlign w:val="center"/>
          </w:tcPr>
          <w:p w14:paraId="498A94BC" w14:textId="77777777" w:rsidR="0097604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ĐỀ XUẤT</w:t>
            </w:r>
          </w:p>
          <w:p w14:paraId="2BA723F9" w14:textId="1D1BAB62" w:rsidR="0097604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 xml:space="preserve"> XỬ LÝ</w:t>
            </w:r>
          </w:p>
        </w:tc>
      </w:tr>
      <w:tr w:rsidR="0097604B" w:rsidRPr="00AA0C80" w14:paraId="025CCD33" w14:textId="77777777" w:rsidTr="003C5F6B">
        <w:trPr>
          <w:jc w:val="center"/>
        </w:trPr>
        <w:tc>
          <w:tcPr>
            <w:tcW w:w="5119" w:type="dxa"/>
          </w:tcPr>
          <w:p w14:paraId="407548E9" w14:textId="77777777"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Nghị quyết Đại hội Đại biểu toàn quốc lần thứ XIII của Đảng đã xác định một trong những định hướng phát triển đất nước giai đoạn 2021 – 2030: </w:t>
            </w:r>
            <w:r w:rsidRPr="00AA0C80">
              <w:rPr>
                <w:rFonts w:asciiTheme="majorHAnsi" w:hAnsiTheme="majorHAnsi" w:cstheme="majorHAnsi"/>
                <w:bCs/>
                <w:i/>
                <w:iCs/>
                <w:color w:val="000000" w:themeColor="text1"/>
                <w:sz w:val="26"/>
                <w:szCs w:val="26"/>
              </w:rPr>
              <w:t>“Tiếp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AA0C80">
              <w:rPr>
                <w:rFonts w:asciiTheme="majorHAnsi" w:hAnsiTheme="majorHAnsi" w:cstheme="majorHAnsi"/>
                <w:bCs/>
                <w:color w:val="000000" w:themeColor="text1"/>
                <w:sz w:val="26"/>
                <w:szCs w:val="26"/>
              </w:rPr>
              <w:t>.</w:t>
            </w:r>
          </w:p>
          <w:p w14:paraId="6E7AD7E0" w14:textId="60DC17F1"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Hội nghị lần thứ ba Ban Chấp hành Trung ương Đảng khóa XIII đề ra nhiệm vụ: </w:t>
            </w:r>
            <w:r w:rsidRPr="00AA0C80">
              <w:rPr>
                <w:rFonts w:asciiTheme="majorHAnsi" w:hAnsiTheme="majorHAnsi" w:cstheme="majorHAnsi"/>
                <w:bCs/>
                <w:i/>
                <w:iCs/>
                <w:color w:val="000000" w:themeColor="text1"/>
                <w:sz w:val="26"/>
                <w:szCs w:val="26"/>
              </w:rPr>
              <w:t xml:space="preserve">“Tiếp tục xây dựng, hoàn thiện đồng bộ thể chế phát triển…; khẩn trương rà soát, bổ sung, hoàn thiện các quy định pháp luật không còn phù hợp, trùng chéo, hoặc chưa đầy </w:t>
            </w:r>
            <w:r w:rsidR="003C5F6B" w:rsidRPr="00AA0C80">
              <w:rPr>
                <w:rFonts w:asciiTheme="majorHAnsi" w:hAnsiTheme="majorHAnsi" w:cstheme="majorHAnsi"/>
                <w:bCs/>
                <w:i/>
                <w:iCs/>
                <w:color w:val="000000" w:themeColor="text1"/>
                <w:sz w:val="26"/>
                <w:szCs w:val="26"/>
              </w:rPr>
              <w:t>đủ…</w:t>
            </w:r>
            <w:r w:rsidRPr="00AA0C80">
              <w:rPr>
                <w:rFonts w:asciiTheme="majorHAnsi" w:hAnsiTheme="majorHAnsi" w:cstheme="majorHAnsi"/>
                <w:bCs/>
                <w:i/>
                <w:iCs/>
                <w:color w:val="000000" w:themeColor="text1"/>
                <w:sz w:val="26"/>
                <w:szCs w:val="26"/>
              </w:rPr>
              <w:t xml:space="preserve"> theo </w:t>
            </w:r>
            <w:r w:rsidRPr="00AA0C80">
              <w:rPr>
                <w:rFonts w:asciiTheme="majorHAnsi" w:hAnsiTheme="majorHAnsi" w:cstheme="majorHAnsi"/>
                <w:bCs/>
                <w:i/>
                <w:iCs/>
                <w:color w:val="000000" w:themeColor="text1"/>
                <w:sz w:val="26"/>
                <w:szCs w:val="26"/>
              </w:rPr>
              <w:lastRenderedPageBreak/>
              <w:t>hướng vướng mắc ở cấp nào thì cấp đó chủ động tích cực sửa đổi, hoàn thiện”</w:t>
            </w:r>
            <w:r w:rsidRPr="00AA0C80">
              <w:rPr>
                <w:rFonts w:asciiTheme="majorHAnsi" w:hAnsiTheme="majorHAnsi" w:cstheme="majorHAnsi"/>
                <w:bCs/>
                <w:color w:val="000000" w:themeColor="text1"/>
                <w:sz w:val="26"/>
                <w:szCs w:val="26"/>
              </w:rPr>
              <w:t>.</w:t>
            </w:r>
          </w:p>
          <w:p w14:paraId="79B8A648" w14:textId="77777777"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Kết luận số 19-KL/TW ngày 14/10/2021 của Bộ Chính trị về định hướng Chương trình xây dựng pháp luật nhiệm kỳ Quốc hội khóa XV đã xác định mục tiêu hoàn thiện đồng bộ thể chế phát triển, tạo lập khung khổ pháp lý để thực hiện thắng lợi các nhiệm vụ phát triển kinh tế - xã hội giai đoạn 2021 – 2025 trong đó lưu ý: </w:t>
            </w:r>
            <w:r w:rsidRPr="00AA0C80">
              <w:rPr>
                <w:rFonts w:asciiTheme="majorHAnsi" w:hAnsiTheme="majorHAnsi" w:cstheme="majorHAnsi"/>
                <w:bCs/>
                <w:i/>
                <w:iCs/>
                <w:color w:val="000000" w:themeColor="text1"/>
                <w:sz w:val="26"/>
                <w:szCs w:val="26"/>
              </w:rPr>
              <w:t>“Chú trọng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 tăng cường giám sát, kiểm soát việc thực hiện quyền lực nhà nước; thúc đẩy đổi mới sáng tạo”</w:t>
            </w:r>
            <w:r w:rsidRPr="00AA0C80">
              <w:rPr>
                <w:rFonts w:asciiTheme="majorHAnsi" w:hAnsiTheme="majorHAnsi" w:cstheme="majorHAnsi"/>
                <w:bCs/>
                <w:color w:val="000000" w:themeColor="text1"/>
                <w:sz w:val="26"/>
                <w:szCs w:val="26"/>
              </w:rPr>
              <w:t>.</w:t>
            </w:r>
          </w:p>
          <w:p w14:paraId="1F7C3358" w14:textId="3BD00660"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Kết luận số 119-KL/TW ngày 20/1/2025 của Bộ Chính trị về định hướng đổi mới, hoàn thiện quy trình xây dựng pháp luật đã nêu rõ: </w:t>
            </w:r>
            <w:r w:rsidRPr="00AA0C80">
              <w:rPr>
                <w:rFonts w:asciiTheme="majorHAnsi" w:hAnsiTheme="majorHAnsi" w:cstheme="majorHAnsi"/>
                <w:bCs/>
                <w:i/>
                <w:iCs/>
                <w:color w:val="000000" w:themeColor="text1"/>
                <w:sz w:val="26"/>
                <w:szCs w:val="26"/>
              </w:rPr>
              <w:t xml:space="preserve">“Bên cạnh một số bộ luật, luật quy định về quyền con người, quyền công dân, tố tụng tư pháp cần cụ thể, về cơ bản các luật khác chỉ quy định những vấn đề khung, những vấn đề có tính nguyên tắc </w:t>
            </w:r>
            <w:r w:rsidRPr="00AA0C80">
              <w:rPr>
                <w:rFonts w:asciiTheme="majorHAnsi" w:hAnsiTheme="majorHAnsi" w:cstheme="majorHAnsi"/>
                <w:bCs/>
                <w:i/>
                <w:iCs/>
                <w:color w:val="000000" w:themeColor="text1"/>
                <w:sz w:val="26"/>
                <w:szCs w:val="26"/>
              </w:rPr>
              <w:lastRenderedPageBreak/>
              <w:t>thuộc thẩm quyền của Quốc hội, còn những vấn đề thực tiễn thường xuyên biến động thì giao Chính phủ, bộ, ngành, địa phương quy định để bảo đảm linh hoạt, phù hợp với thực tiễn.”.</w:t>
            </w:r>
          </w:p>
        </w:tc>
        <w:tc>
          <w:tcPr>
            <w:tcW w:w="3381" w:type="dxa"/>
          </w:tcPr>
          <w:p w14:paraId="25252337" w14:textId="4552FAD6"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lastRenderedPageBreak/>
              <w:t xml:space="preserve">Dự thảo Nghị định gồm </w:t>
            </w:r>
            <w:r w:rsidR="00E32A1C" w:rsidRPr="00AA0C80">
              <w:rPr>
                <w:rFonts w:asciiTheme="majorHAnsi" w:hAnsiTheme="majorHAnsi" w:cstheme="majorHAnsi"/>
                <w:bCs/>
                <w:color w:val="000000" w:themeColor="text1"/>
                <w:sz w:val="26"/>
                <w:szCs w:val="26"/>
              </w:rPr>
              <w:t>4</w:t>
            </w:r>
            <w:r w:rsidR="00172842">
              <w:rPr>
                <w:rFonts w:asciiTheme="majorHAnsi" w:hAnsiTheme="majorHAnsi" w:cstheme="majorHAnsi"/>
                <w:bCs/>
                <w:color w:val="000000" w:themeColor="text1"/>
                <w:sz w:val="26"/>
                <w:szCs w:val="26"/>
              </w:rPr>
              <w:t>6</w:t>
            </w:r>
            <w:r w:rsidRPr="00AA0C80">
              <w:rPr>
                <w:rFonts w:asciiTheme="majorHAnsi" w:hAnsiTheme="majorHAnsi" w:cstheme="majorHAnsi"/>
                <w:bCs/>
                <w:color w:val="000000" w:themeColor="text1"/>
                <w:sz w:val="26"/>
                <w:szCs w:val="26"/>
              </w:rPr>
              <w:t xml:space="preserve"> Điều khoản thực hiện chủ trương hoàn thiện thể chế pháp luật hiện nay</w:t>
            </w:r>
          </w:p>
        </w:tc>
        <w:tc>
          <w:tcPr>
            <w:tcW w:w="4274" w:type="dxa"/>
          </w:tcPr>
          <w:p w14:paraId="70E5D408" w14:textId="0DE92511"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Dự thảo Nghị định đã thể chế đầy đủ chủ trương xây dựng hệ thống pháp luật, đảm bảo các mục tiêu:</w:t>
            </w:r>
          </w:p>
          <w:p w14:paraId="1F8BA8FF" w14:textId="2DCEC845"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Thể chế hóa chủ trương, định hướng của Đảng, Nhà nước; hoàn thiện thể chế pháp luật trong lĩnh vực dự trữ quốc gia, qua đó tạo hành lang pháp lý đầy đủ, kịp thời, đáp ứng yêu cầu nhiệm vụ trong tình hình mới.</w:t>
            </w:r>
          </w:p>
          <w:p w14:paraId="4BDF13AE" w14:textId="77777777"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Đảm bảo tính thống nhất, đồng bộ của hệ thống pháp luật, tháo gỡ vướng mắc tại các quy định pháp luật hiện hành trong hoạt động dự trữ quốc gia, góp phần ổn định kinh tế vĩ mô, phục vụ an sinh xã hội.</w:t>
            </w:r>
          </w:p>
          <w:p w14:paraId="4802DA45" w14:textId="77777777"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lastRenderedPageBreak/>
              <w:t>- Đẩy mạnh phân cấp, phân quyền trong việc xây dựng cơ chế, chính sách, pháp luật, thúc đẩy đơn giản hóa thủ tục hành chính và ứng dụng khoa học công nghệ, đổi mới sáng tạo và chuyển đổi số; khơi thông, sử dụng hiệu quả mọi nguồn lực hợp pháp cho dự trữ quốc gia.</w:t>
            </w:r>
          </w:p>
          <w:p w14:paraId="307C5DA9" w14:textId="77777777"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Kế thừa và phát huy những quy định hiện hành đã được thực tiễn chứng minh đem lại các tác động tích cực đến kinh tế - xã hội của đất nước; những nội dung cần sửa đổi, bổ sung phải có quy định rõ ràng, minh bạch.</w:t>
            </w:r>
          </w:p>
          <w:p w14:paraId="73E9A0BF" w14:textId="77777777"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p>
        </w:tc>
        <w:tc>
          <w:tcPr>
            <w:tcW w:w="1843" w:type="dxa"/>
          </w:tcPr>
          <w:p w14:paraId="64C8B1E0" w14:textId="77777777" w:rsidR="0097604B" w:rsidRPr="00AA0C80" w:rsidRDefault="0097604B" w:rsidP="00AA0C80">
            <w:pPr>
              <w:spacing w:before="120" w:line="340" w:lineRule="atLeast"/>
              <w:jc w:val="both"/>
              <w:rPr>
                <w:rFonts w:asciiTheme="majorHAnsi" w:hAnsiTheme="majorHAnsi" w:cstheme="majorHAnsi"/>
                <w:b/>
                <w:color w:val="000000" w:themeColor="text1"/>
                <w:sz w:val="26"/>
                <w:szCs w:val="26"/>
              </w:rPr>
            </w:pPr>
          </w:p>
        </w:tc>
      </w:tr>
      <w:tr w:rsidR="0097604B" w:rsidRPr="00AA0C80" w14:paraId="504A16B7" w14:textId="77777777" w:rsidTr="003C5F6B">
        <w:trPr>
          <w:jc w:val="center"/>
        </w:trPr>
        <w:tc>
          <w:tcPr>
            <w:tcW w:w="5119" w:type="dxa"/>
          </w:tcPr>
          <w:p w14:paraId="36917235" w14:textId="77777777" w:rsidR="0097604B" w:rsidRPr="00AA0C80" w:rsidRDefault="0097604B" w:rsidP="00AA0C80">
            <w:pPr>
              <w:spacing w:before="120" w:line="340" w:lineRule="atLeast"/>
              <w:jc w:val="both"/>
              <w:rPr>
                <w:rFonts w:asciiTheme="majorHAnsi" w:hAnsiTheme="majorHAnsi" w:cstheme="majorHAnsi"/>
                <w:bCs/>
                <w:i/>
                <w:iCs/>
                <w:color w:val="000000" w:themeColor="text1"/>
                <w:sz w:val="26"/>
                <w:szCs w:val="26"/>
              </w:rPr>
            </w:pPr>
            <w:r w:rsidRPr="00AA0C80">
              <w:rPr>
                <w:rFonts w:asciiTheme="majorHAnsi" w:hAnsiTheme="majorHAnsi" w:cstheme="majorHAnsi"/>
                <w:bCs/>
                <w:color w:val="000000" w:themeColor="text1"/>
                <w:sz w:val="26"/>
                <w:szCs w:val="26"/>
              </w:rPr>
              <w:lastRenderedPageBreak/>
              <w:t xml:space="preserve">- Nghị quyết số 39-NQ/TW ngày 15/01/2019 của Bộ Chính trị về nâng cao hiệu quả quản lý, khai thác, sử dụng và phát huy các nguồn lực của nền kinh tế đã đặt ra mục tiêu cụ thể đối với mức DTQG: </w:t>
            </w:r>
            <w:r w:rsidRPr="00AA0C80">
              <w:rPr>
                <w:rFonts w:asciiTheme="majorHAnsi" w:hAnsiTheme="majorHAnsi" w:cstheme="majorHAnsi"/>
                <w:bCs/>
                <w:i/>
                <w:iCs/>
                <w:color w:val="000000" w:themeColor="text1"/>
                <w:sz w:val="26"/>
                <w:szCs w:val="26"/>
              </w:rPr>
              <w:t>đến năm 2025 đạt 0,8% - 1,0% GDP; đến năm 2035 đạt 1,5% GDP, đến năm 2045 đạt 2% GDP.</w:t>
            </w:r>
          </w:p>
          <w:p w14:paraId="04D73339" w14:textId="77777777" w:rsidR="0097604B" w:rsidRPr="00AA0C80" w:rsidRDefault="0097604B" w:rsidP="00AA0C80">
            <w:pPr>
              <w:spacing w:before="120" w:line="340" w:lineRule="atLeast"/>
              <w:jc w:val="both"/>
              <w:rPr>
                <w:rFonts w:asciiTheme="majorHAnsi" w:hAnsiTheme="majorHAnsi" w:cstheme="majorHAnsi"/>
                <w:bCs/>
                <w:i/>
                <w:iCs/>
                <w:color w:val="000000" w:themeColor="text1"/>
                <w:sz w:val="26"/>
                <w:szCs w:val="26"/>
              </w:rPr>
            </w:pPr>
            <w:r w:rsidRPr="00AA0C80">
              <w:rPr>
                <w:rFonts w:asciiTheme="majorHAnsi" w:hAnsiTheme="majorHAnsi" w:cstheme="majorHAnsi"/>
                <w:bCs/>
                <w:color w:val="000000" w:themeColor="text1"/>
                <w:sz w:val="26"/>
                <w:szCs w:val="26"/>
              </w:rPr>
              <w:t xml:space="preserve">- Kết luận số 115-KL/TW </w:t>
            </w:r>
            <w:r w:rsidRPr="00AA0C80">
              <w:rPr>
                <w:rFonts w:asciiTheme="majorHAnsi" w:hAnsiTheme="majorHAnsi" w:cstheme="majorHAnsi"/>
                <w:color w:val="000000"/>
                <w:sz w:val="26"/>
                <w:szCs w:val="26"/>
              </w:rPr>
              <w:t>ngày 16/01/2025</w:t>
            </w:r>
            <w:r w:rsidRPr="00AA0C80">
              <w:rPr>
                <w:rFonts w:asciiTheme="majorHAnsi" w:hAnsiTheme="majorHAnsi" w:cstheme="majorHAnsi"/>
                <w:bCs/>
                <w:color w:val="000000" w:themeColor="text1"/>
                <w:sz w:val="26"/>
                <w:szCs w:val="26"/>
              </w:rPr>
              <w:t xml:space="preserve"> về tiếp tục thực hiện Nghị quyết số 39-NQ/TW ngày 15/01/2019 của Bộ Chính trị về nâng cao hiệu quả quản lý, khai thác, sử dụng và phát huy các nguồn lực của nền kinh tế, trong đó đã đặt ra nhiệm vụ, giải pháp: </w:t>
            </w:r>
            <w:r w:rsidRPr="00AA0C80">
              <w:rPr>
                <w:rFonts w:asciiTheme="majorHAnsi" w:hAnsiTheme="majorHAnsi" w:cstheme="majorHAnsi"/>
                <w:bCs/>
                <w:i/>
                <w:iCs/>
                <w:color w:val="000000" w:themeColor="text1"/>
                <w:sz w:val="26"/>
                <w:szCs w:val="26"/>
              </w:rPr>
              <w:t>“Mở rộng phạm vi và tăng cường năng lực, nâng cao vai trò của dự trữ quốc gia, không chỉ phục vụ mục tiêu cứu trợ trong tình huống khẩn cấp mà thực sự trở thành dự trữ chiến lược, là công cụ phục vụ điều tiết thị trường để bảo đảm nền kinh tế vận hành ổn định, hiệu quả theo quy luật của thị trường và định hướng xã hội chủ nghĩa”.</w:t>
            </w:r>
          </w:p>
          <w:p w14:paraId="17507172" w14:textId="041CEAF3" w:rsidR="00C03441" w:rsidRPr="00AA0C80" w:rsidRDefault="00C03441"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lastRenderedPageBreak/>
              <w:t>- Nghị quyết số 79-NQ/TW ngày 06/01/2026 của Bộ Chính trị về phát triển kinh tế nhà nước đã đặt ra mục tiêu về dự trữ quốc gia</w:t>
            </w:r>
            <w:r w:rsidRPr="00AA0C80">
              <w:rPr>
                <w:rFonts w:asciiTheme="majorHAnsi" w:hAnsiTheme="majorHAnsi" w:cstheme="majorHAnsi"/>
                <w:bCs/>
                <w:i/>
                <w:iCs/>
                <w:color w:val="000000" w:themeColor="text1"/>
                <w:sz w:val="26"/>
                <w:szCs w:val="26"/>
              </w:rPr>
              <w:t>: phấn đấu mức dự trữ quốc gia đạt tối thiểu 1% GDP vào năm 2030; phấn đấu đến năm 2045, mức dự trữ quốc gia đạt 2% GDP.</w:t>
            </w:r>
          </w:p>
          <w:p w14:paraId="4436F402" w14:textId="218BA1E8" w:rsidR="007C4196"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Thông báo số 342-TB/VPTW ngày 18/9/2025 của Văn phòng trung ương Đảng về Kết luận của đồng chí Tổng Bí thư Tô Lâm tại buổi làm việc với các cơ quan về dự trữ quốc gia và dự trữ ngoại hối, trong đó đã yêu cầu</w:t>
            </w:r>
            <w:r w:rsidRPr="00AA0C80">
              <w:rPr>
                <w:rFonts w:asciiTheme="majorHAnsi" w:hAnsiTheme="majorHAnsi" w:cstheme="majorHAnsi"/>
                <w:bCs/>
                <w:i/>
                <w:iCs/>
                <w:color w:val="000000" w:themeColor="text1"/>
                <w:sz w:val="26"/>
                <w:szCs w:val="26"/>
              </w:rPr>
              <w:t>: “Trước bối cảnh tình hình thế giới và khu vực dự báo tiếp tục có những biến động phức tạp, đặt ra yêu cầu cấp bách phải tăng cường dự trữ quốc gia, dự trữ ngoại hối như một trụ cột quan trọng của an ninh quốc gia, an ninh kinh tế và phát triển bền vững”</w:t>
            </w:r>
            <w:r w:rsidRPr="00AA0C80">
              <w:rPr>
                <w:rFonts w:asciiTheme="majorHAnsi" w:hAnsiTheme="majorHAnsi" w:cstheme="majorHAnsi"/>
                <w:bCs/>
                <w:color w:val="000000" w:themeColor="text1"/>
                <w:sz w:val="26"/>
                <w:szCs w:val="26"/>
              </w:rPr>
              <w:t>.</w:t>
            </w:r>
          </w:p>
        </w:tc>
        <w:tc>
          <w:tcPr>
            <w:tcW w:w="3381" w:type="dxa"/>
          </w:tcPr>
          <w:p w14:paraId="5F22788C" w14:textId="77777777" w:rsidR="00030A04" w:rsidRPr="00030A04" w:rsidRDefault="00030A04" w:rsidP="00030A04">
            <w:pPr>
              <w:spacing w:before="120" w:line="340" w:lineRule="atLeast"/>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lastRenderedPageBreak/>
              <w:t>Điều 6. Nguồn hình thành dự trữ quốc gia</w:t>
            </w:r>
          </w:p>
          <w:p w14:paraId="48777876" w14:textId="77777777" w:rsidR="00030A04" w:rsidRPr="00030A04" w:rsidRDefault="00030A04" w:rsidP="00030A04">
            <w:pPr>
              <w:spacing w:before="120" w:line="340" w:lineRule="atLeast"/>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t>1. Nguồn hình thành dự trữ quốc gia từ ngân sách nhà nước được thực hiện theo quy định của pháp luật về ngân sách nhà nước và pháp luật có liên quan.</w:t>
            </w:r>
          </w:p>
          <w:p w14:paraId="2A552C66" w14:textId="77777777" w:rsidR="00030A04" w:rsidRPr="00030A04" w:rsidRDefault="00030A04" w:rsidP="00030A04">
            <w:pPr>
              <w:spacing w:before="120" w:line="340" w:lineRule="atLeast"/>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t>2. Nguồn hình thành dự trữ quốc gia từ nguồn hợp pháp khác ngoài ngân sách nhà nước, bao gồm:</w:t>
            </w:r>
          </w:p>
          <w:p w14:paraId="2094FD41" w14:textId="77777777" w:rsidR="00030A04" w:rsidRPr="00030A04" w:rsidRDefault="00030A04" w:rsidP="00030A04">
            <w:pPr>
              <w:spacing w:before="120" w:line="340" w:lineRule="atLeast"/>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t>a) Tiền, hàng hóa, vật tư, thiết bị thuộc danh mục hàng dự trữ quốc gia, hàng dự trữ chiến lược do các tổ chức, cá nhân trong nước đóng góp tự nguyện cho dự trữ quốc gia.</w:t>
            </w:r>
          </w:p>
          <w:p w14:paraId="116D8B62" w14:textId="0EC462EF" w:rsidR="0097604B" w:rsidRPr="00AA0C80" w:rsidRDefault="00030A04" w:rsidP="00030A04">
            <w:pPr>
              <w:spacing w:before="120" w:line="340" w:lineRule="atLeast"/>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lastRenderedPageBreak/>
              <w:t>b) Hàng dự trữ chiến lược từ nguồn hợp pháp của đơn vị, tổ chức, doanh nghiệp tham gia dự trữ chiến lược.</w:t>
            </w:r>
          </w:p>
        </w:tc>
        <w:tc>
          <w:tcPr>
            <w:tcW w:w="4274" w:type="dxa"/>
          </w:tcPr>
          <w:p w14:paraId="2199C0F4" w14:textId="42180EF5" w:rsidR="00987A2A" w:rsidRPr="008A511D" w:rsidRDefault="0097604B" w:rsidP="00AA0C80">
            <w:pPr>
              <w:spacing w:before="120" w:line="340" w:lineRule="atLeast"/>
              <w:jc w:val="both"/>
              <w:rPr>
                <w:rFonts w:asciiTheme="majorHAnsi" w:hAnsiTheme="majorHAnsi" w:cstheme="majorHAnsi"/>
                <w:color w:val="000000"/>
                <w:sz w:val="26"/>
                <w:szCs w:val="26"/>
              </w:rPr>
            </w:pPr>
            <w:r w:rsidRPr="00AA0C80">
              <w:rPr>
                <w:rFonts w:asciiTheme="majorHAnsi" w:hAnsiTheme="majorHAnsi" w:cstheme="majorHAnsi"/>
                <w:bCs/>
                <w:color w:val="000000" w:themeColor="text1"/>
                <w:sz w:val="26"/>
                <w:szCs w:val="26"/>
              </w:rPr>
              <w:lastRenderedPageBreak/>
              <w:t>Dự thảo Nghị định đã thể chế đầy đủ. Theo</w:t>
            </w:r>
            <w:r w:rsidR="00F40795" w:rsidRPr="00AA0C80">
              <w:rPr>
                <w:rFonts w:asciiTheme="majorHAnsi" w:hAnsiTheme="majorHAnsi" w:cstheme="majorHAnsi"/>
                <w:bCs/>
                <w:color w:val="000000" w:themeColor="text1"/>
                <w:sz w:val="26"/>
                <w:szCs w:val="26"/>
              </w:rPr>
              <w:t xml:space="preserve"> đó</w:t>
            </w:r>
            <w:r w:rsidRPr="00AA0C80">
              <w:rPr>
                <w:rFonts w:asciiTheme="majorHAnsi" w:hAnsiTheme="majorHAnsi" w:cstheme="majorHAnsi"/>
                <w:bCs/>
                <w:color w:val="000000" w:themeColor="text1"/>
                <w:sz w:val="26"/>
                <w:szCs w:val="26"/>
              </w:rPr>
              <w:t xml:space="preserve">, dự thảo Nghị định đã </w:t>
            </w:r>
            <w:r w:rsidR="00F96945" w:rsidRPr="00AA0C80">
              <w:rPr>
                <w:rFonts w:asciiTheme="majorHAnsi" w:hAnsiTheme="majorHAnsi" w:cstheme="majorHAnsi"/>
                <w:bCs/>
                <w:color w:val="000000" w:themeColor="text1"/>
                <w:sz w:val="26"/>
                <w:szCs w:val="26"/>
              </w:rPr>
              <w:t xml:space="preserve">quy định nguồn hình thành từ ngân sách nhà nước và </w:t>
            </w:r>
            <w:r w:rsidRPr="00AA0C80">
              <w:rPr>
                <w:rFonts w:asciiTheme="majorHAnsi" w:hAnsiTheme="majorHAnsi" w:cstheme="majorHAnsi"/>
                <w:bCs/>
                <w:color w:val="000000" w:themeColor="text1"/>
                <w:sz w:val="26"/>
                <w:szCs w:val="26"/>
              </w:rPr>
              <w:t xml:space="preserve">mở rộng nguồn hình thành </w:t>
            </w:r>
            <w:r w:rsidR="00F96945" w:rsidRPr="00AA0C80">
              <w:rPr>
                <w:rFonts w:asciiTheme="majorHAnsi" w:hAnsiTheme="majorHAnsi" w:cstheme="majorHAnsi"/>
                <w:bCs/>
                <w:color w:val="000000" w:themeColor="text1"/>
                <w:sz w:val="26"/>
                <w:szCs w:val="26"/>
              </w:rPr>
              <w:t>dự trữ quốc gia</w:t>
            </w:r>
            <w:r w:rsidRPr="00AA0C80">
              <w:rPr>
                <w:rFonts w:asciiTheme="majorHAnsi" w:hAnsiTheme="majorHAnsi" w:cstheme="majorHAnsi"/>
                <w:bCs/>
                <w:color w:val="000000" w:themeColor="text1"/>
                <w:sz w:val="26"/>
                <w:szCs w:val="26"/>
              </w:rPr>
              <w:t xml:space="preserve"> ngoài ngân sách</w:t>
            </w:r>
            <w:r w:rsidR="00987A2A" w:rsidRPr="00AA0C80">
              <w:rPr>
                <w:rFonts w:asciiTheme="majorHAnsi" w:hAnsiTheme="majorHAnsi" w:cstheme="majorHAnsi"/>
                <w:color w:val="000000"/>
                <w:sz w:val="26"/>
                <w:szCs w:val="26"/>
              </w:rPr>
              <w:t>.</w:t>
            </w:r>
          </w:p>
          <w:p w14:paraId="1C03F9EB" w14:textId="589F85F7"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p>
        </w:tc>
        <w:tc>
          <w:tcPr>
            <w:tcW w:w="1843" w:type="dxa"/>
          </w:tcPr>
          <w:p w14:paraId="5F977400" w14:textId="77777777" w:rsidR="0097604B" w:rsidRPr="00AA0C80" w:rsidRDefault="0097604B" w:rsidP="00AA0C80">
            <w:pPr>
              <w:spacing w:before="120" w:line="340" w:lineRule="atLeast"/>
              <w:jc w:val="both"/>
              <w:rPr>
                <w:rFonts w:asciiTheme="majorHAnsi" w:hAnsiTheme="majorHAnsi" w:cstheme="majorHAnsi"/>
                <w:b/>
                <w:color w:val="000000" w:themeColor="text1"/>
                <w:sz w:val="26"/>
                <w:szCs w:val="26"/>
              </w:rPr>
            </w:pPr>
          </w:p>
        </w:tc>
      </w:tr>
    </w:tbl>
    <w:p w14:paraId="42CB5901" w14:textId="20F81A97" w:rsidR="00A75145" w:rsidRPr="00BC48E5" w:rsidRDefault="00A75145" w:rsidP="000E3DCD">
      <w:pPr>
        <w:spacing w:before="120" w:after="120"/>
        <w:jc w:val="both"/>
        <w:rPr>
          <w:b/>
          <w:color w:val="000000" w:themeColor="text1"/>
          <w:sz w:val="28"/>
          <w:szCs w:val="28"/>
        </w:rPr>
      </w:pPr>
      <w:r w:rsidRPr="00BC48E5">
        <w:rPr>
          <w:b/>
          <w:color w:val="000000" w:themeColor="text1"/>
          <w:sz w:val="28"/>
          <w:szCs w:val="28"/>
        </w:rPr>
        <w:t>2. Văn bản quy phạm pháp luật có liên quan đến dự thảo</w:t>
      </w:r>
    </w:p>
    <w:tbl>
      <w:tblPr>
        <w:tblStyle w:val="TableGrid"/>
        <w:tblW w:w="14601" w:type="dxa"/>
        <w:tblInd w:w="-147" w:type="dxa"/>
        <w:tblLook w:val="04A0" w:firstRow="1" w:lastRow="0" w:firstColumn="1" w:lastColumn="0" w:noHBand="0" w:noVBand="1"/>
      </w:tblPr>
      <w:tblGrid>
        <w:gridCol w:w="5104"/>
        <w:gridCol w:w="3402"/>
        <w:gridCol w:w="4252"/>
        <w:gridCol w:w="1843"/>
      </w:tblGrid>
      <w:tr w:rsidR="0097604B" w:rsidRPr="006339D4" w14:paraId="36D594E3" w14:textId="77777777" w:rsidTr="007D47FB">
        <w:trPr>
          <w:tblHeader/>
        </w:trPr>
        <w:tc>
          <w:tcPr>
            <w:tcW w:w="5104" w:type="dxa"/>
          </w:tcPr>
          <w:p w14:paraId="1D11D818" w14:textId="243589B2" w:rsidR="0097604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QUY ĐỊNH CỦA PHÁP LUẬT HIỆN HÀNH CÓ LIÊN QUAN</w:t>
            </w:r>
          </w:p>
        </w:tc>
        <w:tc>
          <w:tcPr>
            <w:tcW w:w="3402" w:type="dxa"/>
          </w:tcPr>
          <w:p w14:paraId="0E224B64" w14:textId="1FB926CA" w:rsidR="0097604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CHÍNH SÁCH/QUY ĐỊNH CỦA DỰ THẢO VĂN BẢN</w:t>
            </w:r>
          </w:p>
        </w:tc>
        <w:tc>
          <w:tcPr>
            <w:tcW w:w="4252" w:type="dxa"/>
          </w:tcPr>
          <w:p w14:paraId="6F74A706" w14:textId="77777777" w:rsidR="0097604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ĐÁNH GIÁ</w:t>
            </w:r>
          </w:p>
        </w:tc>
        <w:tc>
          <w:tcPr>
            <w:tcW w:w="1843" w:type="dxa"/>
          </w:tcPr>
          <w:p w14:paraId="28EC3C47" w14:textId="77777777" w:rsidR="000E3DCD"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 xml:space="preserve">ĐỀ XUẤT </w:t>
            </w:r>
          </w:p>
          <w:p w14:paraId="69387B0D" w14:textId="59E45DB8" w:rsidR="0097604B" w:rsidRPr="00AA0C80" w:rsidRDefault="0097604B" w:rsidP="00AA0C80">
            <w:pPr>
              <w:spacing w:before="120" w:line="340" w:lineRule="atLeast"/>
              <w:jc w:val="center"/>
              <w:rPr>
                <w:rFonts w:asciiTheme="majorHAnsi" w:hAnsiTheme="majorHAnsi" w:cstheme="majorHAnsi"/>
                <w:b/>
                <w:color w:val="000000" w:themeColor="text1"/>
                <w:sz w:val="26"/>
                <w:szCs w:val="26"/>
              </w:rPr>
            </w:pPr>
            <w:r w:rsidRPr="00AA0C80">
              <w:rPr>
                <w:rFonts w:asciiTheme="majorHAnsi" w:hAnsiTheme="majorHAnsi" w:cstheme="majorHAnsi"/>
                <w:b/>
                <w:color w:val="000000" w:themeColor="text1"/>
                <w:sz w:val="26"/>
                <w:szCs w:val="26"/>
              </w:rPr>
              <w:t>XỬ LÝ</w:t>
            </w:r>
          </w:p>
        </w:tc>
      </w:tr>
      <w:tr w:rsidR="0097604B" w:rsidRPr="006339D4" w14:paraId="220C73EC" w14:textId="77777777" w:rsidTr="007D47FB">
        <w:tc>
          <w:tcPr>
            <w:tcW w:w="5104" w:type="dxa"/>
          </w:tcPr>
          <w:p w14:paraId="06013E77" w14:textId="44C82937" w:rsidR="0097604B" w:rsidRPr="00AA0C80" w:rsidRDefault="0097604B" w:rsidP="00AA0C80">
            <w:pPr>
              <w:spacing w:before="120" w:line="340" w:lineRule="atLeast"/>
              <w:ind w:firstLine="24"/>
              <w:jc w:val="both"/>
              <w:rPr>
                <w:rFonts w:asciiTheme="majorHAnsi" w:hAnsiTheme="majorHAnsi" w:cstheme="majorHAnsi"/>
                <w:bCs/>
                <w:color w:val="000000" w:themeColor="text1"/>
                <w:sz w:val="26"/>
                <w:szCs w:val="26"/>
              </w:rPr>
            </w:pPr>
            <w:r w:rsidRPr="00AA0C80">
              <w:rPr>
                <w:rFonts w:asciiTheme="majorHAnsi" w:hAnsiTheme="majorHAnsi" w:cstheme="majorHAnsi"/>
                <w:color w:val="000000" w:themeColor="text1"/>
                <w:sz w:val="26"/>
                <w:szCs w:val="26"/>
              </w:rPr>
              <w:t xml:space="preserve">Khoản 1 Điều 55 Hiến pháp quy định: </w:t>
            </w:r>
            <w:r w:rsidR="002D0B0C" w:rsidRPr="00AA0C80">
              <w:rPr>
                <w:rFonts w:asciiTheme="majorHAnsi" w:hAnsiTheme="majorHAnsi" w:cstheme="majorHAnsi"/>
                <w:color w:val="000000" w:themeColor="text1"/>
                <w:sz w:val="26"/>
                <w:szCs w:val="26"/>
              </w:rPr>
              <w:t>“</w:t>
            </w:r>
            <w:r w:rsidRPr="00AA0C80">
              <w:rPr>
                <w:rFonts w:asciiTheme="majorHAnsi" w:hAnsiTheme="majorHAnsi" w:cstheme="majorHAnsi"/>
                <w:i/>
                <w:iCs/>
                <w:color w:val="000000" w:themeColor="text1"/>
                <w:sz w:val="26"/>
                <w:szCs w:val="26"/>
              </w:rPr>
              <w:t xml:space="preserve">Ngân sách nhà nước, dự trữ quốc gia, quỹ tài chính nhà nước và các nguồn tài chính công khác do </w:t>
            </w:r>
            <w:r w:rsidRPr="00AA0C80">
              <w:rPr>
                <w:rFonts w:asciiTheme="majorHAnsi" w:hAnsiTheme="majorHAnsi" w:cstheme="majorHAnsi"/>
                <w:i/>
                <w:iCs/>
                <w:color w:val="000000" w:themeColor="text1"/>
                <w:sz w:val="26"/>
                <w:szCs w:val="26"/>
              </w:rPr>
              <w:lastRenderedPageBreak/>
              <w:t>Nhà nước thống nhất quản lý và phải được sử dụng hiệu quả, công bằng, công khai, minh bạch, đúng pháp luật</w:t>
            </w:r>
            <w:r w:rsidR="002D0B0C" w:rsidRPr="00AA0C80">
              <w:rPr>
                <w:rFonts w:asciiTheme="majorHAnsi" w:hAnsiTheme="majorHAnsi" w:cstheme="majorHAnsi"/>
                <w:i/>
                <w:iCs/>
                <w:color w:val="000000" w:themeColor="text1"/>
                <w:sz w:val="26"/>
                <w:szCs w:val="26"/>
              </w:rPr>
              <w:t>”.</w:t>
            </w:r>
          </w:p>
        </w:tc>
        <w:tc>
          <w:tcPr>
            <w:tcW w:w="3402" w:type="dxa"/>
          </w:tcPr>
          <w:p w14:paraId="66F094C2" w14:textId="77777777" w:rsidR="00030A04" w:rsidRPr="00030A04" w:rsidRDefault="00030A04" w:rsidP="00030A04">
            <w:pPr>
              <w:spacing w:before="120" w:line="340" w:lineRule="atLeast"/>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lastRenderedPageBreak/>
              <w:t>Điều 6. Nguồn hình thành dự trữ quốc gia</w:t>
            </w:r>
          </w:p>
          <w:p w14:paraId="3687D39C" w14:textId="77777777" w:rsidR="00030A04" w:rsidRPr="00030A04" w:rsidRDefault="00030A04" w:rsidP="00030A04">
            <w:pPr>
              <w:spacing w:before="120" w:line="340" w:lineRule="atLeast"/>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lastRenderedPageBreak/>
              <w:t>1. Nguồn hình thành dự trữ quốc gia từ ngân sách nhà nước được thực hiện theo quy định của pháp luật về ngân sách nhà nước và pháp luật có liên quan.</w:t>
            </w:r>
          </w:p>
          <w:p w14:paraId="13CDC830" w14:textId="77777777" w:rsidR="00030A04" w:rsidRPr="00030A04" w:rsidRDefault="00030A04" w:rsidP="00030A04">
            <w:pPr>
              <w:spacing w:before="120" w:line="340" w:lineRule="atLeast"/>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t>2. Nguồn hình thành dự trữ quốc gia từ nguồn hợp pháp khác ngoài ngân sách nhà nước, bao gồm:</w:t>
            </w:r>
          </w:p>
          <w:p w14:paraId="58859BF9" w14:textId="77777777" w:rsidR="00030A04" w:rsidRPr="00030A04" w:rsidRDefault="00030A04" w:rsidP="00030A04">
            <w:pPr>
              <w:spacing w:before="120" w:line="340" w:lineRule="atLeast"/>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t>a) Tiền, hàng hóa, vật tư, thiết bị thuộc danh mục hàng dự trữ quốc gia, hàng dự trữ chiến lược do các tổ chức, cá nhân trong nước đóng góp tự nguyện cho dự trữ quốc gia.</w:t>
            </w:r>
          </w:p>
          <w:p w14:paraId="7DDF557F" w14:textId="18BD84B0" w:rsidR="0097604B" w:rsidRPr="00AA0C80" w:rsidRDefault="00030A04" w:rsidP="00030A04">
            <w:pPr>
              <w:spacing w:before="120" w:line="340" w:lineRule="atLeast"/>
              <w:ind w:firstLine="24"/>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t>b) Hàng dự trữ chiến lược từ nguồn hợp pháp của đơn vị, tổ chức, doanh nghiệp tham gia dự trữ chiến lược.</w:t>
            </w:r>
          </w:p>
        </w:tc>
        <w:tc>
          <w:tcPr>
            <w:tcW w:w="4252" w:type="dxa"/>
          </w:tcPr>
          <w:p w14:paraId="549507FB" w14:textId="5FAE6F2A" w:rsidR="0097604B" w:rsidRPr="00AA0C80" w:rsidRDefault="0097604B" w:rsidP="00AA0C80">
            <w:pPr>
              <w:spacing w:before="120" w:line="340" w:lineRule="atLeast"/>
              <w:jc w:val="both"/>
              <w:rPr>
                <w:rFonts w:asciiTheme="majorHAnsi" w:hAnsiTheme="majorHAnsi" w:cstheme="majorHAnsi"/>
                <w:b/>
                <w:color w:val="000000" w:themeColor="text1"/>
                <w:sz w:val="26"/>
                <w:szCs w:val="26"/>
              </w:rPr>
            </w:pPr>
            <w:r w:rsidRPr="00AA0C80">
              <w:rPr>
                <w:rFonts w:asciiTheme="majorHAnsi" w:hAnsiTheme="majorHAnsi" w:cstheme="majorHAnsi"/>
                <w:bCs/>
                <w:color w:val="000000" w:themeColor="text1"/>
                <w:sz w:val="26"/>
                <w:szCs w:val="26"/>
              </w:rPr>
              <w:lastRenderedPageBreak/>
              <w:t xml:space="preserve">Dự thảo Nghị định đảm bảo thống nhất, không mâu thuẫn với </w:t>
            </w:r>
            <w:r w:rsidRPr="00AA0C80">
              <w:rPr>
                <w:rFonts w:asciiTheme="majorHAnsi" w:hAnsiTheme="majorHAnsi" w:cstheme="majorHAnsi"/>
                <w:color w:val="000000" w:themeColor="text1"/>
                <w:sz w:val="26"/>
                <w:szCs w:val="26"/>
              </w:rPr>
              <w:t>Hiến pháp</w:t>
            </w:r>
            <w:r w:rsidRPr="00AA0C80">
              <w:rPr>
                <w:rFonts w:asciiTheme="majorHAnsi" w:hAnsiTheme="majorHAnsi" w:cstheme="majorHAnsi"/>
                <w:bCs/>
                <w:color w:val="000000" w:themeColor="text1"/>
                <w:sz w:val="26"/>
                <w:szCs w:val="26"/>
              </w:rPr>
              <w:t>.</w:t>
            </w:r>
          </w:p>
        </w:tc>
        <w:tc>
          <w:tcPr>
            <w:tcW w:w="1843" w:type="dxa"/>
          </w:tcPr>
          <w:p w14:paraId="746000D2" w14:textId="77777777" w:rsidR="0097604B" w:rsidRPr="00AA0C80" w:rsidRDefault="0097604B" w:rsidP="00AA0C80">
            <w:pPr>
              <w:spacing w:before="120" w:line="340" w:lineRule="atLeast"/>
              <w:jc w:val="both"/>
              <w:rPr>
                <w:rFonts w:asciiTheme="majorHAnsi" w:hAnsiTheme="majorHAnsi" w:cstheme="majorHAnsi"/>
                <w:b/>
                <w:color w:val="000000" w:themeColor="text1"/>
                <w:sz w:val="26"/>
                <w:szCs w:val="26"/>
              </w:rPr>
            </w:pPr>
          </w:p>
        </w:tc>
      </w:tr>
      <w:tr w:rsidR="0097604B" w:rsidRPr="006339D4" w14:paraId="41188068" w14:textId="77777777" w:rsidTr="007D47FB">
        <w:tc>
          <w:tcPr>
            <w:tcW w:w="5104" w:type="dxa"/>
          </w:tcPr>
          <w:p w14:paraId="7F1DA198" w14:textId="614EFF2B" w:rsidR="0097604B" w:rsidRPr="00AA0C80" w:rsidRDefault="00B47186" w:rsidP="00AA0C80">
            <w:pPr>
              <w:spacing w:before="120" w:line="340" w:lineRule="atLeast"/>
              <w:jc w:val="both"/>
              <w:rPr>
                <w:rFonts w:asciiTheme="majorHAnsi" w:hAnsiTheme="majorHAnsi" w:cstheme="majorHAnsi"/>
                <w:color w:val="000000" w:themeColor="text1"/>
                <w:sz w:val="26"/>
                <w:szCs w:val="26"/>
              </w:rPr>
            </w:pPr>
            <w:r w:rsidRPr="00AA0C80">
              <w:rPr>
                <w:rFonts w:asciiTheme="majorHAnsi" w:hAnsiTheme="majorHAnsi" w:cstheme="majorHAnsi"/>
                <w:bCs/>
                <w:color w:val="000000" w:themeColor="text1"/>
                <w:sz w:val="26"/>
                <w:szCs w:val="26"/>
              </w:rPr>
              <w:t xml:space="preserve">- </w:t>
            </w:r>
            <w:r w:rsidR="0097604B" w:rsidRPr="00AA0C80">
              <w:rPr>
                <w:rFonts w:asciiTheme="majorHAnsi" w:hAnsiTheme="majorHAnsi" w:cstheme="majorHAnsi"/>
                <w:bCs/>
                <w:color w:val="000000" w:themeColor="text1"/>
                <w:sz w:val="26"/>
                <w:szCs w:val="26"/>
              </w:rPr>
              <w:t xml:space="preserve">Khoản 3 Điều 7 Luật Phòng chống thiên tai quy định </w:t>
            </w:r>
            <w:r w:rsidR="0097604B" w:rsidRPr="00AA0C80">
              <w:rPr>
                <w:rFonts w:asciiTheme="majorHAnsi" w:hAnsiTheme="majorHAnsi" w:cstheme="majorHAnsi"/>
                <w:color w:val="000000" w:themeColor="text1"/>
                <w:sz w:val="26"/>
                <w:szCs w:val="26"/>
              </w:rPr>
              <w:t xml:space="preserve">vật tư, phương tiện, trang thiết bị, hệ </w:t>
            </w:r>
            <w:r w:rsidR="0097604B" w:rsidRPr="00AA0C80">
              <w:rPr>
                <w:rFonts w:asciiTheme="majorHAnsi" w:hAnsiTheme="majorHAnsi" w:cstheme="majorHAnsi"/>
                <w:color w:val="000000" w:themeColor="text1"/>
                <w:sz w:val="26"/>
                <w:szCs w:val="26"/>
              </w:rPr>
              <w:lastRenderedPageBreak/>
              <w:t>thống thông tin, nhu yếu phẩm cho hoạt động phòng, chống thiên tai.</w:t>
            </w:r>
          </w:p>
          <w:p w14:paraId="2ECD4FE3" w14:textId="375652DA" w:rsidR="0097604B" w:rsidRPr="00AA0C80" w:rsidRDefault="00B47186"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w:t>
            </w:r>
            <w:r w:rsidR="0097604B" w:rsidRPr="00AA0C80">
              <w:rPr>
                <w:rFonts w:asciiTheme="majorHAnsi" w:hAnsiTheme="majorHAnsi" w:cstheme="majorHAnsi"/>
                <w:bCs/>
                <w:color w:val="000000" w:themeColor="text1"/>
                <w:sz w:val="26"/>
                <w:szCs w:val="26"/>
              </w:rPr>
              <w:t>Điều 3 Luật Dược 2016 quy định</w:t>
            </w:r>
            <w:r w:rsidRPr="00AA0C80">
              <w:rPr>
                <w:rFonts w:asciiTheme="majorHAnsi" w:hAnsiTheme="majorHAnsi" w:cstheme="majorHAnsi"/>
                <w:bCs/>
                <w:color w:val="000000" w:themeColor="text1"/>
                <w:sz w:val="26"/>
                <w:szCs w:val="26"/>
              </w:rPr>
              <w:t xml:space="preserve"> </w:t>
            </w:r>
            <w:r w:rsidR="0097604B" w:rsidRPr="00AA0C80">
              <w:rPr>
                <w:rFonts w:asciiTheme="majorHAnsi" w:hAnsiTheme="majorHAnsi" w:cstheme="majorHAnsi"/>
                <w:bCs/>
                <w:color w:val="000000" w:themeColor="text1"/>
                <w:sz w:val="26"/>
                <w:szCs w:val="26"/>
              </w:rPr>
              <w:t>Nhà nước thực hiện dự trữ quốc gia về thuốc và nguyên liệu làm thuốc.</w:t>
            </w:r>
          </w:p>
          <w:p w14:paraId="157E811F" w14:textId="28A942F9" w:rsidR="0097604B" w:rsidRPr="00AA0C80" w:rsidRDefault="00D40CAC"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w:t>
            </w:r>
            <w:r w:rsidR="0097604B" w:rsidRPr="00AA0C80">
              <w:rPr>
                <w:rFonts w:asciiTheme="majorHAnsi" w:hAnsiTheme="majorHAnsi" w:cstheme="majorHAnsi"/>
                <w:bCs/>
                <w:color w:val="000000" w:themeColor="text1"/>
                <w:sz w:val="26"/>
                <w:szCs w:val="26"/>
              </w:rPr>
              <w:t>Điểm d khoản 3 Điều 26 Luật Phòng thủ dân sự 2013 quy định: “Biện pháp phòng thủ dân sự được áp dụng trong tình trạng chiến tranh bao gồm: Dự trữ lương thực, thực phẩm, thuốc chữa bệnh và nước uống”.</w:t>
            </w:r>
          </w:p>
          <w:p w14:paraId="312C4AF2" w14:textId="0C4C6A64" w:rsidR="0097604B" w:rsidRPr="00AA0C80" w:rsidRDefault="00D40CAC"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w:t>
            </w:r>
            <w:r w:rsidR="0097604B" w:rsidRPr="00AA0C80">
              <w:rPr>
                <w:rFonts w:asciiTheme="majorHAnsi" w:hAnsiTheme="majorHAnsi" w:cstheme="majorHAnsi"/>
                <w:bCs/>
                <w:color w:val="000000" w:themeColor="text1"/>
                <w:sz w:val="26"/>
                <w:szCs w:val="26"/>
              </w:rPr>
              <w:t>Điều 20 Luật Bảo vệ và kiểm dịch thực vật quy định dự trữ thuốc bảo vệ thực vật thuộc Danh mục hàng dự trữ quốc gia.</w:t>
            </w:r>
          </w:p>
          <w:p w14:paraId="0B43E0BC" w14:textId="3B4428AE" w:rsidR="0097604B" w:rsidRPr="00AA0C80" w:rsidRDefault="00D40CAC"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w:t>
            </w:r>
            <w:r w:rsidR="0097604B" w:rsidRPr="00AA0C80">
              <w:rPr>
                <w:rFonts w:asciiTheme="majorHAnsi" w:hAnsiTheme="majorHAnsi" w:cstheme="majorHAnsi"/>
                <w:bCs/>
                <w:color w:val="000000" w:themeColor="text1"/>
                <w:sz w:val="26"/>
                <w:szCs w:val="26"/>
              </w:rPr>
              <w:t>Điều 22 Luật Thú y quy định dự trữ và sử dụng thuốc thú y thuộc Danh mục hàng dự trữ quốc gia.</w:t>
            </w:r>
          </w:p>
          <w:p w14:paraId="46115653" w14:textId="6DAB206F" w:rsidR="0097604B" w:rsidRPr="00AA0C80" w:rsidRDefault="00D40CAC" w:rsidP="00AA0C80">
            <w:pPr>
              <w:spacing w:before="120" w:line="340" w:lineRule="atLeast"/>
              <w:jc w:val="both"/>
              <w:rPr>
                <w:rFonts w:asciiTheme="majorHAnsi" w:hAnsiTheme="majorHAnsi" w:cstheme="majorHAnsi"/>
                <w:color w:val="000000"/>
                <w:sz w:val="26"/>
                <w:szCs w:val="26"/>
              </w:rPr>
            </w:pPr>
            <w:r w:rsidRPr="00AA0C80">
              <w:rPr>
                <w:rFonts w:asciiTheme="majorHAnsi" w:hAnsiTheme="majorHAnsi" w:cstheme="majorHAnsi"/>
                <w:color w:val="000000"/>
                <w:sz w:val="26"/>
                <w:szCs w:val="26"/>
              </w:rPr>
              <w:t xml:space="preserve">- </w:t>
            </w:r>
            <w:r w:rsidR="0097604B" w:rsidRPr="00AA0C80">
              <w:rPr>
                <w:rFonts w:asciiTheme="majorHAnsi" w:hAnsiTheme="majorHAnsi" w:cstheme="majorHAnsi"/>
                <w:color w:val="000000"/>
                <w:sz w:val="26"/>
                <w:szCs w:val="26"/>
              </w:rPr>
              <w:t xml:space="preserve">Khoản 3, mục IX QĐ 861/QĐ-TTg ngày 18/7/2023 phê duyệt quy hoạch hạ tầng dự trữ, cung ứng xăng dầu, khí đốt quốc gia thời kỳ 2021-2030, tầm nhìn đến năm 2050: </w:t>
            </w:r>
            <w:r w:rsidR="00A04C07" w:rsidRPr="00AA0C80">
              <w:rPr>
                <w:rFonts w:asciiTheme="majorHAnsi" w:hAnsiTheme="majorHAnsi" w:cstheme="majorHAnsi"/>
                <w:i/>
                <w:iCs/>
                <w:color w:val="000000"/>
                <w:sz w:val="26"/>
                <w:szCs w:val="26"/>
              </w:rPr>
              <w:t>“</w:t>
            </w:r>
            <w:r w:rsidR="0097604B" w:rsidRPr="00AA0C80">
              <w:rPr>
                <w:rFonts w:asciiTheme="majorHAnsi" w:hAnsiTheme="majorHAnsi" w:cstheme="majorHAnsi"/>
                <w:i/>
                <w:iCs/>
                <w:color w:val="000000"/>
                <w:sz w:val="26"/>
                <w:szCs w:val="26"/>
              </w:rPr>
              <w:t>Bố trí NSNN để đảm bảo mục tiêu về DTQG đối với sản phẩm xăng dầu, dầu thô, khí đốt.”</w:t>
            </w:r>
          </w:p>
          <w:p w14:paraId="60DBAB2D" w14:textId="5E5BAA5D" w:rsidR="0097604B" w:rsidRPr="00AA0C80" w:rsidRDefault="00D40CAC" w:rsidP="00AA0C80">
            <w:pPr>
              <w:tabs>
                <w:tab w:val="left" w:pos="1833"/>
              </w:tabs>
              <w:spacing w:before="120" w:line="340" w:lineRule="atLeast"/>
              <w:ind w:firstLine="24"/>
              <w:jc w:val="both"/>
              <w:rPr>
                <w:rFonts w:asciiTheme="majorHAnsi" w:hAnsiTheme="majorHAnsi" w:cstheme="majorHAnsi"/>
                <w:bCs/>
                <w:color w:val="000000" w:themeColor="text1"/>
                <w:sz w:val="26"/>
                <w:szCs w:val="26"/>
              </w:rPr>
            </w:pPr>
            <w:r w:rsidRPr="00AA0C80">
              <w:rPr>
                <w:rFonts w:asciiTheme="majorHAnsi" w:hAnsiTheme="majorHAnsi" w:cstheme="majorHAnsi"/>
                <w:color w:val="000000"/>
                <w:sz w:val="26"/>
                <w:szCs w:val="26"/>
              </w:rPr>
              <w:lastRenderedPageBreak/>
              <w:t xml:space="preserve">- </w:t>
            </w:r>
            <w:r w:rsidR="0097604B" w:rsidRPr="00AA0C80">
              <w:rPr>
                <w:rFonts w:asciiTheme="majorHAnsi" w:hAnsiTheme="majorHAnsi" w:cstheme="majorHAnsi"/>
                <w:color w:val="000000"/>
                <w:sz w:val="26"/>
                <w:szCs w:val="26"/>
              </w:rPr>
              <w:t xml:space="preserve">Điểm a khoản 1 Điều 7 Luật DTQG 2025 quy định: </w:t>
            </w:r>
            <w:r w:rsidR="0097604B" w:rsidRPr="00AA0C80">
              <w:rPr>
                <w:rFonts w:asciiTheme="majorHAnsi" w:hAnsiTheme="majorHAnsi" w:cstheme="majorHAnsi"/>
                <w:i/>
                <w:color w:val="000000"/>
                <w:sz w:val="26"/>
                <w:szCs w:val="26"/>
              </w:rPr>
              <w:t>“…bảo đảm an sinh xã hội phục vụ phát triển kinh tế - xã hội; phát triển khoa học, công nghệ và đổi mới sáng tạo, chuyển đổi số"</w:t>
            </w:r>
          </w:p>
        </w:tc>
        <w:tc>
          <w:tcPr>
            <w:tcW w:w="3402" w:type="dxa"/>
          </w:tcPr>
          <w:p w14:paraId="08257B44" w14:textId="77777777" w:rsidR="00030A04" w:rsidRDefault="00030A04" w:rsidP="00AA0C80">
            <w:pPr>
              <w:tabs>
                <w:tab w:val="left" w:pos="1833"/>
              </w:tabs>
              <w:spacing w:before="120" w:line="340" w:lineRule="atLeast"/>
              <w:ind w:firstLine="24"/>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lastRenderedPageBreak/>
              <w:t>Điều 4. Danh mục hàng dự trữ quốc gia và phân công cơ quan quản lý hàng dự trữ quốc gia</w:t>
            </w:r>
          </w:p>
          <w:p w14:paraId="7EEC5FB5" w14:textId="4441B4D3" w:rsidR="0097604B" w:rsidRPr="00AA0C80" w:rsidRDefault="00030A04" w:rsidP="00AA0C80">
            <w:pPr>
              <w:tabs>
                <w:tab w:val="left" w:pos="1833"/>
              </w:tabs>
              <w:spacing w:before="120" w:line="340" w:lineRule="atLeast"/>
              <w:ind w:firstLine="24"/>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lastRenderedPageBreak/>
              <w:t>Điều 5. Danh mục chi tiết hàng dự trữ quốc gia</w:t>
            </w:r>
            <w:r w:rsidR="00531ED9" w:rsidRPr="00AA0C80">
              <w:rPr>
                <w:rFonts w:asciiTheme="majorHAnsi" w:hAnsiTheme="majorHAnsi" w:cstheme="majorHAnsi"/>
                <w:bCs/>
                <w:color w:val="000000" w:themeColor="text1"/>
                <w:sz w:val="26"/>
                <w:szCs w:val="26"/>
              </w:rPr>
              <w:t>.</w:t>
            </w:r>
          </w:p>
        </w:tc>
        <w:tc>
          <w:tcPr>
            <w:tcW w:w="4252" w:type="dxa"/>
          </w:tcPr>
          <w:p w14:paraId="4965C906" w14:textId="0D30117D" w:rsidR="00C1688E" w:rsidRPr="00C1688E" w:rsidRDefault="0097604B" w:rsidP="00C1688E">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lastRenderedPageBreak/>
              <w:t xml:space="preserve">Dự thảo Nghị định kế thừa danh mục hàng dự trữ quốc gia ban hành kèm theo Nghị định số 94/2013/NĐ-CP và </w:t>
            </w:r>
            <w:r w:rsidRPr="00AA0C80">
              <w:rPr>
                <w:rFonts w:asciiTheme="majorHAnsi" w:hAnsiTheme="majorHAnsi" w:cstheme="majorHAnsi"/>
                <w:bCs/>
                <w:color w:val="000000" w:themeColor="text1"/>
                <w:sz w:val="26"/>
                <w:szCs w:val="26"/>
              </w:rPr>
              <w:lastRenderedPageBreak/>
              <w:t xml:space="preserve">Nghị định số 56/2021/NĐ-CP, </w:t>
            </w:r>
            <w:r w:rsidR="00D40CAC" w:rsidRPr="00AA0C80">
              <w:rPr>
                <w:rFonts w:asciiTheme="majorHAnsi" w:hAnsiTheme="majorHAnsi" w:cstheme="majorHAnsi"/>
                <w:bCs/>
                <w:color w:val="000000" w:themeColor="text1"/>
                <w:sz w:val="26"/>
                <w:szCs w:val="26"/>
              </w:rPr>
              <w:t>d</w:t>
            </w:r>
            <w:r w:rsidRPr="00AA0C80">
              <w:rPr>
                <w:rFonts w:asciiTheme="majorHAnsi" w:hAnsiTheme="majorHAnsi" w:cstheme="majorHAnsi"/>
                <w:bCs/>
                <w:color w:val="000000" w:themeColor="text1"/>
                <w:sz w:val="26"/>
                <w:szCs w:val="26"/>
              </w:rPr>
              <w:t>ự thảo Nghị định đảm bảo thống nhất, không mâu thuẫn với pháp luật liên quan.</w:t>
            </w:r>
          </w:p>
          <w:p w14:paraId="74C58907" w14:textId="6A4A3E31" w:rsidR="0097604B" w:rsidRPr="00AA0C80" w:rsidRDefault="0097604B" w:rsidP="00AA0C80">
            <w:pPr>
              <w:pStyle w:val="NormalWeb"/>
              <w:spacing w:before="120" w:beforeAutospacing="0" w:after="0" w:afterAutospacing="0" w:line="340" w:lineRule="atLeast"/>
              <w:jc w:val="both"/>
              <w:rPr>
                <w:rFonts w:asciiTheme="majorHAnsi" w:hAnsiTheme="majorHAnsi" w:cstheme="majorHAnsi"/>
                <w:sz w:val="26"/>
                <w:szCs w:val="26"/>
              </w:rPr>
            </w:pPr>
          </w:p>
        </w:tc>
        <w:tc>
          <w:tcPr>
            <w:tcW w:w="1843" w:type="dxa"/>
          </w:tcPr>
          <w:p w14:paraId="5926D078" w14:textId="77777777" w:rsidR="0097604B" w:rsidRPr="00AA0C80" w:rsidRDefault="0097604B" w:rsidP="00AA0C80">
            <w:pPr>
              <w:spacing w:before="120" w:line="340" w:lineRule="atLeast"/>
              <w:jc w:val="both"/>
              <w:rPr>
                <w:rFonts w:asciiTheme="majorHAnsi" w:hAnsiTheme="majorHAnsi" w:cstheme="majorHAnsi"/>
                <w:b/>
                <w:color w:val="000000" w:themeColor="text1"/>
                <w:sz w:val="26"/>
                <w:szCs w:val="26"/>
              </w:rPr>
            </w:pPr>
          </w:p>
        </w:tc>
      </w:tr>
      <w:tr w:rsidR="0097604B" w:rsidRPr="006339D4" w14:paraId="35CBB43B" w14:textId="77777777" w:rsidTr="007D47FB">
        <w:tc>
          <w:tcPr>
            <w:tcW w:w="5104" w:type="dxa"/>
          </w:tcPr>
          <w:p w14:paraId="30F94E6D" w14:textId="77777777"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lastRenderedPageBreak/>
              <w:t>Luật Quốc phòng quy định:</w:t>
            </w:r>
          </w:p>
          <w:p w14:paraId="6742777F" w14:textId="77777777" w:rsidR="0097604B" w:rsidRPr="00AA0C80" w:rsidRDefault="0097604B" w:rsidP="00AA0C80">
            <w:pPr>
              <w:spacing w:before="120" w:line="340" w:lineRule="atLeast"/>
              <w:jc w:val="both"/>
              <w:rPr>
                <w:rFonts w:asciiTheme="majorHAnsi" w:hAnsiTheme="majorHAnsi" w:cstheme="majorHAnsi"/>
                <w:bCs/>
                <w:i/>
                <w:iCs/>
                <w:color w:val="000000" w:themeColor="text1"/>
                <w:sz w:val="26"/>
                <w:szCs w:val="26"/>
              </w:rPr>
            </w:pPr>
            <w:r w:rsidRPr="00AA0C80">
              <w:rPr>
                <w:rFonts w:asciiTheme="majorHAnsi" w:hAnsiTheme="majorHAnsi" w:cstheme="majorHAnsi"/>
                <w:bCs/>
                <w:color w:val="000000" w:themeColor="text1"/>
                <w:sz w:val="26"/>
                <w:szCs w:val="26"/>
              </w:rPr>
              <w:t xml:space="preserve">- Điểm d khoản 2 Điều 7: </w:t>
            </w:r>
            <w:r w:rsidRPr="00AA0C80">
              <w:rPr>
                <w:rFonts w:asciiTheme="majorHAnsi" w:hAnsiTheme="majorHAnsi" w:cstheme="majorHAnsi"/>
                <w:bCs/>
                <w:i/>
                <w:iCs/>
                <w:color w:val="000000" w:themeColor="text1"/>
                <w:sz w:val="26"/>
                <w:szCs w:val="26"/>
              </w:rPr>
              <w:t>Nội dung cơ bản xây dựng nền quốc phòng toàn dân bao gồm: d) Xây dựng, tổ chức thực hiện kế hoạch bảo đảm nhu cầu dự trữ quốc gia cho quốc phòng; chuẩn bị các điều kiện cần thiết bảo đảm động viên quốc phòng.</w:t>
            </w:r>
          </w:p>
          <w:p w14:paraId="2915B721" w14:textId="7BEF4369" w:rsidR="0097604B" w:rsidRPr="00AA0C80" w:rsidRDefault="0097604B" w:rsidP="00AA0C80">
            <w:pPr>
              <w:spacing w:before="120" w:line="340" w:lineRule="atLeast"/>
              <w:ind w:firstLine="24"/>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Điểm b khoản 2 Điều 31 quy định: </w:t>
            </w:r>
            <w:r w:rsidRPr="00AA0C80">
              <w:rPr>
                <w:rFonts w:asciiTheme="majorHAnsi" w:hAnsiTheme="majorHAnsi" w:cstheme="majorHAnsi"/>
                <w:bCs/>
                <w:i/>
                <w:iCs/>
                <w:color w:val="000000" w:themeColor="text1"/>
                <w:sz w:val="26"/>
                <w:szCs w:val="26"/>
              </w:rPr>
              <w:t>Nhà nước có kế hoạch xây dựng dự trữ quốc gia để bảo đảm cho quốc phòng.</w:t>
            </w:r>
          </w:p>
        </w:tc>
        <w:tc>
          <w:tcPr>
            <w:tcW w:w="3402" w:type="dxa"/>
          </w:tcPr>
          <w:p w14:paraId="68B41850" w14:textId="77777777" w:rsidR="00030A04" w:rsidRDefault="00030A04" w:rsidP="00AA0C80">
            <w:pPr>
              <w:spacing w:before="120" w:line="340" w:lineRule="atLeast"/>
              <w:ind w:firstLine="24"/>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t>Điều 15. Nội dung kế hoạch hàng dự trữ quốc gia</w:t>
            </w:r>
          </w:p>
          <w:p w14:paraId="01D275F7" w14:textId="77777777" w:rsidR="00030A04" w:rsidRDefault="00030A04" w:rsidP="00AA0C80">
            <w:pPr>
              <w:spacing w:before="120" w:line="340" w:lineRule="atLeast"/>
              <w:ind w:firstLine="24"/>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t>Điều 16. Xây dựng, ban hành quyết định kế hoạch hàng dự trữ quốc gia</w:t>
            </w:r>
            <w:r>
              <w:rPr>
                <w:rFonts w:asciiTheme="majorHAnsi" w:hAnsiTheme="majorHAnsi" w:cstheme="majorHAnsi"/>
                <w:bCs/>
                <w:color w:val="000000" w:themeColor="text1"/>
                <w:sz w:val="26"/>
                <w:szCs w:val="26"/>
              </w:rPr>
              <w:t>.</w:t>
            </w:r>
          </w:p>
          <w:p w14:paraId="73F4A302" w14:textId="74B04F86" w:rsidR="0097604B" w:rsidRPr="00AA0C80" w:rsidRDefault="00030A04" w:rsidP="00AA0C80">
            <w:pPr>
              <w:spacing w:before="120" w:line="340" w:lineRule="atLeast"/>
              <w:ind w:firstLine="24"/>
              <w:jc w:val="both"/>
              <w:rPr>
                <w:rFonts w:asciiTheme="majorHAnsi" w:hAnsiTheme="majorHAnsi" w:cstheme="majorHAnsi"/>
                <w:bCs/>
                <w:color w:val="000000" w:themeColor="text1"/>
                <w:sz w:val="26"/>
                <w:szCs w:val="26"/>
              </w:rPr>
            </w:pPr>
            <w:r w:rsidRPr="00030A04">
              <w:rPr>
                <w:rFonts w:asciiTheme="majorHAnsi" w:hAnsiTheme="majorHAnsi" w:cstheme="majorHAnsi"/>
                <w:bCs/>
                <w:color w:val="000000" w:themeColor="text1"/>
                <w:sz w:val="26"/>
                <w:szCs w:val="26"/>
              </w:rPr>
              <w:t>Điều 17. Thực hiện kế hoạch hàng dự trữ quốc gia</w:t>
            </w:r>
            <w:r>
              <w:rPr>
                <w:rFonts w:asciiTheme="majorHAnsi" w:hAnsiTheme="majorHAnsi" w:cstheme="majorHAnsi"/>
                <w:bCs/>
                <w:color w:val="000000" w:themeColor="text1"/>
                <w:sz w:val="26"/>
                <w:szCs w:val="26"/>
              </w:rPr>
              <w:t>.</w:t>
            </w:r>
          </w:p>
        </w:tc>
        <w:tc>
          <w:tcPr>
            <w:tcW w:w="4252" w:type="dxa"/>
          </w:tcPr>
          <w:p w14:paraId="2BE63CBA" w14:textId="70AAC8B5" w:rsidR="0097604B" w:rsidRPr="00AA0C80" w:rsidRDefault="0097604B" w:rsidP="00AA0C80">
            <w:pPr>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Dự thảo Nghị định đảm bảo thống nhất, không</w:t>
            </w:r>
            <w:r w:rsidR="009D5E43">
              <w:rPr>
                <w:rFonts w:asciiTheme="majorHAnsi" w:hAnsiTheme="majorHAnsi" w:cstheme="majorHAnsi"/>
                <w:bCs/>
                <w:color w:val="000000" w:themeColor="text1"/>
                <w:sz w:val="26"/>
                <w:szCs w:val="26"/>
              </w:rPr>
              <w:t xml:space="preserve"> </w:t>
            </w:r>
            <w:r w:rsidRPr="00AA0C80">
              <w:rPr>
                <w:rFonts w:asciiTheme="majorHAnsi" w:hAnsiTheme="majorHAnsi" w:cstheme="majorHAnsi"/>
                <w:bCs/>
                <w:color w:val="000000" w:themeColor="text1"/>
                <w:sz w:val="26"/>
                <w:szCs w:val="26"/>
              </w:rPr>
              <w:t>mâu thuẫn với Luật Quốc phòng.</w:t>
            </w:r>
          </w:p>
        </w:tc>
        <w:tc>
          <w:tcPr>
            <w:tcW w:w="1843" w:type="dxa"/>
          </w:tcPr>
          <w:p w14:paraId="3AB46677" w14:textId="77777777" w:rsidR="0097604B" w:rsidRPr="00AA0C80" w:rsidRDefault="0097604B" w:rsidP="00AA0C80">
            <w:pPr>
              <w:spacing w:before="120" w:line="340" w:lineRule="atLeast"/>
              <w:jc w:val="both"/>
              <w:rPr>
                <w:rFonts w:asciiTheme="majorHAnsi" w:hAnsiTheme="majorHAnsi" w:cstheme="majorHAnsi"/>
                <w:b/>
                <w:color w:val="000000" w:themeColor="text1"/>
                <w:sz w:val="26"/>
                <w:szCs w:val="26"/>
              </w:rPr>
            </w:pPr>
          </w:p>
        </w:tc>
      </w:tr>
      <w:tr w:rsidR="0097604B" w:rsidRPr="006339D4" w14:paraId="2E52A5E8" w14:textId="77777777" w:rsidTr="007D47FB">
        <w:tc>
          <w:tcPr>
            <w:tcW w:w="5104" w:type="dxa"/>
          </w:tcPr>
          <w:p w14:paraId="63413A7C" w14:textId="2C82ABA7" w:rsidR="0097604B" w:rsidRPr="00AA0C80" w:rsidRDefault="00A04C07" w:rsidP="00AA0C80">
            <w:pPr>
              <w:widowControl w:val="0"/>
              <w:spacing w:before="120" w:line="340" w:lineRule="atLeast"/>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t xml:space="preserve">- </w:t>
            </w:r>
            <w:r w:rsidR="0097604B" w:rsidRPr="00AA0C80">
              <w:rPr>
                <w:rFonts w:asciiTheme="majorHAnsi" w:hAnsiTheme="majorHAnsi" w:cstheme="majorHAnsi"/>
                <w:bCs/>
                <w:color w:val="000000" w:themeColor="text1"/>
                <w:sz w:val="26"/>
                <w:szCs w:val="26"/>
              </w:rPr>
              <w:t xml:space="preserve">Điều 16 và khoản 4 Điều 19 Luật Tổ chức Chính phủ quy định: </w:t>
            </w:r>
            <w:r w:rsidR="0097604B" w:rsidRPr="00AA0C80">
              <w:rPr>
                <w:rFonts w:asciiTheme="majorHAnsi" w:hAnsiTheme="majorHAnsi" w:cstheme="majorHAnsi"/>
                <w:bCs/>
                <w:i/>
                <w:iCs/>
                <w:color w:val="000000" w:themeColor="text1"/>
                <w:sz w:val="26"/>
                <w:szCs w:val="26"/>
              </w:rPr>
              <w:t xml:space="preserve">Bộ trưởng, Thủ trưởng cơ quan ngang Bộ là thành viên Chính phủ và là người đứng đầu Bộ, cơ quan ngang Bộ, lãnh đạo công tác của Bộ, cơ quan ngang Bộ; chịu trách nhiệm quản lý nhà nước về một hoặc một số ngành, lĩnh vực và dịch vụ công thuộc ngành, lĩnh vực được phân công; Quyết định theo thẩm quyền vấn đề thuộc chức năng, </w:t>
            </w:r>
            <w:r w:rsidR="0097604B" w:rsidRPr="00AA0C80">
              <w:rPr>
                <w:rFonts w:asciiTheme="majorHAnsi" w:hAnsiTheme="majorHAnsi" w:cstheme="majorHAnsi"/>
                <w:bCs/>
                <w:i/>
                <w:iCs/>
                <w:color w:val="000000" w:themeColor="text1"/>
                <w:sz w:val="26"/>
                <w:szCs w:val="26"/>
              </w:rPr>
              <w:lastRenderedPageBreak/>
              <w:t>nhiệm vụ, quyền hạn của Bộ, cơ quan ngang Bộ mà mình là người đứng đầu theo quy định của pháp luật.</w:t>
            </w:r>
          </w:p>
        </w:tc>
        <w:tc>
          <w:tcPr>
            <w:tcW w:w="3402" w:type="dxa"/>
          </w:tcPr>
          <w:p w14:paraId="548F5C2F" w14:textId="21D60605" w:rsidR="0097604B" w:rsidRPr="00AA0C80" w:rsidRDefault="00BB279B" w:rsidP="00030A04">
            <w:pPr>
              <w:spacing w:before="120" w:line="340" w:lineRule="atLeast"/>
              <w:ind w:firstLine="24"/>
              <w:jc w:val="both"/>
              <w:rPr>
                <w:rFonts w:asciiTheme="majorHAnsi" w:hAnsiTheme="majorHAnsi" w:cstheme="majorHAnsi"/>
                <w:bCs/>
                <w:color w:val="000000" w:themeColor="text1"/>
                <w:sz w:val="26"/>
                <w:szCs w:val="26"/>
              </w:rPr>
            </w:pPr>
            <w:r w:rsidRPr="00AA0C80">
              <w:rPr>
                <w:rFonts w:asciiTheme="majorHAnsi" w:hAnsiTheme="majorHAnsi" w:cstheme="majorHAnsi"/>
                <w:bCs/>
                <w:color w:val="000000" w:themeColor="text1"/>
                <w:sz w:val="26"/>
                <w:szCs w:val="26"/>
              </w:rPr>
              <w:lastRenderedPageBreak/>
              <w:t xml:space="preserve">Từ Điều </w:t>
            </w:r>
            <w:r w:rsidR="00030A04">
              <w:rPr>
                <w:rFonts w:asciiTheme="majorHAnsi" w:hAnsiTheme="majorHAnsi" w:cstheme="majorHAnsi"/>
                <w:bCs/>
                <w:color w:val="000000" w:themeColor="text1"/>
                <w:sz w:val="26"/>
                <w:szCs w:val="26"/>
              </w:rPr>
              <w:t>18</w:t>
            </w:r>
            <w:r w:rsidRPr="00AA0C80">
              <w:rPr>
                <w:rFonts w:asciiTheme="majorHAnsi" w:hAnsiTheme="majorHAnsi" w:cstheme="majorHAnsi"/>
                <w:bCs/>
                <w:color w:val="000000" w:themeColor="text1"/>
                <w:sz w:val="26"/>
                <w:szCs w:val="26"/>
              </w:rPr>
              <w:t xml:space="preserve"> đến Điều 2</w:t>
            </w:r>
            <w:r w:rsidR="00030A04">
              <w:rPr>
                <w:rFonts w:asciiTheme="majorHAnsi" w:hAnsiTheme="majorHAnsi" w:cstheme="majorHAnsi"/>
                <w:bCs/>
                <w:color w:val="000000" w:themeColor="text1"/>
                <w:sz w:val="26"/>
                <w:szCs w:val="26"/>
              </w:rPr>
              <w:t>5</w:t>
            </w:r>
            <w:r w:rsidRPr="00AA0C80">
              <w:rPr>
                <w:rFonts w:asciiTheme="majorHAnsi" w:hAnsiTheme="majorHAnsi" w:cstheme="majorHAnsi"/>
                <w:bCs/>
                <w:color w:val="000000" w:themeColor="text1"/>
                <w:sz w:val="26"/>
                <w:szCs w:val="26"/>
              </w:rPr>
              <w:t>: Nhập, xuất hàng dự trữ quốc gia theo quyết định của Bộ trưởng Bộ tài chính</w:t>
            </w:r>
            <w:r w:rsidR="00030A04">
              <w:rPr>
                <w:rFonts w:asciiTheme="majorHAnsi" w:hAnsiTheme="majorHAnsi" w:cstheme="majorHAnsi"/>
                <w:bCs/>
                <w:color w:val="000000" w:themeColor="text1"/>
                <w:sz w:val="26"/>
                <w:szCs w:val="26"/>
              </w:rPr>
              <w:t>,</w:t>
            </w:r>
            <w:r w:rsidRPr="00AA0C80">
              <w:rPr>
                <w:rFonts w:asciiTheme="majorHAnsi" w:hAnsiTheme="majorHAnsi" w:cstheme="majorHAnsi"/>
                <w:bCs/>
                <w:color w:val="000000" w:themeColor="text1"/>
                <w:sz w:val="26"/>
                <w:szCs w:val="26"/>
              </w:rPr>
              <w:t xml:space="preserve"> </w:t>
            </w:r>
            <w:r w:rsidR="00C32911" w:rsidRPr="00AA0C80">
              <w:rPr>
                <w:rFonts w:asciiTheme="majorHAnsi" w:hAnsiTheme="majorHAnsi" w:cstheme="majorHAnsi"/>
                <w:bCs/>
                <w:color w:val="000000" w:themeColor="text1"/>
                <w:sz w:val="26"/>
                <w:szCs w:val="26"/>
              </w:rPr>
              <w:t>B</w:t>
            </w:r>
            <w:r w:rsidRPr="00AA0C80">
              <w:rPr>
                <w:rFonts w:asciiTheme="majorHAnsi" w:hAnsiTheme="majorHAnsi" w:cstheme="majorHAnsi"/>
                <w:bCs/>
                <w:color w:val="000000" w:themeColor="text1"/>
                <w:sz w:val="26"/>
                <w:szCs w:val="26"/>
              </w:rPr>
              <w:t xml:space="preserve">ộ trưởng, </w:t>
            </w:r>
            <w:r w:rsidR="00C32911" w:rsidRPr="00AA0C80">
              <w:rPr>
                <w:rFonts w:asciiTheme="majorHAnsi" w:hAnsiTheme="majorHAnsi" w:cstheme="majorHAnsi"/>
                <w:bCs/>
                <w:color w:val="000000" w:themeColor="text1"/>
                <w:sz w:val="26"/>
                <w:szCs w:val="26"/>
              </w:rPr>
              <w:t>T</w:t>
            </w:r>
            <w:r w:rsidRPr="00AA0C80">
              <w:rPr>
                <w:rFonts w:asciiTheme="majorHAnsi" w:hAnsiTheme="majorHAnsi" w:cstheme="majorHAnsi"/>
                <w:bCs/>
                <w:color w:val="000000" w:themeColor="text1"/>
                <w:sz w:val="26"/>
                <w:szCs w:val="26"/>
              </w:rPr>
              <w:t xml:space="preserve">hủ trưởng cơ quan ngang </w:t>
            </w:r>
            <w:r w:rsidR="00C32911" w:rsidRPr="00AA0C80">
              <w:rPr>
                <w:rFonts w:asciiTheme="majorHAnsi" w:hAnsiTheme="majorHAnsi" w:cstheme="majorHAnsi"/>
                <w:bCs/>
                <w:color w:val="000000" w:themeColor="text1"/>
                <w:sz w:val="26"/>
                <w:szCs w:val="26"/>
              </w:rPr>
              <w:t>B</w:t>
            </w:r>
            <w:r w:rsidRPr="00AA0C80">
              <w:rPr>
                <w:rFonts w:asciiTheme="majorHAnsi" w:hAnsiTheme="majorHAnsi" w:cstheme="majorHAnsi"/>
                <w:bCs/>
                <w:color w:val="000000" w:themeColor="text1"/>
                <w:sz w:val="26"/>
                <w:szCs w:val="26"/>
              </w:rPr>
              <w:t>ộ quản lý hàng dự trữ quốc gia</w:t>
            </w:r>
            <w:r w:rsidR="00C32911" w:rsidRPr="00AA0C80">
              <w:rPr>
                <w:rFonts w:asciiTheme="majorHAnsi" w:hAnsiTheme="majorHAnsi" w:cstheme="majorHAnsi"/>
                <w:bCs/>
                <w:color w:val="000000" w:themeColor="text1"/>
                <w:sz w:val="26"/>
                <w:szCs w:val="26"/>
              </w:rPr>
              <w:t>.</w:t>
            </w:r>
          </w:p>
        </w:tc>
        <w:tc>
          <w:tcPr>
            <w:tcW w:w="4252" w:type="dxa"/>
          </w:tcPr>
          <w:p w14:paraId="47B6B068" w14:textId="77D0DB39" w:rsidR="0097604B" w:rsidRPr="00AA0C80" w:rsidRDefault="0097604B" w:rsidP="00AA0C80">
            <w:pPr>
              <w:spacing w:before="120" w:line="340" w:lineRule="atLeast"/>
              <w:jc w:val="both"/>
              <w:rPr>
                <w:rFonts w:asciiTheme="majorHAnsi" w:hAnsiTheme="majorHAnsi" w:cstheme="majorHAnsi"/>
                <w:b/>
                <w:color w:val="000000" w:themeColor="text1"/>
                <w:sz w:val="26"/>
                <w:szCs w:val="26"/>
              </w:rPr>
            </w:pPr>
            <w:r w:rsidRPr="00AA0C80">
              <w:rPr>
                <w:rFonts w:asciiTheme="majorHAnsi" w:hAnsiTheme="majorHAnsi" w:cstheme="majorHAnsi"/>
                <w:bCs/>
                <w:color w:val="000000" w:themeColor="text1"/>
                <w:sz w:val="26"/>
                <w:szCs w:val="26"/>
              </w:rPr>
              <w:t>Dự thảo Nghị định đảm bảo thống nhất, không mâu thuẫn với Luật Tổ chức Chính phủ.</w:t>
            </w:r>
          </w:p>
        </w:tc>
        <w:tc>
          <w:tcPr>
            <w:tcW w:w="1843" w:type="dxa"/>
          </w:tcPr>
          <w:p w14:paraId="469A73A0" w14:textId="77777777" w:rsidR="0097604B" w:rsidRPr="00AA0C80" w:rsidRDefault="0097604B" w:rsidP="00AA0C80">
            <w:pPr>
              <w:spacing w:before="120" w:line="340" w:lineRule="atLeast"/>
              <w:jc w:val="both"/>
              <w:rPr>
                <w:rFonts w:asciiTheme="majorHAnsi" w:hAnsiTheme="majorHAnsi" w:cstheme="majorHAnsi"/>
                <w:b/>
                <w:color w:val="000000" w:themeColor="text1"/>
                <w:sz w:val="26"/>
                <w:szCs w:val="26"/>
              </w:rPr>
            </w:pPr>
          </w:p>
        </w:tc>
      </w:tr>
      <w:tr w:rsidR="0097604B" w:rsidRPr="006339D4" w14:paraId="730B2E49" w14:textId="77777777" w:rsidTr="007D47FB">
        <w:tc>
          <w:tcPr>
            <w:tcW w:w="5104" w:type="dxa"/>
          </w:tcPr>
          <w:p w14:paraId="7FD8E963" w14:textId="4679B45F" w:rsidR="0097604B" w:rsidRPr="006339D4" w:rsidRDefault="0097604B" w:rsidP="003C5F6B">
            <w:pPr>
              <w:widowControl w:val="0"/>
              <w:spacing w:before="60" w:after="60"/>
              <w:jc w:val="both"/>
              <w:rPr>
                <w:rFonts w:asciiTheme="majorHAnsi" w:hAnsiTheme="majorHAnsi" w:cstheme="majorHAnsi"/>
                <w:bCs/>
                <w:color w:val="000000" w:themeColor="text1"/>
                <w:sz w:val="26"/>
                <w:szCs w:val="26"/>
              </w:rPr>
            </w:pPr>
            <w:r w:rsidRPr="006339D4">
              <w:rPr>
                <w:rFonts w:asciiTheme="majorHAnsi" w:hAnsiTheme="majorHAnsi" w:cstheme="majorHAnsi"/>
                <w:bCs/>
                <w:color w:val="000000" w:themeColor="text1"/>
                <w:sz w:val="26"/>
                <w:szCs w:val="26"/>
              </w:rPr>
              <w:t xml:space="preserve">Khoản 1 Điều 4 Luật Đấu giá tài sản quy định tài sản bán đấu giá: </w:t>
            </w:r>
            <w:r w:rsidRPr="00B81976">
              <w:rPr>
                <w:rFonts w:asciiTheme="majorHAnsi" w:hAnsiTheme="majorHAnsi" w:cstheme="majorHAnsi"/>
                <w:bCs/>
                <w:i/>
                <w:iCs/>
                <w:color w:val="000000" w:themeColor="text1"/>
                <w:sz w:val="26"/>
                <w:szCs w:val="26"/>
              </w:rPr>
              <w:t>g) Tài sản là hàng dự trữ quốc gia theo quy định của pháp luật về dự trữ quốc gia.</w:t>
            </w:r>
          </w:p>
        </w:tc>
        <w:tc>
          <w:tcPr>
            <w:tcW w:w="3402" w:type="dxa"/>
          </w:tcPr>
          <w:p w14:paraId="088DB0C2" w14:textId="25EDFD8D" w:rsidR="0097604B" w:rsidRPr="00251756" w:rsidRDefault="00F1535B" w:rsidP="003C5F6B">
            <w:pPr>
              <w:widowControl w:val="0"/>
              <w:spacing w:before="60" w:after="60"/>
              <w:jc w:val="both"/>
              <w:rPr>
                <w:rFonts w:asciiTheme="majorHAnsi" w:hAnsiTheme="majorHAnsi" w:cstheme="majorHAnsi"/>
                <w:bCs/>
                <w:color w:val="000000" w:themeColor="text1"/>
                <w:sz w:val="26"/>
                <w:szCs w:val="26"/>
              </w:rPr>
            </w:pPr>
            <w:r w:rsidRPr="00F1535B">
              <w:rPr>
                <w:rFonts w:asciiTheme="majorHAnsi" w:hAnsiTheme="majorHAnsi" w:cstheme="majorHAnsi"/>
                <w:bCs/>
                <w:color w:val="000000" w:themeColor="text1"/>
                <w:sz w:val="26"/>
                <w:szCs w:val="26"/>
              </w:rPr>
              <w:t>Điều 27. Bán hàng dự trữ quốc gia theo quy định của pháp luật về đấu giá tài sản</w:t>
            </w:r>
          </w:p>
        </w:tc>
        <w:tc>
          <w:tcPr>
            <w:tcW w:w="4252" w:type="dxa"/>
          </w:tcPr>
          <w:p w14:paraId="51B9618F" w14:textId="6AF4AF3F" w:rsidR="0097604B" w:rsidRPr="006339D4" w:rsidRDefault="0097604B" w:rsidP="003C5F6B">
            <w:pPr>
              <w:widowControl w:val="0"/>
              <w:spacing w:before="60" w:after="60"/>
              <w:jc w:val="both"/>
              <w:rPr>
                <w:rFonts w:asciiTheme="majorHAnsi" w:hAnsiTheme="majorHAnsi" w:cstheme="majorHAnsi"/>
                <w:bCs/>
                <w:color w:val="000000" w:themeColor="text1"/>
                <w:sz w:val="26"/>
                <w:szCs w:val="26"/>
              </w:rPr>
            </w:pPr>
            <w:r w:rsidRPr="006339D4">
              <w:rPr>
                <w:rFonts w:asciiTheme="majorHAnsi" w:hAnsiTheme="majorHAnsi" w:cstheme="majorHAnsi"/>
                <w:bCs/>
                <w:color w:val="000000" w:themeColor="text1"/>
                <w:sz w:val="26"/>
                <w:szCs w:val="26"/>
              </w:rPr>
              <w:t xml:space="preserve">Dự thảo </w:t>
            </w:r>
            <w:r>
              <w:rPr>
                <w:rFonts w:asciiTheme="majorHAnsi" w:hAnsiTheme="majorHAnsi" w:cstheme="majorHAnsi"/>
                <w:bCs/>
                <w:color w:val="000000" w:themeColor="text1"/>
                <w:sz w:val="26"/>
                <w:szCs w:val="26"/>
              </w:rPr>
              <w:t>Nghị định</w:t>
            </w:r>
            <w:r w:rsidRPr="006339D4">
              <w:rPr>
                <w:rFonts w:asciiTheme="majorHAnsi" w:hAnsiTheme="majorHAnsi" w:cstheme="majorHAnsi"/>
                <w:bCs/>
                <w:color w:val="000000" w:themeColor="text1"/>
                <w:sz w:val="26"/>
                <w:szCs w:val="26"/>
              </w:rPr>
              <w:t xml:space="preserve"> </w:t>
            </w:r>
            <w:r>
              <w:rPr>
                <w:rFonts w:asciiTheme="majorHAnsi" w:hAnsiTheme="majorHAnsi" w:cstheme="majorHAnsi"/>
                <w:bCs/>
                <w:color w:val="000000" w:themeColor="text1"/>
                <w:sz w:val="26"/>
                <w:szCs w:val="26"/>
              </w:rPr>
              <w:t xml:space="preserve">không mâu thuẫn với các quy định </w:t>
            </w:r>
            <w:r w:rsidR="007B7D87">
              <w:rPr>
                <w:rFonts w:asciiTheme="majorHAnsi" w:hAnsiTheme="majorHAnsi" w:cstheme="majorHAnsi"/>
                <w:bCs/>
                <w:color w:val="000000" w:themeColor="text1"/>
                <w:sz w:val="26"/>
                <w:szCs w:val="26"/>
              </w:rPr>
              <w:t>hiện hành.</w:t>
            </w:r>
          </w:p>
        </w:tc>
        <w:tc>
          <w:tcPr>
            <w:tcW w:w="1843" w:type="dxa"/>
          </w:tcPr>
          <w:p w14:paraId="4FE082EA" w14:textId="77777777" w:rsidR="0097604B" w:rsidRPr="006339D4" w:rsidRDefault="0097604B" w:rsidP="003C5F6B">
            <w:pPr>
              <w:spacing w:before="60" w:after="60"/>
              <w:jc w:val="both"/>
              <w:rPr>
                <w:rFonts w:asciiTheme="majorHAnsi" w:hAnsiTheme="majorHAnsi" w:cstheme="majorHAnsi"/>
                <w:b/>
                <w:color w:val="000000" w:themeColor="text1"/>
                <w:sz w:val="26"/>
                <w:szCs w:val="26"/>
              </w:rPr>
            </w:pPr>
          </w:p>
        </w:tc>
      </w:tr>
    </w:tbl>
    <w:p w14:paraId="5D0787A4" w14:textId="022F16F1" w:rsidR="00ED3B01" w:rsidRPr="007616AD" w:rsidRDefault="005B48B5" w:rsidP="0097604B">
      <w:pPr>
        <w:tabs>
          <w:tab w:val="left" w:pos="2956"/>
        </w:tabs>
        <w:rPr>
          <w:color w:val="000000" w:themeColor="text1"/>
          <w:sz w:val="28"/>
        </w:rPr>
      </w:pPr>
      <w:r>
        <w:rPr>
          <w:noProof/>
          <w:color w:val="000000" w:themeColor="text1"/>
          <w:sz w:val="28"/>
        </w:rPr>
        <mc:AlternateContent>
          <mc:Choice Requires="wps">
            <w:drawing>
              <wp:anchor distT="0" distB="0" distL="114300" distR="114300" simplePos="0" relativeHeight="251665920" behindDoc="0" locked="0" layoutInCell="1" allowOverlap="1" wp14:anchorId="638FC9B4" wp14:editId="393D65A6">
                <wp:simplePos x="0" y="0"/>
                <wp:positionH relativeFrom="column">
                  <wp:posOffset>2143760</wp:posOffset>
                </wp:positionH>
                <wp:positionV relativeFrom="paragraph">
                  <wp:posOffset>698500</wp:posOffset>
                </wp:positionV>
                <wp:extent cx="5003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00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D3BE33" id="Straight Connector 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68.8pt,55pt" to="56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" strokecolor="black [3040]"/>
            </w:pict>
          </mc:Fallback>
        </mc:AlternateContent>
      </w:r>
    </w:p>
    <w:sectPr w:rsidR="00ED3B01" w:rsidRPr="007616AD" w:rsidSect="0097604B">
      <w:headerReference w:type="default" r:id="rId8"/>
      <w:pgSz w:w="16840" w:h="11907" w:orient="landscape" w:code="9"/>
      <w:pgMar w:top="1134" w:right="1134"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914A" w14:textId="77777777" w:rsidR="00BC1580" w:rsidRDefault="00BC1580">
      <w:r>
        <w:separator/>
      </w:r>
    </w:p>
  </w:endnote>
  <w:endnote w:type="continuationSeparator" w:id="0">
    <w:p w14:paraId="074FC07C" w14:textId="77777777" w:rsidR="00BC1580" w:rsidRDefault="00BC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3187" w14:textId="77777777" w:rsidR="00BC1580" w:rsidRDefault="00BC1580">
      <w:r>
        <w:separator/>
      </w:r>
    </w:p>
  </w:footnote>
  <w:footnote w:type="continuationSeparator" w:id="0">
    <w:p w14:paraId="2B3657F8" w14:textId="77777777" w:rsidR="00BC1580" w:rsidRDefault="00BC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150965"/>
      <w:docPartObj>
        <w:docPartGallery w:val="Page Numbers (Top of Page)"/>
        <w:docPartUnique/>
      </w:docPartObj>
    </w:sdtPr>
    <w:sdtEndPr>
      <w:rPr>
        <w:noProof/>
      </w:rPr>
    </w:sdtEndPr>
    <w:sdtContent>
      <w:p w14:paraId="588F1B0F" w14:textId="77933F10" w:rsidR="00472A1F" w:rsidRDefault="00472A1F">
        <w:pPr>
          <w:pStyle w:val="Header"/>
          <w:jc w:val="center"/>
        </w:pPr>
        <w:r>
          <w:fldChar w:fldCharType="begin"/>
        </w:r>
        <w:r>
          <w:instrText xml:space="preserve"> PAGE   \* MERGEFORMAT </w:instrText>
        </w:r>
        <w:r>
          <w:fldChar w:fldCharType="separate"/>
        </w:r>
        <w:r w:rsidR="00F96EF2">
          <w:rPr>
            <w:noProof/>
          </w:rPr>
          <w:t>6</w:t>
        </w:r>
        <w:r>
          <w:rPr>
            <w:noProof/>
          </w:rPr>
          <w:fldChar w:fldCharType="end"/>
        </w:r>
      </w:p>
    </w:sdtContent>
  </w:sdt>
  <w:p w14:paraId="75B72115" w14:textId="77777777" w:rsidR="00472A1F" w:rsidRDefault="0047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151C8"/>
    <w:multiLevelType w:val="hybridMultilevel"/>
    <w:tmpl w:val="8D600A20"/>
    <w:lvl w:ilvl="0" w:tplc="3CCCA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4C24EA"/>
    <w:multiLevelType w:val="multilevel"/>
    <w:tmpl w:val="A2CCE85A"/>
    <w:lvl w:ilvl="0">
      <w:start w:val="1"/>
      <w:numFmt w:val="decimal"/>
      <w:lvlText w:val="%1"/>
      <w:lvlJc w:val="left"/>
      <w:pPr>
        <w:ind w:left="396" w:hanging="490"/>
      </w:pPr>
      <w:rPr>
        <w:rFonts w:hint="default"/>
        <w:lang w:val="vi" w:eastAsia="en-US" w:bidi="ar-SA"/>
      </w:rPr>
    </w:lvl>
    <w:lvl w:ilvl="1">
      <w:start w:val="1"/>
      <w:numFmt w:val="decimal"/>
      <w:lvlText w:val="%1.%2."/>
      <w:lvlJc w:val="left"/>
      <w:pPr>
        <w:ind w:left="396" w:hanging="490"/>
      </w:pPr>
      <w:rPr>
        <w:rFonts w:ascii="Times New Roman" w:eastAsia="Times New Roman" w:hAnsi="Times New Roman" w:cs="Times New Roman" w:hint="default"/>
        <w:b w:val="0"/>
        <w:bCs w:val="0"/>
        <w:i w:val="0"/>
        <w:iCs w:val="0"/>
        <w:spacing w:val="-1"/>
        <w:w w:val="100"/>
        <w:sz w:val="26"/>
        <w:szCs w:val="26"/>
        <w:lang w:val="vi" w:eastAsia="en-US" w:bidi="ar-SA"/>
      </w:rPr>
    </w:lvl>
    <w:lvl w:ilvl="2">
      <w:numFmt w:val="bullet"/>
      <w:lvlText w:val="•"/>
      <w:lvlJc w:val="left"/>
      <w:pPr>
        <w:ind w:left="2128" w:hanging="490"/>
      </w:pPr>
      <w:rPr>
        <w:rFonts w:hint="default"/>
        <w:lang w:val="vi" w:eastAsia="en-US" w:bidi="ar-SA"/>
      </w:rPr>
    </w:lvl>
    <w:lvl w:ilvl="3">
      <w:numFmt w:val="bullet"/>
      <w:lvlText w:val="•"/>
      <w:lvlJc w:val="left"/>
      <w:pPr>
        <w:ind w:left="2992" w:hanging="490"/>
      </w:pPr>
      <w:rPr>
        <w:rFonts w:hint="default"/>
        <w:lang w:val="vi" w:eastAsia="en-US" w:bidi="ar-SA"/>
      </w:rPr>
    </w:lvl>
    <w:lvl w:ilvl="4">
      <w:numFmt w:val="bullet"/>
      <w:lvlText w:val="•"/>
      <w:lvlJc w:val="left"/>
      <w:pPr>
        <w:ind w:left="3856" w:hanging="490"/>
      </w:pPr>
      <w:rPr>
        <w:rFonts w:hint="default"/>
        <w:lang w:val="vi" w:eastAsia="en-US" w:bidi="ar-SA"/>
      </w:rPr>
    </w:lvl>
    <w:lvl w:ilvl="5">
      <w:numFmt w:val="bullet"/>
      <w:lvlText w:val="•"/>
      <w:lvlJc w:val="left"/>
      <w:pPr>
        <w:ind w:left="4720" w:hanging="490"/>
      </w:pPr>
      <w:rPr>
        <w:rFonts w:hint="default"/>
        <w:lang w:val="vi" w:eastAsia="en-US" w:bidi="ar-SA"/>
      </w:rPr>
    </w:lvl>
    <w:lvl w:ilvl="6">
      <w:numFmt w:val="bullet"/>
      <w:lvlText w:val="•"/>
      <w:lvlJc w:val="left"/>
      <w:pPr>
        <w:ind w:left="5584" w:hanging="490"/>
      </w:pPr>
      <w:rPr>
        <w:rFonts w:hint="default"/>
        <w:lang w:val="vi" w:eastAsia="en-US" w:bidi="ar-SA"/>
      </w:rPr>
    </w:lvl>
    <w:lvl w:ilvl="7">
      <w:numFmt w:val="bullet"/>
      <w:lvlText w:val="•"/>
      <w:lvlJc w:val="left"/>
      <w:pPr>
        <w:ind w:left="6448" w:hanging="490"/>
      </w:pPr>
      <w:rPr>
        <w:rFonts w:hint="default"/>
        <w:lang w:val="vi" w:eastAsia="en-US" w:bidi="ar-SA"/>
      </w:rPr>
    </w:lvl>
    <w:lvl w:ilvl="8">
      <w:numFmt w:val="bullet"/>
      <w:lvlText w:val="•"/>
      <w:lvlJc w:val="left"/>
      <w:pPr>
        <w:ind w:left="7312" w:hanging="490"/>
      </w:pPr>
      <w:rPr>
        <w:rFonts w:hint="default"/>
        <w:lang w:val="vi" w:eastAsia="en-US" w:bidi="ar-SA"/>
      </w:rPr>
    </w:lvl>
  </w:abstractNum>
  <w:abstractNum w:abstractNumId="2" w15:restartNumberingAfterBreak="0">
    <w:nsid w:val="51323396"/>
    <w:multiLevelType w:val="multilevel"/>
    <w:tmpl w:val="F42CE1FE"/>
    <w:lvl w:ilvl="0">
      <w:start w:val="1"/>
      <w:numFmt w:val="upperRoman"/>
      <w:lvlText w:val="%1."/>
      <w:lvlJc w:val="left"/>
      <w:pPr>
        <w:ind w:left="1416" w:hanging="423"/>
      </w:pPr>
      <w:rPr>
        <w:rFonts w:ascii="Times New Roman" w:eastAsia="Times New Roman" w:hAnsi="Times New Roman" w:cs="Times New Roman" w:hint="default"/>
        <w:b w:val="0"/>
        <w:bCs/>
        <w:i w:val="0"/>
        <w:iCs w:val="0"/>
        <w:spacing w:val="-6"/>
        <w:w w:val="100"/>
        <w:sz w:val="26"/>
        <w:szCs w:val="26"/>
        <w:lang w:val="vi" w:eastAsia="en-US" w:bidi="ar-SA"/>
      </w:rPr>
    </w:lvl>
    <w:lvl w:ilvl="1">
      <w:start w:val="1"/>
      <w:numFmt w:val="decimal"/>
      <w:lvlText w:val="%2."/>
      <w:lvlJc w:val="left"/>
      <w:pPr>
        <w:ind w:left="1252" w:hanging="260"/>
      </w:pPr>
      <w:rPr>
        <w:rFonts w:hint="default"/>
        <w:b w:val="0"/>
        <w:bCs/>
        <w:i w:val="0"/>
        <w:iCs w:val="0"/>
        <w:spacing w:val="0"/>
        <w:w w:val="100"/>
        <w:sz w:val="26"/>
        <w:szCs w:val="26"/>
        <w:lang w:val="vi" w:eastAsia="en-US" w:bidi="ar-SA"/>
      </w:rPr>
    </w:lvl>
    <w:lvl w:ilvl="2">
      <w:start w:val="1"/>
      <w:numFmt w:val="decimal"/>
      <w:lvlText w:val="%2.%3."/>
      <w:lvlJc w:val="left"/>
      <w:pPr>
        <w:ind w:left="1670" w:hanging="677"/>
      </w:pPr>
      <w:rPr>
        <w:rFonts w:hint="default"/>
        <w:spacing w:val="-3"/>
        <w:w w:val="100"/>
        <w:lang w:val="vi" w:eastAsia="en-US" w:bidi="ar-SA"/>
      </w:rPr>
    </w:lvl>
    <w:lvl w:ilvl="3">
      <w:numFmt w:val="bullet"/>
      <w:lvlText w:val="•"/>
      <w:lvlJc w:val="left"/>
      <w:pPr>
        <w:ind w:left="1480" w:hanging="677"/>
      </w:pPr>
      <w:rPr>
        <w:rFonts w:hint="default"/>
        <w:lang w:val="vi" w:eastAsia="en-US" w:bidi="ar-SA"/>
      </w:rPr>
    </w:lvl>
    <w:lvl w:ilvl="4">
      <w:numFmt w:val="bullet"/>
      <w:lvlText w:val="•"/>
      <w:lvlJc w:val="left"/>
      <w:pPr>
        <w:ind w:left="1680" w:hanging="677"/>
      </w:pPr>
      <w:rPr>
        <w:rFonts w:hint="default"/>
        <w:lang w:val="vi" w:eastAsia="en-US" w:bidi="ar-SA"/>
      </w:rPr>
    </w:lvl>
    <w:lvl w:ilvl="5">
      <w:numFmt w:val="bullet"/>
      <w:lvlText w:val="•"/>
      <w:lvlJc w:val="left"/>
      <w:pPr>
        <w:ind w:left="2893" w:hanging="677"/>
      </w:pPr>
      <w:rPr>
        <w:rFonts w:hint="default"/>
        <w:lang w:val="vi" w:eastAsia="en-US" w:bidi="ar-SA"/>
      </w:rPr>
    </w:lvl>
    <w:lvl w:ilvl="6">
      <w:numFmt w:val="bullet"/>
      <w:lvlText w:val="•"/>
      <w:lvlJc w:val="left"/>
      <w:pPr>
        <w:ind w:left="4106" w:hanging="677"/>
      </w:pPr>
      <w:rPr>
        <w:rFonts w:hint="default"/>
        <w:lang w:val="vi" w:eastAsia="en-US" w:bidi="ar-SA"/>
      </w:rPr>
    </w:lvl>
    <w:lvl w:ilvl="7">
      <w:numFmt w:val="bullet"/>
      <w:lvlText w:val="•"/>
      <w:lvlJc w:val="left"/>
      <w:pPr>
        <w:ind w:left="5320" w:hanging="677"/>
      </w:pPr>
      <w:rPr>
        <w:rFonts w:hint="default"/>
        <w:lang w:val="vi" w:eastAsia="en-US" w:bidi="ar-SA"/>
      </w:rPr>
    </w:lvl>
    <w:lvl w:ilvl="8">
      <w:numFmt w:val="bullet"/>
      <w:lvlText w:val="•"/>
      <w:lvlJc w:val="left"/>
      <w:pPr>
        <w:ind w:left="6533" w:hanging="677"/>
      </w:pPr>
      <w:rPr>
        <w:rFonts w:hint="default"/>
        <w:lang w:val="vi" w:eastAsia="en-US" w:bidi="ar-SA"/>
      </w:rPr>
    </w:lvl>
  </w:abstractNum>
  <w:abstractNum w:abstractNumId="3" w15:restartNumberingAfterBreak="0">
    <w:nsid w:val="6D645B9E"/>
    <w:multiLevelType w:val="hybridMultilevel"/>
    <w:tmpl w:val="1448924A"/>
    <w:lvl w:ilvl="0" w:tplc="C48CD1C6">
      <w:start w:val="3"/>
      <w:numFmt w:val="bullet"/>
      <w:lvlText w:val=""/>
      <w:lvlJc w:val="left"/>
      <w:pPr>
        <w:ind w:left="384" w:hanging="360"/>
      </w:pPr>
      <w:rPr>
        <w:rFonts w:ascii="Symbol" w:eastAsia="Times New Roman" w:hAnsi="Symbol" w:cstheme="majorHAnsi"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num w:numId="1" w16cid:durableId="1080441250">
    <w:abstractNumId w:val="0"/>
  </w:num>
  <w:num w:numId="2" w16cid:durableId="937562195">
    <w:abstractNumId w:val="1"/>
  </w:num>
  <w:num w:numId="3" w16cid:durableId="147788320">
    <w:abstractNumId w:val="2"/>
  </w:num>
  <w:num w:numId="4" w16cid:durableId="2087459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6"/>
    <w:rsid w:val="00001FAD"/>
    <w:rsid w:val="0001217B"/>
    <w:rsid w:val="000145EF"/>
    <w:rsid w:val="00020FD4"/>
    <w:rsid w:val="0002748B"/>
    <w:rsid w:val="00030A04"/>
    <w:rsid w:val="00031F4A"/>
    <w:rsid w:val="00035775"/>
    <w:rsid w:val="00040258"/>
    <w:rsid w:val="00043AF9"/>
    <w:rsid w:val="000465C6"/>
    <w:rsid w:val="000466F6"/>
    <w:rsid w:val="000565D0"/>
    <w:rsid w:val="000608C3"/>
    <w:rsid w:val="00061781"/>
    <w:rsid w:val="00066F8C"/>
    <w:rsid w:val="00067C62"/>
    <w:rsid w:val="0007143A"/>
    <w:rsid w:val="00072647"/>
    <w:rsid w:val="00074DE0"/>
    <w:rsid w:val="0007643C"/>
    <w:rsid w:val="00083B08"/>
    <w:rsid w:val="0008434A"/>
    <w:rsid w:val="00084723"/>
    <w:rsid w:val="000A16D2"/>
    <w:rsid w:val="000B51F8"/>
    <w:rsid w:val="000B56C5"/>
    <w:rsid w:val="000C0442"/>
    <w:rsid w:val="000C4235"/>
    <w:rsid w:val="000D2985"/>
    <w:rsid w:val="000D3C4A"/>
    <w:rsid w:val="000D5C39"/>
    <w:rsid w:val="000E1796"/>
    <w:rsid w:val="000E1BAC"/>
    <w:rsid w:val="000E3DCD"/>
    <w:rsid w:val="000E561A"/>
    <w:rsid w:val="000F661C"/>
    <w:rsid w:val="00102B5D"/>
    <w:rsid w:val="00116A02"/>
    <w:rsid w:val="0012393A"/>
    <w:rsid w:val="00125115"/>
    <w:rsid w:val="00126236"/>
    <w:rsid w:val="00126787"/>
    <w:rsid w:val="00137D26"/>
    <w:rsid w:val="00140351"/>
    <w:rsid w:val="00142D58"/>
    <w:rsid w:val="00155797"/>
    <w:rsid w:val="0016333A"/>
    <w:rsid w:val="00167E71"/>
    <w:rsid w:val="0017225C"/>
    <w:rsid w:val="00172842"/>
    <w:rsid w:val="00175F9F"/>
    <w:rsid w:val="00177E44"/>
    <w:rsid w:val="0018186B"/>
    <w:rsid w:val="00187ACB"/>
    <w:rsid w:val="001916C3"/>
    <w:rsid w:val="00192593"/>
    <w:rsid w:val="001A60B3"/>
    <w:rsid w:val="001B1391"/>
    <w:rsid w:val="001B3174"/>
    <w:rsid w:val="001B3510"/>
    <w:rsid w:val="001B4EE7"/>
    <w:rsid w:val="001C0764"/>
    <w:rsid w:val="001C3E42"/>
    <w:rsid w:val="001D2B17"/>
    <w:rsid w:val="001D5307"/>
    <w:rsid w:val="001F1F76"/>
    <w:rsid w:val="001F22AA"/>
    <w:rsid w:val="001F5452"/>
    <w:rsid w:val="00204B02"/>
    <w:rsid w:val="00214957"/>
    <w:rsid w:val="00215894"/>
    <w:rsid w:val="00231D18"/>
    <w:rsid w:val="00246778"/>
    <w:rsid w:val="00246D56"/>
    <w:rsid w:val="00251756"/>
    <w:rsid w:val="00253B1B"/>
    <w:rsid w:val="00254FBC"/>
    <w:rsid w:val="00291AB4"/>
    <w:rsid w:val="002A0196"/>
    <w:rsid w:val="002A71C1"/>
    <w:rsid w:val="002B079D"/>
    <w:rsid w:val="002B667A"/>
    <w:rsid w:val="002B68D3"/>
    <w:rsid w:val="002C1934"/>
    <w:rsid w:val="002C48EB"/>
    <w:rsid w:val="002D0B0C"/>
    <w:rsid w:val="002E0B2F"/>
    <w:rsid w:val="002E5774"/>
    <w:rsid w:val="002E7041"/>
    <w:rsid w:val="002F5DAA"/>
    <w:rsid w:val="003054DB"/>
    <w:rsid w:val="00307C33"/>
    <w:rsid w:val="003121A9"/>
    <w:rsid w:val="0031466D"/>
    <w:rsid w:val="003226F3"/>
    <w:rsid w:val="003247E0"/>
    <w:rsid w:val="0033327F"/>
    <w:rsid w:val="00337CF6"/>
    <w:rsid w:val="00346BF1"/>
    <w:rsid w:val="003502C7"/>
    <w:rsid w:val="00355006"/>
    <w:rsid w:val="00363802"/>
    <w:rsid w:val="0036462A"/>
    <w:rsid w:val="003648B5"/>
    <w:rsid w:val="00387BB7"/>
    <w:rsid w:val="003950EF"/>
    <w:rsid w:val="00397275"/>
    <w:rsid w:val="003A7E34"/>
    <w:rsid w:val="003B0D47"/>
    <w:rsid w:val="003B146B"/>
    <w:rsid w:val="003C5F6B"/>
    <w:rsid w:val="003C5FF6"/>
    <w:rsid w:val="003D3895"/>
    <w:rsid w:val="003E5AAD"/>
    <w:rsid w:val="003F568D"/>
    <w:rsid w:val="00403536"/>
    <w:rsid w:val="00412B54"/>
    <w:rsid w:val="00415395"/>
    <w:rsid w:val="0042281B"/>
    <w:rsid w:val="0042387E"/>
    <w:rsid w:val="0042622C"/>
    <w:rsid w:val="004313AD"/>
    <w:rsid w:val="00434DFE"/>
    <w:rsid w:val="00451355"/>
    <w:rsid w:val="00472A1F"/>
    <w:rsid w:val="00474E8F"/>
    <w:rsid w:val="00477A05"/>
    <w:rsid w:val="00491C2F"/>
    <w:rsid w:val="004945E2"/>
    <w:rsid w:val="004974A2"/>
    <w:rsid w:val="004A2D1C"/>
    <w:rsid w:val="004B050B"/>
    <w:rsid w:val="004B4F66"/>
    <w:rsid w:val="004C08A5"/>
    <w:rsid w:val="004C4956"/>
    <w:rsid w:val="004C59AA"/>
    <w:rsid w:val="004D356B"/>
    <w:rsid w:val="004D615E"/>
    <w:rsid w:val="004D68D0"/>
    <w:rsid w:val="004E04ED"/>
    <w:rsid w:val="004E37F6"/>
    <w:rsid w:val="004E58C9"/>
    <w:rsid w:val="0050334F"/>
    <w:rsid w:val="00504A97"/>
    <w:rsid w:val="0050553D"/>
    <w:rsid w:val="00511E6B"/>
    <w:rsid w:val="005133E1"/>
    <w:rsid w:val="00515902"/>
    <w:rsid w:val="00521B43"/>
    <w:rsid w:val="00531ED9"/>
    <w:rsid w:val="005377D3"/>
    <w:rsid w:val="00541088"/>
    <w:rsid w:val="00552C29"/>
    <w:rsid w:val="00556AC7"/>
    <w:rsid w:val="00560A49"/>
    <w:rsid w:val="0057200E"/>
    <w:rsid w:val="005738C2"/>
    <w:rsid w:val="0058068A"/>
    <w:rsid w:val="00583D46"/>
    <w:rsid w:val="00584157"/>
    <w:rsid w:val="00586689"/>
    <w:rsid w:val="005A39DF"/>
    <w:rsid w:val="005B1441"/>
    <w:rsid w:val="005B3944"/>
    <w:rsid w:val="005B48B5"/>
    <w:rsid w:val="005D272B"/>
    <w:rsid w:val="005E066D"/>
    <w:rsid w:val="005E13FF"/>
    <w:rsid w:val="005E48DD"/>
    <w:rsid w:val="005E53C9"/>
    <w:rsid w:val="005E56F1"/>
    <w:rsid w:val="005E5F2B"/>
    <w:rsid w:val="005E7D14"/>
    <w:rsid w:val="005F0415"/>
    <w:rsid w:val="005F091E"/>
    <w:rsid w:val="005F6E09"/>
    <w:rsid w:val="00600AF4"/>
    <w:rsid w:val="0060439A"/>
    <w:rsid w:val="00604FA2"/>
    <w:rsid w:val="006119B5"/>
    <w:rsid w:val="00616AE8"/>
    <w:rsid w:val="006226F7"/>
    <w:rsid w:val="00622C1F"/>
    <w:rsid w:val="00623155"/>
    <w:rsid w:val="006339D4"/>
    <w:rsid w:val="00640178"/>
    <w:rsid w:val="00641826"/>
    <w:rsid w:val="006533C4"/>
    <w:rsid w:val="0065531C"/>
    <w:rsid w:val="00657055"/>
    <w:rsid w:val="006611A4"/>
    <w:rsid w:val="00666192"/>
    <w:rsid w:val="00687B65"/>
    <w:rsid w:val="00691468"/>
    <w:rsid w:val="006A0195"/>
    <w:rsid w:val="006B547E"/>
    <w:rsid w:val="006C2B10"/>
    <w:rsid w:val="006C6D5D"/>
    <w:rsid w:val="006D736F"/>
    <w:rsid w:val="006D7DA7"/>
    <w:rsid w:val="006E377F"/>
    <w:rsid w:val="00702FD9"/>
    <w:rsid w:val="00703B2F"/>
    <w:rsid w:val="00713FF4"/>
    <w:rsid w:val="0071594A"/>
    <w:rsid w:val="00724E39"/>
    <w:rsid w:val="00736937"/>
    <w:rsid w:val="00736AFD"/>
    <w:rsid w:val="007415E7"/>
    <w:rsid w:val="00743764"/>
    <w:rsid w:val="00745DAC"/>
    <w:rsid w:val="00747955"/>
    <w:rsid w:val="0075616D"/>
    <w:rsid w:val="007562ED"/>
    <w:rsid w:val="007616AD"/>
    <w:rsid w:val="007803E2"/>
    <w:rsid w:val="007948E0"/>
    <w:rsid w:val="007A49C5"/>
    <w:rsid w:val="007A4AFC"/>
    <w:rsid w:val="007A4C82"/>
    <w:rsid w:val="007A69A5"/>
    <w:rsid w:val="007B7805"/>
    <w:rsid w:val="007B7D87"/>
    <w:rsid w:val="007C4196"/>
    <w:rsid w:val="007C5EE1"/>
    <w:rsid w:val="007C62DB"/>
    <w:rsid w:val="007C6651"/>
    <w:rsid w:val="007D2967"/>
    <w:rsid w:val="007D36A6"/>
    <w:rsid w:val="007D47FB"/>
    <w:rsid w:val="007E3431"/>
    <w:rsid w:val="007F3E25"/>
    <w:rsid w:val="00804ED0"/>
    <w:rsid w:val="008109F0"/>
    <w:rsid w:val="00815D5B"/>
    <w:rsid w:val="00821431"/>
    <w:rsid w:val="00827EF4"/>
    <w:rsid w:val="008312D4"/>
    <w:rsid w:val="008374F8"/>
    <w:rsid w:val="00837762"/>
    <w:rsid w:val="008538C6"/>
    <w:rsid w:val="00860783"/>
    <w:rsid w:val="008616B5"/>
    <w:rsid w:val="00865156"/>
    <w:rsid w:val="0086551B"/>
    <w:rsid w:val="00877328"/>
    <w:rsid w:val="00880301"/>
    <w:rsid w:val="00885331"/>
    <w:rsid w:val="0089022B"/>
    <w:rsid w:val="00896161"/>
    <w:rsid w:val="008A2A1F"/>
    <w:rsid w:val="008A511D"/>
    <w:rsid w:val="008A617F"/>
    <w:rsid w:val="008A74DF"/>
    <w:rsid w:val="008A790C"/>
    <w:rsid w:val="008B161C"/>
    <w:rsid w:val="008B29BE"/>
    <w:rsid w:val="008B2CBB"/>
    <w:rsid w:val="008B679B"/>
    <w:rsid w:val="008B722C"/>
    <w:rsid w:val="008C0CE9"/>
    <w:rsid w:val="008C3496"/>
    <w:rsid w:val="008D06B6"/>
    <w:rsid w:val="008D0C61"/>
    <w:rsid w:val="008E1543"/>
    <w:rsid w:val="008E521F"/>
    <w:rsid w:val="008F1537"/>
    <w:rsid w:val="009059D4"/>
    <w:rsid w:val="009061B7"/>
    <w:rsid w:val="00914ECC"/>
    <w:rsid w:val="00920FB0"/>
    <w:rsid w:val="009276F8"/>
    <w:rsid w:val="0093265F"/>
    <w:rsid w:val="009447B3"/>
    <w:rsid w:val="00953DCB"/>
    <w:rsid w:val="009649F3"/>
    <w:rsid w:val="00970904"/>
    <w:rsid w:val="00973BE4"/>
    <w:rsid w:val="009747E8"/>
    <w:rsid w:val="00974C7F"/>
    <w:rsid w:val="0097604B"/>
    <w:rsid w:val="00980495"/>
    <w:rsid w:val="0098534C"/>
    <w:rsid w:val="009878FD"/>
    <w:rsid w:val="00987A2A"/>
    <w:rsid w:val="009A1FF8"/>
    <w:rsid w:val="009B7885"/>
    <w:rsid w:val="009C4D74"/>
    <w:rsid w:val="009D5E43"/>
    <w:rsid w:val="009E21E6"/>
    <w:rsid w:val="009E26C9"/>
    <w:rsid w:val="009E5274"/>
    <w:rsid w:val="009F50CC"/>
    <w:rsid w:val="00A0278C"/>
    <w:rsid w:val="00A04C07"/>
    <w:rsid w:val="00A1153F"/>
    <w:rsid w:val="00A11B36"/>
    <w:rsid w:val="00A15773"/>
    <w:rsid w:val="00A20934"/>
    <w:rsid w:val="00A22618"/>
    <w:rsid w:val="00A2642B"/>
    <w:rsid w:val="00A33AA3"/>
    <w:rsid w:val="00A36991"/>
    <w:rsid w:val="00A36B64"/>
    <w:rsid w:val="00A402CA"/>
    <w:rsid w:val="00A4449E"/>
    <w:rsid w:val="00A447DC"/>
    <w:rsid w:val="00A4743D"/>
    <w:rsid w:val="00A66F14"/>
    <w:rsid w:val="00A74043"/>
    <w:rsid w:val="00A75145"/>
    <w:rsid w:val="00A803BE"/>
    <w:rsid w:val="00A808D5"/>
    <w:rsid w:val="00A80D25"/>
    <w:rsid w:val="00A92275"/>
    <w:rsid w:val="00A93F50"/>
    <w:rsid w:val="00A94E05"/>
    <w:rsid w:val="00A968C8"/>
    <w:rsid w:val="00AA0C80"/>
    <w:rsid w:val="00AA36EF"/>
    <w:rsid w:val="00AB5586"/>
    <w:rsid w:val="00AB6EF3"/>
    <w:rsid w:val="00AC2638"/>
    <w:rsid w:val="00AC2F38"/>
    <w:rsid w:val="00AF0624"/>
    <w:rsid w:val="00AF07B6"/>
    <w:rsid w:val="00AF5EB3"/>
    <w:rsid w:val="00B0107F"/>
    <w:rsid w:val="00B06B4D"/>
    <w:rsid w:val="00B06D96"/>
    <w:rsid w:val="00B073BB"/>
    <w:rsid w:val="00B27A6C"/>
    <w:rsid w:val="00B34048"/>
    <w:rsid w:val="00B35BB5"/>
    <w:rsid w:val="00B40192"/>
    <w:rsid w:val="00B409C5"/>
    <w:rsid w:val="00B43CE5"/>
    <w:rsid w:val="00B44C7C"/>
    <w:rsid w:val="00B47186"/>
    <w:rsid w:val="00B52CB8"/>
    <w:rsid w:val="00B54DDA"/>
    <w:rsid w:val="00B573CD"/>
    <w:rsid w:val="00B62C94"/>
    <w:rsid w:val="00B6510B"/>
    <w:rsid w:val="00B70E0C"/>
    <w:rsid w:val="00B712C8"/>
    <w:rsid w:val="00B81976"/>
    <w:rsid w:val="00B93C5E"/>
    <w:rsid w:val="00BA640F"/>
    <w:rsid w:val="00BA6FF6"/>
    <w:rsid w:val="00BA763A"/>
    <w:rsid w:val="00BB015F"/>
    <w:rsid w:val="00BB279B"/>
    <w:rsid w:val="00BB4C27"/>
    <w:rsid w:val="00BB7EAB"/>
    <w:rsid w:val="00BC1580"/>
    <w:rsid w:val="00BC48E5"/>
    <w:rsid w:val="00BD40E3"/>
    <w:rsid w:val="00BE5248"/>
    <w:rsid w:val="00BE59B5"/>
    <w:rsid w:val="00BF1836"/>
    <w:rsid w:val="00BF5A16"/>
    <w:rsid w:val="00BF60A9"/>
    <w:rsid w:val="00C03441"/>
    <w:rsid w:val="00C1688E"/>
    <w:rsid w:val="00C16FB4"/>
    <w:rsid w:val="00C21354"/>
    <w:rsid w:val="00C27D96"/>
    <w:rsid w:val="00C30BA6"/>
    <w:rsid w:val="00C30DFE"/>
    <w:rsid w:val="00C32911"/>
    <w:rsid w:val="00C335D0"/>
    <w:rsid w:val="00C50899"/>
    <w:rsid w:val="00C55B3C"/>
    <w:rsid w:val="00C65802"/>
    <w:rsid w:val="00C6607D"/>
    <w:rsid w:val="00C83158"/>
    <w:rsid w:val="00C849FC"/>
    <w:rsid w:val="00C86634"/>
    <w:rsid w:val="00C92FA8"/>
    <w:rsid w:val="00C94884"/>
    <w:rsid w:val="00CA1C16"/>
    <w:rsid w:val="00CC11C3"/>
    <w:rsid w:val="00CC43CE"/>
    <w:rsid w:val="00CC6107"/>
    <w:rsid w:val="00CC7207"/>
    <w:rsid w:val="00CD28BF"/>
    <w:rsid w:val="00CE3501"/>
    <w:rsid w:val="00CE520A"/>
    <w:rsid w:val="00CE57A0"/>
    <w:rsid w:val="00CE654B"/>
    <w:rsid w:val="00CE77D1"/>
    <w:rsid w:val="00D044A3"/>
    <w:rsid w:val="00D12B78"/>
    <w:rsid w:val="00D1417F"/>
    <w:rsid w:val="00D1423D"/>
    <w:rsid w:val="00D1516F"/>
    <w:rsid w:val="00D151FB"/>
    <w:rsid w:val="00D153F0"/>
    <w:rsid w:val="00D23BA0"/>
    <w:rsid w:val="00D308FF"/>
    <w:rsid w:val="00D33D8D"/>
    <w:rsid w:val="00D40CAC"/>
    <w:rsid w:val="00D47E43"/>
    <w:rsid w:val="00D60CA4"/>
    <w:rsid w:val="00D63708"/>
    <w:rsid w:val="00D67E95"/>
    <w:rsid w:val="00D80310"/>
    <w:rsid w:val="00D829E9"/>
    <w:rsid w:val="00D9008F"/>
    <w:rsid w:val="00D908A4"/>
    <w:rsid w:val="00DB5F0B"/>
    <w:rsid w:val="00DC4F56"/>
    <w:rsid w:val="00DC7889"/>
    <w:rsid w:val="00DD4D08"/>
    <w:rsid w:val="00DE3BFA"/>
    <w:rsid w:val="00DE62AC"/>
    <w:rsid w:val="00DF3487"/>
    <w:rsid w:val="00DF458F"/>
    <w:rsid w:val="00DF5851"/>
    <w:rsid w:val="00E1138E"/>
    <w:rsid w:val="00E12B75"/>
    <w:rsid w:val="00E146B5"/>
    <w:rsid w:val="00E206B0"/>
    <w:rsid w:val="00E2751A"/>
    <w:rsid w:val="00E32A1C"/>
    <w:rsid w:val="00E4074F"/>
    <w:rsid w:val="00E46398"/>
    <w:rsid w:val="00E61D6E"/>
    <w:rsid w:val="00E63E11"/>
    <w:rsid w:val="00E656EC"/>
    <w:rsid w:val="00E71D90"/>
    <w:rsid w:val="00E724D7"/>
    <w:rsid w:val="00E742C1"/>
    <w:rsid w:val="00E74EA7"/>
    <w:rsid w:val="00E77DB6"/>
    <w:rsid w:val="00E80593"/>
    <w:rsid w:val="00E8513A"/>
    <w:rsid w:val="00E911EF"/>
    <w:rsid w:val="00E96FE6"/>
    <w:rsid w:val="00E979C9"/>
    <w:rsid w:val="00EB4AE7"/>
    <w:rsid w:val="00EC4692"/>
    <w:rsid w:val="00ED119A"/>
    <w:rsid w:val="00ED121D"/>
    <w:rsid w:val="00ED3B01"/>
    <w:rsid w:val="00ED7918"/>
    <w:rsid w:val="00ED7F40"/>
    <w:rsid w:val="00EE48A4"/>
    <w:rsid w:val="00EF0372"/>
    <w:rsid w:val="00EF1B2B"/>
    <w:rsid w:val="00EF2088"/>
    <w:rsid w:val="00F01773"/>
    <w:rsid w:val="00F02E03"/>
    <w:rsid w:val="00F02E3E"/>
    <w:rsid w:val="00F1535B"/>
    <w:rsid w:val="00F212BE"/>
    <w:rsid w:val="00F2401B"/>
    <w:rsid w:val="00F2602E"/>
    <w:rsid w:val="00F271BC"/>
    <w:rsid w:val="00F40795"/>
    <w:rsid w:val="00F40EC4"/>
    <w:rsid w:val="00F53F8B"/>
    <w:rsid w:val="00F56C06"/>
    <w:rsid w:val="00F62F75"/>
    <w:rsid w:val="00F64406"/>
    <w:rsid w:val="00F66AD9"/>
    <w:rsid w:val="00F67E0C"/>
    <w:rsid w:val="00F74112"/>
    <w:rsid w:val="00F74C95"/>
    <w:rsid w:val="00F76747"/>
    <w:rsid w:val="00F83D45"/>
    <w:rsid w:val="00F93CBF"/>
    <w:rsid w:val="00F96066"/>
    <w:rsid w:val="00F96945"/>
    <w:rsid w:val="00F96EF2"/>
    <w:rsid w:val="00FA2B0E"/>
    <w:rsid w:val="00FA5013"/>
    <w:rsid w:val="00FA5CFD"/>
    <w:rsid w:val="00FC2296"/>
    <w:rsid w:val="00FC22D1"/>
    <w:rsid w:val="00FE42E6"/>
    <w:rsid w:val="00FE6734"/>
    <w:rsid w:val="00FF3686"/>
    <w:rsid w:val="00FF77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50DCB"/>
  <w15:docId w15:val="{8883543E-0556-4873-9C78-8441C213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1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21E6"/>
    <w:pPr>
      <w:tabs>
        <w:tab w:val="center" w:pos="4320"/>
        <w:tab w:val="right" w:pos="8640"/>
      </w:tabs>
    </w:pPr>
    <w:rPr>
      <w:lang w:val="x-none" w:eastAsia="x-none"/>
    </w:rPr>
  </w:style>
  <w:style w:type="character" w:customStyle="1" w:styleId="FooterChar">
    <w:name w:val="Footer Char"/>
    <w:basedOn w:val="DefaultParagraphFont"/>
    <w:link w:val="Footer"/>
    <w:rsid w:val="009E21E6"/>
    <w:rPr>
      <w:rFonts w:ascii="Times New Roman" w:eastAsia="Times New Roman" w:hAnsi="Times New Roman" w:cs="Times New Roman"/>
      <w:sz w:val="24"/>
      <w:szCs w:val="24"/>
      <w:lang w:val="x-none" w:eastAsia="x-none"/>
    </w:rPr>
  </w:style>
  <w:style w:type="character" w:styleId="PageNumber">
    <w:name w:val="page number"/>
    <w:basedOn w:val="DefaultParagraphFont"/>
    <w:rsid w:val="009E21E6"/>
  </w:style>
  <w:style w:type="paragraph" w:styleId="Header">
    <w:name w:val="header"/>
    <w:basedOn w:val="Normal"/>
    <w:link w:val="HeaderChar"/>
    <w:uiPriority w:val="99"/>
    <w:unhideWhenUsed/>
    <w:rsid w:val="009E21E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E21E6"/>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9E21E6"/>
    <w:pPr>
      <w:spacing w:after="120"/>
      <w:ind w:left="360"/>
    </w:pPr>
    <w:rPr>
      <w:lang w:val="x-none" w:eastAsia="x-none"/>
    </w:rPr>
  </w:style>
  <w:style w:type="character" w:customStyle="1" w:styleId="BodyTextIndentChar">
    <w:name w:val="Body Text Indent Char"/>
    <w:basedOn w:val="DefaultParagraphFont"/>
    <w:link w:val="BodyTextIndent"/>
    <w:rsid w:val="009E21E6"/>
    <w:rPr>
      <w:rFonts w:ascii="Times New Roman" w:eastAsia="Times New Roman" w:hAnsi="Times New Roman" w:cs="Times New Roman"/>
      <w:sz w:val="24"/>
      <w:szCs w:val="24"/>
      <w:lang w:val="x-none" w:eastAsia="x-none"/>
    </w:rPr>
  </w:style>
  <w:style w:type="paragraph" w:styleId="ListParagraph">
    <w:name w:val="List Paragraph"/>
    <w:aliases w:val="Bullet List,FooterText,List Paragraph1,Colorful List Accent 1,Colorful List - Accent 11,Colorful List - Accent 111,列?出?段?落,Parágrafo da Lista,Dot pt,F5 List Paragraph,Indicator Text,Bullet 1,numbered,Paragraphe de liste1,列出段落1,No Spacing1"/>
    <w:basedOn w:val="Normal"/>
    <w:link w:val="ListParagraphChar"/>
    <w:uiPriority w:val="1"/>
    <w:qFormat/>
    <w:rsid w:val="009E21E6"/>
    <w:pPr>
      <w:ind w:left="720"/>
      <w:contextualSpacing/>
    </w:pPr>
  </w:style>
  <w:style w:type="character" w:customStyle="1" w:styleId="ListParagraphChar">
    <w:name w:val="List Paragraph Char"/>
    <w:aliases w:val="Bullet List Char,FooterText Char,List Paragraph1 Char,Colorful List Accent 1 Char,Colorful List - Accent 11 Char,Colorful List - Accent 111 Char,列?出?段?落 Char,Parágrafo da Lista Char,Dot pt Char,F5 List Paragraph Char,Bullet 1 Char"/>
    <w:link w:val="ListParagraph"/>
    <w:uiPriority w:val="34"/>
    <w:rsid w:val="009E21E6"/>
    <w:rPr>
      <w:rFonts w:ascii="Times New Roman" w:eastAsia="Times New Roman" w:hAnsi="Times New Roman" w:cs="Times New Roman"/>
      <w:sz w:val="24"/>
      <w:szCs w:val="24"/>
      <w:lang w:val="en-US"/>
    </w:rPr>
  </w:style>
  <w:style w:type="paragraph" w:styleId="Revision">
    <w:name w:val="Revision"/>
    <w:hidden/>
    <w:uiPriority w:val="99"/>
    <w:semiHidden/>
    <w:rsid w:val="006C6D5D"/>
    <w:pPr>
      <w:spacing w:after="0" w:line="240" w:lineRule="auto"/>
    </w:pPr>
    <w:rPr>
      <w:rFonts w:ascii="Times New Roman" w:eastAsia="Times New Roman" w:hAnsi="Times New Roman" w:cs="Times New Roman"/>
      <w:sz w:val="24"/>
      <w:szCs w:val="24"/>
      <w:lang w:val="en-US"/>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qFormat/>
    <w:rsid w:val="00EF0372"/>
    <w:pPr>
      <w:spacing w:before="100" w:beforeAutospacing="1" w:after="100" w:afterAutospacing="1"/>
    </w:p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rsid w:val="00EF037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3265F"/>
    <w:rPr>
      <w:rFonts w:ascii="Tahoma" w:hAnsi="Tahoma" w:cs="Tahoma"/>
      <w:sz w:val="16"/>
      <w:szCs w:val="16"/>
    </w:rPr>
  </w:style>
  <w:style w:type="character" w:customStyle="1" w:styleId="BalloonTextChar">
    <w:name w:val="Balloon Text Char"/>
    <w:basedOn w:val="DefaultParagraphFont"/>
    <w:link w:val="BalloonText"/>
    <w:uiPriority w:val="99"/>
    <w:semiHidden/>
    <w:rsid w:val="0093265F"/>
    <w:rPr>
      <w:rFonts w:ascii="Tahoma" w:eastAsia="Times New Roman" w:hAnsi="Tahoma" w:cs="Tahoma"/>
      <w:sz w:val="16"/>
      <w:szCs w:val="16"/>
      <w:lang w:val="en-US"/>
    </w:rPr>
  </w:style>
  <w:style w:type="character" w:customStyle="1" w:styleId="fontstyle01">
    <w:name w:val="fontstyle01"/>
    <w:rsid w:val="00D308FF"/>
    <w:rPr>
      <w:rFonts w:ascii="Times New Roman" w:hAnsi="Times New Roman" w:cs="Times New Roman" w:hint="default"/>
      <w:b w:val="0"/>
      <w:bCs w:val="0"/>
      <w:i w:val="0"/>
      <w:iCs w:val="0"/>
      <w:color w:val="000000"/>
      <w:sz w:val="28"/>
      <w:szCs w:val="28"/>
    </w:rPr>
  </w:style>
  <w:style w:type="paragraph" w:customStyle="1" w:styleId="Default">
    <w:name w:val="Default"/>
    <w:rsid w:val="00D308F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fn,ft C"/>
    <w:basedOn w:val="Normal"/>
    <w:link w:val="FootnoteTextChar"/>
    <w:uiPriority w:val="99"/>
    <w:unhideWhenUsed/>
    <w:qFormat/>
    <w:rsid w:val="009276F8"/>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fn Char,ft C Char"/>
    <w:basedOn w:val="DefaultParagraphFont"/>
    <w:link w:val="FootnoteText"/>
    <w:uiPriority w:val="99"/>
    <w:qFormat/>
    <w:rsid w:val="009276F8"/>
    <w:rPr>
      <w:rFonts w:ascii="Times New Roman" w:eastAsia="Arial" w:hAnsi="Times New Roman" w:cs="Times New Roman"/>
      <w:sz w:val="20"/>
      <w:szCs w:val="20"/>
      <w:lang w:eastAsia="x-none"/>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link w:val="RefChar"/>
    <w:uiPriority w:val="99"/>
    <w:unhideWhenUsed/>
    <w:qFormat/>
    <w:rsid w:val="009276F8"/>
    <w:rPr>
      <w:vertAlign w:val="superscript"/>
    </w:rPr>
  </w:style>
  <w:style w:type="character" w:styleId="Hyperlink">
    <w:name w:val="Hyperlink"/>
    <w:uiPriority w:val="99"/>
    <w:semiHidden/>
    <w:unhideWhenUsed/>
    <w:rsid w:val="009276F8"/>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9276F8"/>
    <w:pPr>
      <w:spacing w:after="160" w:line="240" w:lineRule="exact"/>
    </w:pPr>
    <w:rPr>
      <w:rFonts w:asciiTheme="minorHAnsi" w:eastAsiaTheme="minorHAnsi" w:hAnsiTheme="minorHAnsi" w:cstheme="minorBidi"/>
      <w:sz w:val="22"/>
      <w:szCs w:val="22"/>
      <w:vertAlign w:val="superscript"/>
      <w:lang w:val="vi-VN"/>
    </w:rPr>
  </w:style>
  <w:style w:type="table" w:styleId="TableGrid">
    <w:name w:val="Table Grid"/>
    <w:basedOn w:val="TableNormal"/>
    <w:uiPriority w:val="59"/>
    <w:rsid w:val="00A75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338">
      <w:bodyDiv w:val="1"/>
      <w:marLeft w:val="0"/>
      <w:marRight w:val="0"/>
      <w:marTop w:val="0"/>
      <w:marBottom w:val="0"/>
      <w:divBdr>
        <w:top w:val="none" w:sz="0" w:space="0" w:color="auto"/>
        <w:left w:val="none" w:sz="0" w:space="0" w:color="auto"/>
        <w:bottom w:val="none" w:sz="0" w:space="0" w:color="auto"/>
        <w:right w:val="none" w:sz="0" w:space="0" w:color="auto"/>
      </w:divBdr>
    </w:div>
    <w:div w:id="125006653">
      <w:bodyDiv w:val="1"/>
      <w:marLeft w:val="0"/>
      <w:marRight w:val="0"/>
      <w:marTop w:val="0"/>
      <w:marBottom w:val="0"/>
      <w:divBdr>
        <w:top w:val="none" w:sz="0" w:space="0" w:color="auto"/>
        <w:left w:val="none" w:sz="0" w:space="0" w:color="auto"/>
        <w:bottom w:val="none" w:sz="0" w:space="0" w:color="auto"/>
        <w:right w:val="none" w:sz="0" w:space="0" w:color="auto"/>
      </w:divBdr>
    </w:div>
    <w:div w:id="521091206">
      <w:bodyDiv w:val="1"/>
      <w:marLeft w:val="0"/>
      <w:marRight w:val="0"/>
      <w:marTop w:val="0"/>
      <w:marBottom w:val="0"/>
      <w:divBdr>
        <w:top w:val="none" w:sz="0" w:space="0" w:color="auto"/>
        <w:left w:val="none" w:sz="0" w:space="0" w:color="auto"/>
        <w:bottom w:val="none" w:sz="0" w:space="0" w:color="auto"/>
        <w:right w:val="none" w:sz="0" w:space="0" w:color="auto"/>
      </w:divBdr>
    </w:div>
    <w:div w:id="1386560390">
      <w:bodyDiv w:val="1"/>
      <w:marLeft w:val="0"/>
      <w:marRight w:val="0"/>
      <w:marTop w:val="0"/>
      <w:marBottom w:val="0"/>
      <w:divBdr>
        <w:top w:val="none" w:sz="0" w:space="0" w:color="auto"/>
        <w:left w:val="none" w:sz="0" w:space="0" w:color="auto"/>
        <w:bottom w:val="none" w:sz="0" w:space="0" w:color="auto"/>
        <w:right w:val="none" w:sz="0" w:space="0" w:color="auto"/>
      </w:divBdr>
    </w:div>
    <w:div w:id="1394936580">
      <w:bodyDiv w:val="1"/>
      <w:marLeft w:val="0"/>
      <w:marRight w:val="0"/>
      <w:marTop w:val="0"/>
      <w:marBottom w:val="0"/>
      <w:divBdr>
        <w:top w:val="none" w:sz="0" w:space="0" w:color="auto"/>
        <w:left w:val="none" w:sz="0" w:space="0" w:color="auto"/>
        <w:bottom w:val="none" w:sz="0" w:space="0" w:color="auto"/>
        <w:right w:val="none" w:sz="0" w:space="0" w:color="auto"/>
      </w:divBdr>
    </w:div>
    <w:div w:id="1401488900">
      <w:bodyDiv w:val="1"/>
      <w:marLeft w:val="0"/>
      <w:marRight w:val="0"/>
      <w:marTop w:val="0"/>
      <w:marBottom w:val="0"/>
      <w:divBdr>
        <w:top w:val="none" w:sz="0" w:space="0" w:color="auto"/>
        <w:left w:val="none" w:sz="0" w:space="0" w:color="auto"/>
        <w:bottom w:val="none" w:sz="0" w:space="0" w:color="auto"/>
        <w:right w:val="none" w:sz="0" w:space="0" w:color="auto"/>
      </w:divBdr>
    </w:div>
    <w:div w:id="1538739244">
      <w:bodyDiv w:val="1"/>
      <w:marLeft w:val="0"/>
      <w:marRight w:val="0"/>
      <w:marTop w:val="0"/>
      <w:marBottom w:val="0"/>
      <w:divBdr>
        <w:top w:val="none" w:sz="0" w:space="0" w:color="auto"/>
        <w:left w:val="none" w:sz="0" w:space="0" w:color="auto"/>
        <w:bottom w:val="none" w:sz="0" w:space="0" w:color="auto"/>
        <w:right w:val="none" w:sz="0" w:space="0" w:color="auto"/>
      </w:divBdr>
    </w:div>
    <w:div w:id="1679504177">
      <w:bodyDiv w:val="1"/>
      <w:marLeft w:val="0"/>
      <w:marRight w:val="0"/>
      <w:marTop w:val="0"/>
      <w:marBottom w:val="0"/>
      <w:divBdr>
        <w:top w:val="none" w:sz="0" w:space="0" w:color="auto"/>
        <w:left w:val="none" w:sz="0" w:space="0" w:color="auto"/>
        <w:bottom w:val="none" w:sz="0" w:space="0" w:color="auto"/>
        <w:right w:val="none" w:sz="0" w:space="0" w:color="auto"/>
      </w:divBdr>
    </w:div>
    <w:div w:id="1961835927">
      <w:bodyDiv w:val="1"/>
      <w:marLeft w:val="0"/>
      <w:marRight w:val="0"/>
      <w:marTop w:val="0"/>
      <w:marBottom w:val="0"/>
      <w:divBdr>
        <w:top w:val="none" w:sz="0" w:space="0" w:color="auto"/>
        <w:left w:val="none" w:sz="0" w:space="0" w:color="auto"/>
        <w:bottom w:val="none" w:sz="0" w:space="0" w:color="auto"/>
        <w:right w:val="none" w:sz="0" w:space="0" w:color="auto"/>
      </w:divBdr>
      <w:divsChild>
        <w:div w:id="1626353904">
          <w:marLeft w:val="0"/>
          <w:marRight w:val="0"/>
          <w:marTop w:val="0"/>
          <w:marBottom w:val="0"/>
          <w:divBdr>
            <w:top w:val="none" w:sz="0" w:space="0" w:color="auto"/>
            <w:left w:val="none" w:sz="0" w:space="0" w:color="auto"/>
            <w:bottom w:val="none" w:sz="0" w:space="0" w:color="auto"/>
            <w:right w:val="none" w:sz="0" w:space="0" w:color="auto"/>
          </w:divBdr>
          <w:divsChild>
            <w:div w:id="12412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5E6C-6821-478A-849B-7D7A8621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WIN7x64</dc:creator>
  <cp:lastModifiedBy>Minh Duc Duong</cp:lastModifiedBy>
  <cp:revision>60</cp:revision>
  <cp:lastPrinted>2025-09-15T06:52:00Z</cp:lastPrinted>
  <dcterms:created xsi:type="dcterms:W3CDTF">2026-01-26T13:34:00Z</dcterms:created>
  <dcterms:modified xsi:type="dcterms:W3CDTF">2026-04-13T08:12:00Z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6dbdb9148de090ce2742b7c09c1a5edaa92e1fb567a7ee810b6e2abafb1ba674</vt:lpwstr>
  </property>
</Properties>
</file>