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2735"/>
        <w:gridCol w:w="6620"/>
      </w:tblGrid>
      <w:tr w:rsidR="00234A04" w:rsidRPr="00572BAD" w14:paraId="0CBC8A4B" w14:textId="77777777" w:rsidTr="0055632B">
        <w:tc>
          <w:tcPr>
            <w:tcW w:w="2694" w:type="dxa"/>
            <w:tcMar>
              <w:top w:w="0" w:type="dxa"/>
              <w:left w:w="108" w:type="dxa"/>
              <w:bottom w:w="0" w:type="dxa"/>
              <w:right w:w="108" w:type="dxa"/>
            </w:tcMar>
          </w:tcPr>
          <w:p w14:paraId="0633352D" w14:textId="77777777" w:rsidR="00234A04" w:rsidRPr="00572BAD" w:rsidRDefault="0055632B" w:rsidP="0027678D">
            <w:pPr>
              <w:spacing w:before="120" w:line="276" w:lineRule="auto"/>
              <w:jc w:val="center"/>
              <w:rPr>
                <w:sz w:val="28"/>
                <w:szCs w:val="28"/>
              </w:rPr>
            </w:pPr>
            <w:r>
              <w:rPr>
                <w:b/>
                <w:bCs/>
                <w:noProof/>
                <w:sz w:val="28"/>
                <w:szCs w:val="28"/>
              </w:rPr>
              <mc:AlternateContent>
                <mc:Choice Requires="wps">
                  <w:drawing>
                    <wp:anchor distT="0" distB="0" distL="114300" distR="114300" simplePos="0" relativeHeight="251660288" behindDoc="0" locked="0" layoutInCell="1" allowOverlap="1" wp14:anchorId="1561B2CB" wp14:editId="6014C2DA">
                      <wp:simplePos x="0" y="0"/>
                      <wp:positionH relativeFrom="column">
                        <wp:posOffset>471805</wp:posOffset>
                      </wp:positionH>
                      <wp:positionV relativeFrom="paragraph">
                        <wp:posOffset>297815</wp:posOffset>
                      </wp:positionV>
                      <wp:extent cx="561109" cy="0"/>
                      <wp:effectExtent l="0" t="0" r="0" b="0"/>
                      <wp:wrapNone/>
                      <wp:docPr id="1253506655" name="Straight Connector 3"/>
                      <wp:cNvGraphicFramePr/>
                      <a:graphic xmlns:a="http://schemas.openxmlformats.org/drawingml/2006/main">
                        <a:graphicData uri="http://schemas.microsoft.com/office/word/2010/wordprocessingShape">
                          <wps:wsp>
                            <wps:cNvCnPr/>
                            <wps:spPr>
                              <a:xfrm flipV="1">
                                <a:off x="0" y="0"/>
                                <a:ext cx="5611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9656EF4" id="Straight Connector 3"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15pt,23.45pt" to="81.3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" strokecolor="black [3200]" strokeweight=".5pt">
                      <v:stroke joinstyle="miter"/>
                    </v:line>
                  </w:pict>
                </mc:Fallback>
              </mc:AlternateContent>
            </w:r>
            <w:r w:rsidR="00234A04" w:rsidRPr="00572BAD">
              <w:rPr>
                <w:b/>
                <w:bCs/>
                <w:sz w:val="28"/>
                <w:szCs w:val="28"/>
              </w:rPr>
              <w:t>BỘ Y TẾ</w:t>
            </w:r>
            <w:r w:rsidR="00234A04" w:rsidRPr="00572BAD">
              <w:rPr>
                <w:sz w:val="28"/>
                <w:szCs w:val="28"/>
              </w:rPr>
              <w:br/>
            </w:r>
          </w:p>
        </w:tc>
        <w:tc>
          <w:tcPr>
            <w:tcW w:w="6520" w:type="dxa"/>
            <w:tcMar>
              <w:top w:w="0" w:type="dxa"/>
              <w:left w:w="108" w:type="dxa"/>
              <w:bottom w:w="0" w:type="dxa"/>
              <w:right w:w="108" w:type="dxa"/>
            </w:tcMar>
          </w:tcPr>
          <w:p w14:paraId="758BBC1D" w14:textId="77777777" w:rsidR="00234A04" w:rsidRPr="00572BAD" w:rsidRDefault="00695469" w:rsidP="0027678D">
            <w:pPr>
              <w:spacing w:before="120" w:line="276" w:lineRule="auto"/>
              <w:jc w:val="center"/>
              <w:rPr>
                <w:sz w:val="28"/>
                <w:szCs w:val="28"/>
              </w:rPr>
            </w:pPr>
            <w:r w:rsidRPr="00572BAD">
              <w:rPr>
                <w:noProof/>
                <w:sz w:val="28"/>
                <w:szCs w:val="28"/>
              </w:rPr>
              <mc:AlternateContent>
                <mc:Choice Requires="wps">
                  <w:drawing>
                    <wp:anchor distT="4294967295" distB="4294967295" distL="114300" distR="114300" simplePos="0" relativeHeight="251657728" behindDoc="0" locked="0" layoutInCell="1" allowOverlap="1" wp14:anchorId="17840C60" wp14:editId="3FDB76EC">
                      <wp:simplePos x="0" y="0"/>
                      <wp:positionH relativeFrom="column">
                        <wp:posOffset>922655</wp:posOffset>
                      </wp:positionH>
                      <wp:positionV relativeFrom="paragraph">
                        <wp:posOffset>512444</wp:posOffset>
                      </wp:positionV>
                      <wp:extent cx="2057400" cy="0"/>
                      <wp:effectExtent l="0" t="0" r="0" b="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D50CD6" id="Line 5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65pt,40.35pt" to="234.6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" strokeweight=".5pt">
                      <o:lock v:ext="edit" shapetype="f"/>
                    </v:line>
                  </w:pict>
                </mc:Fallback>
              </mc:AlternateContent>
            </w:r>
            <w:r w:rsidR="00234A04" w:rsidRPr="00572BAD">
              <w:rPr>
                <w:b/>
                <w:bCs/>
                <w:sz w:val="28"/>
                <w:szCs w:val="28"/>
              </w:rPr>
              <w:t>CỘNG HÒA XÃ HỘI CHỦ NGHĨA VIỆT NAM</w:t>
            </w:r>
            <w:r w:rsidR="00234A04" w:rsidRPr="00572BAD">
              <w:rPr>
                <w:b/>
                <w:bCs/>
                <w:sz w:val="28"/>
                <w:szCs w:val="28"/>
              </w:rPr>
              <w:br/>
              <w:t xml:space="preserve">Độc lập - Tự do - Hạnh phúc </w:t>
            </w:r>
            <w:r w:rsidR="00234A04" w:rsidRPr="00572BAD">
              <w:rPr>
                <w:b/>
                <w:bCs/>
                <w:sz w:val="28"/>
                <w:szCs w:val="28"/>
              </w:rPr>
              <w:br/>
            </w:r>
          </w:p>
        </w:tc>
      </w:tr>
      <w:tr w:rsidR="00234A04" w:rsidRPr="00572BAD" w14:paraId="6AA9577E" w14:textId="77777777" w:rsidTr="0055632B">
        <w:tc>
          <w:tcPr>
            <w:tcW w:w="2694" w:type="dxa"/>
            <w:tcMar>
              <w:top w:w="0" w:type="dxa"/>
              <w:left w:w="108" w:type="dxa"/>
              <w:bottom w:w="0" w:type="dxa"/>
              <w:right w:w="108" w:type="dxa"/>
            </w:tcMar>
          </w:tcPr>
          <w:p w14:paraId="38120622" w14:textId="77777777" w:rsidR="00234A04" w:rsidRPr="00572BAD" w:rsidRDefault="00234A04" w:rsidP="0027678D">
            <w:pPr>
              <w:spacing w:before="120" w:line="276" w:lineRule="auto"/>
              <w:jc w:val="center"/>
              <w:rPr>
                <w:sz w:val="28"/>
                <w:szCs w:val="28"/>
              </w:rPr>
            </w:pPr>
            <w:r w:rsidRPr="00572BAD">
              <w:rPr>
                <w:sz w:val="28"/>
                <w:szCs w:val="28"/>
              </w:rPr>
              <w:t xml:space="preserve">Số: </w:t>
            </w:r>
            <w:r w:rsidR="00A55DC9" w:rsidRPr="00572BAD">
              <w:rPr>
                <w:sz w:val="28"/>
                <w:szCs w:val="28"/>
              </w:rPr>
              <w:t xml:space="preserve">   </w:t>
            </w:r>
            <w:r w:rsidRPr="00572BAD">
              <w:rPr>
                <w:sz w:val="28"/>
                <w:szCs w:val="28"/>
              </w:rPr>
              <w:t>/202</w:t>
            </w:r>
            <w:r w:rsidR="00A55DC9" w:rsidRPr="00572BAD">
              <w:rPr>
                <w:sz w:val="28"/>
                <w:szCs w:val="28"/>
              </w:rPr>
              <w:t>6</w:t>
            </w:r>
            <w:r w:rsidRPr="00572BAD">
              <w:rPr>
                <w:sz w:val="28"/>
                <w:szCs w:val="28"/>
              </w:rPr>
              <w:t>/TT-BYT</w:t>
            </w:r>
          </w:p>
        </w:tc>
        <w:tc>
          <w:tcPr>
            <w:tcW w:w="6520" w:type="dxa"/>
            <w:tcMar>
              <w:top w:w="0" w:type="dxa"/>
              <w:left w:w="108" w:type="dxa"/>
              <w:bottom w:w="0" w:type="dxa"/>
              <w:right w:w="108" w:type="dxa"/>
            </w:tcMar>
          </w:tcPr>
          <w:p w14:paraId="26822A9C" w14:textId="77777777" w:rsidR="00234A04" w:rsidRPr="00572BAD" w:rsidRDefault="00234A04" w:rsidP="0027678D">
            <w:pPr>
              <w:spacing w:before="120" w:line="276" w:lineRule="auto"/>
              <w:jc w:val="right"/>
              <w:rPr>
                <w:sz w:val="28"/>
                <w:szCs w:val="28"/>
              </w:rPr>
            </w:pPr>
            <w:r w:rsidRPr="00572BAD">
              <w:rPr>
                <w:i/>
                <w:iCs/>
                <w:sz w:val="28"/>
                <w:szCs w:val="28"/>
              </w:rPr>
              <w:t xml:space="preserve">Hà Nội, ngày </w:t>
            </w:r>
            <w:r w:rsidR="00A55DC9" w:rsidRPr="00572BAD">
              <w:rPr>
                <w:i/>
                <w:iCs/>
                <w:sz w:val="28"/>
                <w:szCs w:val="28"/>
              </w:rPr>
              <w:t xml:space="preserve">  </w:t>
            </w:r>
            <w:r w:rsidRPr="00572BAD">
              <w:rPr>
                <w:i/>
                <w:iCs/>
                <w:sz w:val="28"/>
                <w:szCs w:val="28"/>
              </w:rPr>
              <w:t xml:space="preserve"> </w:t>
            </w:r>
            <w:r w:rsidR="0055632B">
              <w:rPr>
                <w:i/>
                <w:iCs/>
                <w:sz w:val="28"/>
                <w:szCs w:val="28"/>
              </w:rPr>
              <w:t xml:space="preserve">    </w:t>
            </w:r>
            <w:r w:rsidRPr="00572BAD">
              <w:rPr>
                <w:i/>
                <w:iCs/>
                <w:sz w:val="28"/>
                <w:szCs w:val="28"/>
              </w:rPr>
              <w:t xml:space="preserve">tháng </w:t>
            </w:r>
            <w:r w:rsidR="00A55DC9" w:rsidRPr="00572BAD">
              <w:rPr>
                <w:i/>
                <w:iCs/>
                <w:sz w:val="28"/>
                <w:szCs w:val="28"/>
              </w:rPr>
              <w:t xml:space="preserve">  </w:t>
            </w:r>
            <w:r w:rsidRPr="00572BAD">
              <w:rPr>
                <w:i/>
                <w:iCs/>
                <w:sz w:val="28"/>
                <w:szCs w:val="28"/>
              </w:rPr>
              <w:t xml:space="preserve"> năm 202</w:t>
            </w:r>
            <w:r w:rsidR="00A55DC9" w:rsidRPr="00572BAD">
              <w:rPr>
                <w:i/>
                <w:iCs/>
                <w:sz w:val="28"/>
                <w:szCs w:val="28"/>
              </w:rPr>
              <w:t>6</w:t>
            </w:r>
          </w:p>
        </w:tc>
      </w:tr>
    </w:tbl>
    <w:p w14:paraId="5EB0B0BD" w14:textId="77777777" w:rsidR="00234A04" w:rsidRPr="000F7478" w:rsidRDefault="00234A04" w:rsidP="000F7478">
      <w:pPr>
        <w:spacing w:before="120" w:line="276" w:lineRule="auto"/>
        <w:jc w:val="center"/>
        <w:rPr>
          <w:sz w:val="28"/>
          <w:szCs w:val="28"/>
          <w:lang w:val="vi-VN"/>
        </w:rPr>
      </w:pPr>
      <w:bookmarkStart w:id="0" w:name="loai_1"/>
      <w:r w:rsidRPr="000F7478">
        <w:rPr>
          <w:b/>
          <w:bCs/>
          <w:sz w:val="28"/>
          <w:szCs w:val="28"/>
          <w:lang w:val="vi-VN"/>
        </w:rPr>
        <w:t>THÔNG TƯ</w:t>
      </w:r>
      <w:bookmarkEnd w:id="0"/>
    </w:p>
    <w:p w14:paraId="3B793E11" w14:textId="77777777" w:rsidR="009B7711" w:rsidRPr="000F7478" w:rsidRDefault="009B7711" w:rsidP="0027678D">
      <w:pPr>
        <w:spacing w:line="276" w:lineRule="auto"/>
        <w:jc w:val="center"/>
        <w:rPr>
          <w:b/>
          <w:bCs/>
          <w:i/>
          <w:iCs/>
          <w:noProof/>
          <w:sz w:val="28"/>
          <w:szCs w:val="28"/>
          <w:lang w:val="vi-VN"/>
        </w:rPr>
      </w:pPr>
      <w:bookmarkStart w:id="1" w:name="_Hlk224144172"/>
      <w:r w:rsidRPr="000F7478">
        <w:rPr>
          <w:rFonts w:eastAsia="Calibri"/>
          <w:b/>
          <w:spacing w:val="-6"/>
          <w:sz w:val="28"/>
          <w:szCs w:val="28"/>
          <w:lang w:val="vi-VN"/>
        </w:rPr>
        <w:t xml:space="preserve"> </w:t>
      </w:r>
      <w:r w:rsidRPr="000F7478">
        <w:rPr>
          <w:b/>
          <w:bCs/>
          <w:noProof/>
          <w:sz w:val="28"/>
          <w:szCs w:val="28"/>
          <w:lang w:val="vi-VN"/>
        </w:rPr>
        <w:t>Hướng dẫn về giám định tư pháp trong lĩnh vực chuyên môn                                            thuộc thẩm quyền của Bộ Y tế</w:t>
      </w:r>
    </w:p>
    <w:p w14:paraId="354EF23C" w14:textId="77777777" w:rsidR="0055632B" w:rsidRPr="0027678D" w:rsidRDefault="009B7711" w:rsidP="0027678D">
      <w:pPr>
        <w:spacing w:line="276" w:lineRule="auto"/>
        <w:jc w:val="center"/>
        <w:rPr>
          <w:b/>
          <w:bCs/>
          <w:sz w:val="28"/>
          <w:szCs w:val="28"/>
          <w:lang w:val="vi-VN"/>
        </w:rPr>
      </w:pPr>
      <w:bookmarkStart w:id="2" w:name="loai_1_name"/>
      <w:r>
        <w:rPr>
          <w:b/>
          <w:bCs/>
          <w:noProof/>
          <w:sz w:val="28"/>
          <w:szCs w:val="28"/>
        </w:rPr>
        <mc:AlternateContent>
          <mc:Choice Requires="wps">
            <w:drawing>
              <wp:anchor distT="0" distB="0" distL="114300" distR="114300" simplePos="0" relativeHeight="251659264" behindDoc="0" locked="0" layoutInCell="1" allowOverlap="1" wp14:anchorId="616E107A" wp14:editId="19B50E2C">
                <wp:simplePos x="0" y="0"/>
                <wp:positionH relativeFrom="column">
                  <wp:posOffset>1768475</wp:posOffset>
                </wp:positionH>
                <wp:positionV relativeFrom="paragraph">
                  <wp:posOffset>12700</wp:posOffset>
                </wp:positionV>
                <wp:extent cx="2196000" cy="0"/>
                <wp:effectExtent l="0" t="0" r="0" b="0"/>
                <wp:wrapNone/>
                <wp:docPr id="211509580" name="Straight Connector 2"/>
                <wp:cNvGraphicFramePr/>
                <a:graphic xmlns:a="http://schemas.openxmlformats.org/drawingml/2006/main">
                  <a:graphicData uri="http://schemas.microsoft.com/office/word/2010/wordprocessingShape">
                    <wps:wsp>
                      <wps:cNvCnPr/>
                      <wps:spPr>
                        <a:xfrm flipV="1">
                          <a:off x="0" y="0"/>
                          <a:ext cx="21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E33D8"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5pt,1pt" to="312.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" strokecolor="black [3200]" strokeweight=".5pt">
                <v:stroke joinstyle="miter"/>
              </v:line>
            </w:pict>
          </mc:Fallback>
        </mc:AlternateContent>
      </w:r>
      <w:bookmarkEnd w:id="1"/>
      <w:bookmarkEnd w:id="2"/>
    </w:p>
    <w:p w14:paraId="30AFBC64" w14:textId="77777777" w:rsidR="00234A04" w:rsidRPr="000F7478" w:rsidRDefault="00234A04" w:rsidP="0027678D">
      <w:pPr>
        <w:spacing w:line="276" w:lineRule="auto"/>
        <w:ind w:firstLine="720"/>
        <w:jc w:val="both"/>
        <w:rPr>
          <w:sz w:val="28"/>
          <w:szCs w:val="28"/>
          <w:lang w:val="vi-VN"/>
        </w:rPr>
      </w:pPr>
      <w:r w:rsidRPr="000F7478">
        <w:rPr>
          <w:i/>
          <w:iCs/>
          <w:sz w:val="28"/>
          <w:szCs w:val="28"/>
          <w:lang w:val="vi-VN"/>
        </w:rPr>
        <w:t xml:space="preserve">Căn cứ </w:t>
      </w:r>
      <w:bookmarkStart w:id="3" w:name="tvpllink_aivfnhzepd"/>
      <w:r w:rsidRPr="000F7478">
        <w:rPr>
          <w:i/>
          <w:iCs/>
          <w:sz w:val="28"/>
          <w:szCs w:val="28"/>
          <w:lang w:val="vi-VN"/>
        </w:rPr>
        <w:t>Luật Giám định tư pháp năm 20</w:t>
      </w:r>
      <w:bookmarkEnd w:id="3"/>
      <w:r w:rsidR="00A55DC9" w:rsidRPr="000F7478">
        <w:rPr>
          <w:i/>
          <w:iCs/>
          <w:sz w:val="28"/>
          <w:szCs w:val="28"/>
          <w:lang w:val="vi-VN"/>
        </w:rPr>
        <w:t>25</w:t>
      </w:r>
      <w:r w:rsidRPr="000F7478">
        <w:rPr>
          <w:i/>
          <w:iCs/>
          <w:sz w:val="28"/>
          <w:szCs w:val="28"/>
          <w:lang w:val="vi-VN"/>
        </w:rPr>
        <w:t xml:space="preserve">; </w:t>
      </w:r>
    </w:p>
    <w:p w14:paraId="60DB24F0" w14:textId="77777777" w:rsidR="00234A04" w:rsidRPr="000F7478" w:rsidRDefault="00234A04" w:rsidP="0027678D">
      <w:pPr>
        <w:spacing w:line="276" w:lineRule="auto"/>
        <w:ind w:firstLine="720"/>
        <w:jc w:val="both"/>
        <w:rPr>
          <w:sz w:val="28"/>
          <w:szCs w:val="28"/>
          <w:lang w:val="vi-VN"/>
        </w:rPr>
      </w:pPr>
      <w:r w:rsidRPr="000F7478">
        <w:rPr>
          <w:i/>
          <w:iCs/>
          <w:spacing w:val="-4"/>
          <w:sz w:val="28"/>
          <w:szCs w:val="28"/>
          <w:lang w:val="vi-VN"/>
        </w:rPr>
        <w:t xml:space="preserve">Căn cứ Nghị định số </w:t>
      </w:r>
      <w:bookmarkStart w:id="4" w:name="tvpllink_pjdggapugf"/>
      <w:r w:rsidRPr="000F7478">
        <w:rPr>
          <w:i/>
          <w:iCs/>
          <w:spacing w:val="-4"/>
          <w:sz w:val="28"/>
          <w:szCs w:val="28"/>
          <w:lang w:val="vi-VN"/>
        </w:rPr>
        <w:t>42/2025/NĐ-CP</w:t>
      </w:r>
      <w:bookmarkEnd w:id="4"/>
      <w:r w:rsidRPr="000F7478">
        <w:rPr>
          <w:i/>
          <w:iCs/>
          <w:spacing w:val="-4"/>
          <w:sz w:val="28"/>
          <w:szCs w:val="28"/>
          <w:lang w:val="vi-VN"/>
        </w:rPr>
        <w:t xml:space="preserve"> ngày 27 tháng 02 năm 2025 của Chính phủ quy định chức năng, nhiệm vụ, quyền hạn và cơ cấu tổ chức của Bộ Y tế</w:t>
      </w:r>
      <w:r w:rsidRPr="000F7478">
        <w:rPr>
          <w:i/>
          <w:iCs/>
          <w:sz w:val="28"/>
          <w:szCs w:val="28"/>
          <w:lang w:val="vi-VN"/>
        </w:rPr>
        <w:t>;</w:t>
      </w:r>
    </w:p>
    <w:p w14:paraId="5224F882" w14:textId="77777777" w:rsidR="00234A04" w:rsidRPr="000F7478" w:rsidRDefault="00234A04" w:rsidP="0027678D">
      <w:pPr>
        <w:spacing w:line="276" w:lineRule="auto"/>
        <w:ind w:firstLine="720"/>
        <w:jc w:val="both"/>
        <w:rPr>
          <w:sz w:val="28"/>
          <w:szCs w:val="28"/>
          <w:lang w:val="vi-VN"/>
        </w:rPr>
      </w:pPr>
      <w:r w:rsidRPr="000F7478">
        <w:rPr>
          <w:i/>
          <w:iCs/>
          <w:sz w:val="28"/>
          <w:szCs w:val="28"/>
          <w:lang w:val="vi-VN"/>
        </w:rPr>
        <w:t xml:space="preserve">Theo đề nghị của </w:t>
      </w:r>
      <w:r w:rsidR="00710C9F" w:rsidRPr="000F7478">
        <w:rPr>
          <w:i/>
          <w:iCs/>
          <w:sz w:val="28"/>
          <w:szCs w:val="28"/>
          <w:lang w:val="vi-VN"/>
        </w:rPr>
        <w:t xml:space="preserve">Văn phòng Bộ, </w:t>
      </w:r>
      <w:r w:rsidRPr="000F7478">
        <w:rPr>
          <w:i/>
          <w:iCs/>
          <w:sz w:val="28"/>
          <w:szCs w:val="28"/>
          <w:lang w:val="vi-VN"/>
        </w:rPr>
        <w:t>Cục trưởng Cục Quản lý Khám</w:t>
      </w:r>
      <w:r w:rsidR="00511119">
        <w:rPr>
          <w:i/>
          <w:iCs/>
          <w:sz w:val="28"/>
          <w:szCs w:val="28"/>
          <w:lang w:val="vi-VN"/>
        </w:rPr>
        <w:t xml:space="preserve">, </w:t>
      </w:r>
      <w:r w:rsidRPr="000F7478">
        <w:rPr>
          <w:i/>
          <w:iCs/>
          <w:sz w:val="28"/>
          <w:szCs w:val="28"/>
          <w:lang w:val="vi-VN"/>
        </w:rPr>
        <w:t>chữa bệnh</w:t>
      </w:r>
      <w:r w:rsidR="00A55DC9" w:rsidRPr="000F7478">
        <w:rPr>
          <w:i/>
          <w:iCs/>
          <w:sz w:val="28"/>
          <w:szCs w:val="28"/>
          <w:lang w:val="vi-VN"/>
        </w:rPr>
        <w:t xml:space="preserve"> và Vụ trưởng Vụ Tổ chức cán bộ, Bộ Y tế;</w:t>
      </w:r>
    </w:p>
    <w:p w14:paraId="6F5E6D96" w14:textId="77777777" w:rsidR="00234A04" w:rsidRPr="000F7478" w:rsidRDefault="00234A04" w:rsidP="0027678D">
      <w:pPr>
        <w:spacing w:line="276" w:lineRule="auto"/>
        <w:ind w:firstLine="720"/>
        <w:jc w:val="both"/>
        <w:rPr>
          <w:sz w:val="28"/>
          <w:szCs w:val="28"/>
          <w:lang w:val="vi-VN"/>
        </w:rPr>
      </w:pPr>
      <w:r w:rsidRPr="000F7478">
        <w:rPr>
          <w:i/>
          <w:iCs/>
          <w:sz w:val="28"/>
          <w:szCs w:val="28"/>
          <w:lang w:val="vi-VN"/>
        </w:rPr>
        <w:t xml:space="preserve">Bộ trưởng Bộ Y tế ban hành Thông tư </w:t>
      </w:r>
      <w:r w:rsidR="00592A35" w:rsidRPr="000F7478">
        <w:rPr>
          <w:i/>
          <w:iCs/>
          <w:sz w:val="28"/>
          <w:szCs w:val="28"/>
          <w:lang w:val="vi-VN"/>
        </w:rPr>
        <w:t xml:space="preserve">Hướng dẫn </w:t>
      </w:r>
      <w:bookmarkStart w:id="5" w:name="_Hlk224144330"/>
      <w:r w:rsidR="00592A35" w:rsidRPr="000F7478">
        <w:rPr>
          <w:i/>
          <w:iCs/>
          <w:sz w:val="28"/>
          <w:szCs w:val="28"/>
          <w:lang w:val="vi-VN"/>
        </w:rPr>
        <w:t xml:space="preserve">về giám định tư pháp </w:t>
      </w:r>
      <w:bookmarkEnd w:id="5"/>
      <w:r w:rsidR="009B7711" w:rsidRPr="000F7478">
        <w:rPr>
          <w:i/>
          <w:iCs/>
          <w:sz w:val="28"/>
          <w:szCs w:val="28"/>
          <w:lang w:val="vi-VN"/>
        </w:rPr>
        <w:t>trong lĩnh vực chuyên môn thuộc thẩm quyền của Bộ Y tế</w:t>
      </w:r>
    </w:p>
    <w:p w14:paraId="149F15F2" w14:textId="77777777" w:rsidR="00234A04" w:rsidRPr="000F7478" w:rsidRDefault="00234A04" w:rsidP="00D56F52">
      <w:pPr>
        <w:spacing w:before="120" w:line="276" w:lineRule="auto"/>
        <w:ind w:firstLine="720"/>
        <w:jc w:val="both"/>
        <w:outlineLvl w:val="0"/>
        <w:rPr>
          <w:sz w:val="28"/>
          <w:szCs w:val="28"/>
          <w:lang w:val="vi-VN"/>
        </w:rPr>
      </w:pPr>
      <w:bookmarkStart w:id="6" w:name="dieu_1"/>
      <w:r w:rsidRPr="000F7478">
        <w:rPr>
          <w:b/>
          <w:bCs/>
          <w:sz w:val="28"/>
          <w:szCs w:val="28"/>
          <w:lang w:val="vi-VN"/>
        </w:rPr>
        <w:t>Điều 1. Phạm vi điều chỉnh</w:t>
      </w:r>
      <w:bookmarkEnd w:id="6"/>
      <w:r w:rsidR="00592A35" w:rsidRPr="000F7478">
        <w:rPr>
          <w:b/>
          <w:bCs/>
          <w:sz w:val="28"/>
          <w:szCs w:val="28"/>
          <w:lang w:val="vi-VN"/>
        </w:rPr>
        <w:t xml:space="preserve"> </w:t>
      </w:r>
    </w:p>
    <w:p w14:paraId="3619A188" w14:textId="77777777" w:rsidR="00AB5E7C" w:rsidRPr="000F7478" w:rsidRDefault="00234A04" w:rsidP="00D56F52">
      <w:pPr>
        <w:spacing w:line="276" w:lineRule="auto"/>
        <w:ind w:firstLine="720"/>
        <w:jc w:val="both"/>
        <w:rPr>
          <w:sz w:val="28"/>
          <w:szCs w:val="28"/>
          <w:lang w:val="vi-VN"/>
        </w:rPr>
      </w:pPr>
      <w:r w:rsidRPr="000F7478">
        <w:rPr>
          <w:sz w:val="28"/>
          <w:szCs w:val="28"/>
          <w:lang w:val="vi-VN"/>
        </w:rPr>
        <w:t xml:space="preserve">Thông tư này </w:t>
      </w:r>
      <w:r w:rsidR="00592A35" w:rsidRPr="000F7478">
        <w:rPr>
          <w:sz w:val="28"/>
          <w:szCs w:val="28"/>
          <w:lang w:val="vi-VN"/>
        </w:rPr>
        <w:t>hướng dẫn về giám định tư pháp trong lĩnh vực y tế</w:t>
      </w:r>
      <w:r w:rsidR="00AB5E7C" w:rsidRPr="000F7478">
        <w:rPr>
          <w:sz w:val="28"/>
          <w:szCs w:val="28"/>
          <w:lang w:val="vi-VN"/>
        </w:rPr>
        <w:t>, gồm:</w:t>
      </w:r>
    </w:p>
    <w:p w14:paraId="1056B63A" w14:textId="77777777" w:rsidR="00AB5E7C" w:rsidRPr="000F7478" w:rsidRDefault="00AB5E7C" w:rsidP="00D56F52">
      <w:pPr>
        <w:spacing w:line="276" w:lineRule="auto"/>
        <w:ind w:firstLine="720"/>
        <w:jc w:val="both"/>
        <w:rPr>
          <w:sz w:val="28"/>
          <w:szCs w:val="28"/>
          <w:lang w:val="vi-VN"/>
        </w:rPr>
      </w:pPr>
      <w:r w:rsidRPr="000F7478">
        <w:rPr>
          <w:sz w:val="28"/>
          <w:szCs w:val="28"/>
          <w:lang w:val="vi-VN"/>
        </w:rPr>
        <w:t>1. Tiêu chuẩn giám định viên tư pháp quy định tại</w:t>
      </w:r>
      <w:r w:rsidR="00861FB9">
        <w:rPr>
          <w:sz w:val="28"/>
          <w:szCs w:val="28"/>
          <w:lang w:val="vi-VN"/>
        </w:rPr>
        <w:t xml:space="preserve"> K</w:t>
      </w:r>
      <w:r w:rsidRPr="000F7478">
        <w:rPr>
          <w:sz w:val="28"/>
          <w:szCs w:val="28"/>
          <w:lang w:val="vi-VN"/>
        </w:rPr>
        <w:t>hoản 2 Điều 10 của Luật Giám định tư pháp.</w:t>
      </w:r>
    </w:p>
    <w:p w14:paraId="69997E0C" w14:textId="77777777" w:rsidR="00AB5E7C" w:rsidRPr="000F7478" w:rsidRDefault="00AB5E7C" w:rsidP="00D56F52">
      <w:pPr>
        <w:spacing w:line="276" w:lineRule="auto"/>
        <w:ind w:firstLine="720"/>
        <w:jc w:val="both"/>
        <w:rPr>
          <w:sz w:val="28"/>
          <w:szCs w:val="28"/>
          <w:lang w:val="vi-VN"/>
        </w:rPr>
      </w:pPr>
      <w:r w:rsidRPr="000F7478">
        <w:rPr>
          <w:sz w:val="28"/>
          <w:szCs w:val="28"/>
          <w:lang w:val="vi-VN"/>
        </w:rPr>
        <w:t>2.  Điều kiện tổ chức giám định tư pháp theo vụ việc quy định tại Khoản 3 Điều 18 của Luật Giám định tư pháp.</w:t>
      </w:r>
    </w:p>
    <w:p w14:paraId="40858E4B" w14:textId="77777777" w:rsidR="00AB5E7C" w:rsidRPr="000F7478" w:rsidRDefault="00AB5E7C" w:rsidP="00D56F52">
      <w:pPr>
        <w:spacing w:line="276" w:lineRule="auto"/>
        <w:ind w:firstLine="720"/>
        <w:jc w:val="both"/>
        <w:rPr>
          <w:sz w:val="28"/>
          <w:szCs w:val="28"/>
          <w:lang w:val="vi-VN"/>
        </w:rPr>
      </w:pPr>
      <w:r w:rsidRPr="000F7478">
        <w:rPr>
          <w:sz w:val="28"/>
          <w:szCs w:val="28"/>
          <w:lang w:val="vi-VN"/>
        </w:rPr>
        <w:t>3. Danh mục lĩnh vực chuyên môn, chuyên ngành giám định và trình tự, thủ tục tiếp nhận trưng cầu, thực hiện giám định quy định tại Khoản 5 Điều 28 của Luật Giám định tư pháp.</w:t>
      </w:r>
    </w:p>
    <w:p w14:paraId="5EB0975B" w14:textId="77777777" w:rsidR="00AB5E7C" w:rsidRPr="000F7478" w:rsidRDefault="00AB5E7C" w:rsidP="00D56F52">
      <w:pPr>
        <w:spacing w:line="276" w:lineRule="auto"/>
        <w:ind w:firstLine="720"/>
        <w:jc w:val="both"/>
        <w:rPr>
          <w:sz w:val="28"/>
          <w:szCs w:val="28"/>
          <w:lang w:val="vi-VN"/>
        </w:rPr>
      </w:pPr>
      <w:r w:rsidRPr="000F7478">
        <w:rPr>
          <w:sz w:val="28"/>
          <w:szCs w:val="28"/>
          <w:lang w:val="vi-VN"/>
        </w:rPr>
        <w:t>4. Thời hạn giám định tư pháp quy định tại Khoản 2 Điều 30 của Luật Giám định tư pháp.</w:t>
      </w:r>
    </w:p>
    <w:p w14:paraId="37AB5C2B" w14:textId="77777777" w:rsidR="00AB5E7C" w:rsidRPr="000F7478" w:rsidRDefault="00AB5E7C" w:rsidP="00D56F52">
      <w:pPr>
        <w:spacing w:line="276" w:lineRule="auto"/>
        <w:ind w:firstLine="720"/>
        <w:jc w:val="both"/>
        <w:rPr>
          <w:sz w:val="28"/>
          <w:szCs w:val="28"/>
          <w:lang w:val="vi-VN"/>
        </w:rPr>
      </w:pPr>
      <w:r w:rsidRPr="000F7478">
        <w:rPr>
          <w:sz w:val="28"/>
          <w:szCs w:val="28"/>
          <w:lang w:val="vi-VN"/>
        </w:rPr>
        <w:t xml:space="preserve">5. Thành phần hồ sơ, chế độ lưu trữ hồ sơ giám định tư pháp </w:t>
      </w:r>
      <w:r w:rsidR="00DB22B9" w:rsidRPr="000F7478">
        <w:rPr>
          <w:sz w:val="28"/>
          <w:szCs w:val="28"/>
          <w:lang w:val="vi-VN"/>
        </w:rPr>
        <w:t>quy định tại k</w:t>
      </w:r>
      <w:r w:rsidRPr="000F7478">
        <w:rPr>
          <w:sz w:val="28"/>
          <w:szCs w:val="28"/>
          <w:lang w:val="vi-VN"/>
        </w:rPr>
        <w:t>hoản 2 Điều 37 của Luật Giám định tư pháp.</w:t>
      </w:r>
    </w:p>
    <w:p w14:paraId="43FBBCDB" w14:textId="77777777" w:rsidR="00AB5E7C" w:rsidRPr="000F7478" w:rsidRDefault="00234A04" w:rsidP="00AA6A69">
      <w:pPr>
        <w:spacing w:before="60" w:line="276" w:lineRule="auto"/>
        <w:ind w:firstLine="720"/>
        <w:jc w:val="both"/>
        <w:outlineLvl w:val="0"/>
        <w:rPr>
          <w:b/>
          <w:bCs/>
          <w:sz w:val="28"/>
          <w:szCs w:val="28"/>
          <w:lang w:val="vi-VN"/>
        </w:rPr>
      </w:pPr>
      <w:bookmarkStart w:id="7" w:name="dieu_2"/>
      <w:r w:rsidRPr="000F7478">
        <w:rPr>
          <w:b/>
          <w:bCs/>
          <w:sz w:val="28"/>
          <w:szCs w:val="28"/>
          <w:lang w:val="vi-VN"/>
        </w:rPr>
        <w:t>Điều 2.</w:t>
      </w:r>
      <w:r w:rsidR="00AB5E7C" w:rsidRPr="000F7478">
        <w:rPr>
          <w:b/>
          <w:bCs/>
          <w:sz w:val="28"/>
          <w:szCs w:val="28"/>
          <w:lang w:val="vi-VN"/>
        </w:rPr>
        <w:t xml:space="preserve"> Danh mục lĩnh vực giám định tư pháp</w:t>
      </w:r>
    </w:p>
    <w:p w14:paraId="1D09D494" w14:textId="77777777" w:rsidR="00987340" w:rsidRPr="00987340" w:rsidRDefault="00987340" w:rsidP="00987340">
      <w:pPr>
        <w:spacing w:before="60" w:line="276" w:lineRule="auto"/>
        <w:ind w:firstLine="720"/>
        <w:jc w:val="both"/>
        <w:outlineLvl w:val="0"/>
        <w:rPr>
          <w:sz w:val="28"/>
          <w:szCs w:val="28"/>
          <w:lang w:val="vi-VN"/>
        </w:rPr>
      </w:pPr>
      <w:r w:rsidRPr="00987340">
        <w:rPr>
          <w:sz w:val="28"/>
          <w:szCs w:val="28"/>
          <w:lang w:val="vi-VN"/>
        </w:rPr>
        <w:t>1. Y tế dự phòng;</w:t>
      </w:r>
    </w:p>
    <w:p w14:paraId="1D2CE4CB" w14:textId="77777777" w:rsidR="00987340" w:rsidRPr="00987340" w:rsidRDefault="00987340" w:rsidP="00987340">
      <w:pPr>
        <w:spacing w:before="60" w:line="276" w:lineRule="auto"/>
        <w:ind w:firstLine="720"/>
        <w:jc w:val="both"/>
        <w:outlineLvl w:val="0"/>
        <w:rPr>
          <w:sz w:val="28"/>
          <w:szCs w:val="28"/>
          <w:lang w:val="vi-VN"/>
        </w:rPr>
      </w:pPr>
      <w:r w:rsidRPr="00987340">
        <w:rPr>
          <w:sz w:val="28"/>
          <w:szCs w:val="28"/>
          <w:lang w:val="vi-VN"/>
        </w:rPr>
        <w:t>2. Khám bệnh, chữa bệnh và phục hồi chức năng;</w:t>
      </w:r>
    </w:p>
    <w:p w14:paraId="5E520DF8" w14:textId="77777777" w:rsidR="00987340" w:rsidRPr="00987340" w:rsidRDefault="00987340" w:rsidP="00987340">
      <w:pPr>
        <w:spacing w:before="60" w:line="276" w:lineRule="auto"/>
        <w:ind w:firstLine="720"/>
        <w:jc w:val="both"/>
        <w:outlineLvl w:val="0"/>
        <w:rPr>
          <w:sz w:val="28"/>
          <w:szCs w:val="28"/>
          <w:lang w:val="vi-VN"/>
        </w:rPr>
      </w:pPr>
      <w:r w:rsidRPr="00987340">
        <w:rPr>
          <w:sz w:val="28"/>
          <w:szCs w:val="28"/>
          <w:lang w:val="vi-VN"/>
        </w:rPr>
        <w:t>3. Giám định y khoa;</w:t>
      </w:r>
    </w:p>
    <w:p w14:paraId="0CEED537" w14:textId="77777777" w:rsidR="00987340" w:rsidRPr="00987340" w:rsidRDefault="00987340" w:rsidP="00987340">
      <w:pPr>
        <w:spacing w:before="60" w:line="276" w:lineRule="auto"/>
        <w:ind w:firstLine="720"/>
        <w:jc w:val="both"/>
        <w:outlineLvl w:val="0"/>
        <w:rPr>
          <w:sz w:val="28"/>
          <w:szCs w:val="28"/>
          <w:lang w:val="vi-VN"/>
        </w:rPr>
      </w:pPr>
      <w:r w:rsidRPr="00987340">
        <w:rPr>
          <w:sz w:val="28"/>
          <w:szCs w:val="28"/>
          <w:lang w:val="vi-VN"/>
        </w:rPr>
        <w:t>4. Giám định pháp y;</w:t>
      </w:r>
    </w:p>
    <w:p w14:paraId="41764498" w14:textId="77777777" w:rsidR="00987340" w:rsidRPr="00987340" w:rsidRDefault="00987340" w:rsidP="00987340">
      <w:pPr>
        <w:spacing w:before="60" w:line="276" w:lineRule="auto"/>
        <w:ind w:firstLine="720"/>
        <w:jc w:val="both"/>
        <w:outlineLvl w:val="0"/>
        <w:rPr>
          <w:sz w:val="28"/>
          <w:szCs w:val="28"/>
          <w:lang w:val="vi-VN"/>
        </w:rPr>
      </w:pPr>
      <w:r w:rsidRPr="00987340">
        <w:rPr>
          <w:sz w:val="28"/>
          <w:szCs w:val="28"/>
          <w:lang w:val="vi-VN"/>
        </w:rPr>
        <w:t>5. Giám định pháp y tâm thần;</w:t>
      </w:r>
    </w:p>
    <w:p w14:paraId="71325C19" w14:textId="77777777" w:rsidR="00987340" w:rsidRPr="00987340" w:rsidRDefault="00987340" w:rsidP="00987340">
      <w:pPr>
        <w:spacing w:before="60" w:line="276" w:lineRule="auto"/>
        <w:ind w:firstLine="720"/>
        <w:jc w:val="both"/>
        <w:outlineLvl w:val="0"/>
        <w:rPr>
          <w:sz w:val="28"/>
          <w:szCs w:val="28"/>
          <w:lang w:val="vi-VN"/>
        </w:rPr>
      </w:pPr>
      <w:r w:rsidRPr="00987340">
        <w:rPr>
          <w:sz w:val="28"/>
          <w:szCs w:val="28"/>
          <w:lang w:val="vi-VN"/>
        </w:rPr>
        <w:t>6. Bà mẹ, trẻ em;</w:t>
      </w:r>
    </w:p>
    <w:p w14:paraId="340425F7" w14:textId="77777777" w:rsidR="00987340" w:rsidRPr="00987340" w:rsidRDefault="00987340" w:rsidP="00987340">
      <w:pPr>
        <w:spacing w:before="60" w:line="276" w:lineRule="auto"/>
        <w:ind w:firstLine="720"/>
        <w:jc w:val="both"/>
        <w:outlineLvl w:val="0"/>
        <w:rPr>
          <w:sz w:val="28"/>
          <w:szCs w:val="28"/>
          <w:lang w:val="vi-VN"/>
        </w:rPr>
      </w:pPr>
      <w:r w:rsidRPr="00987340">
        <w:rPr>
          <w:sz w:val="28"/>
          <w:szCs w:val="28"/>
          <w:lang w:val="vi-VN"/>
        </w:rPr>
        <w:t>7. Dân số;</w:t>
      </w:r>
    </w:p>
    <w:p w14:paraId="1E314A60" w14:textId="77777777" w:rsidR="00987340" w:rsidRPr="00987340" w:rsidRDefault="00987340" w:rsidP="00987340">
      <w:pPr>
        <w:spacing w:before="60" w:line="276" w:lineRule="auto"/>
        <w:ind w:firstLine="720"/>
        <w:jc w:val="both"/>
        <w:outlineLvl w:val="0"/>
        <w:rPr>
          <w:sz w:val="28"/>
          <w:szCs w:val="28"/>
          <w:lang w:val="vi-VN"/>
        </w:rPr>
      </w:pPr>
      <w:r w:rsidRPr="00987340">
        <w:rPr>
          <w:sz w:val="28"/>
          <w:szCs w:val="28"/>
          <w:lang w:val="vi-VN"/>
        </w:rPr>
        <w:t>8. Bảo trợ xã hội và phòng, chống tệ nạn xã hội;</w:t>
      </w:r>
    </w:p>
    <w:p w14:paraId="63FF0FF4" w14:textId="77777777" w:rsidR="00987340" w:rsidRPr="00987340" w:rsidRDefault="00987340" w:rsidP="00987340">
      <w:pPr>
        <w:spacing w:before="60" w:line="276" w:lineRule="auto"/>
        <w:ind w:firstLine="720"/>
        <w:jc w:val="both"/>
        <w:outlineLvl w:val="0"/>
        <w:rPr>
          <w:sz w:val="28"/>
          <w:szCs w:val="28"/>
          <w:lang w:val="vi-VN"/>
        </w:rPr>
      </w:pPr>
      <w:r w:rsidRPr="00987340">
        <w:rPr>
          <w:sz w:val="28"/>
          <w:szCs w:val="28"/>
          <w:lang w:val="vi-VN"/>
        </w:rPr>
        <w:lastRenderedPageBreak/>
        <w:t>9. Y, dược cổ truyền;</w:t>
      </w:r>
    </w:p>
    <w:p w14:paraId="4B13DDA1" w14:textId="77777777" w:rsidR="00987340" w:rsidRPr="00987340" w:rsidRDefault="00987340" w:rsidP="00987340">
      <w:pPr>
        <w:spacing w:before="60" w:line="276" w:lineRule="auto"/>
        <w:ind w:firstLine="720"/>
        <w:jc w:val="both"/>
        <w:outlineLvl w:val="0"/>
        <w:rPr>
          <w:sz w:val="28"/>
          <w:szCs w:val="28"/>
          <w:lang w:val="vi-VN"/>
        </w:rPr>
      </w:pPr>
      <w:r w:rsidRPr="00987340">
        <w:rPr>
          <w:sz w:val="28"/>
          <w:szCs w:val="28"/>
          <w:lang w:val="vi-VN"/>
        </w:rPr>
        <w:t>10. Dược và mỹ phẩm;</w:t>
      </w:r>
    </w:p>
    <w:p w14:paraId="542A4919" w14:textId="77777777" w:rsidR="00987340" w:rsidRPr="00987340" w:rsidRDefault="00987340" w:rsidP="00987340">
      <w:pPr>
        <w:spacing w:before="60" w:line="276" w:lineRule="auto"/>
        <w:ind w:firstLine="720"/>
        <w:jc w:val="both"/>
        <w:outlineLvl w:val="0"/>
        <w:rPr>
          <w:sz w:val="28"/>
          <w:szCs w:val="28"/>
          <w:lang w:val="vi-VN"/>
        </w:rPr>
      </w:pPr>
      <w:r w:rsidRPr="00987340">
        <w:rPr>
          <w:sz w:val="28"/>
          <w:szCs w:val="28"/>
          <w:lang w:val="vi-VN"/>
        </w:rPr>
        <w:t>12. Thiết bị y tế và công trình y tế;</w:t>
      </w:r>
    </w:p>
    <w:p w14:paraId="7543153A" w14:textId="77777777" w:rsidR="00987340" w:rsidRPr="00987340" w:rsidRDefault="00987340" w:rsidP="00987340">
      <w:pPr>
        <w:spacing w:before="60" w:line="276" w:lineRule="auto"/>
        <w:ind w:firstLine="720"/>
        <w:jc w:val="both"/>
        <w:outlineLvl w:val="0"/>
        <w:rPr>
          <w:sz w:val="28"/>
          <w:szCs w:val="28"/>
          <w:lang w:val="vi-VN"/>
        </w:rPr>
      </w:pPr>
      <w:r w:rsidRPr="00987340">
        <w:rPr>
          <w:sz w:val="28"/>
          <w:szCs w:val="28"/>
          <w:lang w:val="vi-VN"/>
        </w:rPr>
        <w:t>13. An toàn thực phẩm;</w:t>
      </w:r>
    </w:p>
    <w:p w14:paraId="65C87980" w14:textId="77777777" w:rsidR="00F47EBB" w:rsidRDefault="00987340" w:rsidP="00987340">
      <w:pPr>
        <w:spacing w:before="60" w:line="276" w:lineRule="auto"/>
        <w:ind w:firstLine="720"/>
        <w:jc w:val="both"/>
        <w:outlineLvl w:val="0"/>
        <w:rPr>
          <w:sz w:val="28"/>
          <w:szCs w:val="28"/>
        </w:rPr>
      </w:pPr>
      <w:r w:rsidRPr="00987340">
        <w:rPr>
          <w:sz w:val="28"/>
          <w:szCs w:val="28"/>
          <w:lang w:val="vi-VN"/>
        </w:rPr>
        <w:t>14. Bảo hiểm y tế</w:t>
      </w:r>
    </w:p>
    <w:p w14:paraId="7FE8C3A7" w14:textId="2259B02D" w:rsidR="0082278D" w:rsidRPr="000F7478" w:rsidRDefault="00AB5E7C" w:rsidP="00F47EBB">
      <w:pPr>
        <w:spacing w:line="276" w:lineRule="auto"/>
        <w:ind w:firstLine="720"/>
        <w:jc w:val="both"/>
        <w:outlineLvl w:val="0"/>
        <w:rPr>
          <w:b/>
          <w:bCs/>
          <w:sz w:val="28"/>
          <w:szCs w:val="28"/>
          <w:lang w:val="vi-VN"/>
        </w:rPr>
      </w:pPr>
      <w:r w:rsidRPr="000F7478">
        <w:rPr>
          <w:b/>
          <w:bCs/>
          <w:sz w:val="28"/>
          <w:szCs w:val="28"/>
          <w:lang w:val="vi-VN"/>
        </w:rPr>
        <w:t xml:space="preserve">Điều 3. </w:t>
      </w:r>
      <w:r w:rsidR="00234A04" w:rsidRPr="000F7478">
        <w:rPr>
          <w:b/>
          <w:bCs/>
          <w:sz w:val="28"/>
          <w:szCs w:val="28"/>
          <w:lang w:val="vi-VN"/>
        </w:rPr>
        <w:t xml:space="preserve"> </w:t>
      </w:r>
      <w:bookmarkStart w:id="8" w:name="_Hlk224144554"/>
      <w:bookmarkEnd w:id="7"/>
      <w:r w:rsidR="0082278D" w:rsidRPr="000F7478">
        <w:rPr>
          <w:b/>
          <w:bCs/>
          <w:sz w:val="28"/>
          <w:szCs w:val="28"/>
          <w:lang w:val="vi-VN"/>
        </w:rPr>
        <w:t>Tiêu chuẩn bổ nhiệm giám định viên pháp y và giám định viên pháp y tâm thần</w:t>
      </w:r>
      <w:bookmarkEnd w:id="8"/>
    </w:p>
    <w:p w14:paraId="1FA6D27C" w14:textId="77777777" w:rsidR="005A6390" w:rsidRPr="000F7478" w:rsidRDefault="005A6390" w:rsidP="00D56F52">
      <w:pPr>
        <w:spacing w:line="276" w:lineRule="auto"/>
        <w:ind w:firstLine="720"/>
        <w:jc w:val="both"/>
        <w:rPr>
          <w:sz w:val="28"/>
          <w:szCs w:val="28"/>
          <w:lang w:val="vi-VN"/>
        </w:rPr>
      </w:pPr>
      <w:bookmarkStart w:id="9" w:name="_Hlk224293280"/>
      <w:r w:rsidRPr="000F7478">
        <w:rPr>
          <w:sz w:val="28"/>
          <w:szCs w:val="28"/>
          <w:lang w:val="vi-VN"/>
        </w:rPr>
        <w:t xml:space="preserve">Tiêu chuẩn bổ nhiệm giám định viên pháp y và giám định viên pháp y tâm thần </w:t>
      </w:r>
      <w:bookmarkStart w:id="10" w:name="_Hlk224144781"/>
      <w:bookmarkEnd w:id="9"/>
      <w:r w:rsidRPr="000F7478">
        <w:rPr>
          <w:sz w:val="28"/>
          <w:szCs w:val="28"/>
          <w:lang w:val="vi-VN"/>
        </w:rPr>
        <w:t xml:space="preserve">quy định tại Phụ lục </w:t>
      </w:r>
      <w:r w:rsidR="008B5282" w:rsidRPr="000F7478">
        <w:rPr>
          <w:sz w:val="28"/>
          <w:szCs w:val="28"/>
          <w:lang w:val="vi-VN"/>
        </w:rPr>
        <w:t>I</w:t>
      </w:r>
      <w:r w:rsidRPr="000F7478">
        <w:rPr>
          <w:sz w:val="28"/>
          <w:szCs w:val="28"/>
          <w:lang w:val="vi-VN"/>
        </w:rPr>
        <w:t xml:space="preserve"> ban hành kèm Thông tư này</w:t>
      </w:r>
      <w:bookmarkEnd w:id="10"/>
      <w:r w:rsidR="00AB5E7C" w:rsidRPr="000F7478">
        <w:rPr>
          <w:sz w:val="28"/>
          <w:szCs w:val="28"/>
          <w:lang w:val="vi-VN"/>
        </w:rPr>
        <w:t>.</w:t>
      </w:r>
    </w:p>
    <w:p w14:paraId="5DE5996A" w14:textId="77777777" w:rsidR="005A6390" w:rsidRPr="000F7478" w:rsidRDefault="005A6390" w:rsidP="00F47EBB">
      <w:pPr>
        <w:spacing w:line="276" w:lineRule="auto"/>
        <w:ind w:firstLine="720"/>
        <w:jc w:val="both"/>
        <w:outlineLvl w:val="0"/>
        <w:rPr>
          <w:b/>
          <w:bCs/>
          <w:sz w:val="28"/>
          <w:szCs w:val="28"/>
          <w:lang w:val="vi-VN"/>
        </w:rPr>
      </w:pPr>
      <w:r w:rsidRPr="000F7478">
        <w:rPr>
          <w:b/>
          <w:bCs/>
          <w:sz w:val="28"/>
          <w:szCs w:val="28"/>
          <w:lang w:val="vi-VN"/>
        </w:rPr>
        <w:t xml:space="preserve">Điều </w:t>
      </w:r>
      <w:r w:rsidR="00AB5E7C" w:rsidRPr="000F7478">
        <w:rPr>
          <w:b/>
          <w:bCs/>
          <w:sz w:val="28"/>
          <w:szCs w:val="28"/>
          <w:lang w:val="vi-VN"/>
        </w:rPr>
        <w:t>4</w:t>
      </w:r>
      <w:r w:rsidRPr="000F7478">
        <w:rPr>
          <w:b/>
          <w:bCs/>
          <w:sz w:val="28"/>
          <w:szCs w:val="28"/>
          <w:lang w:val="vi-VN"/>
        </w:rPr>
        <w:t xml:space="preserve">. </w:t>
      </w:r>
      <w:bookmarkStart w:id="11" w:name="_Hlk224294762"/>
      <w:r w:rsidR="007221BE" w:rsidRPr="000F7478">
        <w:rPr>
          <w:b/>
          <w:bCs/>
          <w:sz w:val="28"/>
          <w:szCs w:val="28"/>
          <w:lang w:val="vi-VN"/>
        </w:rPr>
        <w:t>G</w:t>
      </w:r>
      <w:r w:rsidRPr="000F7478">
        <w:rPr>
          <w:b/>
          <w:bCs/>
          <w:sz w:val="28"/>
          <w:szCs w:val="28"/>
          <w:lang w:val="vi-VN"/>
        </w:rPr>
        <w:t>iám định tư pháp theo vụ việc trong lĩnh vực y tế</w:t>
      </w:r>
      <w:bookmarkEnd w:id="11"/>
    </w:p>
    <w:p w14:paraId="4C3B6474" w14:textId="77777777" w:rsidR="007221BE" w:rsidRPr="00DF1A67" w:rsidRDefault="007221BE" w:rsidP="00D56F52">
      <w:pPr>
        <w:spacing w:line="276" w:lineRule="auto"/>
        <w:ind w:firstLine="720"/>
        <w:jc w:val="both"/>
        <w:rPr>
          <w:spacing w:val="-2"/>
          <w:sz w:val="28"/>
          <w:szCs w:val="28"/>
          <w:lang w:val="vi-VN"/>
        </w:rPr>
      </w:pPr>
      <w:r w:rsidRPr="00DF1A67">
        <w:rPr>
          <w:spacing w:val="-2"/>
          <w:sz w:val="28"/>
          <w:szCs w:val="28"/>
          <w:lang w:val="vi-VN"/>
        </w:rPr>
        <w:t>Người giám định tư pháp theo vụ việc, tổ chức giám định tư pháp theo vụ việc, Hội đồng giám</w:t>
      </w:r>
      <w:r w:rsidRPr="00DF1A67">
        <w:rPr>
          <w:b/>
          <w:bCs/>
          <w:spacing w:val="-2"/>
          <w:sz w:val="28"/>
          <w:szCs w:val="28"/>
          <w:lang w:val="vi-VN"/>
        </w:rPr>
        <w:t xml:space="preserve"> </w:t>
      </w:r>
      <w:r w:rsidRPr="00DF1A67">
        <w:rPr>
          <w:spacing w:val="-2"/>
          <w:sz w:val="28"/>
          <w:szCs w:val="28"/>
          <w:lang w:val="vi-VN"/>
        </w:rPr>
        <w:t xml:space="preserve">định tư pháp theo vụ việc và thực hiện giám định tư pháp theo vụ việc trong lĩnh vực y tế </w:t>
      </w:r>
      <w:bookmarkStart w:id="12" w:name="_Hlk224144961"/>
      <w:r w:rsidRPr="00DF1A67">
        <w:rPr>
          <w:spacing w:val="-2"/>
          <w:sz w:val="28"/>
          <w:szCs w:val="28"/>
          <w:lang w:val="vi-VN"/>
        </w:rPr>
        <w:t xml:space="preserve">quy định tại Phụ lục </w:t>
      </w:r>
      <w:r w:rsidR="008B5282" w:rsidRPr="00DF1A67">
        <w:rPr>
          <w:spacing w:val="-2"/>
          <w:sz w:val="28"/>
          <w:szCs w:val="28"/>
          <w:lang w:val="vi-VN"/>
        </w:rPr>
        <w:t>II</w:t>
      </w:r>
      <w:r w:rsidRPr="00DF1A67">
        <w:rPr>
          <w:spacing w:val="-2"/>
          <w:sz w:val="28"/>
          <w:szCs w:val="28"/>
          <w:lang w:val="vi-VN"/>
        </w:rPr>
        <w:t xml:space="preserve"> ban hành kèm Thông tư này</w:t>
      </w:r>
      <w:r w:rsidR="00AB5E7C" w:rsidRPr="00DF1A67">
        <w:rPr>
          <w:spacing w:val="-2"/>
          <w:sz w:val="28"/>
          <w:szCs w:val="28"/>
          <w:lang w:val="vi-VN"/>
        </w:rPr>
        <w:t>.</w:t>
      </w:r>
    </w:p>
    <w:bookmarkEnd w:id="12"/>
    <w:p w14:paraId="1D899407" w14:textId="77777777" w:rsidR="007221BE" w:rsidRPr="000F7478" w:rsidRDefault="007221BE" w:rsidP="00F47EBB">
      <w:pPr>
        <w:spacing w:line="276" w:lineRule="auto"/>
        <w:ind w:firstLine="720"/>
        <w:jc w:val="both"/>
        <w:outlineLvl w:val="0"/>
        <w:rPr>
          <w:b/>
          <w:bCs/>
          <w:sz w:val="28"/>
          <w:szCs w:val="28"/>
          <w:lang w:val="vi-VN"/>
        </w:rPr>
      </w:pPr>
      <w:r w:rsidRPr="000F7478">
        <w:rPr>
          <w:b/>
          <w:bCs/>
          <w:sz w:val="28"/>
          <w:szCs w:val="28"/>
          <w:lang w:val="vi-VN"/>
        </w:rPr>
        <w:t xml:space="preserve">Điều </w:t>
      </w:r>
      <w:r w:rsidR="00AB5E7C" w:rsidRPr="000F7478">
        <w:rPr>
          <w:b/>
          <w:bCs/>
          <w:sz w:val="28"/>
          <w:szCs w:val="28"/>
          <w:lang w:val="vi-VN"/>
        </w:rPr>
        <w:t>5</w:t>
      </w:r>
      <w:r w:rsidRPr="000F7478">
        <w:rPr>
          <w:b/>
          <w:bCs/>
          <w:sz w:val="28"/>
          <w:szCs w:val="28"/>
          <w:lang w:val="vi-VN"/>
        </w:rPr>
        <w:t xml:space="preserve">. </w:t>
      </w:r>
      <w:bookmarkStart w:id="13" w:name="_Hlk224145010"/>
      <w:r w:rsidRPr="000F7478">
        <w:rPr>
          <w:b/>
          <w:bCs/>
          <w:sz w:val="28"/>
          <w:szCs w:val="28"/>
          <w:lang w:val="vi-VN"/>
        </w:rPr>
        <w:t xml:space="preserve">Giám định tư pháp trong lĩnh vực pháp y </w:t>
      </w:r>
      <w:bookmarkEnd w:id="13"/>
    </w:p>
    <w:p w14:paraId="42009ADF" w14:textId="77777777" w:rsidR="00B42CDB" w:rsidRPr="000F7478" w:rsidRDefault="00B42CDB" w:rsidP="00D56F52">
      <w:pPr>
        <w:spacing w:line="276" w:lineRule="auto"/>
        <w:ind w:firstLine="720"/>
        <w:jc w:val="both"/>
        <w:rPr>
          <w:sz w:val="28"/>
          <w:szCs w:val="28"/>
          <w:lang w:val="vi-VN"/>
        </w:rPr>
      </w:pPr>
      <w:bookmarkStart w:id="14" w:name="_Hlk224145378"/>
      <w:bookmarkStart w:id="15" w:name="_Hlk224294226"/>
      <w:r w:rsidRPr="000F7478">
        <w:rPr>
          <w:sz w:val="28"/>
          <w:szCs w:val="28"/>
          <w:lang w:val="vi-VN"/>
        </w:rPr>
        <w:t>Quy trình, thành phần hồ sơ, biểu mẫu, thời hạn, nhân lực thực hiện và chế độ lưu trữ hồ sơ giám định pháp y</w:t>
      </w:r>
      <w:bookmarkEnd w:id="14"/>
      <w:r w:rsidRPr="000F7478">
        <w:rPr>
          <w:sz w:val="28"/>
          <w:szCs w:val="28"/>
          <w:lang w:val="vi-VN"/>
        </w:rPr>
        <w:t xml:space="preserve"> </w:t>
      </w:r>
      <w:bookmarkStart w:id="16" w:name="_Hlk224145072"/>
      <w:bookmarkEnd w:id="15"/>
      <w:r w:rsidRPr="000F7478">
        <w:rPr>
          <w:sz w:val="28"/>
          <w:szCs w:val="28"/>
          <w:lang w:val="vi-VN"/>
        </w:rPr>
        <w:t xml:space="preserve">quy định tại Phụ lục </w:t>
      </w:r>
      <w:r w:rsidR="008B5282" w:rsidRPr="000F7478">
        <w:rPr>
          <w:sz w:val="28"/>
          <w:szCs w:val="28"/>
          <w:lang w:val="vi-VN"/>
        </w:rPr>
        <w:t xml:space="preserve">III </w:t>
      </w:r>
      <w:r w:rsidRPr="000F7478">
        <w:rPr>
          <w:sz w:val="28"/>
          <w:szCs w:val="28"/>
          <w:lang w:val="vi-VN"/>
        </w:rPr>
        <w:t>ban hành kèm Thông tư này</w:t>
      </w:r>
      <w:bookmarkEnd w:id="16"/>
      <w:r w:rsidR="00AB5E7C" w:rsidRPr="000F7478">
        <w:rPr>
          <w:sz w:val="28"/>
          <w:szCs w:val="28"/>
          <w:lang w:val="vi-VN"/>
        </w:rPr>
        <w:t>.</w:t>
      </w:r>
    </w:p>
    <w:p w14:paraId="2C423E0C" w14:textId="77777777" w:rsidR="00B42CDB" w:rsidRPr="000F7478" w:rsidRDefault="00B42CDB" w:rsidP="00F47EBB">
      <w:pPr>
        <w:spacing w:line="276" w:lineRule="auto"/>
        <w:ind w:firstLine="720"/>
        <w:jc w:val="both"/>
        <w:outlineLvl w:val="0"/>
        <w:rPr>
          <w:b/>
          <w:bCs/>
          <w:sz w:val="28"/>
          <w:szCs w:val="28"/>
          <w:lang w:val="vi-VN"/>
        </w:rPr>
      </w:pPr>
      <w:r w:rsidRPr="000F7478">
        <w:rPr>
          <w:b/>
          <w:bCs/>
          <w:sz w:val="28"/>
          <w:szCs w:val="28"/>
          <w:lang w:val="vi-VN"/>
        </w:rPr>
        <w:t xml:space="preserve">Điều </w:t>
      </w:r>
      <w:r w:rsidR="00AB5E7C" w:rsidRPr="000F7478">
        <w:rPr>
          <w:b/>
          <w:bCs/>
          <w:sz w:val="28"/>
          <w:szCs w:val="28"/>
          <w:lang w:val="vi-VN"/>
        </w:rPr>
        <w:t>6</w:t>
      </w:r>
      <w:r w:rsidRPr="000F7478">
        <w:rPr>
          <w:b/>
          <w:bCs/>
          <w:sz w:val="28"/>
          <w:szCs w:val="28"/>
          <w:lang w:val="vi-VN"/>
        </w:rPr>
        <w:t>.</w:t>
      </w:r>
      <w:r w:rsidRPr="000F7478">
        <w:rPr>
          <w:sz w:val="28"/>
          <w:szCs w:val="28"/>
          <w:lang w:val="vi-VN"/>
        </w:rPr>
        <w:t xml:space="preserve"> </w:t>
      </w:r>
      <w:r w:rsidRPr="000F7478">
        <w:rPr>
          <w:b/>
          <w:bCs/>
          <w:sz w:val="28"/>
          <w:szCs w:val="28"/>
          <w:lang w:val="vi-VN"/>
        </w:rPr>
        <w:t>Giám định tư pháp trong lĩnh vực pháp y tâm thần</w:t>
      </w:r>
    </w:p>
    <w:p w14:paraId="04530E75" w14:textId="77777777" w:rsidR="007221BE" w:rsidRPr="000F7478" w:rsidRDefault="00B42CDB" w:rsidP="00D56F52">
      <w:pPr>
        <w:spacing w:line="276" w:lineRule="auto"/>
        <w:ind w:firstLine="720"/>
        <w:jc w:val="both"/>
        <w:rPr>
          <w:sz w:val="28"/>
          <w:szCs w:val="28"/>
          <w:lang w:val="vi-VN"/>
        </w:rPr>
      </w:pPr>
      <w:bookmarkStart w:id="17" w:name="_Hlk224294686"/>
      <w:r w:rsidRPr="000F7478">
        <w:rPr>
          <w:sz w:val="28"/>
          <w:szCs w:val="28"/>
          <w:lang w:val="vi-VN"/>
        </w:rPr>
        <w:t xml:space="preserve">Quy trình giám định pháp y tâm thần và biểu mẫu sử dụng trong giám định pháp y tâm thần </w:t>
      </w:r>
      <w:bookmarkEnd w:id="17"/>
      <w:r w:rsidRPr="000F7478">
        <w:rPr>
          <w:sz w:val="28"/>
          <w:szCs w:val="28"/>
          <w:lang w:val="vi-VN"/>
        </w:rPr>
        <w:t>quy định tại Phụ lục</w:t>
      </w:r>
      <w:r w:rsidR="008B5282" w:rsidRPr="000F7478">
        <w:rPr>
          <w:sz w:val="28"/>
          <w:szCs w:val="28"/>
          <w:lang w:val="vi-VN"/>
        </w:rPr>
        <w:t xml:space="preserve"> IV</w:t>
      </w:r>
      <w:r w:rsidRPr="000F7478">
        <w:rPr>
          <w:sz w:val="28"/>
          <w:szCs w:val="28"/>
          <w:lang w:val="vi-VN"/>
        </w:rPr>
        <w:t xml:space="preserve"> ban hành kèm Thông tư này.</w:t>
      </w:r>
    </w:p>
    <w:p w14:paraId="015E458C" w14:textId="77777777" w:rsidR="00234A04" w:rsidRPr="000F7478" w:rsidRDefault="00234A04" w:rsidP="00F47EBB">
      <w:pPr>
        <w:spacing w:line="276" w:lineRule="auto"/>
        <w:ind w:firstLine="720"/>
        <w:jc w:val="both"/>
        <w:outlineLvl w:val="0"/>
        <w:rPr>
          <w:sz w:val="28"/>
          <w:szCs w:val="28"/>
          <w:lang w:val="vi-VN"/>
        </w:rPr>
      </w:pPr>
      <w:bookmarkStart w:id="18" w:name="dieu_5"/>
      <w:r w:rsidRPr="000F7478">
        <w:rPr>
          <w:b/>
          <w:bCs/>
          <w:sz w:val="28"/>
          <w:szCs w:val="28"/>
          <w:lang w:val="vi-VN"/>
        </w:rPr>
        <w:t xml:space="preserve">Điều </w:t>
      </w:r>
      <w:r w:rsidR="00AB5E7C" w:rsidRPr="000F7478">
        <w:rPr>
          <w:b/>
          <w:bCs/>
          <w:sz w:val="28"/>
          <w:szCs w:val="28"/>
          <w:lang w:val="vi-VN"/>
        </w:rPr>
        <w:t>7</w:t>
      </w:r>
      <w:r w:rsidRPr="000F7478">
        <w:rPr>
          <w:b/>
          <w:bCs/>
          <w:sz w:val="28"/>
          <w:szCs w:val="28"/>
          <w:lang w:val="vi-VN"/>
        </w:rPr>
        <w:t>. Hiệu lực thi hành</w:t>
      </w:r>
      <w:bookmarkEnd w:id="18"/>
    </w:p>
    <w:p w14:paraId="189EB154" w14:textId="77777777" w:rsidR="00234A04" w:rsidRPr="000F7478" w:rsidRDefault="00234A04" w:rsidP="00D56F52">
      <w:pPr>
        <w:spacing w:line="276" w:lineRule="auto"/>
        <w:ind w:firstLine="720"/>
        <w:jc w:val="both"/>
        <w:rPr>
          <w:sz w:val="28"/>
          <w:szCs w:val="28"/>
          <w:lang w:val="vi-VN"/>
        </w:rPr>
      </w:pPr>
      <w:r w:rsidRPr="000F7478">
        <w:rPr>
          <w:sz w:val="28"/>
          <w:szCs w:val="28"/>
          <w:lang w:val="vi-VN"/>
        </w:rPr>
        <w:t xml:space="preserve">1. Thông tư này có hiệu lực thi hành kể từ ngày </w:t>
      </w:r>
      <w:r w:rsidR="005333AE" w:rsidRPr="000F7478">
        <w:rPr>
          <w:sz w:val="28"/>
          <w:szCs w:val="28"/>
          <w:lang w:val="vi-VN"/>
        </w:rPr>
        <w:t>01</w:t>
      </w:r>
      <w:r w:rsidRPr="000F7478">
        <w:rPr>
          <w:sz w:val="28"/>
          <w:szCs w:val="28"/>
          <w:lang w:val="vi-VN"/>
        </w:rPr>
        <w:t xml:space="preserve"> tháng  </w:t>
      </w:r>
      <w:r w:rsidR="005333AE" w:rsidRPr="000F7478">
        <w:rPr>
          <w:sz w:val="28"/>
          <w:szCs w:val="28"/>
          <w:lang w:val="vi-VN"/>
        </w:rPr>
        <w:t xml:space="preserve">5 </w:t>
      </w:r>
      <w:r w:rsidRPr="000F7478">
        <w:rPr>
          <w:sz w:val="28"/>
          <w:szCs w:val="28"/>
          <w:lang w:val="vi-VN"/>
        </w:rPr>
        <w:t>năm 202</w:t>
      </w:r>
      <w:r w:rsidR="000710D2" w:rsidRPr="000F7478">
        <w:rPr>
          <w:sz w:val="28"/>
          <w:szCs w:val="28"/>
          <w:lang w:val="vi-VN"/>
        </w:rPr>
        <w:t>6</w:t>
      </w:r>
      <w:r w:rsidRPr="000F7478">
        <w:rPr>
          <w:sz w:val="28"/>
          <w:szCs w:val="28"/>
          <w:lang w:val="vi-VN"/>
        </w:rPr>
        <w:t>.</w:t>
      </w:r>
    </w:p>
    <w:p w14:paraId="1B05901A" w14:textId="77777777" w:rsidR="00AB5E7C" w:rsidRPr="000F7478" w:rsidRDefault="00234A04" w:rsidP="00D56F52">
      <w:pPr>
        <w:spacing w:line="276" w:lineRule="auto"/>
        <w:ind w:firstLine="720"/>
        <w:jc w:val="both"/>
        <w:rPr>
          <w:sz w:val="28"/>
          <w:szCs w:val="28"/>
          <w:lang w:val="vi-VN"/>
        </w:rPr>
      </w:pPr>
      <w:r w:rsidRPr="000F7478">
        <w:rPr>
          <w:spacing w:val="6"/>
          <w:sz w:val="28"/>
          <w:szCs w:val="28"/>
          <w:lang w:val="vi-VN"/>
        </w:rPr>
        <w:t xml:space="preserve">2. </w:t>
      </w:r>
      <w:bookmarkStart w:id="19" w:name="tvpllink_kekwydlfqq"/>
      <w:r w:rsidR="00AB5E7C" w:rsidRPr="000F7478">
        <w:rPr>
          <w:spacing w:val="6"/>
          <w:sz w:val="28"/>
          <w:szCs w:val="28"/>
          <w:lang w:val="vi-VN"/>
        </w:rPr>
        <w:t>Các văn bản sau đây hết hiệu lực kể từ ngày Thông tư này có hiệu lực thi hành</w:t>
      </w:r>
      <w:r w:rsidR="00AB5E7C" w:rsidRPr="000F7478">
        <w:rPr>
          <w:sz w:val="28"/>
          <w:szCs w:val="28"/>
          <w:lang w:val="vi-VN"/>
        </w:rPr>
        <w:t>:</w:t>
      </w:r>
    </w:p>
    <w:p w14:paraId="3F75F758" w14:textId="77777777" w:rsidR="00AB5E7C" w:rsidRPr="000F7478" w:rsidRDefault="00AB5E7C" w:rsidP="00D56F52">
      <w:pPr>
        <w:spacing w:line="276" w:lineRule="auto"/>
        <w:ind w:firstLine="720"/>
        <w:jc w:val="both"/>
        <w:rPr>
          <w:sz w:val="28"/>
          <w:szCs w:val="28"/>
          <w:lang w:val="vi-VN"/>
        </w:rPr>
      </w:pPr>
      <w:r w:rsidRPr="000F7478">
        <w:rPr>
          <w:sz w:val="28"/>
          <w:szCs w:val="28"/>
          <w:lang w:val="vi-VN"/>
        </w:rPr>
        <w:t>a</w:t>
      </w:r>
      <w:r w:rsidRPr="000F7478">
        <w:rPr>
          <w:spacing w:val="6"/>
          <w:sz w:val="28"/>
          <w:szCs w:val="28"/>
          <w:lang w:val="vi-VN"/>
        </w:rPr>
        <w:t xml:space="preserve">) </w:t>
      </w:r>
      <w:r w:rsidR="000710D2" w:rsidRPr="000F7478">
        <w:rPr>
          <w:spacing w:val="6"/>
          <w:sz w:val="28"/>
          <w:szCs w:val="28"/>
          <w:lang w:val="vi-VN"/>
        </w:rPr>
        <w:t xml:space="preserve">Thông tư 21/2025/TT-BYT ngày 27/06/2025 </w:t>
      </w:r>
      <w:r w:rsidR="005333AE" w:rsidRPr="000F7478">
        <w:rPr>
          <w:spacing w:val="6"/>
          <w:sz w:val="28"/>
          <w:szCs w:val="28"/>
          <w:lang w:val="vi-VN"/>
        </w:rPr>
        <w:t xml:space="preserve">của Bộ trưởng Bộ Y tế </w:t>
      </w:r>
      <w:r w:rsidR="000710D2" w:rsidRPr="000F7478">
        <w:rPr>
          <w:spacing w:val="6"/>
          <w:sz w:val="28"/>
          <w:szCs w:val="28"/>
          <w:lang w:val="vi-VN"/>
        </w:rPr>
        <w:t xml:space="preserve">quy định tiêu chuẩn </w:t>
      </w:r>
      <w:bookmarkStart w:id="20" w:name="_Hlk224145590"/>
      <w:r w:rsidR="000710D2" w:rsidRPr="000F7478">
        <w:rPr>
          <w:spacing w:val="6"/>
          <w:sz w:val="28"/>
          <w:szCs w:val="28"/>
          <w:lang w:val="vi-VN"/>
        </w:rPr>
        <w:t>bổ nhiệm giám định viên pháp y và giám định viên pháp y tâm thần</w:t>
      </w:r>
      <w:bookmarkEnd w:id="20"/>
      <w:r w:rsidRPr="000F7478">
        <w:rPr>
          <w:spacing w:val="6"/>
          <w:sz w:val="28"/>
          <w:szCs w:val="28"/>
          <w:lang w:val="vi-VN"/>
        </w:rPr>
        <w:t>;</w:t>
      </w:r>
    </w:p>
    <w:p w14:paraId="2B9ECE83" w14:textId="77777777" w:rsidR="0027678D" w:rsidRDefault="00AB5E7C" w:rsidP="00D56F52">
      <w:pPr>
        <w:spacing w:line="276" w:lineRule="auto"/>
        <w:ind w:firstLine="720"/>
        <w:jc w:val="both"/>
        <w:rPr>
          <w:sz w:val="28"/>
          <w:szCs w:val="28"/>
          <w:lang w:val="vi-VN"/>
        </w:rPr>
      </w:pPr>
      <w:r w:rsidRPr="000F7478">
        <w:rPr>
          <w:sz w:val="28"/>
          <w:szCs w:val="28"/>
          <w:lang w:val="vi-VN"/>
        </w:rPr>
        <w:t>b)</w:t>
      </w:r>
      <w:r w:rsidR="005333AE" w:rsidRPr="000F7478">
        <w:rPr>
          <w:sz w:val="28"/>
          <w:szCs w:val="28"/>
          <w:lang w:val="vi-VN"/>
        </w:rPr>
        <w:t xml:space="preserve"> Thông tư số 03/2025/TT-BYT ngày 13 tháng 01 năm 2025 của Bộ trưởng Bộ Y tế quy định về giám định tư pháp theo vụ việc trong lĩnh vực y tế</w:t>
      </w:r>
      <w:r w:rsidRPr="000F7478">
        <w:rPr>
          <w:sz w:val="28"/>
          <w:szCs w:val="28"/>
          <w:lang w:val="vi-VN"/>
        </w:rPr>
        <w:t>;</w:t>
      </w:r>
    </w:p>
    <w:p w14:paraId="06654A2A" w14:textId="77777777" w:rsidR="00AB5E7C" w:rsidRPr="0027678D" w:rsidRDefault="00AB5E7C" w:rsidP="00D56F52">
      <w:pPr>
        <w:spacing w:line="276" w:lineRule="auto"/>
        <w:ind w:firstLine="720"/>
        <w:jc w:val="both"/>
        <w:rPr>
          <w:sz w:val="28"/>
          <w:szCs w:val="28"/>
          <w:lang w:val="vi-VN"/>
        </w:rPr>
      </w:pPr>
      <w:r w:rsidRPr="000F7478">
        <w:rPr>
          <w:sz w:val="28"/>
          <w:szCs w:val="28"/>
          <w:lang w:val="vi-VN"/>
        </w:rPr>
        <w:t xml:space="preserve">c) </w:t>
      </w:r>
      <w:r w:rsidR="005333AE" w:rsidRPr="000F7478">
        <w:rPr>
          <w:sz w:val="28"/>
          <w:szCs w:val="28"/>
          <w:lang w:val="vi-VN"/>
        </w:rPr>
        <w:t>Thông tư số 42/2024/TT-BYT ngày 02 tháng 12 năm 2024 của Bộ trưởng Bộ Y tế</w:t>
      </w:r>
      <w:r w:rsidR="000167EC" w:rsidRPr="000F7478">
        <w:rPr>
          <w:sz w:val="28"/>
          <w:szCs w:val="28"/>
          <w:lang w:val="vi-VN"/>
        </w:rPr>
        <w:t xml:space="preserve"> quy định quy trình, thành phần hồ sơ, biểu mẫu, thời hạn, nhân lực thực hiện và chế độ lưu trữ hồ sơ giám định pháp y</w:t>
      </w:r>
      <w:r w:rsidRPr="000F7478">
        <w:rPr>
          <w:sz w:val="28"/>
          <w:szCs w:val="28"/>
          <w:lang w:val="vi-VN"/>
        </w:rPr>
        <w:t>;</w:t>
      </w:r>
    </w:p>
    <w:p w14:paraId="76DAE72D" w14:textId="77777777" w:rsidR="00234A04" w:rsidRPr="000F7478" w:rsidRDefault="00AB5E7C" w:rsidP="00D56F52">
      <w:pPr>
        <w:spacing w:line="276" w:lineRule="auto"/>
        <w:ind w:firstLine="720"/>
        <w:jc w:val="both"/>
        <w:rPr>
          <w:sz w:val="28"/>
          <w:szCs w:val="28"/>
          <w:lang w:val="vi-VN"/>
        </w:rPr>
      </w:pPr>
      <w:r w:rsidRPr="000F7478">
        <w:rPr>
          <w:sz w:val="28"/>
          <w:szCs w:val="28"/>
          <w:lang w:val="vi-VN"/>
        </w:rPr>
        <w:t xml:space="preserve">d) </w:t>
      </w:r>
      <w:r w:rsidR="000167EC" w:rsidRPr="000F7478">
        <w:rPr>
          <w:sz w:val="28"/>
          <w:szCs w:val="28"/>
          <w:lang w:val="vi-VN"/>
        </w:rPr>
        <w:t>Thông tư số 23/2019/TT-BYT ngày 28 tháng 8 năm 2019 của Bộ trưởng Bộ Y tế ban hành quy trình giám định pháp y tâm thần và biểu mẫu sử dụng trong giám định pháp y tâm thần</w:t>
      </w:r>
      <w:bookmarkEnd w:id="19"/>
      <w:r w:rsidR="00234A04" w:rsidRPr="000F7478">
        <w:rPr>
          <w:sz w:val="28"/>
          <w:szCs w:val="28"/>
          <w:lang w:val="vi-VN"/>
        </w:rPr>
        <w:t>.</w:t>
      </w:r>
    </w:p>
    <w:p w14:paraId="4E9D70B6" w14:textId="3C75E4A3" w:rsidR="00E46D77" w:rsidRPr="000F7478" w:rsidRDefault="00E46D77" w:rsidP="00F47EBB">
      <w:pPr>
        <w:spacing w:line="276" w:lineRule="auto"/>
        <w:ind w:firstLine="720"/>
        <w:jc w:val="both"/>
        <w:outlineLvl w:val="0"/>
        <w:rPr>
          <w:b/>
          <w:bCs/>
          <w:sz w:val="28"/>
          <w:szCs w:val="28"/>
          <w:lang w:val="vi-VN"/>
        </w:rPr>
      </w:pPr>
      <w:r w:rsidRPr="000F7478">
        <w:rPr>
          <w:b/>
          <w:bCs/>
          <w:sz w:val="28"/>
          <w:szCs w:val="28"/>
          <w:lang w:val="vi-VN"/>
        </w:rPr>
        <w:t xml:space="preserve">Điều </w:t>
      </w:r>
      <w:r w:rsidR="00FC2CA8" w:rsidRPr="000F7478">
        <w:rPr>
          <w:b/>
          <w:bCs/>
          <w:sz w:val="28"/>
          <w:szCs w:val="28"/>
          <w:lang w:val="vi-VN"/>
        </w:rPr>
        <w:t>8</w:t>
      </w:r>
      <w:r w:rsidRPr="000F7478">
        <w:rPr>
          <w:b/>
          <w:bCs/>
          <w:sz w:val="28"/>
          <w:szCs w:val="28"/>
          <w:lang w:val="vi-VN"/>
        </w:rPr>
        <w:t>. Điều khoản chuyển tiếp</w:t>
      </w:r>
    </w:p>
    <w:p w14:paraId="08F9C5EB" w14:textId="77777777" w:rsidR="00E46D77" w:rsidRPr="000F7478" w:rsidRDefault="00E46D77" w:rsidP="00D56F52">
      <w:pPr>
        <w:spacing w:line="276" w:lineRule="auto"/>
        <w:ind w:firstLine="720"/>
        <w:jc w:val="both"/>
        <w:rPr>
          <w:sz w:val="28"/>
          <w:szCs w:val="28"/>
          <w:lang w:val="vi-VN"/>
        </w:rPr>
      </w:pPr>
      <w:r w:rsidRPr="000F7478">
        <w:rPr>
          <w:sz w:val="28"/>
          <w:szCs w:val="28"/>
          <w:lang w:val="vi-VN"/>
        </w:rPr>
        <w:t>1</w:t>
      </w:r>
      <w:r w:rsidR="000167EC" w:rsidRPr="000F7478">
        <w:rPr>
          <w:sz w:val="28"/>
          <w:szCs w:val="28"/>
          <w:lang w:val="vi-VN"/>
        </w:rPr>
        <w:t xml:space="preserve">. Hồ sơ </w:t>
      </w:r>
      <w:r w:rsidR="00E168CD" w:rsidRPr="000F7478">
        <w:rPr>
          <w:sz w:val="28"/>
          <w:szCs w:val="28"/>
          <w:lang w:val="vi-VN"/>
        </w:rPr>
        <w:t xml:space="preserve">về bổ nhiệm giám định viên pháp y và giám định viên pháp y tâm thần </w:t>
      </w:r>
      <w:bookmarkStart w:id="21" w:name="_Hlk224145659"/>
      <w:r w:rsidR="000167EC" w:rsidRPr="000F7478">
        <w:rPr>
          <w:sz w:val="28"/>
          <w:szCs w:val="28"/>
          <w:lang w:val="vi-VN"/>
        </w:rPr>
        <w:t xml:space="preserve">tiếp nhận trước ngày Thông tư này có hiệu lực tiếp tục thực hiện theo </w:t>
      </w:r>
      <w:r w:rsidR="00E168CD" w:rsidRPr="000F7478">
        <w:rPr>
          <w:sz w:val="28"/>
          <w:szCs w:val="28"/>
          <w:lang w:val="vi-VN"/>
        </w:rPr>
        <w:t xml:space="preserve">quy định tại </w:t>
      </w:r>
      <w:bookmarkEnd w:id="21"/>
      <w:r w:rsidR="00E168CD" w:rsidRPr="000F7478">
        <w:rPr>
          <w:sz w:val="28"/>
          <w:szCs w:val="28"/>
          <w:lang w:val="vi-VN"/>
        </w:rPr>
        <w:t xml:space="preserve">Thông tư 21/2025/TT-BYT </w:t>
      </w:r>
      <w:bookmarkStart w:id="22" w:name="_Hlk224145688"/>
      <w:r w:rsidR="001B2753" w:rsidRPr="000F7478">
        <w:rPr>
          <w:sz w:val="28"/>
          <w:szCs w:val="28"/>
          <w:lang w:val="vi-VN"/>
        </w:rPr>
        <w:t>cho đến khi kết thúc thủ tục hành chính.</w:t>
      </w:r>
    </w:p>
    <w:p w14:paraId="712A8D01" w14:textId="77777777" w:rsidR="00E46D77" w:rsidRPr="000F7478" w:rsidRDefault="00E46D77" w:rsidP="00D56F52">
      <w:pPr>
        <w:spacing w:line="276" w:lineRule="auto"/>
        <w:ind w:firstLine="720"/>
        <w:jc w:val="both"/>
        <w:rPr>
          <w:sz w:val="28"/>
          <w:szCs w:val="28"/>
          <w:lang w:val="vi-VN"/>
        </w:rPr>
      </w:pPr>
      <w:r w:rsidRPr="000F7478">
        <w:rPr>
          <w:sz w:val="28"/>
          <w:szCs w:val="28"/>
          <w:lang w:val="vi-VN"/>
        </w:rPr>
        <w:lastRenderedPageBreak/>
        <w:t xml:space="preserve">2. </w:t>
      </w:r>
      <w:r w:rsidR="00E168CD" w:rsidRPr="000F7478">
        <w:rPr>
          <w:sz w:val="28"/>
          <w:szCs w:val="28"/>
          <w:lang w:val="vi-VN"/>
        </w:rPr>
        <w:t>Hồ sơ về giám định tư pháp theo vụ việc tiếp nhận trước ngày Thông tư này có hiệu lực tiếp tục thực hiện theo quy định tại</w:t>
      </w:r>
      <w:r w:rsidRPr="000F7478">
        <w:rPr>
          <w:sz w:val="28"/>
          <w:szCs w:val="28"/>
          <w:lang w:val="vi-VN"/>
        </w:rPr>
        <w:t xml:space="preserve"> Thông tư số 03/2025/TT-BYT</w:t>
      </w:r>
      <w:bookmarkEnd w:id="22"/>
      <w:r w:rsidR="001B2753" w:rsidRPr="000F7478">
        <w:rPr>
          <w:sz w:val="28"/>
          <w:szCs w:val="28"/>
          <w:lang w:val="vi-VN"/>
        </w:rPr>
        <w:t>.</w:t>
      </w:r>
    </w:p>
    <w:p w14:paraId="087047E4" w14:textId="77777777" w:rsidR="00E46D77" w:rsidRPr="000F7478" w:rsidRDefault="00E46D77" w:rsidP="00D56F52">
      <w:pPr>
        <w:spacing w:line="276" w:lineRule="auto"/>
        <w:ind w:firstLine="720"/>
        <w:jc w:val="both"/>
        <w:rPr>
          <w:sz w:val="28"/>
          <w:szCs w:val="28"/>
          <w:lang w:val="vi-VN"/>
        </w:rPr>
      </w:pPr>
      <w:r w:rsidRPr="000F7478">
        <w:rPr>
          <w:sz w:val="28"/>
          <w:szCs w:val="28"/>
          <w:lang w:val="vi-VN"/>
        </w:rPr>
        <w:t>3. Hồ sơ về giám định pháp y tiếp nhận trước ngày Thông tư này có hiệu lực tiếp tục thực hiện theo quy định tại Thông tư số 42/2024/TT-BYT</w:t>
      </w:r>
      <w:r w:rsidR="001B2753" w:rsidRPr="000F7478">
        <w:rPr>
          <w:sz w:val="28"/>
          <w:szCs w:val="28"/>
          <w:lang w:val="vi-VN"/>
        </w:rPr>
        <w:t>.</w:t>
      </w:r>
      <w:r w:rsidR="00386B42" w:rsidRPr="000F7478">
        <w:rPr>
          <w:lang w:val="vi-VN"/>
        </w:rPr>
        <w:t xml:space="preserve"> </w:t>
      </w:r>
      <w:r w:rsidR="00386B42" w:rsidRPr="000F7478">
        <w:rPr>
          <w:sz w:val="28"/>
          <w:szCs w:val="28"/>
          <w:lang w:val="vi-VN"/>
        </w:rPr>
        <w:t xml:space="preserve">Trường hợp đã giám định lần đầu trước ngày Thông tư này có hiệu lực, thì các lần giám định lại (nếu có), bao gồm cả trường hợp trưng cầu, yêu cầu sau thời điểm Thông tư này có hiệu lực áp dụng theo quy định của Thông tư </w:t>
      </w:r>
      <w:r w:rsidR="00AB5E7C" w:rsidRPr="000F7478">
        <w:rPr>
          <w:sz w:val="28"/>
          <w:szCs w:val="28"/>
          <w:lang w:val="vi-VN"/>
        </w:rPr>
        <w:t>này.</w:t>
      </w:r>
    </w:p>
    <w:p w14:paraId="5682B84A" w14:textId="77777777" w:rsidR="00E46D77" w:rsidRPr="000F7478" w:rsidRDefault="00E46D77" w:rsidP="00D56F52">
      <w:pPr>
        <w:spacing w:line="276" w:lineRule="auto"/>
        <w:ind w:firstLine="720"/>
        <w:jc w:val="both"/>
        <w:rPr>
          <w:sz w:val="28"/>
          <w:szCs w:val="28"/>
          <w:lang w:val="vi-VN"/>
        </w:rPr>
      </w:pPr>
      <w:r w:rsidRPr="000F7478">
        <w:rPr>
          <w:sz w:val="28"/>
          <w:szCs w:val="28"/>
          <w:lang w:val="vi-VN"/>
        </w:rPr>
        <w:t>4. Hồ sơ về giám định pháp y tâm thần tiếp nhận trước ngày Thông tư này có hiệu lực tiếp tục thực hiện theo quy định tại Thông tư số 23/2019/TT-BYT.</w:t>
      </w:r>
    </w:p>
    <w:p w14:paraId="6FE4CD24" w14:textId="77777777" w:rsidR="00E168CD" w:rsidRPr="000F7478" w:rsidRDefault="00E46D77" w:rsidP="00D56F52">
      <w:pPr>
        <w:spacing w:line="276" w:lineRule="auto"/>
        <w:ind w:firstLine="720"/>
        <w:jc w:val="both"/>
        <w:rPr>
          <w:sz w:val="28"/>
          <w:szCs w:val="28"/>
          <w:lang w:val="vi-VN"/>
        </w:rPr>
      </w:pPr>
      <w:r w:rsidRPr="000F7478">
        <w:rPr>
          <w:sz w:val="28"/>
          <w:szCs w:val="28"/>
          <w:lang w:val="vi-VN"/>
        </w:rPr>
        <w:t>5. Trường hợp các văn bản quy phạm pháp luật dẫn chiếu áp dụng tại Thông tư này được sửa đổi, bổ sung, thay thế thì áp dụng theo văn bản sửa đổi, bổ sung, thay thế đó.</w:t>
      </w:r>
    </w:p>
    <w:p w14:paraId="379ECB40" w14:textId="77777777" w:rsidR="00234A04" w:rsidRPr="000F7478" w:rsidRDefault="00234A04" w:rsidP="00AA6A69">
      <w:pPr>
        <w:spacing w:after="180" w:line="276" w:lineRule="auto"/>
        <w:ind w:firstLine="720"/>
        <w:jc w:val="both"/>
        <w:rPr>
          <w:sz w:val="28"/>
          <w:szCs w:val="28"/>
          <w:lang w:val="vi-VN"/>
        </w:rPr>
      </w:pPr>
      <w:r w:rsidRPr="000F7478">
        <w:rPr>
          <w:sz w:val="28"/>
          <w:szCs w:val="28"/>
          <w:lang w:val="vi-VN"/>
        </w:rPr>
        <w:t>Trong quá trình tổ chức thực hiện, nếu có khó khăn</w:t>
      </w:r>
      <w:r w:rsidR="00511119">
        <w:rPr>
          <w:sz w:val="28"/>
          <w:szCs w:val="28"/>
          <w:lang w:val="vi-VN"/>
        </w:rPr>
        <w:t>,</w:t>
      </w:r>
      <w:r w:rsidRPr="000F7478">
        <w:rPr>
          <w:sz w:val="28"/>
          <w:szCs w:val="28"/>
          <w:lang w:val="vi-VN"/>
        </w:rPr>
        <w:t xml:space="preserve"> vướng mắc đề nghị các cơ quan, tổ chức, cá nhân phản ánh về Bộ Y tế (qua</w:t>
      </w:r>
      <w:r w:rsidR="001B2753" w:rsidRPr="000F7478">
        <w:rPr>
          <w:sz w:val="28"/>
          <w:szCs w:val="28"/>
          <w:lang w:val="vi-VN"/>
        </w:rPr>
        <w:t xml:space="preserve"> Văn phòng Bộ</w:t>
      </w:r>
      <w:r w:rsidRPr="000F7478">
        <w:rPr>
          <w:sz w:val="28"/>
          <w:szCs w:val="28"/>
          <w:lang w:val="vi-VN"/>
        </w:rPr>
        <w:t>) để xem xét, giải quyết./.</w:t>
      </w:r>
    </w:p>
    <w:tbl>
      <w:tblPr>
        <w:tblW w:w="9640" w:type="dxa"/>
        <w:tblInd w:w="-142" w:type="dxa"/>
        <w:tblLook w:val="01E0" w:firstRow="1" w:lastRow="1" w:firstColumn="1" w:lastColumn="1" w:noHBand="0" w:noVBand="0"/>
      </w:tblPr>
      <w:tblGrid>
        <w:gridCol w:w="5245"/>
        <w:gridCol w:w="4395"/>
      </w:tblGrid>
      <w:tr w:rsidR="003C0A07" w:rsidRPr="00BD415E" w14:paraId="707D60FF" w14:textId="77777777" w:rsidTr="00D56F52">
        <w:trPr>
          <w:trHeight w:val="3435"/>
        </w:trPr>
        <w:tc>
          <w:tcPr>
            <w:tcW w:w="5245" w:type="dxa"/>
          </w:tcPr>
          <w:p w14:paraId="61E822C0" w14:textId="77777777" w:rsidR="003C0A07" w:rsidRPr="00F06E90" w:rsidRDefault="003C0A07" w:rsidP="0027678D">
            <w:pPr>
              <w:shd w:val="clear" w:color="auto" w:fill="FFFFFF" w:themeFill="background1"/>
              <w:spacing w:line="276" w:lineRule="auto"/>
              <w:rPr>
                <w:sz w:val="22"/>
                <w:szCs w:val="22"/>
                <w:lang w:val="vi-VN"/>
              </w:rPr>
            </w:pPr>
            <w:r w:rsidRPr="00C92300">
              <w:rPr>
                <w:b/>
                <w:bCs/>
                <w:i/>
                <w:iCs/>
                <w:lang w:val="vi-VN"/>
              </w:rPr>
              <w:t>Nơi nhận:</w:t>
            </w:r>
            <w:r w:rsidRPr="00BC5EDA">
              <w:rPr>
                <w:sz w:val="22"/>
                <w:szCs w:val="22"/>
                <w:lang w:val="vi-VN"/>
              </w:rPr>
              <w:br/>
            </w:r>
            <w:r w:rsidRPr="00F06E90">
              <w:rPr>
                <w:sz w:val="22"/>
                <w:szCs w:val="22"/>
                <w:lang w:val="vi-VN"/>
              </w:rPr>
              <w:t xml:space="preserve">- Ban Bí thư Trung ương Đảng; </w:t>
            </w:r>
          </w:p>
          <w:p w14:paraId="218A0B0D" w14:textId="77777777" w:rsidR="003C0A07" w:rsidRPr="00F06E90" w:rsidRDefault="003C0A07" w:rsidP="0027678D">
            <w:pPr>
              <w:shd w:val="clear" w:color="auto" w:fill="FFFFFF" w:themeFill="background1"/>
              <w:spacing w:line="276" w:lineRule="auto"/>
              <w:rPr>
                <w:sz w:val="22"/>
                <w:szCs w:val="22"/>
                <w:lang w:val="vi-VN"/>
              </w:rPr>
            </w:pPr>
            <w:r w:rsidRPr="00F06E90">
              <w:rPr>
                <w:sz w:val="22"/>
                <w:szCs w:val="22"/>
                <w:lang w:val="vi-VN"/>
              </w:rPr>
              <w:t xml:space="preserve">- Thủ tướng, các Phó Thủ tướng Chính phủ; </w:t>
            </w:r>
          </w:p>
          <w:p w14:paraId="47D6A965" w14:textId="77777777" w:rsidR="003C0A07" w:rsidRPr="00F06E90" w:rsidRDefault="003C0A07" w:rsidP="0027678D">
            <w:pPr>
              <w:shd w:val="clear" w:color="auto" w:fill="FFFFFF" w:themeFill="background1"/>
              <w:spacing w:line="276" w:lineRule="auto"/>
              <w:rPr>
                <w:sz w:val="22"/>
                <w:szCs w:val="22"/>
                <w:lang w:val="vi-VN"/>
              </w:rPr>
            </w:pPr>
            <w:r w:rsidRPr="00F06E90">
              <w:rPr>
                <w:sz w:val="22"/>
                <w:szCs w:val="22"/>
                <w:lang w:val="vi-VN"/>
              </w:rPr>
              <w:t xml:space="preserve">- Các bộ, cơ quan ngang bộ, cơ quan thuộc Chính phủ; </w:t>
            </w:r>
          </w:p>
          <w:p w14:paraId="112D5FF6" w14:textId="77777777" w:rsidR="003C0A07" w:rsidRPr="004B2CFF" w:rsidRDefault="003C0A07" w:rsidP="0027678D">
            <w:pPr>
              <w:shd w:val="clear" w:color="auto" w:fill="FFFFFF" w:themeFill="background1"/>
              <w:spacing w:line="276" w:lineRule="auto"/>
              <w:rPr>
                <w:spacing w:val="-6"/>
                <w:sz w:val="22"/>
                <w:szCs w:val="22"/>
                <w:lang w:val="vi-VN"/>
              </w:rPr>
            </w:pPr>
            <w:r w:rsidRPr="004B2CFF">
              <w:rPr>
                <w:spacing w:val="-6"/>
                <w:sz w:val="22"/>
                <w:szCs w:val="22"/>
                <w:lang w:val="vi-VN"/>
              </w:rPr>
              <w:t xml:space="preserve">- HĐND, UBND các tỉnh, thành phố trực thuộc Trung ương; </w:t>
            </w:r>
          </w:p>
          <w:p w14:paraId="14C712CC" w14:textId="77777777" w:rsidR="003C0A07" w:rsidRPr="00F06E90" w:rsidRDefault="003C0A07" w:rsidP="0027678D">
            <w:pPr>
              <w:shd w:val="clear" w:color="auto" w:fill="FFFFFF" w:themeFill="background1"/>
              <w:spacing w:line="276" w:lineRule="auto"/>
              <w:rPr>
                <w:sz w:val="22"/>
                <w:szCs w:val="22"/>
                <w:lang w:val="vi-VN"/>
              </w:rPr>
            </w:pPr>
            <w:r w:rsidRPr="00F06E90">
              <w:rPr>
                <w:sz w:val="22"/>
                <w:szCs w:val="22"/>
                <w:lang w:val="vi-VN"/>
              </w:rPr>
              <w:t xml:space="preserve">- Văn phòng Trung ương và các Ban của Đảng; </w:t>
            </w:r>
          </w:p>
          <w:p w14:paraId="3428D8F4" w14:textId="77777777" w:rsidR="003C0A07" w:rsidRPr="00F06E90" w:rsidRDefault="003C0A07" w:rsidP="0027678D">
            <w:pPr>
              <w:shd w:val="clear" w:color="auto" w:fill="FFFFFF" w:themeFill="background1"/>
              <w:spacing w:line="276" w:lineRule="auto"/>
              <w:rPr>
                <w:sz w:val="22"/>
                <w:szCs w:val="22"/>
                <w:lang w:val="vi-VN"/>
              </w:rPr>
            </w:pPr>
            <w:r w:rsidRPr="00F06E90">
              <w:rPr>
                <w:sz w:val="22"/>
                <w:szCs w:val="22"/>
                <w:lang w:val="vi-VN"/>
              </w:rPr>
              <w:t xml:space="preserve">- Văn phòng Tổng Bí thư; </w:t>
            </w:r>
          </w:p>
          <w:p w14:paraId="1E17CF00" w14:textId="77777777" w:rsidR="003C0A07" w:rsidRPr="00F06E90" w:rsidRDefault="003C0A07" w:rsidP="0027678D">
            <w:pPr>
              <w:shd w:val="clear" w:color="auto" w:fill="FFFFFF" w:themeFill="background1"/>
              <w:spacing w:line="276" w:lineRule="auto"/>
              <w:rPr>
                <w:sz w:val="22"/>
                <w:szCs w:val="22"/>
                <w:lang w:val="vi-VN"/>
              </w:rPr>
            </w:pPr>
            <w:r w:rsidRPr="00F06E90">
              <w:rPr>
                <w:sz w:val="22"/>
                <w:szCs w:val="22"/>
                <w:lang w:val="vi-VN"/>
              </w:rPr>
              <w:t xml:space="preserve">- Văn phòng Chủ tịch nước; </w:t>
            </w:r>
          </w:p>
          <w:p w14:paraId="126CFBFC" w14:textId="77777777" w:rsidR="003C0A07" w:rsidRPr="00F06E90" w:rsidRDefault="003C0A07" w:rsidP="0027678D">
            <w:pPr>
              <w:shd w:val="clear" w:color="auto" w:fill="FFFFFF" w:themeFill="background1"/>
              <w:spacing w:line="276" w:lineRule="auto"/>
              <w:rPr>
                <w:sz w:val="22"/>
                <w:szCs w:val="22"/>
                <w:lang w:val="vi-VN"/>
              </w:rPr>
            </w:pPr>
            <w:r w:rsidRPr="00F06E90">
              <w:rPr>
                <w:sz w:val="22"/>
                <w:szCs w:val="22"/>
                <w:lang w:val="vi-VN"/>
              </w:rPr>
              <w:t xml:space="preserve">- Hội đồng Dân tộc và các Ủy ban của Quốc hội; </w:t>
            </w:r>
          </w:p>
          <w:p w14:paraId="7A0BA2DF" w14:textId="77777777" w:rsidR="003C0A07" w:rsidRPr="00F06E90" w:rsidRDefault="003C0A07" w:rsidP="0027678D">
            <w:pPr>
              <w:shd w:val="clear" w:color="auto" w:fill="FFFFFF" w:themeFill="background1"/>
              <w:spacing w:line="276" w:lineRule="auto"/>
              <w:rPr>
                <w:sz w:val="22"/>
                <w:szCs w:val="22"/>
                <w:lang w:val="vi-VN"/>
              </w:rPr>
            </w:pPr>
            <w:r w:rsidRPr="00F06E90">
              <w:rPr>
                <w:sz w:val="22"/>
                <w:szCs w:val="22"/>
                <w:lang w:val="vi-VN"/>
              </w:rPr>
              <w:t xml:space="preserve">- Văn phòng Quốc hội; </w:t>
            </w:r>
          </w:p>
          <w:p w14:paraId="2B744B49" w14:textId="77777777" w:rsidR="003C0A07" w:rsidRPr="00F06E90" w:rsidRDefault="003C0A07" w:rsidP="0027678D">
            <w:pPr>
              <w:shd w:val="clear" w:color="auto" w:fill="FFFFFF" w:themeFill="background1"/>
              <w:spacing w:line="276" w:lineRule="auto"/>
              <w:rPr>
                <w:sz w:val="22"/>
                <w:szCs w:val="22"/>
                <w:lang w:val="vi-VN"/>
              </w:rPr>
            </w:pPr>
            <w:r w:rsidRPr="00F06E90">
              <w:rPr>
                <w:sz w:val="22"/>
                <w:szCs w:val="22"/>
                <w:lang w:val="vi-VN"/>
              </w:rPr>
              <w:t xml:space="preserve">- Tòa án nhân dân tối cao; </w:t>
            </w:r>
          </w:p>
          <w:p w14:paraId="2778F62E" w14:textId="77777777" w:rsidR="003C0A07" w:rsidRPr="000F7478" w:rsidRDefault="003C0A07" w:rsidP="0027678D">
            <w:pPr>
              <w:shd w:val="clear" w:color="auto" w:fill="FFFFFF" w:themeFill="background1"/>
              <w:spacing w:line="276" w:lineRule="auto"/>
              <w:rPr>
                <w:sz w:val="22"/>
                <w:szCs w:val="22"/>
                <w:lang w:val="vi-VN"/>
              </w:rPr>
            </w:pPr>
            <w:r w:rsidRPr="00F06E90">
              <w:rPr>
                <w:sz w:val="22"/>
                <w:szCs w:val="22"/>
                <w:lang w:val="vi-VN"/>
              </w:rPr>
              <w:t xml:space="preserve">- Viện kiểm sát nhân dân tối cao; </w:t>
            </w:r>
          </w:p>
          <w:p w14:paraId="66890133" w14:textId="77777777" w:rsidR="003C0A07" w:rsidRPr="00F06E90" w:rsidRDefault="003C0A07" w:rsidP="0027678D">
            <w:pPr>
              <w:shd w:val="clear" w:color="auto" w:fill="FFFFFF" w:themeFill="background1"/>
              <w:spacing w:line="276" w:lineRule="auto"/>
              <w:rPr>
                <w:sz w:val="22"/>
                <w:szCs w:val="22"/>
                <w:lang w:val="vi-VN"/>
              </w:rPr>
            </w:pPr>
            <w:r w:rsidRPr="00F06E90">
              <w:rPr>
                <w:sz w:val="22"/>
                <w:szCs w:val="22"/>
                <w:lang w:val="vi-VN"/>
              </w:rPr>
              <w:t xml:space="preserve">- Kiểm toán nhà nước; </w:t>
            </w:r>
          </w:p>
          <w:p w14:paraId="30FFEE1A" w14:textId="77777777" w:rsidR="003C0A07" w:rsidRPr="00F06E90" w:rsidRDefault="003C0A07" w:rsidP="0027678D">
            <w:pPr>
              <w:shd w:val="clear" w:color="auto" w:fill="FFFFFF" w:themeFill="background1"/>
              <w:spacing w:line="276" w:lineRule="auto"/>
              <w:rPr>
                <w:sz w:val="22"/>
                <w:szCs w:val="22"/>
                <w:lang w:val="vi-VN"/>
              </w:rPr>
            </w:pPr>
            <w:r w:rsidRPr="00F06E90">
              <w:rPr>
                <w:sz w:val="22"/>
                <w:szCs w:val="22"/>
                <w:lang w:val="vi-VN"/>
              </w:rPr>
              <w:t xml:space="preserve">- Ngân hàng Chính sách xã hội; </w:t>
            </w:r>
          </w:p>
          <w:p w14:paraId="655E167D" w14:textId="77777777" w:rsidR="003C0A07" w:rsidRPr="000F7478" w:rsidRDefault="003C0A07" w:rsidP="0027678D">
            <w:pPr>
              <w:shd w:val="clear" w:color="auto" w:fill="FFFFFF" w:themeFill="background1"/>
              <w:spacing w:line="276" w:lineRule="auto"/>
              <w:rPr>
                <w:sz w:val="22"/>
                <w:szCs w:val="22"/>
                <w:lang w:val="vi-VN"/>
              </w:rPr>
            </w:pPr>
            <w:r w:rsidRPr="000F7478">
              <w:rPr>
                <w:sz w:val="22"/>
                <w:szCs w:val="22"/>
                <w:lang w:val="vi-VN"/>
              </w:rPr>
              <w:t xml:space="preserve">- Ngân hàng Phát triển Việt Nam; </w:t>
            </w:r>
          </w:p>
          <w:p w14:paraId="65919858" w14:textId="77777777" w:rsidR="003C0A07" w:rsidRPr="000F7478" w:rsidRDefault="003C0A07" w:rsidP="0027678D">
            <w:pPr>
              <w:shd w:val="clear" w:color="auto" w:fill="FFFFFF" w:themeFill="background1"/>
              <w:spacing w:line="276" w:lineRule="auto"/>
              <w:rPr>
                <w:sz w:val="22"/>
                <w:szCs w:val="22"/>
                <w:lang w:val="vi-VN"/>
              </w:rPr>
            </w:pPr>
            <w:r w:rsidRPr="000F7478">
              <w:rPr>
                <w:sz w:val="22"/>
                <w:szCs w:val="22"/>
                <w:lang w:val="vi-VN"/>
              </w:rPr>
              <w:t xml:space="preserve">- Ủy ban Trung ương Mặt trận Tổ quốc Việt Nam; </w:t>
            </w:r>
          </w:p>
          <w:p w14:paraId="1D8E4721" w14:textId="77777777" w:rsidR="003C0A07" w:rsidRPr="000F7478" w:rsidRDefault="003C0A07" w:rsidP="0027678D">
            <w:pPr>
              <w:shd w:val="clear" w:color="auto" w:fill="FFFFFF" w:themeFill="background1"/>
              <w:spacing w:line="276" w:lineRule="auto"/>
              <w:rPr>
                <w:sz w:val="22"/>
                <w:szCs w:val="22"/>
                <w:lang w:val="vi-VN"/>
              </w:rPr>
            </w:pPr>
            <w:r w:rsidRPr="000F7478">
              <w:rPr>
                <w:sz w:val="22"/>
                <w:szCs w:val="22"/>
                <w:lang w:val="vi-VN"/>
              </w:rPr>
              <w:t xml:space="preserve">- Cơ quan Trung ương của các đoàn thể; </w:t>
            </w:r>
          </w:p>
          <w:p w14:paraId="764B8AB0" w14:textId="77777777" w:rsidR="003C0A07" w:rsidRPr="000F7478" w:rsidRDefault="003C0A07" w:rsidP="0027678D">
            <w:pPr>
              <w:shd w:val="clear" w:color="auto" w:fill="FFFFFF" w:themeFill="background1"/>
              <w:spacing w:line="276" w:lineRule="auto"/>
              <w:rPr>
                <w:sz w:val="22"/>
                <w:szCs w:val="22"/>
                <w:lang w:val="vi-VN"/>
              </w:rPr>
            </w:pPr>
            <w:r w:rsidRPr="000F7478">
              <w:rPr>
                <w:sz w:val="22"/>
                <w:szCs w:val="22"/>
                <w:lang w:val="vi-VN"/>
              </w:rPr>
              <w:t>- Bộ trưởng (để báo cáo);</w:t>
            </w:r>
          </w:p>
          <w:p w14:paraId="4B1469A3" w14:textId="77777777" w:rsidR="003C0A07" w:rsidRPr="000F7478" w:rsidRDefault="003C0A07" w:rsidP="0027678D">
            <w:pPr>
              <w:shd w:val="clear" w:color="auto" w:fill="FFFFFF" w:themeFill="background1"/>
              <w:spacing w:line="276" w:lineRule="auto"/>
              <w:rPr>
                <w:sz w:val="22"/>
                <w:szCs w:val="22"/>
                <w:lang w:val="vi-VN"/>
              </w:rPr>
            </w:pPr>
            <w:r w:rsidRPr="000F7478">
              <w:rPr>
                <w:sz w:val="22"/>
                <w:szCs w:val="22"/>
                <w:lang w:val="vi-VN"/>
              </w:rPr>
              <w:t xml:space="preserve">- Các đ/c Thứ trưởng Bộ Y tế (để phối hợp chỉ đạo); </w:t>
            </w:r>
          </w:p>
          <w:p w14:paraId="69257B0A" w14:textId="77777777" w:rsidR="003C0A07" w:rsidRPr="000F7478" w:rsidRDefault="003C0A07" w:rsidP="0027678D">
            <w:pPr>
              <w:shd w:val="clear" w:color="auto" w:fill="FFFFFF" w:themeFill="background1"/>
              <w:spacing w:line="276" w:lineRule="auto"/>
              <w:rPr>
                <w:sz w:val="22"/>
                <w:szCs w:val="22"/>
                <w:lang w:val="vi-VN"/>
              </w:rPr>
            </w:pPr>
            <w:r w:rsidRPr="000F7478">
              <w:rPr>
                <w:sz w:val="22"/>
                <w:szCs w:val="22"/>
                <w:lang w:val="vi-VN"/>
              </w:rPr>
              <w:t xml:space="preserve">- Các Sở Y tế tỉnh, thành phố trực thuộc Trung ương; </w:t>
            </w:r>
          </w:p>
          <w:p w14:paraId="5DEE0CE4" w14:textId="77777777" w:rsidR="003C0A07" w:rsidRPr="000F7478" w:rsidRDefault="003C0A07" w:rsidP="0027678D">
            <w:pPr>
              <w:shd w:val="clear" w:color="auto" w:fill="FFFFFF" w:themeFill="background1"/>
              <w:spacing w:line="276" w:lineRule="auto"/>
              <w:rPr>
                <w:sz w:val="22"/>
                <w:szCs w:val="22"/>
                <w:lang w:val="vi-VN"/>
              </w:rPr>
            </w:pPr>
            <w:r w:rsidRPr="000F7478">
              <w:rPr>
                <w:sz w:val="22"/>
                <w:szCs w:val="22"/>
                <w:lang w:val="vi-VN"/>
              </w:rPr>
              <w:t xml:space="preserve">- Công báo; Cổng Thông tin điện tử Chính phủ; </w:t>
            </w:r>
          </w:p>
          <w:p w14:paraId="10717400" w14:textId="77777777" w:rsidR="003C0A07" w:rsidRPr="000F7478" w:rsidRDefault="003C0A07" w:rsidP="0027678D">
            <w:pPr>
              <w:shd w:val="clear" w:color="auto" w:fill="FFFFFF" w:themeFill="background1"/>
              <w:spacing w:line="276" w:lineRule="auto"/>
              <w:rPr>
                <w:sz w:val="22"/>
                <w:szCs w:val="22"/>
                <w:lang w:val="vi-VN"/>
              </w:rPr>
            </w:pPr>
            <w:r w:rsidRPr="000F7478">
              <w:rPr>
                <w:sz w:val="22"/>
                <w:szCs w:val="22"/>
                <w:lang w:val="vi-VN"/>
              </w:rPr>
              <w:t xml:space="preserve">- Các Vụ, Cục, Văn phòng Bộ - Bộ Y tế; </w:t>
            </w:r>
          </w:p>
          <w:p w14:paraId="6B7BF06D" w14:textId="77777777" w:rsidR="003C0A07" w:rsidRPr="000F7478" w:rsidRDefault="003C0A07" w:rsidP="0027678D">
            <w:pPr>
              <w:shd w:val="clear" w:color="auto" w:fill="FFFFFF" w:themeFill="background1"/>
              <w:spacing w:line="276" w:lineRule="auto"/>
              <w:rPr>
                <w:sz w:val="22"/>
                <w:szCs w:val="22"/>
                <w:lang w:val="vi-VN"/>
              </w:rPr>
            </w:pPr>
            <w:r w:rsidRPr="000F7478">
              <w:rPr>
                <w:sz w:val="22"/>
                <w:szCs w:val="22"/>
                <w:lang w:val="vi-VN"/>
              </w:rPr>
              <w:t xml:space="preserve">- Cổng Thông tin điện tử Bộ Y tế; </w:t>
            </w:r>
          </w:p>
          <w:p w14:paraId="0CC369EE" w14:textId="4E91D579" w:rsidR="003C0A07" w:rsidRPr="00BD415E" w:rsidRDefault="003C0A07" w:rsidP="0027678D">
            <w:pPr>
              <w:spacing w:after="120" w:line="276" w:lineRule="auto"/>
              <w:rPr>
                <w:b/>
                <w:sz w:val="20"/>
                <w:szCs w:val="20"/>
              </w:rPr>
            </w:pPr>
            <w:r w:rsidRPr="00585BBB">
              <w:rPr>
                <w:sz w:val="22"/>
                <w:szCs w:val="22"/>
              </w:rPr>
              <w:t xml:space="preserve">- Lưu: VT, </w:t>
            </w:r>
            <w:r w:rsidR="00987340">
              <w:rPr>
                <w:sz w:val="22"/>
                <w:szCs w:val="22"/>
              </w:rPr>
              <w:t>VPB</w:t>
            </w:r>
            <w:r w:rsidRPr="00585BBB">
              <w:rPr>
                <w:sz w:val="22"/>
                <w:szCs w:val="22"/>
              </w:rPr>
              <w:t>, PC.</w:t>
            </w:r>
          </w:p>
        </w:tc>
        <w:tc>
          <w:tcPr>
            <w:tcW w:w="4395" w:type="dxa"/>
          </w:tcPr>
          <w:p w14:paraId="3FC38B54" w14:textId="77777777" w:rsidR="003C0A07" w:rsidRPr="003C0A07" w:rsidRDefault="003C0A07" w:rsidP="0027678D">
            <w:pPr>
              <w:spacing w:after="120" w:line="276" w:lineRule="auto"/>
              <w:jc w:val="center"/>
              <w:rPr>
                <w:b/>
                <w:bCs/>
                <w:iCs/>
                <w:sz w:val="28"/>
                <w:szCs w:val="28"/>
              </w:rPr>
            </w:pPr>
            <w:r w:rsidRPr="003C0A07">
              <w:rPr>
                <w:b/>
                <w:bCs/>
                <w:iCs/>
                <w:sz w:val="28"/>
                <w:szCs w:val="28"/>
              </w:rPr>
              <w:t xml:space="preserve">KT. </w:t>
            </w:r>
            <w:r w:rsidRPr="003C0A07">
              <w:rPr>
                <w:b/>
                <w:bCs/>
                <w:iCs/>
                <w:sz w:val="28"/>
                <w:szCs w:val="28"/>
                <w:lang w:val="vi-VN"/>
              </w:rPr>
              <w:t>BỘ TRƯỞNG</w:t>
            </w:r>
            <w:r w:rsidRPr="003C0A07">
              <w:rPr>
                <w:b/>
                <w:bCs/>
                <w:iCs/>
                <w:sz w:val="28"/>
                <w:szCs w:val="28"/>
                <w:lang w:val="vi-VN"/>
              </w:rPr>
              <w:br/>
            </w:r>
            <w:r w:rsidRPr="003C0A07">
              <w:rPr>
                <w:b/>
                <w:bCs/>
                <w:iCs/>
                <w:sz w:val="28"/>
                <w:szCs w:val="28"/>
              </w:rPr>
              <w:t>THỨ TRƯỞNG</w:t>
            </w:r>
            <w:r>
              <w:rPr>
                <w:b/>
                <w:bCs/>
                <w:iCs/>
                <w:sz w:val="28"/>
                <w:szCs w:val="28"/>
              </w:rPr>
              <w:t xml:space="preserve"> THƯỜNG TRỰC</w:t>
            </w:r>
            <w:r w:rsidRPr="003C0A07">
              <w:rPr>
                <w:b/>
                <w:bCs/>
                <w:iCs/>
                <w:sz w:val="28"/>
                <w:szCs w:val="28"/>
              </w:rPr>
              <w:br/>
            </w:r>
            <w:r w:rsidRPr="003C0A07">
              <w:rPr>
                <w:b/>
                <w:bCs/>
                <w:iCs/>
                <w:sz w:val="28"/>
                <w:szCs w:val="28"/>
              </w:rPr>
              <w:br/>
            </w:r>
          </w:p>
          <w:p w14:paraId="4BC4F460" w14:textId="77777777" w:rsidR="003C0A07" w:rsidRPr="003C0A07" w:rsidRDefault="003C0A07" w:rsidP="0027678D">
            <w:pPr>
              <w:spacing w:after="120" w:line="276" w:lineRule="auto"/>
              <w:jc w:val="center"/>
              <w:rPr>
                <w:b/>
                <w:bCs/>
                <w:iCs/>
                <w:sz w:val="28"/>
                <w:szCs w:val="28"/>
              </w:rPr>
            </w:pPr>
          </w:p>
          <w:p w14:paraId="5DDFDF10" w14:textId="77777777" w:rsidR="003C0A07" w:rsidRPr="0033388F" w:rsidRDefault="003C0A07" w:rsidP="0027678D">
            <w:pPr>
              <w:spacing w:after="120" w:line="276" w:lineRule="auto"/>
              <w:jc w:val="center"/>
              <w:rPr>
                <w:b/>
                <w:sz w:val="20"/>
                <w:szCs w:val="20"/>
              </w:rPr>
            </w:pPr>
            <w:r w:rsidRPr="003C0A07">
              <w:rPr>
                <w:b/>
                <w:bCs/>
                <w:iCs/>
                <w:sz w:val="28"/>
                <w:szCs w:val="28"/>
              </w:rPr>
              <w:br/>
            </w:r>
            <w:r w:rsidRPr="003C0A07">
              <w:rPr>
                <w:b/>
                <w:bCs/>
                <w:iCs/>
                <w:sz w:val="28"/>
                <w:szCs w:val="28"/>
                <w:lang w:val="es-ES_tradnl"/>
              </w:rPr>
              <w:br/>
            </w:r>
            <w:r>
              <w:rPr>
                <w:b/>
                <w:sz w:val="28"/>
                <w:szCs w:val="28"/>
              </w:rPr>
              <w:t>Vũ Mạnh Hà</w:t>
            </w:r>
          </w:p>
        </w:tc>
      </w:tr>
    </w:tbl>
    <w:p w14:paraId="14FEFDF7" w14:textId="77777777" w:rsidR="00F26A33" w:rsidRDefault="00F26A33" w:rsidP="00AA6A69">
      <w:pPr>
        <w:spacing w:before="120" w:after="100" w:afterAutospacing="1" w:line="276" w:lineRule="auto"/>
      </w:pPr>
    </w:p>
    <w:sectPr w:rsidR="00F26A33" w:rsidSect="00F47EBB">
      <w:pgSz w:w="11907" w:h="16840" w:code="9"/>
      <w:pgMar w:top="1021" w:right="1134" w:bottom="1021"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AE6EA" w14:textId="77777777" w:rsidR="00465A1F" w:rsidRDefault="00465A1F" w:rsidP="0027678D">
      <w:r>
        <w:separator/>
      </w:r>
    </w:p>
  </w:endnote>
  <w:endnote w:type="continuationSeparator" w:id="0">
    <w:p w14:paraId="07757627" w14:textId="77777777" w:rsidR="00465A1F" w:rsidRDefault="00465A1F" w:rsidP="0027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6A584" w14:textId="77777777" w:rsidR="00465A1F" w:rsidRDefault="00465A1F" w:rsidP="0027678D">
      <w:r>
        <w:separator/>
      </w:r>
    </w:p>
  </w:footnote>
  <w:footnote w:type="continuationSeparator" w:id="0">
    <w:p w14:paraId="0D8C4B72" w14:textId="77777777" w:rsidR="00465A1F" w:rsidRDefault="00465A1F" w:rsidP="00276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C9"/>
    <w:rsid w:val="00005B7D"/>
    <w:rsid w:val="000167EC"/>
    <w:rsid w:val="000710D2"/>
    <w:rsid w:val="000F7478"/>
    <w:rsid w:val="00154C68"/>
    <w:rsid w:val="00175D41"/>
    <w:rsid w:val="001B2753"/>
    <w:rsid w:val="001B4021"/>
    <w:rsid w:val="00234A04"/>
    <w:rsid w:val="0027678D"/>
    <w:rsid w:val="003141E5"/>
    <w:rsid w:val="00386B42"/>
    <w:rsid w:val="003C0A07"/>
    <w:rsid w:val="004213D9"/>
    <w:rsid w:val="00465A1F"/>
    <w:rsid w:val="004F44FF"/>
    <w:rsid w:val="00511119"/>
    <w:rsid w:val="005333AE"/>
    <w:rsid w:val="0055632B"/>
    <w:rsid w:val="00572BAD"/>
    <w:rsid w:val="00592A35"/>
    <w:rsid w:val="005A6390"/>
    <w:rsid w:val="00695469"/>
    <w:rsid w:val="007075DE"/>
    <w:rsid w:val="00710C9F"/>
    <w:rsid w:val="007221BE"/>
    <w:rsid w:val="007239C7"/>
    <w:rsid w:val="00751583"/>
    <w:rsid w:val="0082278D"/>
    <w:rsid w:val="00861FB9"/>
    <w:rsid w:val="008949F7"/>
    <w:rsid w:val="008B5282"/>
    <w:rsid w:val="00987340"/>
    <w:rsid w:val="009B7711"/>
    <w:rsid w:val="00A52BB6"/>
    <w:rsid w:val="00A55DC9"/>
    <w:rsid w:val="00AA6A69"/>
    <w:rsid w:val="00AB5E7C"/>
    <w:rsid w:val="00B42CDB"/>
    <w:rsid w:val="00C94659"/>
    <w:rsid w:val="00D36550"/>
    <w:rsid w:val="00D56F52"/>
    <w:rsid w:val="00DA2AA0"/>
    <w:rsid w:val="00DA6DFD"/>
    <w:rsid w:val="00DB22B9"/>
    <w:rsid w:val="00DF1A67"/>
    <w:rsid w:val="00DF4A49"/>
    <w:rsid w:val="00E168CD"/>
    <w:rsid w:val="00E46D77"/>
    <w:rsid w:val="00F26A33"/>
    <w:rsid w:val="00F47EBB"/>
    <w:rsid w:val="00FB6A68"/>
    <w:rsid w:val="00FC2CA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337DBF"/>
  <w15:chartTrackingRefBased/>
  <w15:docId w15:val="{CBD59EBF-29A4-46B0-A190-AD6D0DFE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78D"/>
    <w:pPr>
      <w:tabs>
        <w:tab w:val="center" w:pos="4680"/>
        <w:tab w:val="right" w:pos="9360"/>
      </w:tabs>
    </w:pPr>
  </w:style>
  <w:style w:type="character" w:customStyle="1" w:styleId="HeaderChar">
    <w:name w:val="Header Char"/>
    <w:basedOn w:val="DefaultParagraphFont"/>
    <w:link w:val="Header"/>
    <w:uiPriority w:val="99"/>
    <w:rsid w:val="0027678D"/>
    <w:rPr>
      <w:sz w:val="24"/>
      <w:szCs w:val="24"/>
    </w:rPr>
  </w:style>
  <w:style w:type="paragraph" w:styleId="Footer">
    <w:name w:val="footer"/>
    <w:basedOn w:val="Normal"/>
    <w:link w:val="FooterChar"/>
    <w:uiPriority w:val="99"/>
    <w:unhideWhenUsed/>
    <w:rsid w:val="0027678D"/>
    <w:pPr>
      <w:tabs>
        <w:tab w:val="center" w:pos="4680"/>
        <w:tab w:val="right" w:pos="9360"/>
      </w:tabs>
    </w:pPr>
  </w:style>
  <w:style w:type="character" w:customStyle="1" w:styleId="FooterChar">
    <w:name w:val="Footer Char"/>
    <w:basedOn w:val="DefaultParagraphFont"/>
    <w:link w:val="Footer"/>
    <w:uiPriority w:val="99"/>
    <w:rsid w:val="002767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Đoàn</dc:creator>
  <cp:keywords/>
  <cp:lastModifiedBy>Duy Thái Nguyễn</cp:lastModifiedBy>
  <cp:revision>24</cp:revision>
  <cp:lastPrinted>2026-03-13T07:07:00Z</cp:lastPrinted>
  <dcterms:created xsi:type="dcterms:W3CDTF">2026-03-13T04:09:00Z</dcterms:created>
  <dcterms:modified xsi:type="dcterms:W3CDTF">2026-03-13T11:15:00Z</dcterms:modified>
</cp:coreProperties>
</file>