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98"/>
        <w:tblW w:w="9574" w:type="dxa"/>
        <w:tblLayout w:type="fixed"/>
        <w:tblLook w:val="0000" w:firstRow="0" w:lastRow="0" w:firstColumn="0" w:lastColumn="0" w:noHBand="0" w:noVBand="0"/>
      </w:tblPr>
      <w:tblGrid>
        <w:gridCol w:w="2912"/>
        <w:gridCol w:w="6662"/>
      </w:tblGrid>
      <w:tr w:rsidR="00E25C6C" w:rsidRPr="00E25C6C" w14:paraId="79384246" w14:textId="77777777" w:rsidTr="006B0720">
        <w:trPr>
          <w:trHeight w:val="1843"/>
        </w:trPr>
        <w:tc>
          <w:tcPr>
            <w:tcW w:w="2912" w:type="dxa"/>
          </w:tcPr>
          <w:bookmarkStart w:id="0" w:name="_Hlk200353794"/>
          <w:p w14:paraId="0074BBDF" w14:textId="0EEFC53F" w:rsidR="003A7E86" w:rsidRPr="00E25C6C" w:rsidRDefault="00E25C6C" w:rsidP="00681675">
            <w:pPr>
              <w:spacing w:after="120" w:line="240" w:lineRule="auto"/>
              <w:jc w:val="center"/>
              <w:rPr>
                <w:rFonts w:eastAsia="Times New Roman" w:cs="Times New Roman"/>
                <w:b/>
                <w:noProof/>
                <w:sz w:val="26"/>
                <w:szCs w:val="26"/>
                <w:lang w:val="vi-VN"/>
              </w:rPr>
            </w:pPr>
            <w:r w:rsidRPr="00E25C6C">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21462DA9" wp14:editId="0F01D4DB">
                      <wp:simplePos x="0" y="0"/>
                      <wp:positionH relativeFrom="column">
                        <wp:posOffset>446405</wp:posOffset>
                      </wp:positionH>
                      <wp:positionV relativeFrom="paragraph">
                        <wp:posOffset>228551</wp:posOffset>
                      </wp:positionV>
                      <wp:extent cx="809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E6048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5pt,18pt" to="9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hEmQ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" strokecolor="black [3200]" strokeweight=".5pt">
                      <v:stroke joinstyle="miter"/>
                    </v:line>
                  </w:pict>
                </mc:Fallback>
              </mc:AlternateContent>
            </w:r>
            <w:r w:rsidR="003A7E86" w:rsidRPr="00E25C6C">
              <w:rPr>
                <w:rFonts w:eastAsia="Times New Roman" w:cs="Times New Roman"/>
                <w:b/>
                <w:noProof/>
                <w:sz w:val="26"/>
                <w:szCs w:val="26"/>
                <w:lang w:val="vi-VN"/>
              </w:rPr>
              <w:t>BỘ TÀI CHÍNH</w:t>
            </w:r>
          </w:p>
          <w:p w14:paraId="1C51EF5C" w14:textId="654B25A3" w:rsidR="005C7D44" w:rsidRPr="00E25C6C" w:rsidRDefault="005C7D44" w:rsidP="006B0720">
            <w:pPr>
              <w:spacing w:after="120" w:line="240" w:lineRule="auto"/>
              <w:jc w:val="center"/>
              <w:rPr>
                <w:rFonts w:eastAsia="Times New Roman" w:cs="Times New Roman"/>
                <w:noProof/>
                <w:sz w:val="26"/>
                <w:szCs w:val="26"/>
                <w:lang w:val="vi-VN"/>
              </w:rPr>
            </w:pPr>
          </w:p>
          <w:p w14:paraId="761197A3" w14:textId="1694F3C5" w:rsidR="003A7E86" w:rsidRPr="00E25C6C" w:rsidRDefault="003A7E86" w:rsidP="00E25C6C">
            <w:pPr>
              <w:spacing w:before="160" w:after="120" w:line="240" w:lineRule="auto"/>
              <w:jc w:val="center"/>
              <w:rPr>
                <w:rFonts w:eastAsia="Times New Roman" w:cs="Times New Roman"/>
                <w:noProof/>
                <w:sz w:val="26"/>
                <w:szCs w:val="26"/>
                <w:lang w:val="vi-VN"/>
              </w:rPr>
            </w:pPr>
            <w:r w:rsidRPr="00E25C6C">
              <w:rPr>
                <w:rFonts w:eastAsia="Times New Roman" w:cs="Times New Roman"/>
                <w:noProof/>
                <w:sz w:val="26"/>
                <w:szCs w:val="26"/>
                <w:lang w:val="vi-VN"/>
              </w:rPr>
              <w:t xml:space="preserve">Số: </w:t>
            </w:r>
            <w:r w:rsidR="00A57F66">
              <w:rPr>
                <w:rFonts w:eastAsia="Times New Roman" w:cs="Times New Roman"/>
                <w:noProof/>
                <w:sz w:val="26"/>
                <w:szCs w:val="26"/>
              </w:rPr>
              <w:t xml:space="preserve">         </w:t>
            </w:r>
            <w:r w:rsidRPr="00E25C6C">
              <w:rPr>
                <w:rFonts w:eastAsia="Times New Roman" w:cs="Times New Roman"/>
                <w:noProof/>
                <w:sz w:val="26"/>
                <w:szCs w:val="26"/>
                <w:lang w:val="vi-VN"/>
              </w:rPr>
              <w:t>/BC-BTC</w:t>
            </w:r>
          </w:p>
          <w:p w14:paraId="1BF34C3E" w14:textId="6ACF6B23" w:rsidR="003A7E86" w:rsidRPr="00E25C6C" w:rsidRDefault="003A7E86" w:rsidP="004E6982">
            <w:pPr>
              <w:spacing w:after="120" w:line="240" w:lineRule="auto"/>
              <w:rPr>
                <w:rFonts w:eastAsia="Times New Roman" w:cs="Times New Roman"/>
                <w:noProof/>
                <w:sz w:val="24"/>
                <w:szCs w:val="24"/>
                <w:lang w:val="vi-VN"/>
              </w:rPr>
            </w:pPr>
            <w:r w:rsidRPr="00E25C6C">
              <w:rPr>
                <w:rFonts w:eastAsia="Times New Roman" w:cs="Times New Roman"/>
                <w:noProof/>
                <w:sz w:val="24"/>
                <w:szCs w:val="24"/>
                <w:lang w:val="vi-VN"/>
              </w:rPr>
              <w:t xml:space="preserve">     </w:t>
            </w:r>
          </w:p>
        </w:tc>
        <w:tc>
          <w:tcPr>
            <w:tcW w:w="6662" w:type="dxa"/>
          </w:tcPr>
          <w:p w14:paraId="5FC09C18" w14:textId="77777777" w:rsidR="003A7E86" w:rsidRPr="00E25C6C" w:rsidRDefault="003A7E86" w:rsidP="006B0720">
            <w:pPr>
              <w:spacing w:after="0" w:line="240" w:lineRule="auto"/>
              <w:jc w:val="center"/>
              <w:rPr>
                <w:rFonts w:eastAsia="Times New Roman" w:cs="Times New Roman"/>
                <w:b/>
                <w:noProof/>
                <w:sz w:val="26"/>
                <w:szCs w:val="26"/>
                <w:lang w:val="vi-VN"/>
              </w:rPr>
            </w:pPr>
            <w:r w:rsidRPr="00E25C6C">
              <w:rPr>
                <w:rFonts w:eastAsia="Times New Roman" w:cs="Times New Roman"/>
                <w:b/>
                <w:noProof/>
                <w:sz w:val="26"/>
                <w:szCs w:val="26"/>
                <w:lang w:val="vi-VN"/>
              </w:rPr>
              <w:t>CỘNG HOÀ XÃ HỘI CHỦ NGHĨA VIỆT NAM</w:t>
            </w:r>
          </w:p>
          <w:p w14:paraId="1F1AFA2B" w14:textId="4BA08A7E" w:rsidR="006B0720" w:rsidRPr="00E25C6C" w:rsidRDefault="003A7E86" w:rsidP="006B0720">
            <w:pPr>
              <w:spacing w:after="0" w:line="240" w:lineRule="auto"/>
              <w:jc w:val="center"/>
              <w:rPr>
                <w:rFonts w:eastAsia="Times New Roman" w:cs="Times New Roman"/>
                <w:noProof/>
                <w:sz w:val="26"/>
                <w:szCs w:val="26"/>
                <w:lang w:val="vi-VN"/>
              </w:rPr>
            </w:pPr>
            <w:r w:rsidRPr="00E25C6C">
              <w:rPr>
                <w:rFonts w:eastAsia="Times New Roman" w:cs="Times New Roman"/>
                <w:b/>
                <w:noProof/>
                <w:lang w:val="vi-VN"/>
              </w:rPr>
              <w:t>Độc lập - Tự do - Hạnh phúc</w:t>
            </w:r>
          </w:p>
          <w:p w14:paraId="442276E7" w14:textId="61C9D248" w:rsidR="003A7E86" w:rsidRPr="00E25C6C" w:rsidRDefault="006B0720" w:rsidP="00B60FCF">
            <w:pPr>
              <w:spacing w:before="240" w:after="120" w:line="240" w:lineRule="auto"/>
              <w:jc w:val="center"/>
              <w:rPr>
                <w:rFonts w:eastAsia="Times New Roman" w:cs="Times New Roman"/>
                <w:noProof/>
                <w:sz w:val="26"/>
                <w:szCs w:val="26"/>
                <w:lang w:val="vi-VN"/>
              </w:rPr>
            </w:pPr>
            <w:r w:rsidRPr="00E25C6C">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4AE6273E" wp14:editId="7856BEFC">
                      <wp:simplePos x="0" y="0"/>
                      <wp:positionH relativeFrom="column">
                        <wp:posOffset>1025525</wp:posOffset>
                      </wp:positionH>
                      <wp:positionV relativeFrom="paragraph">
                        <wp:posOffset>41910</wp:posOffset>
                      </wp:positionV>
                      <wp:extent cx="2019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CB3D3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75pt,3.3pt" to="23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" strokecolor="black [3200]" strokeweight=".5pt">
                      <v:stroke joinstyle="miter"/>
                    </v:line>
                  </w:pict>
                </mc:Fallback>
              </mc:AlternateContent>
            </w:r>
            <w:r w:rsidR="003A7E86" w:rsidRPr="00E25C6C">
              <w:rPr>
                <w:rFonts w:eastAsia="Times New Roman" w:cs="Times New Roman"/>
                <w:i/>
                <w:noProof/>
                <w:lang w:val="vi-VN"/>
              </w:rPr>
              <w:t>Hà Nội, ngày</w:t>
            </w:r>
            <w:r w:rsidR="00B60FCF">
              <w:rPr>
                <w:rFonts w:eastAsia="Times New Roman" w:cs="Times New Roman"/>
                <w:i/>
                <w:noProof/>
                <w:lang w:val="vi-VN"/>
              </w:rPr>
              <w:t xml:space="preserve"> </w:t>
            </w:r>
            <w:r w:rsidR="00A57F66">
              <w:rPr>
                <w:rFonts w:eastAsia="Times New Roman" w:cs="Times New Roman"/>
                <w:i/>
                <w:noProof/>
              </w:rPr>
              <w:t xml:space="preserve">     </w:t>
            </w:r>
            <w:r w:rsidR="003A7E86" w:rsidRPr="00E25C6C">
              <w:rPr>
                <w:rFonts w:eastAsia="Times New Roman" w:cs="Times New Roman"/>
                <w:i/>
                <w:noProof/>
                <w:lang w:val="vi-VN"/>
              </w:rPr>
              <w:t xml:space="preserve"> tháng </w:t>
            </w:r>
            <w:r w:rsidR="00A57F66">
              <w:rPr>
                <w:rFonts w:eastAsia="Times New Roman" w:cs="Times New Roman"/>
                <w:i/>
                <w:noProof/>
              </w:rPr>
              <w:t xml:space="preserve">    </w:t>
            </w:r>
            <w:r w:rsidR="003A7E86" w:rsidRPr="00E25C6C">
              <w:rPr>
                <w:rFonts w:eastAsia="Times New Roman" w:cs="Times New Roman"/>
                <w:i/>
                <w:noProof/>
                <w:lang w:val="vi-VN"/>
              </w:rPr>
              <w:t xml:space="preserve"> năm 2025</w:t>
            </w:r>
          </w:p>
        </w:tc>
      </w:tr>
      <w:bookmarkEnd w:id="0"/>
    </w:tbl>
    <w:p w14:paraId="601690FA" w14:textId="77777777" w:rsidR="0043144B" w:rsidRDefault="0043144B" w:rsidP="006B0720">
      <w:pPr>
        <w:spacing w:after="60" w:line="240" w:lineRule="auto"/>
        <w:jc w:val="center"/>
        <w:rPr>
          <w:rFonts w:eastAsia="Times New Roman" w:cs="Times New Roman"/>
          <w:b/>
          <w:noProof/>
          <w:szCs w:val="24"/>
        </w:rPr>
      </w:pPr>
    </w:p>
    <w:p w14:paraId="4B312412" w14:textId="32FAF1AF" w:rsidR="005C7D44" w:rsidRPr="00E25C6C" w:rsidRDefault="005C7D44" w:rsidP="006B0720">
      <w:pPr>
        <w:spacing w:after="60" w:line="240" w:lineRule="auto"/>
        <w:jc w:val="center"/>
        <w:rPr>
          <w:rFonts w:eastAsia="Times New Roman" w:cs="Times New Roman"/>
          <w:b/>
          <w:noProof/>
          <w:szCs w:val="24"/>
          <w:lang w:val="vi-VN"/>
        </w:rPr>
      </w:pPr>
      <w:r w:rsidRPr="00E25C6C">
        <w:rPr>
          <w:rFonts w:eastAsia="Times New Roman" w:cs="Times New Roman"/>
          <w:b/>
          <w:noProof/>
          <w:szCs w:val="24"/>
          <w:lang w:val="vi-VN"/>
        </w:rPr>
        <w:t>BÁO CÁO</w:t>
      </w:r>
    </w:p>
    <w:p w14:paraId="44D47805" w14:textId="2DE18ABE" w:rsidR="005C7D44" w:rsidRPr="00226F3E" w:rsidRDefault="005C7D44" w:rsidP="006B0720">
      <w:pPr>
        <w:tabs>
          <w:tab w:val="left" w:pos="2486"/>
          <w:tab w:val="center" w:pos="4479"/>
        </w:tabs>
        <w:spacing w:after="60" w:line="240" w:lineRule="auto"/>
        <w:jc w:val="center"/>
        <w:rPr>
          <w:rFonts w:eastAsia="Times New Roman" w:cs="Times New Roman"/>
          <w:b/>
          <w:noProof/>
          <w:szCs w:val="24"/>
        </w:rPr>
      </w:pPr>
      <w:r w:rsidRPr="00E25C6C">
        <w:rPr>
          <w:rFonts w:eastAsia="Times New Roman" w:cs="Times New Roman"/>
          <w:b/>
          <w:noProof/>
          <w:szCs w:val="24"/>
          <w:lang w:val="vi-VN"/>
        </w:rPr>
        <w:t xml:space="preserve">Tổng kết việc thi hành </w:t>
      </w:r>
      <w:r w:rsidR="00226F3E">
        <w:rPr>
          <w:rFonts w:eastAsia="Times New Roman" w:cs="Times New Roman"/>
          <w:b/>
          <w:noProof/>
          <w:szCs w:val="24"/>
        </w:rPr>
        <w:t xml:space="preserve">Nghị định số </w:t>
      </w:r>
      <w:r w:rsidR="00226F3E" w:rsidRPr="00226F3E">
        <w:rPr>
          <w:rFonts w:eastAsia="Times New Roman" w:cs="Times New Roman"/>
          <w:b/>
          <w:noProof/>
          <w:szCs w:val="24"/>
        </w:rPr>
        <w:t>126/2020/NĐ-CP</w:t>
      </w:r>
      <w:r w:rsidR="00226F3E">
        <w:rPr>
          <w:rFonts w:eastAsia="Times New Roman" w:cs="Times New Roman"/>
          <w:b/>
          <w:noProof/>
          <w:szCs w:val="24"/>
        </w:rPr>
        <w:t xml:space="preserve"> ngày 19/10/2020 của Chính phủ </w:t>
      </w:r>
      <w:r w:rsidR="00226F3E" w:rsidRPr="00226F3E">
        <w:rPr>
          <w:rFonts w:eastAsia="Times New Roman" w:cs="Times New Roman"/>
          <w:b/>
          <w:noProof/>
          <w:szCs w:val="24"/>
        </w:rPr>
        <w:t xml:space="preserve">quy định chi tiết một số điều của </w:t>
      </w:r>
      <w:r w:rsidR="00226F3E">
        <w:rPr>
          <w:rFonts w:eastAsia="Times New Roman" w:cs="Times New Roman"/>
          <w:b/>
          <w:noProof/>
          <w:szCs w:val="24"/>
        </w:rPr>
        <w:t>L</w:t>
      </w:r>
      <w:r w:rsidR="00226F3E" w:rsidRPr="00226F3E">
        <w:rPr>
          <w:rFonts w:eastAsia="Times New Roman" w:cs="Times New Roman"/>
          <w:b/>
          <w:noProof/>
          <w:szCs w:val="24"/>
        </w:rPr>
        <w:t xml:space="preserve">uật </w:t>
      </w:r>
      <w:r w:rsidR="00226F3E">
        <w:rPr>
          <w:rFonts w:eastAsia="Times New Roman" w:cs="Times New Roman"/>
          <w:b/>
          <w:noProof/>
          <w:szCs w:val="24"/>
        </w:rPr>
        <w:t>Q</w:t>
      </w:r>
      <w:r w:rsidR="00226F3E" w:rsidRPr="00226F3E">
        <w:rPr>
          <w:rFonts w:eastAsia="Times New Roman" w:cs="Times New Roman"/>
          <w:b/>
          <w:noProof/>
          <w:szCs w:val="24"/>
        </w:rPr>
        <w:t>uản lý thuế</w:t>
      </w:r>
    </w:p>
    <w:p w14:paraId="765F8116" w14:textId="42B5F99B" w:rsidR="0072661C" w:rsidRPr="00E25C6C" w:rsidRDefault="005C7D44" w:rsidP="00E25C6C">
      <w:pPr>
        <w:tabs>
          <w:tab w:val="left" w:pos="2486"/>
          <w:tab w:val="center" w:pos="4479"/>
        </w:tabs>
        <w:spacing w:after="60" w:line="240" w:lineRule="auto"/>
        <w:jc w:val="center"/>
        <w:rPr>
          <w:rFonts w:eastAsia="Times New Roman" w:cs="Times New Roman"/>
          <w:b/>
          <w:noProof/>
          <w:szCs w:val="24"/>
          <w:lang w:val="vi-VN"/>
        </w:rPr>
      </w:pPr>
      <w:r w:rsidRPr="00E25C6C">
        <w:rPr>
          <w:rFonts w:eastAsia="Times New Roman" w:cs="Times New Roman"/>
          <w:noProof/>
          <w:sz w:val="26"/>
          <w:szCs w:val="26"/>
        </w:rPr>
        <mc:AlternateContent>
          <mc:Choice Requires="wps">
            <w:drawing>
              <wp:anchor distT="0" distB="0" distL="114300" distR="114300" simplePos="0" relativeHeight="251662336" behindDoc="0" locked="0" layoutInCell="1" allowOverlap="1" wp14:anchorId="3EA067E4" wp14:editId="3D23299D">
                <wp:simplePos x="0" y="0"/>
                <wp:positionH relativeFrom="margin">
                  <wp:align>center</wp:align>
                </wp:positionH>
                <wp:positionV relativeFrom="paragraph">
                  <wp:posOffset>32385</wp:posOffset>
                </wp:positionV>
                <wp:extent cx="904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B071A2D" id="Straight Connector 3"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5pt" to="71.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" strokecolor="black [3200]" strokeweight=".5pt">
                <v:stroke joinstyle="miter"/>
                <w10:wrap anchorx="margin"/>
              </v:line>
            </w:pict>
          </mc:Fallback>
        </mc:AlternateContent>
      </w:r>
      <w:r w:rsidRPr="00E25C6C">
        <w:rPr>
          <w:rFonts w:eastAsia="Times New Roman" w:cs="Times New Roman"/>
          <w:b/>
          <w:noProof/>
          <w:szCs w:val="24"/>
          <w:lang w:val="vi-VN"/>
        </w:rPr>
        <w:t xml:space="preserve"> </w:t>
      </w:r>
    </w:p>
    <w:p w14:paraId="67C54ABC" w14:textId="77777777" w:rsidR="00B07BB3" w:rsidRPr="00E25C6C" w:rsidRDefault="00B07BB3" w:rsidP="00724213">
      <w:pPr>
        <w:tabs>
          <w:tab w:val="left" w:pos="2486"/>
          <w:tab w:val="center" w:pos="4479"/>
        </w:tabs>
        <w:spacing w:after="120" w:line="240" w:lineRule="auto"/>
        <w:jc w:val="center"/>
        <w:rPr>
          <w:rFonts w:eastAsia="Times New Roman" w:cs="Times New Roman"/>
          <w:b/>
          <w:noProof/>
          <w:szCs w:val="24"/>
          <w:lang w:val="vi-VN"/>
        </w:rPr>
      </w:pPr>
    </w:p>
    <w:p w14:paraId="13C6C658" w14:textId="77777777" w:rsidR="00C429F9" w:rsidRPr="00B403DF" w:rsidRDefault="005C7D44" w:rsidP="00C429F9">
      <w:pPr>
        <w:spacing w:before="120" w:after="120" w:line="276" w:lineRule="auto"/>
        <w:ind w:left="85"/>
        <w:jc w:val="both"/>
        <w:rPr>
          <w:rFonts w:cs="Times New Roman"/>
          <w:noProof/>
          <w:szCs w:val="28"/>
          <w:lang w:val="vi-VN"/>
        </w:rPr>
      </w:pPr>
      <w:r w:rsidRPr="00E25C6C">
        <w:rPr>
          <w:rFonts w:cs="Times New Roman"/>
          <w:noProof/>
          <w:lang w:val="vi-VN"/>
        </w:rPr>
        <w:tab/>
      </w:r>
      <w:r w:rsidR="00C429F9" w:rsidRPr="00B403DF">
        <w:rPr>
          <w:rFonts w:cs="Times New Roman"/>
          <w:noProof/>
          <w:szCs w:val="28"/>
          <w:lang w:val="vi-VN"/>
        </w:rPr>
        <w:t xml:space="preserve">Thực hiện quy định của Luật Ban hành văn bản quy phạm pháp luật, Bộ Tài chính đã tiến hành tổng kết việc thi hành </w:t>
      </w:r>
      <w:r w:rsidR="00C429F9">
        <w:rPr>
          <w:rFonts w:cs="Times New Roman"/>
          <w:noProof/>
          <w:szCs w:val="28"/>
        </w:rPr>
        <w:t xml:space="preserve">Nghị định số </w:t>
      </w:r>
      <w:r w:rsidR="00C429F9" w:rsidRPr="009418D0">
        <w:rPr>
          <w:rFonts w:cs="Times New Roman"/>
          <w:noProof/>
          <w:szCs w:val="28"/>
        </w:rPr>
        <w:t>126/2020/NĐ-CP</w:t>
      </w:r>
      <w:r w:rsidR="00C429F9">
        <w:rPr>
          <w:rFonts w:cs="Times New Roman"/>
          <w:noProof/>
          <w:szCs w:val="28"/>
        </w:rPr>
        <w:t xml:space="preserve"> ngày 19/10/2020 của Chính phủ </w:t>
      </w:r>
      <w:r w:rsidR="00C429F9" w:rsidRPr="009418D0">
        <w:rPr>
          <w:rFonts w:cs="Times New Roman"/>
          <w:noProof/>
          <w:szCs w:val="28"/>
          <w:lang w:val="vi-VN"/>
        </w:rPr>
        <w:t>quy định chi tiết một số điều củ</w:t>
      </w:r>
      <w:r w:rsidR="00C429F9">
        <w:rPr>
          <w:rFonts w:cs="Times New Roman"/>
          <w:noProof/>
          <w:szCs w:val="28"/>
          <w:lang w:val="vi-VN"/>
        </w:rPr>
        <w:t xml:space="preserve">a </w:t>
      </w:r>
      <w:r w:rsidR="00C429F9">
        <w:rPr>
          <w:rFonts w:cs="Times New Roman"/>
          <w:noProof/>
          <w:szCs w:val="28"/>
        </w:rPr>
        <w:t>L</w:t>
      </w:r>
      <w:r w:rsidR="00C429F9" w:rsidRPr="009418D0">
        <w:rPr>
          <w:rFonts w:cs="Times New Roman"/>
          <w:noProof/>
          <w:szCs w:val="28"/>
          <w:lang w:val="vi-VN"/>
        </w:rPr>
        <w:t>uậ</w:t>
      </w:r>
      <w:r w:rsidR="00C429F9">
        <w:rPr>
          <w:rFonts w:cs="Times New Roman"/>
          <w:noProof/>
          <w:szCs w:val="28"/>
          <w:lang w:val="vi-VN"/>
        </w:rPr>
        <w:t xml:space="preserve">t </w:t>
      </w:r>
      <w:r w:rsidR="00C429F9">
        <w:rPr>
          <w:rFonts w:cs="Times New Roman"/>
          <w:noProof/>
          <w:szCs w:val="28"/>
        </w:rPr>
        <w:t>Q</w:t>
      </w:r>
      <w:r w:rsidR="00C429F9" w:rsidRPr="009418D0">
        <w:rPr>
          <w:rFonts w:cs="Times New Roman"/>
          <w:noProof/>
          <w:szCs w:val="28"/>
          <w:lang w:val="vi-VN"/>
        </w:rPr>
        <w:t>uản lý thuế</w:t>
      </w:r>
      <w:r w:rsidR="00C429F9" w:rsidRPr="00B403DF">
        <w:rPr>
          <w:rFonts w:cs="Times New Roman"/>
          <w:noProof/>
          <w:szCs w:val="28"/>
          <w:lang w:val="vi-VN"/>
        </w:rPr>
        <w:t>. Kết quả như sau:</w:t>
      </w:r>
    </w:p>
    <w:p w14:paraId="4BB3D2A5" w14:textId="77777777" w:rsidR="00C429F9" w:rsidRPr="00B403DF" w:rsidRDefault="00C429F9"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I. BỐI CẢNH THỰC HIỆN TỔNG KẾT</w:t>
      </w:r>
    </w:p>
    <w:p w14:paraId="4CA4D204" w14:textId="77777777" w:rsidR="00C429F9" w:rsidRPr="009418D0" w:rsidRDefault="00C429F9" w:rsidP="00C429F9">
      <w:pPr>
        <w:spacing w:before="120" w:after="120" w:line="276" w:lineRule="auto"/>
        <w:ind w:left="85"/>
        <w:jc w:val="both"/>
        <w:rPr>
          <w:rFonts w:cs="Times New Roman"/>
          <w:b/>
          <w:noProof/>
          <w:szCs w:val="28"/>
        </w:rPr>
      </w:pPr>
      <w:r w:rsidRPr="00B403DF">
        <w:rPr>
          <w:rFonts w:cs="Times New Roman"/>
          <w:b/>
          <w:bCs/>
          <w:noProof/>
          <w:szCs w:val="28"/>
          <w:lang w:val="vi-VN"/>
        </w:rPr>
        <w:tab/>
      </w:r>
      <w:r w:rsidRPr="009418D0">
        <w:rPr>
          <w:rFonts w:cs="Times New Roman"/>
          <w:b/>
          <w:bCs/>
          <w:noProof/>
          <w:szCs w:val="28"/>
          <w:lang w:val="vi-VN"/>
        </w:rPr>
        <w:t xml:space="preserve">1. Bối cảnh </w:t>
      </w:r>
      <w:r>
        <w:rPr>
          <w:rFonts w:cs="Times New Roman"/>
          <w:b/>
          <w:bCs/>
          <w:noProof/>
          <w:szCs w:val="28"/>
        </w:rPr>
        <w:t>quốc tế và tình hình trong nước</w:t>
      </w:r>
      <w:r w:rsidRPr="009418D0">
        <w:rPr>
          <w:rFonts w:cs="Times New Roman"/>
          <w:b/>
          <w:bCs/>
          <w:noProof/>
          <w:szCs w:val="28"/>
          <w:lang w:val="vi-VN"/>
        </w:rPr>
        <w:t xml:space="preserve"> liên quan đến các chính sách của </w:t>
      </w:r>
      <w:r w:rsidRPr="009418D0">
        <w:rPr>
          <w:rFonts w:cs="Times New Roman"/>
          <w:b/>
          <w:noProof/>
          <w:szCs w:val="28"/>
        </w:rPr>
        <w:t xml:space="preserve">Nghị định số 126/2020/NĐ-CP </w:t>
      </w:r>
    </w:p>
    <w:p w14:paraId="6A19C7A1" w14:textId="77777777" w:rsidR="00C429F9" w:rsidRPr="00D0623F" w:rsidRDefault="00C429F9" w:rsidP="00C429F9">
      <w:pPr>
        <w:spacing w:before="120" w:after="120" w:line="276" w:lineRule="auto"/>
        <w:ind w:left="85" w:firstLine="720"/>
        <w:jc w:val="both"/>
        <w:rPr>
          <w:rFonts w:cs="Times New Roman"/>
          <w:noProof/>
          <w:szCs w:val="28"/>
        </w:rPr>
      </w:pPr>
      <w:r>
        <w:rPr>
          <w:rFonts w:cs="Times New Roman"/>
          <w:noProof/>
          <w:szCs w:val="28"/>
        </w:rPr>
        <w:t>Trong những năm gần đây, tình hình kinh tế, chính trị thế giới tiếp tục diễn biến phức tạp, khó lường, chịu tác động sâu rộng của đại dịch COVID-19, xung đột địa chính trị, biến động giá năng lượng, lạm phát toàn cầu gia tăng và xu hướng tái cấu trúc chuỗi cung ứng. Cùng với đó, quá trình toàn cầu hóa và chuyển đổi số diễn ra mạnh mẽ đã làm thay đổi căn bản phương thức sản xuất, kinh doanh và giao dịch xuyên biên giới, đặt ra nhiều thách thức mới đối với công tác quản lý thuế truyền thống. Trước yêu cầu đảm bảo an ninh, tài chính – ngân sách, các quốc gia và tổ chức quốc tế, đặc biệt là Tổ chức Hợp tác và Phát triển kinh tế (OECD), đã thúc đẩy triển khai các sáng kiến chống xói mòn cơ sở thuế và chuyển lợi nhuận (BEPS), tăng cường minh bạch thông tin, quản lý thuế đối với nền kinh tế số và các tập đoàn đa quốc gia. Xu hướng chung là hoàn thiện khung pháp lý về quản lý thuế theo hướng hiện đại hóa, ứng dụng công nghệ thông tin, tăng cường quản lý rủi ro, nâng cao trách nhiệm tuân thủ của người nộp thuế và hiệu lực, hiệu quả quản lý của cơ quan thuế.</w:t>
      </w:r>
    </w:p>
    <w:p w14:paraId="7A0C6611" w14:textId="77777777" w:rsidR="00C429F9" w:rsidRPr="000C5444" w:rsidRDefault="00C429F9" w:rsidP="00C429F9">
      <w:pPr>
        <w:spacing w:before="120" w:after="120" w:line="276" w:lineRule="auto"/>
        <w:ind w:left="85" w:firstLine="635"/>
        <w:jc w:val="both"/>
        <w:rPr>
          <w:rFonts w:cs="Times New Roman"/>
          <w:noProof/>
          <w:szCs w:val="28"/>
        </w:rPr>
      </w:pPr>
      <w:r w:rsidRPr="00B403DF">
        <w:rPr>
          <w:rFonts w:cs="Times New Roman"/>
          <w:noProof/>
          <w:szCs w:val="28"/>
          <w:lang w:val="vi-VN"/>
        </w:rPr>
        <w:t xml:space="preserve">Về tình hình trong nước, nền kinh tế Việt Nam </w:t>
      </w:r>
      <w:r>
        <w:rPr>
          <w:rFonts w:cs="Times New Roman"/>
          <w:noProof/>
          <w:szCs w:val="28"/>
        </w:rPr>
        <w:t xml:space="preserve">đang trải qua giai đoạn phát triển mạnh mẽ với tốc độ tăng trưởng GDP trung bình hàng năm trên 6 – 7%, sự bùng nổ của kinh tế số, thương mại điện tử và hoạt động xuất nhập khẩu đạt kim ngạch hàng trăm tỷ USD. Song song với tốc độ phát triển, nền kinh tế Việt Nam cũng </w:t>
      </w:r>
      <w:r w:rsidRPr="00B403DF">
        <w:rPr>
          <w:rFonts w:cs="Times New Roman"/>
          <w:noProof/>
          <w:szCs w:val="28"/>
          <w:lang w:val="vi-VN"/>
        </w:rPr>
        <w:t xml:space="preserve">đang phải đối mặt với nhiều rủi ro và thách thức đan xen. Đáng chú ý là </w:t>
      </w:r>
      <w:r w:rsidRPr="00B403DF">
        <w:rPr>
          <w:rFonts w:cs="Times New Roman"/>
          <w:noProof/>
          <w:szCs w:val="28"/>
          <w:lang w:val="vi-VN"/>
        </w:rPr>
        <w:lastRenderedPageBreak/>
        <w:t>hiện tượng suy giảm nguồn thu ngân sách ở nhiều lĩnh vực và địa bàn trọng điểm vốn có đóng góp lớn cho ngân sách nhà nước. Nhiều chỉ tiêu kinh tế vĩ mô chủ yếu không chỉ đạt thấp hơn so với mục tiêu đề ra mà còn giảm so với cùng kỳ năm trước. Tình hình càng trở nên phức tạp hơn khi thiên tai, dịch bệnh, hạn hán và bão lũ diễn biến khó lường, gây thiệt hại nặng nề cho nhiều địa phương. Những yếu tố này đã tạo áp lực rất lớn lên công tác điều hành phát triển kinh tế - xã hội nói chung và hoạt động quản lý thuế nói riêng, đòi hỏi cần có những giải pháp đồng bộ và linh hoạt để thích ứng với tình hình mới. Trong bối cảnh toàn cầu hóa ngày càng sâu rộng, Việt Nam đang tích cực tham gia các hiệp định thương mại tự do thế hệ mới nhằm mở rộng thị trường, thu hút vốn đầu tư nước ngoài, đồng thời thực hiện nghiêm các cam kết quốc tế nhằm tạo môi trườ</w:t>
      </w:r>
      <w:r>
        <w:rPr>
          <w:rFonts w:cs="Times New Roman"/>
          <w:noProof/>
          <w:szCs w:val="28"/>
          <w:lang w:val="vi-VN"/>
        </w:rPr>
        <w:t>ng kinh doa</w:t>
      </w:r>
      <w:r w:rsidRPr="00B403DF">
        <w:rPr>
          <w:rFonts w:cs="Times New Roman"/>
          <w:noProof/>
          <w:szCs w:val="28"/>
          <w:lang w:val="vi-VN"/>
        </w:rPr>
        <w:t>nh công bằng, minh bạ</w:t>
      </w:r>
      <w:r>
        <w:rPr>
          <w:rFonts w:cs="Times New Roman"/>
          <w:noProof/>
          <w:szCs w:val="28"/>
          <w:lang w:val="vi-VN"/>
        </w:rPr>
        <w:t>ch, bền</w:t>
      </w:r>
      <w:r w:rsidRPr="00B403DF">
        <w:rPr>
          <w:rFonts w:cs="Times New Roman"/>
          <w:noProof/>
          <w:szCs w:val="28"/>
          <w:lang w:val="vi-VN"/>
        </w:rPr>
        <w:t xml:space="preserve"> vữ</w:t>
      </w:r>
      <w:r>
        <w:rPr>
          <w:rFonts w:cs="Times New Roman"/>
          <w:noProof/>
          <w:szCs w:val="28"/>
          <w:lang w:val="vi-VN"/>
        </w:rPr>
        <w:t>ng và hội nhập quốc tế sâu rộng.</w:t>
      </w:r>
    </w:p>
    <w:p w14:paraId="48B4A0AC" w14:textId="77777777" w:rsidR="00C429F9" w:rsidRDefault="00C429F9" w:rsidP="00C429F9">
      <w:pPr>
        <w:spacing w:before="120" w:after="120" w:line="276" w:lineRule="auto"/>
        <w:ind w:left="85" w:firstLine="720"/>
        <w:jc w:val="both"/>
        <w:rPr>
          <w:rFonts w:cs="Times New Roman"/>
          <w:noProof/>
          <w:szCs w:val="28"/>
          <w:lang w:val="vi-VN"/>
        </w:rPr>
      </w:pP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của Chính phủ </w:t>
      </w:r>
      <w:r w:rsidRPr="009418D0">
        <w:rPr>
          <w:rFonts w:cs="Times New Roman"/>
          <w:noProof/>
          <w:szCs w:val="28"/>
          <w:lang w:val="vi-VN"/>
        </w:rPr>
        <w:t>quy định chi tiết một số điều củ</w:t>
      </w:r>
      <w:r>
        <w:rPr>
          <w:rFonts w:cs="Times New Roman"/>
          <w:noProof/>
          <w:szCs w:val="28"/>
          <w:lang w:val="vi-VN"/>
        </w:rPr>
        <w:t xml:space="preserve">a </w:t>
      </w:r>
      <w:r>
        <w:rPr>
          <w:rFonts w:cs="Times New Roman"/>
          <w:noProof/>
          <w:szCs w:val="28"/>
        </w:rPr>
        <w:t>L</w:t>
      </w:r>
      <w:r w:rsidRPr="009418D0">
        <w:rPr>
          <w:rFonts w:cs="Times New Roman"/>
          <w:noProof/>
          <w:szCs w:val="28"/>
          <w:lang w:val="vi-VN"/>
        </w:rPr>
        <w:t>uậ</w:t>
      </w:r>
      <w:r>
        <w:rPr>
          <w:rFonts w:cs="Times New Roman"/>
          <w:noProof/>
          <w:szCs w:val="28"/>
          <w:lang w:val="vi-VN"/>
        </w:rPr>
        <w:t xml:space="preserve">t </w:t>
      </w:r>
      <w:r>
        <w:rPr>
          <w:rFonts w:cs="Times New Roman"/>
          <w:noProof/>
          <w:szCs w:val="28"/>
        </w:rPr>
        <w:t>Q</w:t>
      </w:r>
      <w:r w:rsidRPr="009418D0">
        <w:rPr>
          <w:rFonts w:cs="Times New Roman"/>
          <w:noProof/>
          <w:szCs w:val="28"/>
          <w:lang w:val="vi-VN"/>
        </w:rPr>
        <w:t>uản lý thuế</w:t>
      </w:r>
      <w:r w:rsidRPr="00B403DF">
        <w:rPr>
          <w:rFonts w:cs="Times New Roman"/>
          <w:noProof/>
          <w:szCs w:val="28"/>
          <w:lang w:val="vi-VN"/>
        </w:rPr>
        <w:t xml:space="preserve"> đã được xây dựng với tầm nhìn chiến lược, bám sát các định hướ</w:t>
      </w:r>
      <w:r>
        <w:rPr>
          <w:rFonts w:cs="Times New Roman"/>
          <w:noProof/>
          <w:szCs w:val="28"/>
          <w:lang w:val="vi-VN"/>
        </w:rPr>
        <w:t>ng trọng yếu</w:t>
      </w:r>
      <w:r w:rsidRPr="00B403DF">
        <w:rPr>
          <w:rFonts w:cs="Times New Roman"/>
          <w:noProof/>
          <w:szCs w:val="28"/>
          <w:lang w:val="vi-VN"/>
        </w:rPr>
        <w:t xml:space="preserve"> của Đảng và Nhà nướ</w:t>
      </w:r>
      <w:r>
        <w:rPr>
          <w:rFonts w:cs="Times New Roman"/>
          <w:noProof/>
          <w:szCs w:val="28"/>
          <w:lang w:val="vi-VN"/>
        </w:rPr>
        <w:t xml:space="preserve">c, cụ thể hóa </w:t>
      </w:r>
      <w:r w:rsidRPr="00B403DF">
        <w:rPr>
          <w:rFonts w:cs="Times New Roman"/>
          <w:noProof/>
          <w:szCs w:val="28"/>
          <w:lang w:val="vi-VN"/>
        </w:rPr>
        <w:t>10 nhóm chính sách then chốt</w:t>
      </w:r>
      <w:r>
        <w:rPr>
          <w:rFonts w:cs="Times New Roman"/>
          <w:noProof/>
          <w:szCs w:val="28"/>
        </w:rPr>
        <w:t xml:space="preserve"> tại </w:t>
      </w:r>
      <w:r w:rsidRPr="00B403DF">
        <w:rPr>
          <w:rFonts w:cs="Times New Roman"/>
          <w:noProof/>
          <w:szCs w:val="28"/>
          <w:lang w:val="vi-VN"/>
        </w:rPr>
        <w:t xml:space="preserve">Luật </w:t>
      </w:r>
      <w:r>
        <w:rPr>
          <w:rFonts w:cs="Times New Roman"/>
          <w:noProof/>
          <w:szCs w:val="28"/>
        </w:rPr>
        <w:t xml:space="preserve">Quản lý thuế số </w:t>
      </w:r>
      <w:r w:rsidRPr="00B201AD">
        <w:rPr>
          <w:rFonts w:cs="Times New Roman"/>
          <w:noProof/>
          <w:szCs w:val="28"/>
        </w:rPr>
        <w:t>38/2019/QH14</w:t>
      </w:r>
      <w:r>
        <w:rPr>
          <w:rFonts w:cs="Times New Roman"/>
          <w:noProof/>
          <w:szCs w:val="28"/>
        </w:rPr>
        <w:t xml:space="preserve">. Nghị định số </w:t>
      </w:r>
      <w:r w:rsidRPr="009418D0">
        <w:rPr>
          <w:rFonts w:cs="Times New Roman"/>
          <w:noProof/>
          <w:szCs w:val="28"/>
        </w:rPr>
        <w:t>126/2020/NĐ-CP</w:t>
      </w:r>
      <w:r>
        <w:rPr>
          <w:rFonts w:cs="Times New Roman"/>
          <w:noProof/>
          <w:szCs w:val="28"/>
        </w:rPr>
        <w:t xml:space="preserve"> </w:t>
      </w:r>
      <w:r w:rsidRPr="00B403DF">
        <w:rPr>
          <w:rFonts w:cs="Times New Roman"/>
          <w:noProof/>
          <w:szCs w:val="28"/>
          <w:lang w:val="vi-VN"/>
        </w:rPr>
        <w:t>không chỉ hướng đến mục tiêu phát triển kinh tế - xã hội giai đoạn 2020-2025 mà còn thể hiện rõ cam kết của Chính phủ trong việc hỗ trợ phát triển doanh nghiệ</w:t>
      </w:r>
      <w:r>
        <w:rPr>
          <w:rFonts w:cs="Times New Roman"/>
          <w:noProof/>
          <w:szCs w:val="28"/>
          <w:lang w:val="vi-VN"/>
        </w:rPr>
        <w:t xml:space="preserve">p, </w:t>
      </w:r>
      <w:r w:rsidRPr="00B403DF">
        <w:rPr>
          <w:rFonts w:cs="Times New Roman"/>
          <w:noProof/>
          <w:szCs w:val="28"/>
          <w:lang w:val="vi-VN"/>
        </w:rPr>
        <w:t xml:space="preserve">xây dựng môi trường kinh doanh minh bạch và hiệu quả. Đặc biệt, </w:t>
      </w:r>
      <w:r>
        <w:rPr>
          <w:rFonts w:cs="Times New Roman"/>
          <w:noProof/>
          <w:szCs w:val="28"/>
        </w:rPr>
        <w:t>Nghị định</w:t>
      </w:r>
      <w:r w:rsidRPr="00B403DF">
        <w:rPr>
          <w:rFonts w:cs="Times New Roman"/>
          <w:noProof/>
          <w:szCs w:val="28"/>
          <w:lang w:val="vi-VN"/>
        </w:rPr>
        <w:t xml:space="preserve"> đã cụ thể hóa Chiến lược cải cách hệ thống thuế đến năm 2030 với mục tiêu xây dựng ngành thuế hiện đại, tinh gọn và hiệu quả, trong đó lấy nền tảng thuế điện tử làm trọng tâm. </w:t>
      </w:r>
    </w:p>
    <w:p w14:paraId="5484C21F" w14:textId="77777777" w:rsidR="00C429F9" w:rsidRPr="00041C53" w:rsidRDefault="00C429F9" w:rsidP="00C429F9">
      <w:pPr>
        <w:spacing w:before="120" w:after="120" w:line="276" w:lineRule="auto"/>
        <w:ind w:left="85" w:firstLine="720"/>
        <w:jc w:val="both"/>
        <w:rPr>
          <w:rFonts w:cs="Times New Roman"/>
          <w:noProof/>
          <w:szCs w:val="28"/>
        </w:rPr>
      </w:pPr>
      <w:r w:rsidRPr="00B403DF">
        <w:rPr>
          <w:rFonts w:cs="Times New Roman"/>
          <w:noProof/>
          <w:szCs w:val="28"/>
          <w:lang w:val="vi-VN"/>
        </w:rPr>
        <w:t xml:space="preserve">Qua </w:t>
      </w:r>
      <w:r>
        <w:rPr>
          <w:rFonts w:cs="Times New Roman"/>
          <w:noProof/>
          <w:szCs w:val="28"/>
        </w:rPr>
        <w:t xml:space="preserve">hơn </w:t>
      </w:r>
      <w:r w:rsidRPr="00B403DF">
        <w:rPr>
          <w:rFonts w:cs="Times New Roman"/>
          <w:noProof/>
          <w:szCs w:val="28"/>
        </w:rPr>
        <w:t>0</w:t>
      </w:r>
      <w:r w:rsidRPr="00B403DF">
        <w:rPr>
          <w:rFonts w:cs="Times New Roman"/>
          <w:noProof/>
          <w:szCs w:val="28"/>
          <w:lang w:val="vi-VN"/>
        </w:rPr>
        <w:t xml:space="preserve">5 năm thực hiện </w:t>
      </w:r>
      <w:r w:rsidRPr="00041C53">
        <w:rPr>
          <w:rFonts w:cs="Times New Roman"/>
          <w:noProof/>
          <w:szCs w:val="28"/>
          <w:lang w:val="vi-VN"/>
        </w:rPr>
        <w:t>Nghị định số</w:t>
      </w:r>
      <w:r>
        <w:rPr>
          <w:rFonts w:cs="Times New Roman"/>
          <w:noProof/>
          <w:szCs w:val="28"/>
          <w:lang w:val="vi-VN"/>
        </w:rPr>
        <w:t xml:space="preserve"> 126/2020/NĐ-CP</w:t>
      </w:r>
      <w:r w:rsidRPr="00B403DF">
        <w:rPr>
          <w:rFonts w:cs="Times New Roman"/>
          <w:noProof/>
          <w:szCs w:val="28"/>
          <w:lang w:val="vi-VN"/>
        </w:rPr>
        <w:t>, công tác quản lý thuế, thu thuế đã đạt được nhiều kết quả tích cực, đảm bảo quản lý chặt chẽ nguồn thu; nhận thức của người dân, doanh nghiệp đối với việc thực hiện nghĩa vụ thuế với ngân sách nhà nước (NSNN) được nâng cao; bộ máy hành chính thuế không ngừng được kiện toàn, đội ngũ cán bộ, công chức quản lý thuế từng bước chuyên nghiệ</w:t>
      </w:r>
      <w:r>
        <w:rPr>
          <w:rFonts w:cs="Times New Roman"/>
          <w:noProof/>
          <w:szCs w:val="28"/>
          <w:lang w:val="vi-VN"/>
        </w:rPr>
        <w:t xml:space="preserve">p, chuyên sâu. </w:t>
      </w:r>
      <w:r>
        <w:rPr>
          <w:rFonts w:cs="Times New Roman"/>
          <w:noProof/>
          <w:szCs w:val="28"/>
        </w:rPr>
        <w:t>Nghị định đã góp phần hoàn thiện khung pháp lý quản lý thuế hiện đại, phù hợp với thông lệ quốc tế, thúc đẩy ứng dụng công nghệ thông tin trong khai thuế, nộp thuế điện tử, giảm thủ tục hành chính và tạo thuận lợi cho hàng triệu người nộp thuế, đặc biệt là doanh nghiệp và cá nhân kinh doanh. Các quy định về kê khai thuế, tạm nộp thuế thu nhập doanh nghiệp, quản lý nợ thuế, hoàn thuế, cưỡng chế nợ thuế đã nâng cao hiệu quả thu ngân sách nhà nước, tăng cường chống thất thu thuế, đặc biệt trong lĩnh vực thương mại điện tử, kinh doanh xuyên biên giới và nhà thầu nước ngoài.</w:t>
      </w:r>
    </w:p>
    <w:p w14:paraId="0417FEB9" w14:textId="77777777" w:rsidR="00C429F9" w:rsidRPr="00B864C7" w:rsidRDefault="00C429F9" w:rsidP="00C429F9">
      <w:pPr>
        <w:widowControl w:val="0"/>
        <w:spacing w:before="120" w:after="120" w:line="276" w:lineRule="auto"/>
        <w:ind w:left="85" w:firstLine="680"/>
        <w:jc w:val="both"/>
        <w:rPr>
          <w:rFonts w:cs="Times New Roman"/>
          <w:noProof/>
          <w:szCs w:val="28"/>
        </w:rPr>
      </w:pPr>
      <w:r w:rsidRPr="00B403DF">
        <w:rPr>
          <w:rFonts w:cs="Times New Roman"/>
          <w:noProof/>
          <w:szCs w:val="28"/>
        </w:rPr>
        <w:t xml:space="preserve">Bên cạnh những kết quả đạt được, </w:t>
      </w:r>
      <w:r>
        <w:rPr>
          <w:rFonts w:cs="Times New Roman"/>
          <w:noProof/>
          <w:szCs w:val="28"/>
        </w:rPr>
        <w:t xml:space="preserve">quá trình thi hành Nghị định cũng bộc </w:t>
      </w:r>
      <w:r>
        <w:rPr>
          <w:rFonts w:cs="Times New Roman"/>
          <w:noProof/>
          <w:szCs w:val="28"/>
        </w:rPr>
        <w:lastRenderedPageBreak/>
        <w:t>lộ một số hạn chế, bất cập cần được khắc phục</w:t>
      </w:r>
      <w:r w:rsidRPr="00B403DF">
        <w:rPr>
          <w:rFonts w:cs="Times New Roman"/>
          <w:noProof/>
          <w:szCs w:val="28"/>
        </w:rPr>
        <w:t>, chưa phù hợp với ngành đặc thù được điều chỉnh bởi pháp luật chuyên ngành như dầu khí, làm tăng thủ tục hành chính, tăng chi phí tuân thủ cho người nộp thuế vừa ảnh hưởng đến môi trường đầu tư, kinh doanh của Việt Nam, vừa ảnh hưởng đến hiệu lực, hiệu quả quản lý nhà nước của cơ quan quản lý thuế</w:t>
      </w:r>
      <w:r w:rsidRPr="00B403DF">
        <w:rPr>
          <w:rFonts w:cs="Times New Roman"/>
          <w:noProof/>
          <w:szCs w:val="28"/>
          <w:lang w:val="vi-VN"/>
        </w:rPr>
        <w:t xml:space="preserve">. </w:t>
      </w:r>
      <w:r>
        <w:rPr>
          <w:rFonts w:cs="Times New Roman"/>
          <w:noProof/>
          <w:szCs w:val="28"/>
        </w:rPr>
        <w:t xml:space="preserve">Một số quy định tại Nghị định chưa thực sự bao quát đủ các tình huống phát sinh trong thực tiễn, đặc biệt đối với hoạt động thương mại điện tử, kinh doanh trên nền tảng số, giao dịch xuyên biên giới và các mô hình kinh doanh mới. </w:t>
      </w:r>
      <w:r w:rsidRPr="00B403DF">
        <w:rPr>
          <w:rFonts w:cs="Times New Roman"/>
          <w:noProof/>
          <w:szCs w:val="28"/>
          <w:lang w:val="vi-VN"/>
        </w:rPr>
        <w:t xml:space="preserve">Ngoài ra, số lượng người nộp thuế tăng nhanh; mô hình hoạt động sản xuất kinh doanh của người nộp thuế đã có sự thay đổi cả về quy mô và phương thức; khoa học công nghệ, đặc biệt là công nghệ thông tin phát triển mạnh mẽ; các tập đoàn, doanh nghiệp đa quốc gia đầu tư, kinh doanh tại Việt Nam ngày càng nhiều. Những nhân tố này dẫn đến những thay đổi căn bản trong công tác quản lý người nộp thuế. </w:t>
      </w:r>
    </w:p>
    <w:p w14:paraId="2793C26B" w14:textId="77777777" w:rsidR="00C429F9" w:rsidRPr="00B403DF" w:rsidRDefault="00C429F9" w:rsidP="00C429F9">
      <w:pPr>
        <w:spacing w:before="120" w:after="120" w:line="276" w:lineRule="auto"/>
        <w:ind w:left="85" w:firstLine="680"/>
        <w:jc w:val="both"/>
        <w:rPr>
          <w:rFonts w:cs="Times New Roman"/>
          <w:noProof/>
          <w:szCs w:val="28"/>
          <w:lang w:val="vi-VN"/>
        </w:rPr>
      </w:pPr>
      <w:r w:rsidRPr="00B403DF">
        <w:rPr>
          <w:rFonts w:cs="Times New Roman"/>
          <w:noProof/>
          <w:szCs w:val="28"/>
          <w:lang w:val="vi-VN"/>
        </w:rPr>
        <w:t xml:space="preserve">Từ thực tế trên và yêu cầu đổi mới, </w:t>
      </w: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của Chính phủ </w:t>
      </w:r>
      <w:r w:rsidRPr="009418D0">
        <w:rPr>
          <w:rFonts w:cs="Times New Roman"/>
          <w:noProof/>
          <w:szCs w:val="28"/>
          <w:lang w:val="vi-VN"/>
        </w:rPr>
        <w:t>quy định chi tiết một số điều củ</w:t>
      </w:r>
      <w:r>
        <w:rPr>
          <w:rFonts w:cs="Times New Roman"/>
          <w:noProof/>
          <w:szCs w:val="28"/>
          <w:lang w:val="vi-VN"/>
        </w:rPr>
        <w:t xml:space="preserve">a </w:t>
      </w:r>
      <w:r>
        <w:rPr>
          <w:rFonts w:cs="Times New Roman"/>
          <w:noProof/>
          <w:szCs w:val="28"/>
        </w:rPr>
        <w:t>L</w:t>
      </w:r>
      <w:r w:rsidRPr="009418D0">
        <w:rPr>
          <w:rFonts w:cs="Times New Roman"/>
          <w:noProof/>
          <w:szCs w:val="28"/>
          <w:lang w:val="vi-VN"/>
        </w:rPr>
        <w:t>uậ</w:t>
      </w:r>
      <w:r>
        <w:rPr>
          <w:rFonts w:cs="Times New Roman"/>
          <w:noProof/>
          <w:szCs w:val="28"/>
          <w:lang w:val="vi-VN"/>
        </w:rPr>
        <w:t xml:space="preserve">t </w:t>
      </w:r>
      <w:r>
        <w:rPr>
          <w:rFonts w:cs="Times New Roman"/>
          <w:noProof/>
          <w:szCs w:val="28"/>
        </w:rPr>
        <w:t>Q</w:t>
      </w:r>
      <w:r w:rsidRPr="009418D0">
        <w:rPr>
          <w:rFonts w:cs="Times New Roman"/>
          <w:noProof/>
          <w:szCs w:val="28"/>
          <w:lang w:val="vi-VN"/>
        </w:rPr>
        <w:t>uản lý thuế</w:t>
      </w:r>
      <w:r w:rsidRPr="00B403DF">
        <w:rPr>
          <w:rFonts w:cs="Times New Roman"/>
          <w:noProof/>
          <w:szCs w:val="28"/>
          <w:lang w:val="vi-VN"/>
        </w:rPr>
        <w:t xml:space="preserve">  đòi hỏi phải được đánh giá, tổng kết việc thi hành để hoàn thiện. </w:t>
      </w:r>
    </w:p>
    <w:p w14:paraId="6A965A16" w14:textId="77777777" w:rsidR="00C429F9" w:rsidRPr="00B403DF" w:rsidRDefault="00C429F9"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2. Quá trình thực hiện tổng kết</w:t>
      </w:r>
    </w:p>
    <w:p w14:paraId="250AE851" w14:textId="77777777" w:rsidR="00C429F9" w:rsidRPr="00B403DF" w:rsidRDefault="00C429F9"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2.1</w:t>
      </w:r>
      <w:r w:rsidRPr="00B403DF">
        <w:rPr>
          <w:rFonts w:cs="Times New Roman"/>
          <w:b/>
          <w:bCs/>
          <w:noProof/>
          <w:szCs w:val="28"/>
        </w:rPr>
        <w:t>.</w:t>
      </w:r>
      <w:r w:rsidRPr="00B403DF">
        <w:rPr>
          <w:rFonts w:cs="Times New Roman"/>
          <w:b/>
          <w:bCs/>
          <w:noProof/>
          <w:szCs w:val="28"/>
          <w:lang w:val="vi-VN"/>
        </w:rPr>
        <w:t xml:space="preserve"> Đánh giá chung</w:t>
      </w:r>
    </w:p>
    <w:p w14:paraId="2E7F3B9A" w14:textId="77777777" w:rsidR="00C429F9" w:rsidRPr="00B403DF" w:rsidRDefault="00C429F9" w:rsidP="00C429F9">
      <w:pPr>
        <w:spacing w:before="120" w:after="120" w:line="276" w:lineRule="auto"/>
        <w:ind w:left="85"/>
        <w:jc w:val="both"/>
        <w:rPr>
          <w:rFonts w:cs="Times New Roman"/>
          <w:noProof/>
          <w:szCs w:val="28"/>
          <w:lang w:val="vi-VN"/>
        </w:rPr>
      </w:pPr>
      <w:r w:rsidRPr="00B403DF">
        <w:rPr>
          <w:rFonts w:cs="Times New Roman"/>
          <w:noProof/>
          <w:szCs w:val="28"/>
          <w:lang w:val="vi-VN"/>
        </w:rPr>
        <w:tab/>
      </w: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của Chính phủ </w:t>
      </w:r>
      <w:r w:rsidRPr="009418D0">
        <w:rPr>
          <w:rFonts w:cs="Times New Roman"/>
          <w:noProof/>
          <w:szCs w:val="28"/>
          <w:lang w:val="vi-VN"/>
        </w:rPr>
        <w:t>quy định chi tiết một số điều củ</w:t>
      </w:r>
      <w:r>
        <w:rPr>
          <w:rFonts w:cs="Times New Roman"/>
          <w:noProof/>
          <w:szCs w:val="28"/>
          <w:lang w:val="vi-VN"/>
        </w:rPr>
        <w:t xml:space="preserve">a </w:t>
      </w:r>
      <w:r>
        <w:rPr>
          <w:rFonts w:cs="Times New Roman"/>
          <w:noProof/>
          <w:szCs w:val="28"/>
        </w:rPr>
        <w:t>L</w:t>
      </w:r>
      <w:r w:rsidRPr="009418D0">
        <w:rPr>
          <w:rFonts w:cs="Times New Roman"/>
          <w:noProof/>
          <w:szCs w:val="28"/>
          <w:lang w:val="vi-VN"/>
        </w:rPr>
        <w:t>uậ</w:t>
      </w:r>
      <w:r>
        <w:rPr>
          <w:rFonts w:cs="Times New Roman"/>
          <w:noProof/>
          <w:szCs w:val="28"/>
          <w:lang w:val="vi-VN"/>
        </w:rPr>
        <w:t xml:space="preserve">t </w:t>
      </w:r>
      <w:r>
        <w:rPr>
          <w:rFonts w:cs="Times New Roman"/>
          <w:noProof/>
          <w:szCs w:val="28"/>
        </w:rPr>
        <w:t>Q</w:t>
      </w:r>
      <w:r w:rsidRPr="009418D0">
        <w:rPr>
          <w:rFonts w:cs="Times New Roman"/>
          <w:noProof/>
          <w:szCs w:val="28"/>
          <w:lang w:val="vi-VN"/>
        </w:rPr>
        <w:t>uản lý thuế</w:t>
      </w:r>
      <w:r>
        <w:rPr>
          <w:rFonts w:cs="Times New Roman"/>
          <w:noProof/>
          <w:szCs w:val="28"/>
        </w:rPr>
        <w:t xml:space="preserve"> được ban hành ngày 19/10/2020</w:t>
      </w:r>
      <w:r w:rsidRPr="00B403DF">
        <w:rPr>
          <w:rFonts w:cs="Times New Roman"/>
          <w:noProof/>
          <w:szCs w:val="28"/>
          <w:lang w:val="vi-VN"/>
        </w:rPr>
        <w:t>, có hiệu lực thi hành từ</w:t>
      </w:r>
      <w:r>
        <w:rPr>
          <w:rFonts w:cs="Times New Roman"/>
          <w:noProof/>
          <w:szCs w:val="28"/>
          <w:lang w:val="vi-VN"/>
        </w:rPr>
        <w:t xml:space="preserve"> ngày 05/12</w:t>
      </w:r>
      <w:r w:rsidRPr="00B403DF">
        <w:rPr>
          <w:rFonts w:cs="Times New Roman"/>
          <w:noProof/>
          <w:szCs w:val="28"/>
          <w:lang w:val="vi-VN"/>
        </w:rPr>
        <w:t>/2020. Trên cơ sở thực hiện đồng thời các nhiệm vụ tổng kết thi hành và nghiên cứu, rà soát đối với Luật Quản lý thuế năm 2019, Bộ Tài chính đã trình Chính phủ để trình Quốc hội sửa đổi, bổ sung một số điều của Luật Quản lý thuế năm 2019 và ngày 29/11/2024, tại kỳ họp thứ 8, Quốc hội khóa XV đã thông qua Luật số 56/2024/QH15. Theo đó, tại Điều 6 Luật số 56/2024/QH15 đã sửa đổi, bổ sung 14 Điều là những nội dung mang tính cấp bách để thúc đẩy tăng trưởng, ổn định kinh tế vĩ mô.</w:t>
      </w:r>
    </w:p>
    <w:p w14:paraId="621E440E" w14:textId="77777777" w:rsidR="00C429F9" w:rsidRPr="00B403DF" w:rsidRDefault="00C429F9" w:rsidP="00C429F9">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Qua quá trình triển khai, </w:t>
      </w: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w:t>
      </w:r>
      <w:r w:rsidRPr="00B403DF">
        <w:rPr>
          <w:rFonts w:cs="Times New Roman"/>
          <w:noProof/>
          <w:szCs w:val="28"/>
          <w:lang w:val="vi-VN"/>
        </w:rPr>
        <w:t xml:space="preserve">đã góp phần quan trọng trong việc tăng cường tính minh bạch, đẩy mạnh cải cách hành chính và bảo vệ quyền lợi người nộp thuế. Luật đã tạo hành lang pháp lý vững chắc cho công tác quản lý thuế, góp phần cải thiện môi trường kinh doanh, tăng thu ngân sách nhà nước và đảm bảo công bằng trong thực hiện nghĩa vụ thuế. Đặc biệt trong bối cảnh đại dịch Covid-19, </w:t>
      </w:r>
      <w:r>
        <w:rPr>
          <w:rFonts w:cs="Times New Roman"/>
          <w:noProof/>
          <w:szCs w:val="28"/>
        </w:rPr>
        <w:t>Nghị định</w:t>
      </w:r>
      <w:r w:rsidRPr="00B403DF">
        <w:rPr>
          <w:rFonts w:cs="Times New Roman"/>
          <w:noProof/>
          <w:szCs w:val="28"/>
          <w:lang w:val="vi-VN"/>
        </w:rPr>
        <w:t xml:space="preserve"> đã tạo hành lang pháp lý vững chắc để triển khai nhiều giải pháp hỗ trợ thiết thực cho người nộp thuế.  </w:t>
      </w:r>
    </w:p>
    <w:p w14:paraId="3E25C75F" w14:textId="77777777" w:rsidR="00C429F9" w:rsidRPr="00B403DF" w:rsidRDefault="00C429F9" w:rsidP="00C429F9">
      <w:pPr>
        <w:spacing w:before="120" w:after="120" w:line="276" w:lineRule="auto"/>
        <w:ind w:left="85" w:firstLine="720"/>
        <w:jc w:val="both"/>
        <w:rPr>
          <w:rFonts w:cs="Times New Roman"/>
          <w:b/>
          <w:bCs/>
          <w:noProof/>
          <w:szCs w:val="28"/>
        </w:rPr>
      </w:pPr>
      <w:r w:rsidRPr="00B403DF">
        <w:rPr>
          <w:rFonts w:cs="Times New Roman"/>
          <w:b/>
          <w:bCs/>
          <w:noProof/>
          <w:szCs w:val="28"/>
          <w:lang w:val="vi-VN"/>
        </w:rPr>
        <w:t>2.2</w:t>
      </w:r>
      <w:r w:rsidRPr="00B403DF">
        <w:rPr>
          <w:rFonts w:cs="Times New Roman"/>
          <w:b/>
          <w:bCs/>
          <w:noProof/>
          <w:szCs w:val="28"/>
        </w:rPr>
        <w:t>. Quá trình thực hiện tổng kết</w:t>
      </w:r>
    </w:p>
    <w:p w14:paraId="4A5E4BC5" w14:textId="77777777" w:rsidR="00C429F9" w:rsidRPr="00B403DF" w:rsidRDefault="00C429F9" w:rsidP="00C429F9">
      <w:pPr>
        <w:widowControl w:val="0"/>
        <w:pBdr>
          <w:top w:val="dotted" w:sz="4" w:space="0" w:color="FFFFFF"/>
          <w:left w:val="dotted" w:sz="4" w:space="0" w:color="FFFFFF"/>
          <w:bottom w:val="dotted" w:sz="4" w:space="11" w:color="FFFFFF"/>
          <w:right w:val="dotted" w:sz="4" w:space="3" w:color="FFFFFF"/>
        </w:pBdr>
        <w:spacing w:before="120" w:after="120" w:line="276" w:lineRule="auto"/>
        <w:ind w:left="85" w:firstLine="720"/>
        <w:jc w:val="both"/>
        <w:rPr>
          <w:rFonts w:eastAsia="Times New Roman" w:cs="Times New Roman"/>
          <w:noProof/>
          <w:szCs w:val="28"/>
          <w:lang w:val="vi"/>
        </w:rPr>
      </w:pPr>
      <w:bookmarkStart w:id="1" w:name="_Hlk204671297"/>
      <w:r w:rsidRPr="00B403DF">
        <w:rPr>
          <w:rFonts w:eastAsia="Times New Roman" w:cs="Times New Roman"/>
          <w:noProof/>
          <w:szCs w:val="28"/>
        </w:rPr>
        <w:lastRenderedPageBreak/>
        <w:t xml:space="preserve"> </w:t>
      </w:r>
      <w:r w:rsidRPr="00B403DF">
        <w:rPr>
          <w:rFonts w:eastAsia="Times New Roman" w:cs="Times New Roman"/>
          <w:noProof/>
          <w:szCs w:val="28"/>
          <w:lang w:val="vi"/>
        </w:rPr>
        <w:t xml:space="preserve">Triển khai nhiệm vụ </w:t>
      </w:r>
      <w:r>
        <w:rPr>
          <w:rFonts w:eastAsia="Times New Roman" w:cs="Times New Roman"/>
          <w:noProof/>
          <w:szCs w:val="28"/>
        </w:rPr>
        <w:t>xây dựng Nghị định hướng dẫn thi hành Luật Quản lý thuế</w:t>
      </w:r>
      <w:r w:rsidRPr="00B403DF">
        <w:rPr>
          <w:rFonts w:eastAsia="Times New Roman" w:cs="Times New Roman"/>
          <w:noProof/>
          <w:szCs w:val="28"/>
          <w:lang w:val="vi"/>
        </w:rPr>
        <w:t>, Bộ Tài chính đã thực hiện các hoạt động</w:t>
      </w:r>
      <w:r w:rsidRPr="00B403DF">
        <w:rPr>
          <w:rFonts w:eastAsia="Times New Roman" w:cs="Times New Roman"/>
          <w:noProof/>
          <w:szCs w:val="28"/>
        </w:rPr>
        <w:t xml:space="preserve"> đánh giá, tổng kết như</w:t>
      </w:r>
      <w:r w:rsidRPr="00B403DF">
        <w:rPr>
          <w:rFonts w:eastAsia="Times New Roman" w:cs="Times New Roman"/>
          <w:noProof/>
          <w:szCs w:val="28"/>
          <w:lang w:val="vi"/>
        </w:rPr>
        <w:t xml:space="preserve"> sau:</w:t>
      </w:r>
    </w:p>
    <w:p w14:paraId="1E8DB09E" w14:textId="77777777" w:rsidR="00C429F9" w:rsidRPr="00B403DF" w:rsidRDefault="00C429F9" w:rsidP="00C429F9">
      <w:pPr>
        <w:widowControl w:val="0"/>
        <w:pBdr>
          <w:top w:val="dotted" w:sz="4" w:space="0" w:color="FFFFFF"/>
          <w:left w:val="dotted" w:sz="4" w:space="0" w:color="FFFFFF"/>
          <w:bottom w:val="dotted" w:sz="4" w:space="11" w:color="FFFFFF"/>
          <w:right w:val="dotted" w:sz="4" w:space="3" w:color="FFFFFF"/>
        </w:pBdr>
        <w:spacing w:before="120" w:after="120" w:line="276" w:lineRule="auto"/>
        <w:ind w:left="85" w:firstLine="720"/>
        <w:jc w:val="both"/>
        <w:rPr>
          <w:rFonts w:eastAsia="Times New Roman" w:cs="Times New Roman"/>
          <w:noProof/>
          <w:szCs w:val="28"/>
          <w:lang w:val="vi"/>
        </w:rPr>
      </w:pPr>
      <w:r w:rsidRPr="00B403DF">
        <w:rPr>
          <w:rFonts w:eastAsia="Times New Roman" w:cs="Times New Roman"/>
          <w:noProof/>
          <w:szCs w:val="28"/>
          <w:lang w:val="vi"/>
        </w:rPr>
        <w:t>(1) Thực hiện rà soát các văn bản quy phạm pháp luật hướng dẫn Luật QLT năm 2019 và các văn bản có liên quan như Luật thuế Giá trị gia tăng, Luật thuế Thu nhập doanh nghiệp, Luật thuế xuất nhập khẩu, Luật Hải quan, Luật Ngân sách nhà nước, Luật Chứng khoán, Luật Giao d</w:t>
      </w:r>
      <w:r>
        <w:rPr>
          <w:rFonts w:eastAsia="Times New Roman" w:cs="Times New Roman"/>
          <w:noProof/>
          <w:szCs w:val="28"/>
          <w:lang w:val="vi"/>
        </w:rPr>
        <w:t xml:space="preserve">ịch điện tử, Luật Đất đai, Luật </w:t>
      </w:r>
      <w:r w:rsidRPr="00B403DF">
        <w:rPr>
          <w:rFonts w:eastAsia="Times New Roman" w:cs="Times New Roman"/>
          <w:noProof/>
          <w:szCs w:val="28"/>
          <w:lang w:val="vi"/>
        </w:rPr>
        <w:t>các tổ chức tín dụng, Luật Tần số vô tuyến điện, Luật Thanh tra....</w:t>
      </w:r>
    </w:p>
    <w:p w14:paraId="3CBD4E07" w14:textId="77777777" w:rsidR="00C429F9" w:rsidRPr="00B403DF" w:rsidRDefault="00C429F9" w:rsidP="00C429F9">
      <w:pPr>
        <w:widowControl w:val="0"/>
        <w:pBdr>
          <w:top w:val="dotted" w:sz="4" w:space="0" w:color="FFFFFF"/>
          <w:left w:val="dotted" w:sz="4" w:space="0" w:color="FFFFFF"/>
          <w:bottom w:val="dotted" w:sz="4" w:space="11" w:color="FFFFFF"/>
          <w:right w:val="dotted" w:sz="4" w:space="3" w:color="FFFFFF"/>
        </w:pBdr>
        <w:spacing w:before="120" w:after="120" w:line="276" w:lineRule="auto"/>
        <w:ind w:left="85" w:firstLine="720"/>
        <w:jc w:val="both"/>
        <w:rPr>
          <w:rFonts w:eastAsia="Times New Roman" w:cs="Times New Roman"/>
          <w:noProof/>
          <w:szCs w:val="28"/>
          <w:lang w:val="vi"/>
        </w:rPr>
      </w:pPr>
      <w:r w:rsidRPr="00B403DF">
        <w:rPr>
          <w:rFonts w:eastAsia="Times New Roman" w:cs="Times New Roman"/>
          <w:noProof/>
          <w:szCs w:val="28"/>
          <w:lang w:val="vi"/>
        </w:rPr>
        <w:t xml:space="preserve">(2) Tổng hợp kiến nghị vướng mắc từ các nguồn khác nhau (tổng kết thi hành </w:t>
      </w:r>
      <w:r w:rsidRPr="00674597">
        <w:rPr>
          <w:rFonts w:eastAsia="Times New Roman" w:cs="Times New Roman"/>
          <w:noProof/>
          <w:szCs w:val="28"/>
          <w:lang w:val="vi"/>
        </w:rPr>
        <w:t>Nghị định số 126/2020/NĐ-CP ngày 19/10/2020 của Chính phủ quy định chi tiết một số điều của Luật Quản lý thuế</w:t>
      </w:r>
      <w:r w:rsidRPr="00B403DF">
        <w:rPr>
          <w:rFonts w:eastAsia="Times New Roman" w:cs="Times New Roman"/>
          <w:noProof/>
          <w:szCs w:val="28"/>
          <w:lang w:val="vi"/>
        </w:rPr>
        <w:t xml:space="preserve">, các phản ánh kiến nghị từ các cơ quan, tổ chức, cá nhân có liên quan, các hiệp hội, doanh nghiệp trong quá trình thực hiện </w:t>
      </w:r>
      <w:r>
        <w:rPr>
          <w:rFonts w:eastAsia="Times New Roman" w:cs="Times New Roman"/>
          <w:noProof/>
          <w:szCs w:val="28"/>
        </w:rPr>
        <w:t>Nghị định</w:t>
      </w:r>
      <w:r w:rsidRPr="00B403DF">
        <w:rPr>
          <w:rFonts w:eastAsia="Times New Roman" w:cs="Times New Roman"/>
          <w:noProof/>
          <w:szCs w:val="28"/>
          <w:lang w:val="vi"/>
        </w:rPr>
        <w:t xml:space="preserve"> ....).</w:t>
      </w:r>
    </w:p>
    <w:bookmarkEnd w:id="1"/>
    <w:p w14:paraId="6C7D36DA" w14:textId="63FDE0E0" w:rsidR="005C7D44" w:rsidRPr="00B403DF" w:rsidRDefault="005C7D44"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II. KẾT QUẢ THỰC HIỆN</w:t>
      </w:r>
    </w:p>
    <w:p w14:paraId="5A0B8D94" w14:textId="33D6DEF9" w:rsidR="00221C49" w:rsidRPr="00B403DF" w:rsidRDefault="00221C49" w:rsidP="00B403DF">
      <w:pPr>
        <w:spacing w:before="120" w:after="120" w:line="276" w:lineRule="auto"/>
        <w:ind w:left="85" w:firstLine="635"/>
        <w:jc w:val="both"/>
        <w:rPr>
          <w:rFonts w:cs="Times New Roman"/>
          <w:b/>
          <w:bCs/>
          <w:noProof/>
          <w:szCs w:val="28"/>
          <w:lang w:val="vi-VN"/>
        </w:rPr>
      </w:pPr>
      <w:r w:rsidRPr="00B403DF">
        <w:rPr>
          <w:rFonts w:cs="Times New Roman"/>
          <w:b/>
          <w:bCs/>
          <w:noProof/>
          <w:szCs w:val="28"/>
          <w:lang w:val="vi-VN"/>
        </w:rPr>
        <w:t xml:space="preserve">1. </w:t>
      </w:r>
      <w:r w:rsidR="00287550" w:rsidRPr="00B403DF">
        <w:rPr>
          <w:rFonts w:cs="Times New Roman"/>
          <w:b/>
          <w:bCs/>
          <w:noProof/>
          <w:szCs w:val="28"/>
          <w:lang w:val="en"/>
        </w:rPr>
        <w:t>Công tác ch</w:t>
      </w:r>
      <w:r w:rsidR="00287550" w:rsidRPr="00B403DF">
        <w:rPr>
          <w:rFonts w:cs="Times New Roman"/>
          <w:b/>
          <w:bCs/>
          <w:noProof/>
          <w:szCs w:val="28"/>
          <w:lang w:val="vi-VN"/>
        </w:rPr>
        <w:t>ỉ đạo, triển khai v</w:t>
      </w:r>
      <w:r w:rsidR="00287550" w:rsidRPr="00B403DF">
        <w:rPr>
          <w:rFonts w:cs="Times New Roman"/>
          <w:b/>
          <w:bCs/>
          <w:noProof/>
          <w:szCs w:val="28"/>
        </w:rPr>
        <w:t>à t</w:t>
      </w:r>
      <w:r w:rsidR="00287550" w:rsidRPr="00B403DF">
        <w:rPr>
          <w:rFonts w:cs="Times New Roman"/>
          <w:b/>
          <w:bCs/>
          <w:noProof/>
          <w:szCs w:val="28"/>
          <w:lang w:val="vi-VN"/>
        </w:rPr>
        <w:t>ổ chức thi h</w:t>
      </w:r>
      <w:r w:rsidR="00287550" w:rsidRPr="00B403DF">
        <w:rPr>
          <w:rFonts w:cs="Times New Roman"/>
          <w:b/>
          <w:bCs/>
          <w:noProof/>
          <w:szCs w:val="28"/>
        </w:rPr>
        <w:t xml:space="preserve">ành </w:t>
      </w:r>
      <w:r w:rsidR="00287550" w:rsidRPr="00B403DF">
        <w:rPr>
          <w:rFonts w:cs="Times New Roman"/>
          <w:b/>
          <w:bCs/>
          <w:noProof/>
          <w:szCs w:val="28"/>
          <w:lang w:val="vi-VN"/>
        </w:rPr>
        <w:t>Luật Quản lý thuế năm 2019</w:t>
      </w:r>
    </w:p>
    <w:p w14:paraId="21062B33" w14:textId="6C06CBE4" w:rsidR="00C564F5" w:rsidRPr="00B403DF" w:rsidRDefault="00340E78" w:rsidP="007A08B5">
      <w:pPr>
        <w:spacing w:before="120" w:after="120" w:line="276" w:lineRule="auto"/>
        <w:ind w:left="85"/>
        <w:jc w:val="both"/>
        <w:rPr>
          <w:rFonts w:cs="Times New Roman"/>
          <w:noProof/>
          <w:szCs w:val="28"/>
          <w:lang w:val="vi-VN"/>
        </w:rPr>
      </w:pPr>
      <w:r w:rsidRPr="00B403DF">
        <w:rPr>
          <w:rFonts w:cs="Times New Roman"/>
          <w:b/>
          <w:bCs/>
          <w:noProof/>
          <w:szCs w:val="28"/>
          <w:lang w:val="vi-VN"/>
        </w:rPr>
        <w:tab/>
      </w:r>
      <w:r w:rsidR="00EF6C73" w:rsidRPr="00EF6C73">
        <w:rPr>
          <w:rFonts w:cs="Times New Roman"/>
          <w:noProof/>
          <w:szCs w:val="28"/>
        </w:rPr>
        <w:t xml:space="preserve">Nghị định số </w:t>
      </w:r>
      <w:r w:rsidR="00EF6C73" w:rsidRPr="00EF6C73">
        <w:rPr>
          <w:rFonts w:cs="Times New Roman"/>
          <w:noProof/>
          <w:szCs w:val="28"/>
          <w:lang w:val="vi-VN"/>
        </w:rPr>
        <w:t>126/2020/NĐ-CP</w:t>
      </w:r>
      <w:r w:rsidR="00EF6C73" w:rsidRPr="00EF6C73">
        <w:rPr>
          <w:rFonts w:cs="Times New Roman"/>
          <w:noProof/>
          <w:szCs w:val="28"/>
        </w:rPr>
        <w:t xml:space="preserve"> quy định chi tiết một số điều của Luật Quản lý thuế được ban hành ngày</w:t>
      </w:r>
      <w:r w:rsidR="00EF6C73">
        <w:rPr>
          <w:rFonts w:cs="Times New Roman"/>
          <w:i/>
          <w:iCs/>
          <w:noProof/>
          <w:szCs w:val="28"/>
        </w:rPr>
        <w:t xml:space="preserve"> </w:t>
      </w:r>
      <w:r w:rsidR="00EF6C73" w:rsidRPr="00B403DF">
        <w:rPr>
          <w:rFonts w:cs="Times New Roman"/>
          <w:noProof/>
          <w:szCs w:val="28"/>
          <w:lang w:val="vi-VN"/>
        </w:rPr>
        <w:t xml:space="preserve">ngày </w:t>
      </w:r>
      <w:r w:rsidR="00EF6C73">
        <w:rPr>
          <w:rFonts w:cs="Times New Roman"/>
          <w:noProof/>
          <w:szCs w:val="28"/>
        </w:rPr>
        <w:t>19/10/2020</w:t>
      </w:r>
      <w:r w:rsidR="00312F5C" w:rsidRPr="00B403DF">
        <w:rPr>
          <w:rFonts w:cs="Times New Roman"/>
          <w:noProof/>
          <w:szCs w:val="28"/>
          <w:lang w:val="vi-VN"/>
        </w:rPr>
        <w:t>, có hiệu lực thi hành từ ngày 0</w:t>
      </w:r>
      <w:r w:rsidR="00EF6C73">
        <w:rPr>
          <w:rFonts w:cs="Times New Roman"/>
          <w:noProof/>
          <w:szCs w:val="28"/>
        </w:rPr>
        <w:t>5/12</w:t>
      </w:r>
      <w:r w:rsidR="00312F5C" w:rsidRPr="00B403DF">
        <w:rPr>
          <w:rFonts w:cs="Times New Roman"/>
          <w:noProof/>
          <w:szCs w:val="28"/>
          <w:lang w:val="vi-VN"/>
        </w:rPr>
        <w:t xml:space="preserve">/2020, gồm </w:t>
      </w:r>
      <w:r w:rsidR="00EF6C73">
        <w:rPr>
          <w:rFonts w:cs="Times New Roman"/>
          <w:noProof/>
          <w:szCs w:val="28"/>
        </w:rPr>
        <w:t>09</w:t>
      </w:r>
      <w:r w:rsidR="00312F5C" w:rsidRPr="00B403DF">
        <w:rPr>
          <w:rFonts w:cs="Times New Roman"/>
          <w:noProof/>
          <w:szCs w:val="28"/>
          <w:lang w:val="vi-VN"/>
        </w:rPr>
        <w:t xml:space="preserve"> chương, </w:t>
      </w:r>
      <w:r w:rsidR="00EF6C73">
        <w:rPr>
          <w:rFonts w:cs="Times New Roman"/>
          <w:noProof/>
          <w:szCs w:val="28"/>
        </w:rPr>
        <w:t>44</w:t>
      </w:r>
      <w:r w:rsidR="00312F5C" w:rsidRPr="00B403DF">
        <w:rPr>
          <w:rFonts w:cs="Times New Roman"/>
          <w:noProof/>
          <w:szCs w:val="28"/>
          <w:lang w:val="vi-VN"/>
        </w:rPr>
        <w:t xml:space="preserve"> Điều</w:t>
      </w:r>
      <w:r w:rsidR="003307B5" w:rsidRPr="00B403DF">
        <w:rPr>
          <w:rFonts w:cs="Times New Roman"/>
          <w:noProof/>
          <w:szCs w:val="28"/>
        </w:rPr>
        <w:t xml:space="preserve">. </w:t>
      </w:r>
      <w:r w:rsidR="00E93C9B" w:rsidRPr="00B403DF">
        <w:rPr>
          <w:rFonts w:cs="Times New Roman"/>
          <w:noProof/>
          <w:szCs w:val="28"/>
          <w:lang w:val="vi-VN"/>
        </w:rPr>
        <w:t xml:space="preserve">Ngày </w:t>
      </w:r>
      <w:r w:rsidR="00EF6C73">
        <w:rPr>
          <w:rFonts w:cs="Times New Roman"/>
          <w:noProof/>
          <w:szCs w:val="28"/>
        </w:rPr>
        <w:t>30/10/2022</w:t>
      </w:r>
      <w:r w:rsidR="00E93C9B" w:rsidRPr="00B403DF">
        <w:rPr>
          <w:rFonts w:cs="Times New Roman"/>
          <w:noProof/>
          <w:szCs w:val="28"/>
          <w:lang w:val="vi-VN"/>
        </w:rPr>
        <w:t xml:space="preserve">, </w:t>
      </w:r>
      <w:r w:rsidR="00EF6C73">
        <w:rPr>
          <w:rFonts w:cs="Times New Roman"/>
          <w:noProof/>
          <w:szCs w:val="28"/>
        </w:rPr>
        <w:t xml:space="preserve">Chính phủ đã ban hành Nghị định số </w:t>
      </w:r>
      <w:r w:rsidR="00EF6C73" w:rsidRPr="00EF6C73">
        <w:rPr>
          <w:rFonts w:cs="Times New Roman"/>
          <w:noProof/>
          <w:szCs w:val="28"/>
        </w:rPr>
        <w:t>91/2022/NĐ-CP</w:t>
      </w:r>
      <w:r w:rsidR="00EF6C73">
        <w:rPr>
          <w:rFonts w:cs="Times New Roman"/>
          <w:noProof/>
          <w:szCs w:val="28"/>
        </w:rPr>
        <w:t xml:space="preserve"> </w:t>
      </w:r>
      <w:r w:rsidR="00EF6C73" w:rsidRPr="00EF6C73">
        <w:rPr>
          <w:rFonts w:cs="Times New Roman"/>
          <w:noProof/>
          <w:szCs w:val="28"/>
        </w:rPr>
        <w:t xml:space="preserve">sửa đổi, bổ sung một số điều của </w:t>
      </w:r>
      <w:r w:rsidR="00EF6C73">
        <w:rPr>
          <w:rFonts w:cs="Times New Roman"/>
          <w:noProof/>
          <w:szCs w:val="28"/>
        </w:rPr>
        <w:t>N</w:t>
      </w:r>
      <w:r w:rsidR="00EF6C73" w:rsidRPr="00EF6C73">
        <w:rPr>
          <w:rFonts w:cs="Times New Roman"/>
          <w:noProof/>
          <w:szCs w:val="28"/>
        </w:rPr>
        <w:t xml:space="preserve">ghị định số 126/2020/NĐ-CP ngày 19 tháng 10 năm 2020 của chính phủ quy định chi tiết một số điều của </w:t>
      </w:r>
      <w:r w:rsidR="00EF6C73">
        <w:rPr>
          <w:rFonts w:cs="Times New Roman"/>
          <w:noProof/>
          <w:szCs w:val="28"/>
        </w:rPr>
        <w:t>L</w:t>
      </w:r>
      <w:r w:rsidR="00EF6C73" w:rsidRPr="00EF6C73">
        <w:rPr>
          <w:rFonts w:cs="Times New Roman"/>
          <w:noProof/>
          <w:szCs w:val="28"/>
        </w:rPr>
        <w:t xml:space="preserve">uật </w:t>
      </w:r>
      <w:r w:rsidR="00EF6C73">
        <w:rPr>
          <w:rFonts w:cs="Times New Roman"/>
          <w:noProof/>
          <w:szCs w:val="28"/>
        </w:rPr>
        <w:t>Q</w:t>
      </w:r>
      <w:r w:rsidR="00EF6C73" w:rsidRPr="00EF6C73">
        <w:rPr>
          <w:rFonts w:cs="Times New Roman"/>
          <w:noProof/>
          <w:szCs w:val="28"/>
        </w:rPr>
        <w:t>uản lý thuế</w:t>
      </w:r>
      <w:r w:rsidR="00E93C9B" w:rsidRPr="00B403DF">
        <w:rPr>
          <w:rFonts w:cs="Times New Roman"/>
          <w:noProof/>
          <w:szCs w:val="28"/>
          <w:lang w:val="vi-VN"/>
        </w:rPr>
        <w:t>.</w:t>
      </w:r>
      <w:r w:rsidR="007A08B5">
        <w:rPr>
          <w:rFonts w:cs="Times New Roman"/>
          <w:noProof/>
          <w:szCs w:val="28"/>
        </w:rPr>
        <w:t xml:space="preserve"> </w:t>
      </w:r>
      <w:r w:rsidRPr="00B403DF">
        <w:rPr>
          <w:rFonts w:cs="Times New Roman"/>
          <w:noProof/>
          <w:szCs w:val="28"/>
          <w:lang w:val="vi-VN"/>
        </w:rPr>
        <w:t xml:space="preserve">Để triển khai thực hiện các quy định </w:t>
      </w:r>
      <w:r w:rsidR="00EF6C73">
        <w:rPr>
          <w:rFonts w:cs="Times New Roman"/>
          <w:noProof/>
          <w:szCs w:val="28"/>
        </w:rPr>
        <w:t xml:space="preserve">tại </w:t>
      </w:r>
      <w:r w:rsidR="00EF6C73" w:rsidRPr="00EF6C73">
        <w:rPr>
          <w:rFonts w:cs="Times New Roman"/>
          <w:noProof/>
          <w:szCs w:val="28"/>
          <w:lang w:val="vi-VN"/>
        </w:rPr>
        <w:t xml:space="preserve">Nghị định số 126/2020/NĐ-CP </w:t>
      </w:r>
      <w:r w:rsidR="00EF6C73">
        <w:rPr>
          <w:rFonts w:cs="Times New Roman"/>
          <w:noProof/>
          <w:szCs w:val="28"/>
        </w:rPr>
        <w:t>và</w:t>
      </w:r>
      <w:r w:rsidR="00EF6C73" w:rsidRPr="00EF6C73">
        <w:rPr>
          <w:rFonts w:cs="Times New Roman"/>
          <w:noProof/>
          <w:szCs w:val="28"/>
          <w:lang w:val="vi-VN"/>
        </w:rPr>
        <w:t xml:space="preserve"> Nghị định số 91/2022/NĐ-CP</w:t>
      </w:r>
      <w:r w:rsidRPr="00B403DF">
        <w:rPr>
          <w:rFonts w:cs="Times New Roman"/>
          <w:noProof/>
          <w:szCs w:val="28"/>
          <w:lang w:val="vi-VN"/>
        </w:rPr>
        <w:t xml:space="preserve">, </w:t>
      </w:r>
      <w:r w:rsidR="00E66E97" w:rsidRPr="00B403DF">
        <w:rPr>
          <w:rFonts w:cs="Times New Roman"/>
          <w:noProof/>
          <w:szCs w:val="28"/>
          <w:lang w:val="vi-VN"/>
        </w:rPr>
        <w:t>Bộ Tài chính</w:t>
      </w:r>
      <w:r w:rsidR="00312F5C" w:rsidRPr="00B403DF">
        <w:rPr>
          <w:rFonts w:cs="Times New Roman"/>
          <w:noProof/>
          <w:szCs w:val="28"/>
          <w:lang w:val="vi-VN"/>
        </w:rPr>
        <w:t xml:space="preserve"> đã ban hành 12 Thông tư</w:t>
      </w:r>
      <w:r w:rsidR="00E66E97" w:rsidRPr="00B403DF">
        <w:rPr>
          <w:rStyle w:val="FootnoteReference"/>
          <w:rFonts w:cs="Times New Roman"/>
          <w:noProof/>
          <w:szCs w:val="28"/>
          <w:lang w:val="vi-VN"/>
        </w:rPr>
        <w:footnoteReference w:id="1"/>
      </w:r>
      <w:r w:rsidR="00E66E97" w:rsidRPr="00B403DF">
        <w:rPr>
          <w:rFonts w:cs="Times New Roman"/>
          <w:noProof/>
          <w:szCs w:val="28"/>
          <w:lang w:val="vi-VN"/>
        </w:rPr>
        <w:t xml:space="preserve"> </w:t>
      </w:r>
      <w:r w:rsidR="00312F5C" w:rsidRPr="00B403DF">
        <w:rPr>
          <w:rFonts w:cs="Times New Roman"/>
          <w:noProof/>
          <w:szCs w:val="28"/>
          <w:lang w:val="vi-VN"/>
        </w:rPr>
        <w:t>hướng dẫn</w:t>
      </w:r>
      <w:r w:rsidR="00E66E97" w:rsidRPr="00B403DF">
        <w:rPr>
          <w:rFonts w:cs="Times New Roman"/>
          <w:noProof/>
          <w:szCs w:val="28"/>
          <w:lang w:val="vi-VN"/>
        </w:rPr>
        <w:t>.</w:t>
      </w:r>
    </w:p>
    <w:p w14:paraId="2C75D030" w14:textId="056A19DF" w:rsidR="00312F5C" w:rsidRPr="00B403DF" w:rsidRDefault="00312F5C" w:rsidP="00B403DF">
      <w:pPr>
        <w:spacing w:before="120" w:after="120" w:line="276" w:lineRule="auto"/>
        <w:ind w:left="85" w:firstLine="720"/>
        <w:jc w:val="both"/>
        <w:rPr>
          <w:rFonts w:eastAsia="Calibri" w:cs="Times New Roman"/>
          <w:noProof/>
          <w:szCs w:val="28"/>
          <w:lang w:val="vi-VN"/>
        </w:rPr>
      </w:pPr>
      <w:r w:rsidRPr="00B403DF">
        <w:rPr>
          <w:rFonts w:eastAsia="Calibri" w:cs="Times New Roman"/>
          <w:noProof/>
          <w:szCs w:val="28"/>
          <w:lang w:val="vi-VN"/>
        </w:rPr>
        <w:lastRenderedPageBreak/>
        <w:t>Tuy nhiên, với sự đổi mới trong chủ trương của Đảng, chính sách của Nhà nước, sự chuyển mình mạnh mẽ của đất nước và cuộc cách mạng khoa học công nghệ lần thứ tư và bối cảnh kinh tế - xã hội hiện nay đặt ra yêu cầu cấp thiết phải tiếp tục hoàn thiện Luật Q</w:t>
      </w:r>
      <w:r w:rsidR="00FE2F9A" w:rsidRPr="00B403DF">
        <w:rPr>
          <w:rFonts w:eastAsia="Calibri" w:cs="Times New Roman"/>
          <w:noProof/>
          <w:szCs w:val="28"/>
          <w:lang w:val="vi-VN"/>
        </w:rPr>
        <w:t>uản lý thuế</w:t>
      </w:r>
      <w:r w:rsidRPr="00B403DF">
        <w:rPr>
          <w:rFonts w:eastAsia="Calibri" w:cs="Times New Roman"/>
          <w:noProof/>
          <w:szCs w:val="28"/>
          <w:lang w:val="vi-VN"/>
        </w:rPr>
        <w:t>. Sự phát triển mạnh mẽ của kinh tế số với các mô hình kinh doanh mới như thương mại điện tử xuyên biên giới, nền tảng số đòi hỏi phải có cơ chế quản lý thuế phù hợp. Yêu cầu đẩy mạnh cải cách hành chính, tinh giản, tinh gọn bộ máy và chuyển đổi số trong quản lý thuế ngày càng trở nên cấp bách. Đồng thời, qua thực tiễn triển khai, Luật Q</w:t>
      </w:r>
      <w:r w:rsidR="00FE2F9A" w:rsidRPr="00B403DF">
        <w:rPr>
          <w:rFonts w:eastAsia="Calibri" w:cs="Times New Roman"/>
          <w:noProof/>
          <w:szCs w:val="28"/>
          <w:lang w:val="vi-VN"/>
        </w:rPr>
        <w:t>uản lý thuế</w:t>
      </w:r>
      <w:r w:rsidRPr="00B403DF">
        <w:rPr>
          <w:rFonts w:eastAsia="Calibri" w:cs="Times New Roman"/>
          <w:noProof/>
          <w:szCs w:val="28"/>
          <w:lang w:val="vi-VN"/>
        </w:rPr>
        <w:t xml:space="preserve"> năm 2019 vẫn còn một số vấn đề cần được giải quyết nhằm nâng cao hiệu quả quản lý thu ngân sách, chống thất thu thuế, đảm bảo nguồn lực cho phát triển kinh tế - xã hội nhanh và bền vững trong giai đoạn tới, đáp ứng yêu cầu thực tiễn và bối cảnh quốc tế ngày càng thay đổi nhanh chóng.</w:t>
      </w:r>
    </w:p>
    <w:p w14:paraId="6EFC26B0" w14:textId="44321F4A" w:rsidR="00221C49" w:rsidRPr="00B403DF" w:rsidRDefault="00221C49" w:rsidP="00B403DF">
      <w:pPr>
        <w:spacing w:before="120" w:after="120" w:line="276" w:lineRule="auto"/>
        <w:ind w:left="85" w:firstLine="635"/>
        <w:jc w:val="both"/>
        <w:rPr>
          <w:rFonts w:cs="Times New Roman"/>
          <w:b/>
          <w:bCs/>
          <w:noProof/>
          <w:szCs w:val="28"/>
        </w:rPr>
      </w:pPr>
      <w:r w:rsidRPr="00B403DF">
        <w:rPr>
          <w:rFonts w:cs="Times New Roman"/>
          <w:b/>
          <w:bCs/>
          <w:noProof/>
          <w:szCs w:val="28"/>
          <w:lang w:val="vi-VN"/>
        </w:rPr>
        <w:t>2. Kết quả thi hành</w:t>
      </w:r>
      <w:r w:rsidR="00074796" w:rsidRPr="00B403DF">
        <w:rPr>
          <w:rFonts w:cs="Times New Roman"/>
          <w:b/>
          <w:bCs/>
          <w:noProof/>
          <w:szCs w:val="28"/>
        </w:rPr>
        <w:t xml:space="preserve"> </w:t>
      </w:r>
      <w:r w:rsidR="007A08B5" w:rsidRPr="007A08B5">
        <w:rPr>
          <w:rFonts w:cs="Times New Roman"/>
          <w:b/>
          <w:bCs/>
          <w:noProof/>
          <w:szCs w:val="28"/>
        </w:rPr>
        <w:t>Nghị định số 126/2020/NĐ-CP quy định chi tiết một số điều của Luật Quản lý thuế</w:t>
      </w:r>
    </w:p>
    <w:p w14:paraId="48DAF897" w14:textId="26E82FF8" w:rsidR="005D6FC8" w:rsidRPr="00B403DF" w:rsidRDefault="005D6FC8" w:rsidP="00B403DF">
      <w:pPr>
        <w:spacing w:before="120" w:after="120" w:line="276" w:lineRule="auto"/>
        <w:ind w:left="85" w:firstLine="635"/>
        <w:jc w:val="both"/>
        <w:rPr>
          <w:rFonts w:cs="Times New Roman"/>
          <w:b/>
          <w:bCs/>
          <w:noProof/>
          <w:szCs w:val="28"/>
          <w:lang w:val="vi-VN"/>
        </w:rPr>
      </w:pPr>
      <w:r w:rsidRPr="00B403DF">
        <w:rPr>
          <w:rFonts w:cs="Times New Roman"/>
          <w:b/>
          <w:bCs/>
          <w:noProof/>
          <w:szCs w:val="28"/>
          <w:lang w:val="vi-VN"/>
        </w:rPr>
        <w:t>2.1. Kết quả đạt được</w:t>
      </w:r>
    </w:p>
    <w:p w14:paraId="3484FE5B" w14:textId="4130E6F3" w:rsidR="005D6FC8"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Qua 05 năm triển khai, </w:t>
      </w:r>
      <w:r w:rsidR="007A08B5" w:rsidRPr="00EF6C73">
        <w:rPr>
          <w:rFonts w:cs="Times New Roman"/>
          <w:noProof/>
          <w:szCs w:val="28"/>
        </w:rPr>
        <w:t xml:space="preserve">Nghị định số </w:t>
      </w:r>
      <w:r w:rsidR="007A08B5" w:rsidRPr="00EF6C73">
        <w:rPr>
          <w:rFonts w:cs="Times New Roman"/>
          <w:noProof/>
          <w:szCs w:val="28"/>
          <w:lang w:val="vi-VN"/>
        </w:rPr>
        <w:t>126/2020/NĐ-CP</w:t>
      </w:r>
      <w:r w:rsidR="007A08B5" w:rsidRPr="00EF6C73">
        <w:rPr>
          <w:rFonts w:cs="Times New Roman"/>
          <w:noProof/>
          <w:szCs w:val="28"/>
        </w:rPr>
        <w:t xml:space="preserve"> </w:t>
      </w:r>
      <w:r w:rsidRPr="00B403DF">
        <w:rPr>
          <w:rFonts w:cs="Times New Roman"/>
          <w:noProof/>
          <w:szCs w:val="28"/>
          <w:lang w:val="vi-VN"/>
        </w:rPr>
        <w:t xml:space="preserve">đã đạt được </w:t>
      </w:r>
      <w:r w:rsidR="007A08B5">
        <w:rPr>
          <w:rFonts w:cs="Times New Roman"/>
          <w:noProof/>
          <w:szCs w:val="28"/>
        </w:rPr>
        <w:t>các</w:t>
      </w:r>
      <w:r w:rsidRPr="00B403DF">
        <w:rPr>
          <w:rFonts w:cs="Times New Roman"/>
          <w:noProof/>
          <w:szCs w:val="28"/>
          <w:lang w:val="vi-VN"/>
        </w:rPr>
        <w:t xml:space="preserve"> kết quả nổi bật, cụ thể như sau: </w:t>
      </w:r>
    </w:p>
    <w:p w14:paraId="0A662E39" w14:textId="77777777" w:rsidR="00983F39" w:rsidRPr="00B403DF" w:rsidRDefault="005D6FC8" w:rsidP="00B403DF">
      <w:pPr>
        <w:spacing w:before="120" w:after="120" w:line="276" w:lineRule="auto"/>
        <w:ind w:left="85" w:firstLine="720"/>
        <w:jc w:val="both"/>
        <w:rPr>
          <w:rFonts w:cs="Times New Roman"/>
          <w:b/>
          <w:noProof/>
          <w:szCs w:val="28"/>
          <w:lang w:val="vi-VN"/>
        </w:rPr>
      </w:pPr>
      <w:r w:rsidRPr="00B403DF">
        <w:rPr>
          <w:rFonts w:cs="Times New Roman"/>
          <w:b/>
          <w:noProof/>
          <w:szCs w:val="28"/>
          <w:lang w:val="vi-VN"/>
        </w:rPr>
        <w:t>2.1.1. Nâng cao hiệu quả hỗ trợ doanh nghiệp và người nộp thuế</w:t>
      </w:r>
    </w:p>
    <w:p w14:paraId="34316D0D" w14:textId="412C6289" w:rsidR="00147B7E" w:rsidRPr="00B403DF" w:rsidRDefault="00147B7E" w:rsidP="00B403DF">
      <w:pPr>
        <w:spacing w:before="120" w:after="120" w:line="276" w:lineRule="auto"/>
        <w:ind w:left="85" w:firstLine="720"/>
        <w:jc w:val="both"/>
        <w:rPr>
          <w:rFonts w:cs="Times New Roman"/>
          <w:i/>
          <w:iCs/>
          <w:noProof/>
          <w:szCs w:val="28"/>
          <w:lang w:val="vi-VN"/>
        </w:rPr>
      </w:pPr>
      <w:r w:rsidRPr="00B403DF">
        <w:rPr>
          <w:rFonts w:cs="Times New Roman"/>
          <w:i/>
          <w:iCs/>
          <w:noProof/>
          <w:szCs w:val="28"/>
          <w:lang w:val="vi-VN"/>
        </w:rPr>
        <w:t xml:space="preserve">a) Công tác tuyên truyền, phổ biến </w:t>
      </w:r>
      <w:r w:rsidR="00CB3984" w:rsidRPr="00CB3984">
        <w:rPr>
          <w:rFonts w:cs="Times New Roman"/>
          <w:i/>
          <w:iCs/>
          <w:noProof/>
          <w:szCs w:val="28"/>
          <w:lang w:val="vi-VN"/>
        </w:rPr>
        <w:t xml:space="preserve">Nghị định số 126/2020/NĐ-CP </w:t>
      </w:r>
      <w:r w:rsidRPr="00B403DF">
        <w:rPr>
          <w:rFonts w:cs="Times New Roman"/>
          <w:i/>
          <w:iCs/>
          <w:noProof/>
          <w:szCs w:val="28"/>
          <w:lang w:val="vi-VN"/>
        </w:rPr>
        <w:t>và các văn bản hướng dẫn thi hành được thực hiện thường xuyên, với nhiều hình thức, phương tiện đa dạng, cập nhật nhanh, kịp thời đến người nộp thuế</w:t>
      </w:r>
    </w:p>
    <w:p w14:paraId="53A4B733" w14:textId="38D09002" w:rsidR="00147B7E" w:rsidRPr="00B403DF" w:rsidRDefault="00147B7E"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Cơ quan thuế đã không ngừng đa dạng hóa và hiện đại hóa các kênh tương tác với người nộp thuế. Bên cạnh các phương thức truyền thống, ngành thuế đã tích cực triển khai các nền tảng số như video clip hướng dẫn, bản tin trên các mạng xã hội (Zalo, Facebook, Youtube, Tiktok). Điểm nhấn trong năm 2024 là việc ra mắt ứng dụng Chatbot AI – “Trợ lý ảo hỗ trợ người nộp thuế” vào ngày 21/11/2024. Ứng dụng này đã thu hút 4,5 nghìn người đăng ký sử dụng và giải đáp được 29,9 nghìn câu hỏi, thể hiện hiệu quả trong việc hỗ trợ người nộp thuế.</w:t>
      </w:r>
    </w:p>
    <w:p w14:paraId="7114FE02" w14:textId="77777777" w:rsidR="00147B7E" w:rsidRPr="00B403DF" w:rsidRDefault="00147B7E"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Năm 2024 đánh dấu những nỗ lực đáng kể trong công tác hỗ trợ người nộp thuế. Cơ quan thuế các cấp đã </w:t>
      </w:r>
      <w:r w:rsidRPr="00B403DF">
        <w:rPr>
          <w:rFonts w:cs="Times New Roman"/>
          <w:noProof/>
          <w:szCs w:val="28"/>
          <w:lang w:val="vi-VN" w:eastAsia="ko-KR"/>
        </w:rPr>
        <w:t>tổ chức</w:t>
      </w:r>
      <w:r w:rsidRPr="00B403DF">
        <w:rPr>
          <w:rFonts w:cs="Times New Roman"/>
          <w:bCs/>
          <w:noProof/>
          <w:szCs w:val="28"/>
          <w:shd w:val="clear" w:color="auto" w:fill="FFFFFF"/>
          <w:lang w:val="vi-VN"/>
        </w:rPr>
        <w:t xml:space="preserve"> 1.451 buổi đối thoại/tập huấn theo cả hình thức trực tiếp và trực tuyến</w:t>
      </w:r>
      <w:r w:rsidRPr="00B403DF">
        <w:rPr>
          <w:rFonts w:cs="Times New Roman"/>
          <w:noProof/>
          <w:szCs w:val="28"/>
          <w:lang w:val="vi-VN"/>
        </w:rPr>
        <w:t xml:space="preserve"> </w:t>
      </w:r>
      <w:r w:rsidRPr="00B403DF">
        <w:rPr>
          <w:rFonts w:cs="Times New Roman"/>
          <w:bCs/>
          <w:noProof/>
          <w:szCs w:val="28"/>
          <w:shd w:val="clear" w:color="auto" w:fill="FFFFFF"/>
          <w:lang w:val="vi-VN"/>
        </w:rPr>
        <w:t xml:space="preserve">với sự tham dự của </w:t>
      </w:r>
      <w:r w:rsidRPr="00B403DF">
        <w:rPr>
          <w:rFonts w:cs="Times New Roman"/>
          <w:noProof/>
          <w:szCs w:val="28"/>
          <w:lang w:val="vi-VN"/>
        </w:rPr>
        <w:t xml:space="preserve">242,5 nghìn </w:t>
      </w:r>
      <w:r w:rsidRPr="00B403DF">
        <w:rPr>
          <w:rFonts w:cs="Times New Roman"/>
          <w:bCs/>
          <w:noProof/>
          <w:szCs w:val="28"/>
          <w:shd w:val="clear" w:color="auto" w:fill="FFFFFF"/>
          <w:lang w:val="vi-VN"/>
        </w:rPr>
        <w:t xml:space="preserve">lượt NNT </w:t>
      </w:r>
      <w:r w:rsidRPr="00B403DF">
        <w:rPr>
          <w:rFonts w:cs="Times New Roman"/>
          <w:noProof/>
          <w:szCs w:val="28"/>
          <w:lang w:val="vi-VN"/>
        </w:rPr>
        <w:t xml:space="preserve">để kịp thời giải đáp những vướng mắc của NNT, hướng dẫn về các chính sách thuế. Trực tiếp hướng dẫn cho khoảng 880 nghìn lượt NNT tại bộ phận “một cửa”. Hỗ trợ hơn 3,2 triệu lượt NNT qua hình thức thư điện tử, mạng xã hội, website của cơ quan thuế. Đây là hình thức </w:t>
      </w:r>
      <w:r w:rsidRPr="00B403DF">
        <w:rPr>
          <w:rFonts w:cs="Times New Roman"/>
          <w:bCs/>
          <w:noProof/>
          <w:szCs w:val="28"/>
          <w:shd w:val="clear" w:color="auto" w:fill="FFFFFF"/>
          <w:lang w:val="vi-VN"/>
        </w:rPr>
        <w:t xml:space="preserve">hỗ trợ </w:t>
      </w:r>
      <w:r w:rsidRPr="00B403DF">
        <w:rPr>
          <w:rFonts w:cs="Times New Roman"/>
          <w:noProof/>
          <w:szCs w:val="28"/>
          <w:lang w:val="vi-VN"/>
        </w:rPr>
        <w:t xml:space="preserve">nhanh chóng, </w:t>
      </w:r>
      <w:r w:rsidRPr="00B403DF">
        <w:rPr>
          <w:rFonts w:cs="Times New Roman"/>
          <w:bCs/>
          <w:noProof/>
          <w:szCs w:val="28"/>
          <w:shd w:val="clear" w:color="auto" w:fill="FFFFFF"/>
          <w:lang w:val="vi-VN"/>
        </w:rPr>
        <w:t xml:space="preserve">hiệu quả, phù hợp với xu hướng </w:t>
      </w:r>
      <w:r w:rsidRPr="00B403DF">
        <w:rPr>
          <w:rFonts w:cs="Times New Roman"/>
          <w:bCs/>
          <w:noProof/>
          <w:szCs w:val="28"/>
          <w:shd w:val="clear" w:color="auto" w:fill="FFFFFF"/>
          <w:lang w:val="vi-VN"/>
        </w:rPr>
        <w:lastRenderedPageBreak/>
        <w:t xml:space="preserve">chuyển đổi số </w:t>
      </w:r>
      <w:r w:rsidRPr="00B403DF">
        <w:rPr>
          <w:rFonts w:cs="Times New Roman"/>
          <w:noProof/>
          <w:szCs w:val="28"/>
          <w:lang w:val="vi-VN"/>
        </w:rPr>
        <w:t xml:space="preserve">và tiết kiệm được chi phí. Hệ thống 479 kênh thông tin hỗ trợ </w:t>
      </w:r>
      <w:r w:rsidRPr="00B403DF">
        <w:rPr>
          <w:rFonts w:cs="Times New Roman"/>
          <w:noProof/>
          <w:szCs w:val="28"/>
          <w:shd w:val="clear" w:color="auto" w:fill="FFFFFF"/>
          <w:lang w:val="vi-VN" w:eastAsia="ko-KR"/>
        </w:rPr>
        <w:t xml:space="preserve">tiếp tục được nâng cấp và vận hành </w:t>
      </w:r>
      <w:r w:rsidRPr="00B403DF">
        <w:rPr>
          <w:rFonts w:cs="Times New Roman"/>
          <w:noProof/>
          <w:szCs w:val="28"/>
          <w:lang w:val="vi-VN"/>
        </w:rPr>
        <w:t>ổn định, cơ quan thuế đã giải đáp 5.211 câu hỏi do NNT gửi đến (đạt tỷ lệ 89%).</w:t>
      </w:r>
    </w:p>
    <w:p w14:paraId="4D6194CD" w14:textId="77777777" w:rsidR="00147B7E" w:rsidRPr="00B403DF" w:rsidRDefault="00147B7E" w:rsidP="00CB3984">
      <w:pPr>
        <w:widowControl w:val="0"/>
        <w:spacing w:before="120" w:after="120" w:line="276" w:lineRule="auto"/>
        <w:ind w:left="86" w:firstLine="720"/>
        <w:jc w:val="both"/>
        <w:rPr>
          <w:rFonts w:cs="Times New Roman"/>
          <w:noProof/>
          <w:szCs w:val="28"/>
          <w:lang w:val="vi-VN"/>
        </w:rPr>
      </w:pPr>
      <w:r w:rsidRPr="00B403DF">
        <w:rPr>
          <w:rFonts w:cs="Times New Roman"/>
          <w:noProof/>
          <w:szCs w:val="28"/>
          <w:lang w:val="vi-VN"/>
        </w:rPr>
        <w:t>Kết quả khảo sát năm 2024 cho thấy mức độ hài lòng của người nộp thuế đạt 88,3%, được tính từ điểm trung bình của điểm đánh giá chung và trung bình của điểm theo lĩnh vực chức năng</w:t>
      </w:r>
      <w:r w:rsidRPr="00B403DF">
        <w:rPr>
          <w:rFonts w:cs="Times New Roman"/>
          <w:noProof/>
          <w:szCs w:val="28"/>
          <w:vertAlign w:val="superscript"/>
          <w:lang w:val="vi-VN"/>
        </w:rPr>
        <w:footnoteReference w:id="2"/>
      </w:r>
      <w:r w:rsidRPr="00B403DF">
        <w:rPr>
          <w:rFonts w:cs="Times New Roman"/>
          <w:noProof/>
          <w:szCs w:val="28"/>
          <w:lang w:val="vi-VN"/>
        </w:rPr>
        <w:t>, tiệm cận mục tiêu 90% đề ra trong Chiến lược cải cách hệ thống thuế đến năm 2030. Con số này dựa trên 441.974 phiếu phản hồi, chiếm 13,9% trên tổng số doanh nghiệp, hộ cá nhân kinh doanh do cơ quan thuế đang quản lý</w:t>
      </w:r>
      <w:r w:rsidRPr="00B403DF">
        <w:rPr>
          <w:rFonts w:cs="Times New Roman"/>
          <w:noProof/>
          <w:szCs w:val="28"/>
          <w:vertAlign w:val="superscript"/>
          <w:lang w:val="vi-VN"/>
        </w:rPr>
        <w:footnoteReference w:id="3"/>
      </w:r>
      <w:r w:rsidRPr="00B403DF">
        <w:rPr>
          <w:rFonts w:cs="Times New Roman"/>
          <w:noProof/>
          <w:szCs w:val="28"/>
          <w:lang w:val="vi-VN"/>
        </w:rPr>
        <w:t>, phản ánh nỗ lực không ngừng của ngành thuế trong việc nâng cao chất lượng phục vụ người nộp thuế.</w:t>
      </w:r>
    </w:p>
    <w:p w14:paraId="1E6A3ABF" w14:textId="036B6E50" w:rsidR="00E96785" w:rsidRPr="00B403DF" w:rsidRDefault="00147B7E"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Hệ thống 479 kênh Hỏi - Đáp được nâng cấp với 47 loại câu hỏi được phân loại cụ thể, kết hợp với chức năng phân luồng tự động đã giúp việc giải đáp thắc mắc của người nộp thuế được nhanh chóng và hiệu quả hơn. Trong năm 2023, cơ quan thuế đã giải đáp gần 5.900 câu hỏi, thể hiện cam kết mạnh mẽ trong việc hỗ trợ người nộp thuế thực hiện đầy đủ nghĩa vụ của mình.</w:t>
      </w:r>
    </w:p>
    <w:p w14:paraId="4B73A783" w14:textId="56387612" w:rsidR="0039115A" w:rsidRDefault="0039115A" w:rsidP="00B403DF">
      <w:pPr>
        <w:spacing w:before="120" w:after="120" w:line="276" w:lineRule="auto"/>
        <w:ind w:left="85" w:firstLine="720"/>
        <w:jc w:val="both"/>
        <w:rPr>
          <w:rFonts w:cs="Times New Roman"/>
          <w:szCs w:val="28"/>
        </w:rPr>
      </w:pPr>
      <w:r w:rsidRPr="00B403DF">
        <w:rPr>
          <w:rFonts w:cs="Times New Roman"/>
          <w:noProof/>
          <w:szCs w:val="28"/>
        </w:rPr>
        <w:t xml:space="preserve">Bên cạnh đó, Cục Thuế </w:t>
      </w:r>
      <w:r w:rsidRPr="00B403DF">
        <w:rPr>
          <w:rFonts w:cs="Times New Roman"/>
          <w:szCs w:val="28"/>
        </w:rPr>
        <w:t>tổ chức các nhóm kỹ thuật, đầu mối tiếp nhận và xử lý các yêu cầu qua hệ thống hỗ trợ (Service Desk) và nhóm hỗ trợ qua Zalo để kịp thời nắm bắt, tháo gỡ các vướng mắc phát sinh của cơ quan thuế và người nộp thuế cả trong và ngoài giờ hành chính. Sau khi vận hành chính thức từ ngày 01/7/2025 đến nay, Cục Thuế đã tiếp nhận và xử lý</w:t>
      </w:r>
      <w:r w:rsidRPr="00B403DF">
        <w:rPr>
          <w:rFonts w:cs="Times New Roman"/>
          <w:b/>
          <w:szCs w:val="28"/>
        </w:rPr>
        <w:t xml:space="preserve"> </w:t>
      </w:r>
      <w:r w:rsidRPr="00B403DF">
        <w:rPr>
          <w:rFonts w:cs="Times New Roman"/>
          <w:spacing w:val="-6"/>
          <w:szCs w:val="28"/>
        </w:rPr>
        <w:t xml:space="preserve">43.133 </w:t>
      </w:r>
      <w:r w:rsidRPr="00B403DF">
        <w:rPr>
          <w:rFonts w:cs="Times New Roman"/>
          <w:szCs w:val="28"/>
        </w:rPr>
        <w:t>yêu cầu của người nộp thuế, cơ quan thuế các cấp qua ứng dụng Quản lý yêu cầu hỗ trợ (CA) và các kênh hỗ trợ như zalo, viber, điện thoại, email.</w:t>
      </w:r>
    </w:p>
    <w:p w14:paraId="1D3789D8" w14:textId="67D44823" w:rsidR="00DA642D" w:rsidRPr="00B403DF" w:rsidRDefault="00DA642D" w:rsidP="00DA642D">
      <w:pPr>
        <w:spacing w:before="120" w:after="120" w:line="276" w:lineRule="auto"/>
        <w:ind w:left="85" w:firstLine="720"/>
        <w:jc w:val="both"/>
        <w:rPr>
          <w:rFonts w:cs="Times New Roman"/>
          <w:noProof/>
          <w:szCs w:val="28"/>
        </w:rPr>
      </w:pPr>
      <w:r w:rsidRPr="00DA642D">
        <w:rPr>
          <w:rFonts w:cs="Times New Roman"/>
          <w:noProof/>
          <w:szCs w:val="28"/>
        </w:rPr>
        <w:t>Những nỗ lực này đã mang lại sự chuyển biến tích cực, thể hiện</w:t>
      </w:r>
      <w:r>
        <w:rPr>
          <w:rFonts w:cs="Times New Roman"/>
          <w:noProof/>
          <w:szCs w:val="28"/>
        </w:rPr>
        <w:t xml:space="preserve"> </w:t>
      </w:r>
      <w:r w:rsidRPr="00DA642D">
        <w:rPr>
          <w:rFonts w:cs="Times New Roman"/>
          <w:noProof/>
          <w:szCs w:val="28"/>
        </w:rPr>
        <w:t>qua sự hài lòng và tin tưởng ngày càng cao của cộng đồng doanh nghiệp và</w:t>
      </w:r>
      <w:r>
        <w:rPr>
          <w:rFonts w:cs="Times New Roman"/>
          <w:noProof/>
          <w:szCs w:val="28"/>
        </w:rPr>
        <w:t xml:space="preserve"> </w:t>
      </w:r>
      <w:r w:rsidRPr="00DA642D">
        <w:rPr>
          <w:rFonts w:cs="Times New Roman"/>
          <w:noProof/>
          <w:szCs w:val="28"/>
        </w:rPr>
        <w:t>người dân. Mức độ hài lòng của người nộp thuế đã tiệm cận với mục tiêu đề ra</w:t>
      </w:r>
      <w:r>
        <w:rPr>
          <w:rFonts w:cs="Times New Roman"/>
          <w:noProof/>
          <w:szCs w:val="28"/>
        </w:rPr>
        <w:t xml:space="preserve"> </w:t>
      </w:r>
      <w:r w:rsidRPr="00DA642D">
        <w:rPr>
          <w:rFonts w:cs="Times New Roman"/>
          <w:noProof/>
          <w:szCs w:val="28"/>
        </w:rPr>
        <w:t>trong Chiến lược cải cách hệ thống thuế, minh chứng cho sự đồng thuận và tin</w:t>
      </w:r>
      <w:r>
        <w:rPr>
          <w:rFonts w:cs="Times New Roman"/>
          <w:noProof/>
          <w:szCs w:val="28"/>
        </w:rPr>
        <w:t xml:space="preserve"> </w:t>
      </w:r>
      <w:r w:rsidRPr="00DA642D">
        <w:rPr>
          <w:rFonts w:cs="Times New Roman"/>
          <w:noProof/>
          <w:szCs w:val="28"/>
        </w:rPr>
        <w:t>tưởng vào những cải cách của ngành.</w:t>
      </w:r>
    </w:p>
    <w:p w14:paraId="28E7CB99" w14:textId="284FBE00" w:rsidR="003855B4" w:rsidRPr="00B403DF" w:rsidRDefault="00147B7E" w:rsidP="00B403DF">
      <w:pPr>
        <w:spacing w:before="120" w:after="120" w:line="276" w:lineRule="auto"/>
        <w:ind w:left="85" w:firstLine="720"/>
        <w:jc w:val="both"/>
        <w:rPr>
          <w:rFonts w:cs="Times New Roman"/>
          <w:i/>
          <w:noProof/>
          <w:szCs w:val="28"/>
          <w:lang w:val="vi-VN"/>
        </w:rPr>
      </w:pPr>
      <w:r w:rsidRPr="00B403DF">
        <w:rPr>
          <w:rFonts w:cs="Times New Roman"/>
          <w:i/>
          <w:noProof/>
          <w:szCs w:val="28"/>
          <w:lang w:val="vi-VN"/>
        </w:rPr>
        <w:t>b</w:t>
      </w:r>
      <w:r w:rsidR="003855B4" w:rsidRPr="00B403DF">
        <w:rPr>
          <w:rFonts w:cs="Times New Roman"/>
          <w:i/>
          <w:noProof/>
          <w:szCs w:val="28"/>
          <w:lang w:val="vi-VN"/>
        </w:rPr>
        <w:t>) Công tác đăng ký thuế, kê khai thuế, nộp thuế đã đạt được nhiều kết quả tích cực, rút ngắn được thời gian thực hiện, đã từng bước ứng dụng công nghệ thông tin và giảm thủ tục hành chính.</w:t>
      </w:r>
    </w:p>
    <w:p w14:paraId="7D9282FF" w14:textId="198CF1DA" w:rsidR="00147B7E" w:rsidRPr="00B403DF" w:rsidRDefault="00CB3984" w:rsidP="00B403DF">
      <w:pPr>
        <w:spacing w:before="120" w:after="120" w:line="276" w:lineRule="auto"/>
        <w:ind w:left="85" w:firstLine="720"/>
        <w:jc w:val="both"/>
        <w:rPr>
          <w:rFonts w:cs="Times New Roman"/>
          <w:noProof/>
          <w:szCs w:val="28"/>
          <w:lang w:val="vi-VN"/>
        </w:rPr>
      </w:pPr>
      <w:r w:rsidRPr="00CB3984">
        <w:rPr>
          <w:rFonts w:cs="Times New Roman"/>
          <w:noProof/>
          <w:szCs w:val="28"/>
          <w:lang w:val="vi-VN"/>
        </w:rPr>
        <w:lastRenderedPageBreak/>
        <w:t xml:space="preserve">Nghị định số 126/2020/NĐ-CP </w:t>
      </w:r>
      <w:r w:rsidR="00147B7E" w:rsidRPr="00B403DF">
        <w:rPr>
          <w:rFonts w:cs="Times New Roman"/>
          <w:noProof/>
          <w:szCs w:val="28"/>
          <w:lang w:val="vi-VN"/>
        </w:rPr>
        <w:t>đã tạo bước đột phá trong việc đơn giản hóa thủ tục hành chính về thuế cho người nộp thuế. Người nộp thuế có thể dễ dàng thực hiện nghĩa vụ thuế với thời gian kê khai giảm xuống còn dưới 100 giờ/năm, tương đương với mức trung bình của các nước ASEAN-4. Đặc biệt, việc khuyến khích sử dụng phương thức điện tử trong quản lý thuế như hóa đơn điện tử, kê khai và nộp thuế online đã tạo thuận lợi và giảm đáng kể chi phí cho doanh nghiệp.</w:t>
      </w:r>
    </w:p>
    <w:p w14:paraId="294A5DA3" w14:textId="39A04C0F" w:rsidR="00762DC0" w:rsidRPr="00B403DF" w:rsidRDefault="00762DC0" w:rsidP="00B403DF">
      <w:pPr>
        <w:spacing w:before="120" w:after="120" w:line="276" w:lineRule="auto"/>
        <w:ind w:left="85" w:firstLineChars="202" w:firstLine="566"/>
        <w:jc w:val="both"/>
        <w:rPr>
          <w:rFonts w:cs="Times New Roman"/>
          <w:noProof/>
          <w:szCs w:val="28"/>
          <w:lang w:val="vi-VN"/>
        </w:rPr>
      </w:pPr>
      <w:r w:rsidRPr="00B403DF">
        <w:rPr>
          <w:rFonts w:cs="Times New Roman"/>
          <w:noProof/>
          <w:szCs w:val="28"/>
          <w:lang w:val="vi-VN"/>
        </w:rPr>
        <w:t>- Về công tác đăng ký thuế đã được cải cách đồng bộ, hiệu quả quy định thủ tục hành chính liên quan đến người nộp thuế; thành phần hồ sơ đăng ký thuế dễ thực hiện và tối ưu hoá quy trình giải quyết thủ tục hành chính trên cơ sở ứng dụng công nghệ thông tin; đổi mới và nâng cao hiệu quả thực hiện cơ chế một cửa, một cửa liên thông trong giải quyết thủ tục đăng ký kinh doanh và đăng ký thuế bằng điện tử liên thông giữa các cơ quan quản lý nhà nước,</w:t>
      </w:r>
      <w:r w:rsidRPr="00B403DF" w:rsidDel="00B84E2F">
        <w:rPr>
          <w:rFonts w:cs="Times New Roman"/>
          <w:noProof/>
          <w:szCs w:val="28"/>
          <w:lang w:val="vi-VN"/>
        </w:rPr>
        <w:t xml:space="preserve"> </w:t>
      </w:r>
      <w:r w:rsidRPr="00B403DF">
        <w:rPr>
          <w:rFonts w:cs="Times New Roman"/>
          <w:noProof/>
          <w:szCs w:val="28"/>
          <w:lang w:val="vi-VN"/>
        </w:rPr>
        <w:t>kết nối hoặc trao đổi thông tin về giấy phép thành lập và hoạt động với cơ quan nhà nước có thẩm quyền, rút ngắn thời gian giải quyết cho người nộp thuế.</w:t>
      </w:r>
    </w:p>
    <w:p w14:paraId="5592AB19" w14:textId="54A48BB4" w:rsidR="0002432A" w:rsidRPr="00B403DF" w:rsidRDefault="0002432A" w:rsidP="00B403DF">
      <w:pPr>
        <w:spacing w:before="120" w:after="120" w:line="276" w:lineRule="auto"/>
        <w:ind w:left="85" w:firstLineChars="202" w:firstLine="566"/>
        <w:jc w:val="both"/>
        <w:rPr>
          <w:rFonts w:cs="Times New Roman"/>
          <w:noProof/>
          <w:szCs w:val="28"/>
        </w:rPr>
      </w:pPr>
      <w:r w:rsidRPr="00B403DF">
        <w:rPr>
          <w:rFonts w:cs="Times New Roman"/>
          <w:noProof/>
          <w:szCs w:val="28"/>
        </w:rPr>
        <w:t>Số liệu về đăng ký thuế từ năm 2020 đến hết 06 tháng đầu năm 2025 như sau:</w:t>
      </w:r>
    </w:p>
    <w:tbl>
      <w:tblPr>
        <w:tblW w:w="8921" w:type="dxa"/>
        <w:tblInd w:w="5" w:type="dxa"/>
        <w:tblLook w:val="04A0" w:firstRow="1" w:lastRow="0" w:firstColumn="1" w:lastColumn="0" w:noHBand="0" w:noVBand="1"/>
      </w:tblPr>
      <w:tblGrid>
        <w:gridCol w:w="1599"/>
        <w:gridCol w:w="3887"/>
        <w:gridCol w:w="3435"/>
      </w:tblGrid>
      <w:tr w:rsidR="00E25C6C" w:rsidRPr="00B403DF" w14:paraId="4C4809C0" w14:textId="77777777" w:rsidTr="0002432A">
        <w:trPr>
          <w:trHeight w:val="1260"/>
        </w:trPr>
        <w:tc>
          <w:tcPr>
            <w:tcW w:w="1599" w:type="dxa"/>
            <w:tcBorders>
              <w:top w:val="single" w:sz="4" w:space="0" w:color="auto"/>
              <w:left w:val="single" w:sz="4" w:space="0" w:color="auto"/>
              <w:bottom w:val="single" w:sz="4" w:space="0" w:color="auto"/>
              <w:right w:val="single" w:sz="4" w:space="0" w:color="auto"/>
            </w:tcBorders>
            <w:vAlign w:val="center"/>
            <w:hideMark/>
          </w:tcPr>
          <w:p w14:paraId="531F1A87"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3887" w:type="dxa"/>
            <w:tcBorders>
              <w:top w:val="single" w:sz="4" w:space="0" w:color="auto"/>
              <w:left w:val="nil"/>
              <w:bottom w:val="single" w:sz="4" w:space="0" w:color="auto"/>
              <w:right w:val="single" w:sz="4" w:space="0" w:color="auto"/>
            </w:tcBorders>
            <w:vAlign w:val="center"/>
            <w:hideMark/>
          </w:tcPr>
          <w:p w14:paraId="6B498335"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Đăng ký qua liên thông</w:t>
            </w:r>
          </w:p>
        </w:tc>
        <w:tc>
          <w:tcPr>
            <w:tcW w:w="3435" w:type="dxa"/>
            <w:tcBorders>
              <w:top w:val="single" w:sz="4" w:space="0" w:color="auto"/>
              <w:left w:val="nil"/>
              <w:bottom w:val="single" w:sz="4" w:space="0" w:color="auto"/>
              <w:right w:val="single" w:sz="4" w:space="0" w:color="auto"/>
            </w:tcBorders>
            <w:vAlign w:val="center"/>
            <w:hideMark/>
          </w:tcPr>
          <w:p w14:paraId="7E3B841B" w14:textId="1A9884CD"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đăng ký thuế điện tử đối với hồ sơ đăng ký trực tiếp với Cơ quan thuế</w:t>
            </w:r>
          </w:p>
        </w:tc>
      </w:tr>
      <w:tr w:rsidR="00E25C6C" w:rsidRPr="00B403DF" w14:paraId="4E13E3F6" w14:textId="77777777" w:rsidTr="0002432A">
        <w:trPr>
          <w:trHeight w:val="1122"/>
        </w:trPr>
        <w:tc>
          <w:tcPr>
            <w:tcW w:w="1599" w:type="dxa"/>
            <w:tcBorders>
              <w:top w:val="single" w:sz="4" w:space="0" w:color="auto"/>
              <w:left w:val="single" w:sz="4" w:space="0" w:color="auto"/>
              <w:bottom w:val="single" w:sz="4" w:space="0" w:color="auto"/>
              <w:right w:val="single" w:sz="4" w:space="0" w:color="auto"/>
            </w:tcBorders>
            <w:vAlign w:val="center"/>
            <w:hideMark/>
          </w:tcPr>
          <w:p w14:paraId="5DE7D922"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3887" w:type="dxa"/>
            <w:tcBorders>
              <w:top w:val="nil"/>
              <w:left w:val="nil"/>
              <w:bottom w:val="single" w:sz="4" w:space="0" w:color="auto"/>
              <w:right w:val="single" w:sz="4" w:space="0" w:color="auto"/>
            </w:tcBorders>
            <w:vAlign w:val="center"/>
            <w:hideMark/>
          </w:tcPr>
          <w:p w14:paraId="2281D31B" w14:textId="673D03A0"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Đã liên thông đối với NNT là doanh nghiệp thành lập theo Luật Doanh nghiệp</w:t>
            </w:r>
          </w:p>
        </w:tc>
        <w:tc>
          <w:tcPr>
            <w:tcW w:w="3435" w:type="dxa"/>
            <w:tcBorders>
              <w:top w:val="nil"/>
              <w:left w:val="nil"/>
              <w:bottom w:val="single" w:sz="4" w:space="0" w:color="auto"/>
              <w:right w:val="single" w:sz="4" w:space="0" w:color="auto"/>
            </w:tcBorders>
            <w:noWrap/>
            <w:vAlign w:val="center"/>
            <w:hideMark/>
          </w:tcPr>
          <w:p w14:paraId="698C7FE8"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65,0%</w:t>
            </w:r>
          </w:p>
        </w:tc>
      </w:tr>
      <w:tr w:rsidR="00E25C6C" w:rsidRPr="00B403DF" w14:paraId="27D6DDFB" w14:textId="77777777" w:rsidTr="0002432A">
        <w:trPr>
          <w:trHeight w:val="556"/>
        </w:trPr>
        <w:tc>
          <w:tcPr>
            <w:tcW w:w="1599" w:type="dxa"/>
            <w:tcBorders>
              <w:top w:val="single" w:sz="4" w:space="0" w:color="auto"/>
              <w:left w:val="single" w:sz="4" w:space="0" w:color="auto"/>
              <w:bottom w:val="single" w:sz="4" w:space="0" w:color="auto"/>
              <w:right w:val="single" w:sz="4" w:space="0" w:color="auto"/>
            </w:tcBorders>
            <w:vAlign w:val="center"/>
            <w:hideMark/>
          </w:tcPr>
          <w:p w14:paraId="37F2685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3887" w:type="dxa"/>
            <w:tcBorders>
              <w:top w:val="nil"/>
              <w:left w:val="nil"/>
              <w:bottom w:val="single" w:sz="4" w:space="0" w:color="auto"/>
              <w:right w:val="single" w:sz="4" w:space="0" w:color="auto"/>
            </w:tcBorders>
            <w:vAlign w:val="center"/>
            <w:hideMark/>
          </w:tcPr>
          <w:p w14:paraId="699AE7A4" w14:textId="49F279FA" w:rsidR="0002432A" w:rsidRPr="00B403DF" w:rsidRDefault="0002432A" w:rsidP="00B403DF">
            <w:pPr>
              <w:spacing w:before="120" w:after="120" w:line="276" w:lineRule="auto"/>
              <w:ind w:left="85"/>
              <w:jc w:val="center"/>
              <w:rPr>
                <w:rFonts w:eastAsia="Times New Roman" w:cs="Times New Roman"/>
                <w:szCs w:val="28"/>
              </w:rPr>
            </w:pPr>
          </w:p>
        </w:tc>
        <w:tc>
          <w:tcPr>
            <w:tcW w:w="3435" w:type="dxa"/>
            <w:tcBorders>
              <w:top w:val="nil"/>
              <w:left w:val="nil"/>
              <w:bottom w:val="single" w:sz="4" w:space="0" w:color="auto"/>
              <w:right w:val="single" w:sz="4" w:space="0" w:color="auto"/>
            </w:tcBorders>
            <w:noWrap/>
            <w:vAlign w:val="center"/>
            <w:hideMark/>
          </w:tcPr>
          <w:p w14:paraId="76B56454"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65,4%</w:t>
            </w:r>
          </w:p>
        </w:tc>
      </w:tr>
      <w:tr w:rsidR="00E25C6C" w:rsidRPr="00B403DF" w14:paraId="477ACA9F" w14:textId="77777777" w:rsidTr="0002432A">
        <w:trPr>
          <w:trHeight w:val="750"/>
        </w:trPr>
        <w:tc>
          <w:tcPr>
            <w:tcW w:w="1599" w:type="dxa"/>
            <w:tcBorders>
              <w:top w:val="single" w:sz="4" w:space="0" w:color="auto"/>
              <w:left w:val="single" w:sz="4" w:space="0" w:color="auto"/>
              <w:bottom w:val="single" w:sz="4" w:space="0" w:color="auto"/>
              <w:right w:val="single" w:sz="4" w:space="0" w:color="auto"/>
            </w:tcBorders>
            <w:vAlign w:val="center"/>
            <w:hideMark/>
          </w:tcPr>
          <w:p w14:paraId="45653DCD"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3887" w:type="dxa"/>
            <w:tcBorders>
              <w:top w:val="nil"/>
              <w:left w:val="nil"/>
              <w:bottom w:val="single" w:sz="4" w:space="0" w:color="auto"/>
              <w:right w:val="single" w:sz="4" w:space="0" w:color="auto"/>
            </w:tcBorders>
            <w:vAlign w:val="center"/>
            <w:hideMark/>
          </w:tcPr>
          <w:p w14:paraId="5800B89D" w14:textId="763E3F83"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Từ 10/2/2022 triển khai liên thông đối với hợp tác xã</w:t>
            </w:r>
          </w:p>
        </w:tc>
        <w:tc>
          <w:tcPr>
            <w:tcW w:w="3435" w:type="dxa"/>
            <w:tcBorders>
              <w:top w:val="nil"/>
              <w:left w:val="nil"/>
              <w:bottom w:val="single" w:sz="4" w:space="0" w:color="auto"/>
              <w:right w:val="single" w:sz="4" w:space="0" w:color="auto"/>
            </w:tcBorders>
            <w:noWrap/>
            <w:vAlign w:val="center"/>
            <w:hideMark/>
          </w:tcPr>
          <w:p w14:paraId="2EB74264"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57,1%</w:t>
            </w:r>
          </w:p>
        </w:tc>
      </w:tr>
      <w:tr w:rsidR="00E25C6C" w:rsidRPr="00B403DF" w14:paraId="3598E9BD" w14:textId="77777777" w:rsidTr="0002432A">
        <w:trPr>
          <w:trHeight w:val="750"/>
        </w:trPr>
        <w:tc>
          <w:tcPr>
            <w:tcW w:w="1599" w:type="dxa"/>
            <w:tcBorders>
              <w:top w:val="single" w:sz="4" w:space="0" w:color="auto"/>
              <w:left w:val="single" w:sz="4" w:space="0" w:color="auto"/>
              <w:bottom w:val="single" w:sz="4" w:space="0" w:color="auto"/>
              <w:right w:val="single" w:sz="4" w:space="0" w:color="auto"/>
            </w:tcBorders>
            <w:vAlign w:val="center"/>
            <w:hideMark/>
          </w:tcPr>
          <w:p w14:paraId="67AC21B9"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3887" w:type="dxa"/>
            <w:tcBorders>
              <w:top w:val="nil"/>
              <w:left w:val="nil"/>
              <w:bottom w:val="single" w:sz="4" w:space="0" w:color="auto"/>
              <w:right w:val="single" w:sz="4" w:space="0" w:color="auto"/>
            </w:tcBorders>
            <w:vAlign w:val="center"/>
            <w:hideMark/>
          </w:tcPr>
          <w:p w14:paraId="5196B56F" w14:textId="4D1780AC"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Từ 01/7/2023 triển khai liên thông đối với Hộ kinh doanh</w:t>
            </w:r>
          </w:p>
        </w:tc>
        <w:tc>
          <w:tcPr>
            <w:tcW w:w="3435" w:type="dxa"/>
            <w:tcBorders>
              <w:top w:val="nil"/>
              <w:left w:val="nil"/>
              <w:bottom w:val="single" w:sz="4" w:space="0" w:color="auto"/>
              <w:right w:val="single" w:sz="4" w:space="0" w:color="auto"/>
            </w:tcBorders>
            <w:noWrap/>
            <w:vAlign w:val="center"/>
            <w:hideMark/>
          </w:tcPr>
          <w:p w14:paraId="1DBB4D80"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67,5%</w:t>
            </w:r>
          </w:p>
        </w:tc>
      </w:tr>
      <w:tr w:rsidR="00E25C6C" w:rsidRPr="00B403DF" w14:paraId="434BC305" w14:textId="77777777" w:rsidTr="0002432A">
        <w:trPr>
          <w:trHeight w:val="459"/>
        </w:trPr>
        <w:tc>
          <w:tcPr>
            <w:tcW w:w="1599" w:type="dxa"/>
            <w:tcBorders>
              <w:top w:val="single" w:sz="4" w:space="0" w:color="auto"/>
              <w:left w:val="single" w:sz="4" w:space="0" w:color="auto"/>
              <w:bottom w:val="single" w:sz="4" w:space="0" w:color="auto"/>
              <w:right w:val="single" w:sz="4" w:space="0" w:color="auto"/>
            </w:tcBorders>
            <w:vAlign w:val="center"/>
            <w:hideMark/>
          </w:tcPr>
          <w:p w14:paraId="6338899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3887" w:type="dxa"/>
            <w:tcBorders>
              <w:top w:val="nil"/>
              <w:left w:val="nil"/>
              <w:bottom w:val="single" w:sz="4" w:space="0" w:color="auto"/>
              <w:right w:val="single" w:sz="4" w:space="0" w:color="auto"/>
            </w:tcBorders>
            <w:vAlign w:val="center"/>
            <w:hideMark/>
          </w:tcPr>
          <w:p w14:paraId="0B048A6E" w14:textId="19B01889" w:rsidR="0002432A" w:rsidRPr="00B403DF" w:rsidRDefault="0002432A" w:rsidP="00B403DF">
            <w:pPr>
              <w:spacing w:before="120" w:after="120" w:line="276" w:lineRule="auto"/>
              <w:ind w:left="85"/>
              <w:jc w:val="center"/>
              <w:rPr>
                <w:rFonts w:eastAsia="Times New Roman" w:cs="Times New Roman"/>
                <w:szCs w:val="28"/>
              </w:rPr>
            </w:pPr>
          </w:p>
        </w:tc>
        <w:tc>
          <w:tcPr>
            <w:tcW w:w="3435" w:type="dxa"/>
            <w:tcBorders>
              <w:top w:val="nil"/>
              <w:left w:val="nil"/>
              <w:bottom w:val="single" w:sz="4" w:space="0" w:color="auto"/>
              <w:right w:val="single" w:sz="4" w:space="0" w:color="auto"/>
            </w:tcBorders>
            <w:noWrap/>
            <w:vAlign w:val="center"/>
            <w:hideMark/>
          </w:tcPr>
          <w:p w14:paraId="483F667E"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73,7%</w:t>
            </w:r>
          </w:p>
        </w:tc>
      </w:tr>
      <w:tr w:rsidR="00E25C6C" w:rsidRPr="00B403DF" w14:paraId="5523E796" w14:textId="77777777" w:rsidTr="0002432A">
        <w:trPr>
          <w:trHeight w:val="848"/>
        </w:trPr>
        <w:tc>
          <w:tcPr>
            <w:tcW w:w="1599" w:type="dxa"/>
            <w:tcBorders>
              <w:top w:val="single" w:sz="4" w:space="0" w:color="auto"/>
              <w:left w:val="single" w:sz="4" w:space="0" w:color="auto"/>
              <w:bottom w:val="single" w:sz="4" w:space="0" w:color="auto"/>
              <w:right w:val="single" w:sz="4" w:space="0" w:color="auto"/>
            </w:tcBorders>
            <w:vAlign w:val="center"/>
            <w:hideMark/>
          </w:tcPr>
          <w:p w14:paraId="351D5BC4" w14:textId="284E9BB1"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lastRenderedPageBreak/>
              <w:t>6 tháng đầu năm 2025</w:t>
            </w:r>
          </w:p>
        </w:tc>
        <w:tc>
          <w:tcPr>
            <w:tcW w:w="3887" w:type="dxa"/>
            <w:tcBorders>
              <w:top w:val="nil"/>
              <w:left w:val="nil"/>
              <w:bottom w:val="single" w:sz="4" w:space="0" w:color="auto"/>
              <w:right w:val="single" w:sz="4" w:space="0" w:color="auto"/>
            </w:tcBorders>
            <w:vAlign w:val="center"/>
            <w:hideMark/>
          </w:tcPr>
          <w:p w14:paraId="425641D3" w14:textId="13A9EF47" w:rsidR="0002432A" w:rsidRPr="00B403DF" w:rsidRDefault="0002432A" w:rsidP="00B403DF">
            <w:pPr>
              <w:spacing w:before="120" w:after="120" w:line="276" w:lineRule="auto"/>
              <w:ind w:left="85"/>
              <w:jc w:val="center"/>
              <w:rPr>
                <w:rFonts w:eastAsia="Times New Roman" w:cs="Times New Roman"/>
                <w:szCs w:val="28"/>
              </w:rPr>
            </w:pPr>
          </w:p>
        </w:tc>
        <w:tc>
          <w:tcPr>
            <w:tcW w:w="3435" w:type="dxa"/>
            <w:tcBorders>
              <w:top w:val="nil"/>
              <w:left w:val="nil"/>
              <w:bottom w:val="single" w:sz="4" w:space="0" w:color="auto"/>
              <w:right w:val="single" w:sz="4" w:space="0" w:color="auto"/>
            </w:tcBorders>
            <w:noWrap/>
            <w:vAlign w:val="center"/>
            <w:hideMark/>
          </w:tcPr>
          <w:p w14:paraId="02280A68"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79,3%</w:t>
            </w:r>
          </w:p>
        </w:tc>
      </w:tr>
    </w:tbl>
    <w:p w14:paraId="49A77FE9" w14:textId="0562021C" w:rsidR="00370404" w:rsidRPr="00B403DF" w:rsidRDefault="00762DC0" w:rsidP="00CB3984">
      <w:pPr>
        <w:widowControl w:val="0"/>
        <w:spacing w:before="120" w:after="120" w:line="276" w:lineRule="auto"/>
        <w:ind w:left="86" w:firstLine="720"/>
        <w:jc w:val="both"/>
        <w:rPr>
          <w:rFonts w:cs="Times New Roman"/>
          <w:noProof/>
          <w:szCs w:val="28"/>
        </w:rPr>
      </w:pPr>
      <w:r w:rsidRPr="00B403DF">
        <w:rPr>
          <w:rFonts w:cs="Times New Roman"/>
          <w:noProof/>
          <w:szCs w:val="28"/>
          <w:lang w:val="vi-VN"/>
        </w:rPr>
        <w:t>- Về công tác khai thuế, nộp thuế, hoàn thuế: hồ sơ khai thuế, nộp thuế, hoàn thuế đơn giản, hiệu quả nâng cao hiệu quả thực hiện cơ chế một cửa, một cửa liên thông trong giải quyết thủ tục khai thuế điện tử liên thông đối với trường hợp cơ quan quản lý thuế tính thuế, thông báo nộp thuế theo hồ sơ xác định nghĩa vụ tài chính giữa các cơ quan quản lý nhà nước, tăng cường điền các thông tin có sẵn giúp giảm tối đa chi phí tuân thủ của người nộp thuế và giảm chi phí quản lý của cơ quan thuế; đẩy mạnh triển khai dịch vụ thuế điện tử, áp dụng hoá đơn điện tử khi bán hàng hoá, cung cấp dịch vụ đến toàn bộ người nộp thuế trong đó duy trì, tiếp tục hỗ trợ thuận lợi dịch vụ khai thuế, nộp thuế, hoàn thuế điện tử, sử dụng hoá đơn điện tử đối với người nộp thuế là doanh nghiệp, mở rộng phạm vi triển khai khai thuế, nộp thuế, hoàn thuế điện tử, sử dụng hoá đơn điện tử  đối với cá nhân, từng bước xây dựng cơ chế quản lý khai thuế đối với nền kinh tế số. Triển khai các giải pháp phát triển thanh toán không dùng tiền mặt và các giải pháp nhằm quản lý việc thanh toán khoản đã nộp với khoản phải nộp của người nộp thuế theo định danh các khoản phải nộp</w:t>
      </w:r>
      <w:r w:rsidR="0002432A" w:rsidRPr="00B403DF">
        <w:rPr>
          <w:rFonts w:cs="Times New Roman"/>
          <w:noProof/>
          <w:szCs w:val="28"/>
        </w:rPr>
        <w:t>.</w:t>
      </w:r>
    </w:p>
    <w:p w14:paraId="1BF7B0E2" w14:textId="674CD935" w:rsidR="0002432A" w:rsidRPr="00B403DF" w:rsidRDefault="0002432A" w:rsidP="00B403DF">
      <w:pPr>
        <w:spacing w:before="120" w:after="120" w:line="276" w:lineRule="auto"/>
        <w:ind w:left="85" w:firstLine="720"/>
        <w:jc w:val="both"/>
        <w:rPr>
          <w:rFonts w:cs="Times New Roman"/>
          <w:noProof/>
          <w:szCs w:val="28"/>
        </w:rPr>
      </w:pPr>
      <w:r w:rsidRPr="00B403DF">
        <w:rPr>
          <w:rFonts w:cs="Times New Roman"/>
          <w:noProof/>
          <w:szCs w:val="28"/>
        </w:rPr>
        <w:t>Số liệu về kê khai thuế đối với doanh nghiệp, tổ chức từ năm 2020 đến hết ngày 20/6/2025 như sau:</w:t>
      </w:r>
    </w:p>
    <w:tbl>
      <w:tblPr>
        <w:tblW w:w="9067" w:type="dxa"/>
        <w:tblLook w:val="04A0" w:firstRow="1" w:lastRow="0" w:firstColumn="1" w:lastColumn="0" w:noHBand="0" w:noVBand="1"/>
      </w:tblPr>
      <w:tblGrid>
        <w:gridCol w:w="1555"/>
        <w:gridCol w:w="1984"/>
        <w:gridCol w:w="1701"/>
        <w:gridCol w:w="1701"/>
        <w:gridCol w:w="2126"/>
      </w:tblGrid>
      <w:tr w:rsidR="00E25C6C" w:rsidRPr="00B403DF" w14:paraId="1C44FA5C" w14:textId="77777777" w:rsidTr="00AE09B6">
        <w:trPr>
          <w:trHeight w:val="835"/>
        </w:trPr>
        <w:tc>
          <w:tcPr>
            <w:tcW w:w="1555" w:type="dxa"/>
            <w:tcBorders>
              <w:top w:val="single" w:sz="4" w:space="0" w:color="auto"/>
              <w:left w:val="single" w:sz="4" w:space="0" w:color="auto"/>
              <w:bottom w:val="single" w:sz="4" w:space="0" w:color="auto"/>
              <w:right w:val="single" w:sz="4" w:space="0" w:color="auto"/>
            </w:tcBorders>
            <w:vAlign w:val="center"/>
            <w:hideMark/>
          </w:tcPr>
          <w:p w14:paraId="5457F207"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1984" w:type="dxa"/>
            <w:tcBorders>
              <w:top w:val="single" w:sz="4" w:space="0" w:color="auto"/>
              <w:left w:val="nil"/>
              <w:bottom w:val="single" w:sz="4" w:space="0" w:color="auto"/>
              <w:right w:val="single" w:sz="4" w:space="0" w:color="auto"/>
            </w:tcBorders>
            <w:vAlign w:val="center"/>
            <w:hideMark/>
          </w:tcPr>
          <w:p w14:paraId="4CECE776"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lượng doanh nghiệp đăng ký khai thuế điện tử</w:t>
            </w:r>
          </w:p>
        </w:tc>
        <w:tc>
          <w:tcPr>
            <w:tcW w:w="1701" w:type="dxa"/>
            <w:tcBorders>
              <w:top w:val="single" w:sz="4" w:space="0" w:color="auto"/>
              <w:left w:val="nil"/>
              <w:bottom w:val="single" w:sz="4" w:space="0" w:color="auto"/>
              <w:right w:val="single" w:sz="4" w:space="0" w:color="auto"/>
            </w:tcBorders>
            <w:vAlign w:val="center"/>
            <w:hideMark/>
          </w:tcPr>
          <w:p w14:paraId="37786971"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doanh nghiệp đăng ký khai thuế điện tử</w:t>
            </w:r>
          </w:p>
        </w:tc>
        <w:tc>
          <w:tcPr>
            <w:tcW w:w="1701" w:type="dxa"/>
            <w:tcBorders>
              <w:top w:val="single" w:sz="4" w:space="0" w:color="auto"/>
              <w:left w:val="nil"/>
              <w:bottom w:val="single" w:sz="4" w:space="0" w:color="auto"/>
              <w:right w:val="single" w:sz="4" w:space="0" w:color="auto"/>
            </w:tcBorders>
            <w:vAlign w:val="center"/>
            <w:hideMark/>
          </w:tcPr>
          <w:p w14:paraId="2171EA25"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hồ sơ khai thuế điện tử đã tiếp nhận</w:t>
            </w:r>
          </w:p>
        </w:tc>
        <w:tc>
          <w:tcPr>
            <w:tcW w:w="2126" w:type="dxa"/>
            <w:tcBorders>
              <w:top w:val="single" w:sz="4" w:space="0" w:color="auto"/>
              <w:left w:val="nil"/>
              <w:bottom w:val="single" w:sz="4" w:space="0" w:color="auto"/>
              <w:right w:val="single" w:sz="4" w:space="0" w:color="auto"/>
            </w:tcBorders>
            <w:vAlign w:val="center"/>
            <w:hideMark/>
          </w:tcPr>
          <w:p w14:paraId="2A305BF8"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lượng tờ khai đã nhận vào hệ thống KTQM từ khai triển khai</w:t>
            </w:r>
          </w:p>
        </w:tc>
      </w:tr>
      <w:tr w:rsidR="00E25C6C" w:rsidRPr="00B403DF" w14:paraId="26035677" w14:textId="77777777" w:rsidTr="00AE09B6">
        <w:trPr>
          <w:trHeight w:val="563"/>
        </w:trPr>
        <w:tc>
          <w:tcPr>
            <w:tcW w:w="1555" w:type="dxa"/>
            <w:tcBorders>
              <w:top w:val="nil"/>
              <w:left w:val="single" w:sz="4" w:space="0" w:color="auto"/>
              <w:bottom w:val="single" w:sz="4" w:space="0" w:color="auto"/>
              <w:right w:val="single" w:sz="4" w:space="0" w:color="auto"/>
            </w:tcBorders>
            <w:vAlign w:val="center"/>
            <w:hideMark/>
          </w:tcPr>
          <w:p w14:paraId="7D23571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1984" w:type="dxa"/>
            <w:tcBorders>
              <w:top w:val="nil"/>
              <w:left w:val="nil"/>
              <w:bottom w:val="single" w:sz="4" w:space="0" w:color="auto"/>
              <w:right w:val="single" w:sz="4" w:space="0" w:color="auto"/>
            </w:tcBorders>
            <w:vAlign w:val="center"/>
            <w:hideMark/>
          </w:tcPr>
          <w:p w14:paraId="4FD2373F" w14:textId="69C8C534" w:rsidR="0002432A" w:rsidRPr="00B403DF" w:rsidRDefault="0002432A" w:rsidP="00B403DF">
            <w:pPr>
              <w:spacing w:before="120" w:after="120" w:line="276" w:lineRule="auto"/>
              <w:ind w:left="85"/>
              <w:jc w:val="center"/>
              <w:rPr>
                <w:rFonts w:eastAsia="Times New Roman" w:cs="Times New Roman"/>
                <w:szCs w:val="28"/>
              </w:rPr>
            </w:pPr>
          </w:p>
        </w:tc>
        <w:tc>
          <w:tcPr>
            <w:tcW w:w="1701" w:type="dxa"/>
            <w:tcBorders>
              <w:top w:val="nil"/>
              <w:left w:val="nil"/>
              <w:bottom w:val="single" w:sz="4" w:space="0" w:color="auto"/>
              <w:right w:val="single" w:sz="4" w:space="0" w:color="auto"/>
            </w:tcBorders>
            <w:vAlign w:val="center"/>
            <w:hideMark/>
          </w:tcPr>
          <w:p w14:paraId="4E9E56C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99,90%</w:t>
            </w:r>
          </w:p>
        </w:tc>
        <w:tc>
          <w:tcPr>
            <w:tcW w:w="1701" w:type="dxa"/>
            <w:tcBorders>
              <w:top w:val="nil"/>
              <w:left w:val="nil"/>
              <w:bottom w:val="single" w:sz="4" w:space="0" w:color="auto"/>
              <w:right w:val="single" w:sz="4" w:space="0" w:color="auto"/>
            </w:tcBorders>
            <w:noWrap/>
            <w:vAlign w:val="center"/>
            <w:hideMark/>
          </w:tcPr>
          <w:p w14:paraId="2B7524C2" w14:textId="564238E0" w:rsidR="0002432A" w:rsidRPr="00B403DF" w:rsidRDefault="0002432A" w:rsidP="00B403DF">
            <w:pPr>
              <w:spacing w:before="120" w:after="120" w:line="276" w:lineRule="auto"/>
              <w:ind w:left="85"/>
              <w:jc w:val="center"/>
              <w:rPr>
                <w:rFonts w:eastAsia="Times New Roman" w:cs="Times New Roman"/>
                <w:szCs w:val="28"/>
              </w:rPr>
            </w:pPr>
          </w:p>
        </w:tc>
        <w:tc>
          <w:tcPr>
            <w:tcW w:w="2126" w:type="dxa"/>
            <w:tcBorders>
              <w:top w:val="nil"/>
              <w:left w:val="nil"/>
              <w:bottom w:val="single" w:sz="4" w:space="0" w:color="auto"/>
              <w:right w:val="single" w:sz="4" w:space="0" w:color="auto"/>
            </w:tcBorders>
            <w:noWrap/>
            <w:vAlign w:val="center"/>
            <w:hideMark/>
          </w:tcPr>
          <w:p w14:paraId="480FECFC" w14:textId="458CD32C" w:rsidR="0002432A" w:rsidRPr="00B403DF" w:rsidRDefault="0002432A" w:rsidP="00B403DF">
            <w:pPr>
              <w:spacing w:before="120" w:after="120" w:line="276" w:lineRule="auto"/>
              <w:ind w:left="85"/>
              <w:jc w:val="center"/>
              <w:rPr>
                <w:rFonts w:eastAsia="Times New Roman" w:cs="Times New Roman"/>
                <w:szCs w:val="28"/>
              </w:rPr>
            </w:pPr>
          </w:p>
        </w:tc>
      </w:tr>
      <w:tr w:rsidR="00E25C6C" w:rsidRPr="00B403DF" w14:paraId="1D536DC9" w14:textId="77777777" w:rsidTr="00AE09B6">
        <w:trPr>
          <w:trHeight w:val="543"/>
        </w:trPr>
        <w:tc>
          <w:tcPr>
            <w:tcW w:w="1555" w:type="dxa"/>
            <w:tcBorders>
              <w:top w:val="nil"/>
              <w:left w:val="single" w:sz="4" w:space="0" w:color="auto"/>
              <w:bottom w:val="single" w:sz="4" w:space="0" w:color="auto"/>
              <w:right w:val="single" w:sz="4" w:space="0" w:color="auto"/>
            </w:tcBorders>
            <w:vAlign w:val="center"/>
            <w:hideMark/>
          </w:tcPr>
          <w:p w14:paraId="6918E1AE"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1984" w:type="dxa"/>
            <w:tcBorders>
              <w:top w:val="nil"/>
              <w:left w:val="nil"/>
              <w:bottom w:val="single" w:sz="4" w:space="0" w:color="auto"/>
              <w:right w:val="single" w:sz="4" w:space="0" w:color="auto"/>
            </w:tcBorders>
            <w:vAlign w:val="center"/>
            <w:hideMark/>
          </w:tcPr>
          <w:p w14:paraId="7A96B0DD" w14:textId="571888C5"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853.569</w:t>
            </w:r>
          </w:p>
        </w:tc>
        <w:tc>
          <w:tcPr>
            <w:tcW w:w="1701" w:type="dxa"/>
            <w:tcBorders>
              <w:top w:val="nil"/>
              <w:left w:val="nil"/>
              <w:bottom w:val="single" w:sz="4" w:space="0" w:color="auto"/>
              <w:right w:val="single" w:sz="4" w:space="0" w:color="auto"/>
            </w:tcBorders>
            <w:vAlign w:val="center"/>
            <w:hideMark/>
          </w:tcPr>
          <w:p w14:paraId="020C1AA1"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99,93%</w:t>
            </w:r>
          </w:p>
        </w:tc>
        <w:tc>
          <w:tcPr>
            <w:tcW w:w="1701" w:type="dxa"/>
            <w:tcBorders>
              <w:top w:val="nil"/>
              <w:left w:val="nil"/>
              <w:bottom w:val="single" w:sz="4" w:space="0" w:color="auto"/>
              <w:right w:val="single" w:sz="4" w:space="0" w:color="auto"/>
            </w:tcBorders>
            <w:noWrap/>
            <w:vAlign w:val="center"/>
            <w:hideMark/>
          </w:tcPr>
          <w:p w14:paraId="25664E35" w14:textId="38FE0132"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17.587.662</w:t>
            </w:r>
          </w:p>
        </w:tc>
        <w:tc>
          <w:tcPr>
            <w:tcW w:w="2126" w:type="dxa"/>
            <w:tcBorders>
              <w:top w:val="nil"/>
              <w:left w:val="nil"/>
              <w:bottom w:val="single" w:sz="4" w:space="0" w:color="auto"/>
              <w:right w:val="single" w:sz="4" w:space="0" w:color="auto"/>
            </w:tcBorders>
            <w:noWrap/>
            <w:vAlign w:val="center"/>
            <w:hideMark/>
          </w:tcPr>
          <w:p w14:paraId="60D3182D" w14:textId="7D05A983"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98.424.321</w:t>
            </w:r>
          </w:p>
        </w:tc>
      </w:tr>
      <w:tr w:rsidR="00E25C6C" w:rsidRPr="00B403DF" w14:paraId="0C1719C3" w14:textId="77777777" w:rsidTr="00AE09B6">
        <w:trPr>
          <w:trHeight w:val="564"/>
        </w:trPr>
        <w:tc>
          <w:tcPr>
            <w:tcW w:w="1555" w:type="dxa"/>
            <w:tcBorders>
              <w:top w:val="nil"/>
              <w:left w:val="single" w:sz="4" w:space="0" w:color="auto"/>
              <w:bottom w:val="single" w:sz="4" w:space="0" w:color="auto"/>
              <w:right w:val="single" w:sz="4" w:space="0" w:color="auto"/>
            </w:tcBorders>
            <w:vAlign w:val="center"/>
            <w:hideMark/>
          </w:tcPr>
          <w:p w14:paraId="24A78007"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1984" w:type="dxa"/>
            <w:tcBorders>
              <w:top w:val="nil"/>
              <w:left w:val="nil"/>
              <w:bottom w:val="single" w:sz="4" w:space="0" w:color="auto"/>
              <w:right w:val="single" w:sz="4" w:space="0" w:color="auto"/>
            </w:tcBorders>
            <w:vAlign w:val="center"/>
            <w:hideMark/>
          </w:tcPr>
          <w:p w14:paraId="48E75560" w14:textId="3CB2250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885.809</w:t>
            </w:r>
          </w:p>
        </w:tc>
        <w:tc>
          <w:tcPr>
            <w:tcW w:w="1701" w:type="dxa"/>
            <w:tcBorders>
              <w:top w:val="nil"/>
              <w:left w:val="nil"/>
              <w:bottom w:val="single" w:sz="4" w:space="0" w:color="auto"/>
              <w:right w:val="single" w:sz="4" w:space="0" w:color="auto"/>
            </w:tcBorders>
            <w:vAlign w:val="center"/>
            <w:hideMark/>
          </w:tcPr>
          <w:p w14:paraId="6DC30CA1"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99,94%</w:t>
            </w:r>
          </w:p>
        </w:tc>
        <w:tc>
          <w:tcPr>
            <w:tcW w:w="1701" w:type="dxa"/>
            <w:tcBorders>
              <w:top w:val="nil"/>
              <w:left w:val="nil"/>
              <w:bottom w:val="single" w:sz="4" w:space="0" w:color="auto"/>
              <w:right w:val="single" w:sz="4" w:space="0" w:color="auto"/>
            </w:tcBorders>
            <w:noWrap/>
            <w:vAlign w:val="center"/>
            <w:hideMark/>
          </w:tcPr>
          <w:p w14:paraId="6EC864A3" w14:textId="46540998"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17.655.933</w:t>
            </w:r>
          </w:p>
        </w:tc>
        <w:tc>
          <w:tcPr>
            <w:tcW w:w="2126" w:type="dxa"/>
            <w:tcBorders>
              <w:top w:val="nil"/>
              <w:left w:val="nil"/>
              <w:bottom w:val="single" w:sz="4" w:space="0" w:color="auto"/>
              <w:right w:val="single" w:sz="4" w:space="0" w:color="auto"/>
            </w:tcBorders>
            <w:noWrap/>
            <w:vAlign w:val="center"/>
            <w:hideMark/>
          </w:tcPr>
          <w:p w14:paraId="18C9ADA4" w14:textId="3AD43BA1"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116.011.983</w:t>
            </w:r>
          </w:p>
        </w:tc>
      </w:tr>
      <w:tr w:rsidR="00E25C6C" w:rsidRPr="00B403DF" w14:paraId="13E3CCEB" w14:textId="77777777" w:rsidTr="00AE09B6">
        <w:trPr>
          <w:trHeight w:val="545"/>
        </w:trPr>
        <w:tc>
          <w:tcPr>
            <w:tcW w:w="1555" w:type="dxa"/>
            <w:tcBorders>
              <w:top w:val="nil"/>
              <w:left w:val="single" w:sz="4" w:space="0" w:color="auto"/>
              <w:bottom w:val="single" w:sz="4" w:space="0" w:color="auto"/>
              <w:right w:val="single" w:sz="4" w:space="0" w:color="auto"/>
            </w:tcBorders>
            <w:vAlign w:val="center"/>
            <w:hideMark/>
          </w:tcPr>
          <w:p w14:paraId="6D44159E"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1984" w:type="dxa"/>
            <w:tcBorders>
              <w:top w:val="nil"/>
              <w:left w:val="nil"/>
              <w:bottom w:val="single" w:sz="4" w:space="0" w:color="auto"/>
              <w:right w:val="single" w:sz="4" w:space="0" w:color="auto"/>
            </w:tcBorders>
            <w:vAlign w:val="center"/>
            <w:hideMark/>
          </w:tcPr>
          <w:p w14:paraId="67FE4F0C" w14:textId="5A56E75E"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922.110</w:t>
            </w:r>
          </w:p>
        </w:tc>
        <w:tc>
          <w:tcPr>
            <w:tcW w:w="1701" w:type="dxa"/>
            <w:tcBorders>
              <w:top w:val="nil"/>
              <w:left w:val="nil"/>
              <w:bottom w:val="single" w:sz="4" w:space="0" w:color="auto"/>
              <w:right w:val="single" w:sz="4" w:space="0" w:color="auto"/>
            </w:tcBorders>
            <w:vAlign w:val="center"/>
            <w:hideMark/>
          </w:tcPr>
          <w:p w14:paraId="222B7AEB"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99,95%</w:t>
            </w:r>
          </w:p>
        </w:tc>
        <w:tc>
          <w:tcPr>
            <w:tcW w:w="1701" w:type="dxa"/>
            <w:tcBorders>
              <w:top w:val="nil"/>
              <w:left w:val="nil"/>
              <w:bottom w:val="single" w:sz="4" w:space="0" w:color="auto"/>
              <w:right w:val="single" w:sz="4" w:space="0" w:color="auto"/>
            </w:tcBorders>
            <w:noWrap/>
            <w:vAlign w:val="center"/>
            <w:hideMark/>
          </w:tcPr>
          <w:p w14:paraId="79175100" w14:textId="6421E33C"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15.959.450</w:t>
            </w:r>
          </w:p>
        </w:tc>
        <w:tc>
          <w:tcPr>
            <w:tcW w:w="2126" w:type="dxa"/>
            <w:tcBorders>
              <w:top w:val="nil"/>
              <w:left w:val="nil"/>
              <w:bottom w:val="single" w:sz="4" w:space="0" w:color="auto"/>
              <w:right w:val="single" w:sz="4" w:space="0" w:color="auto"/>
            </w:tcBorders>
            <w:noWrap/>
            <w:vAlign w:val="center"/>
            <w:hideMark/>
          </w:tcPr>
          <w:p w14:paraId="0E8B5FB8" w14:textId="32753AC4"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133.667.916</w:t>
            </w:r>
          </w:p>
        </w:tc>
      </w:tr>
      <w:tr w:rsidR="00E25C6C" w:rsidRPr="00B403DF" w14:paraId="342258AB" w14:textId="77777777" w:rsidTr="00AE09B6">
        <w:trPr>
          <w:trHeight w:val="566"/>
        </w:trPr>
        <w:tc>
          <w:tcPr>
            <w:tcW w:w="1555" w:type="dxa"/>
            <w:tcBorders>
              <w:top w:val="nil"/>
              <w:left w:val="single" w:sz="4" w:space="0" w:color="auto"/>
              <w:bottom w:val="single" w:sz="4" w:space="0" w:color="auto"/>
              <w:right w:val="single" w:sz="4" w:space="0" w:color="auto"/>
            </w:tcBorders>
            <w:vAlign w:val="center"/>
            <w:hideMark/>
          </w:tcPr>
          <w:p w14:paraId="25391A41"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1984" w:type="dxa"/>
            <w:tcBorders>
              <w:top w:val="nil"/>
              <w:left w:val="nil"/>
              <w:bottom w:val="single" w:sz="4" w:space="0" w:color="auto"/>
              <w:right w:val="single" w:sz="4" w:space="0" w:color="auto"/>
            </w:tcBorders>
            <w:vAlign w:val="center"/>
            <w:hideMark/>
          </w:tcPr>
          <w:p w14:paraId="1AB10303" w14:textId="29A17CBF"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952.327</w:t>
            </w:r>
          </w:p>
        </w:tc>
        <w:tc>
          <w:tcPr>
            <w:tcW w:w="1701" w:type="dxa"/>
            <w:tcBorders>
              <w:top w:val="nil"/>
              <w:left w:val="nil"/>
              <w:bottom w:val="single" w:sz="4" w:space="0" w:color="auto"/>
              <w:right w:val="single" w:sz="4" w:space="0" w:color="auto"/>
            </w:tcBorders>
            <w:vAlign w:val="center"/>
            <w:hideMark/>
          </w:tcPr>
          <w:p w14:paraId="13CD43F0"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99,93%</w:t>
            </w:r>
          </w:p>
        </w:tc>
        <w:tc>
          <w:tcPr>
            <w:tcW w:w="1701" w:type="dxa"/>
            <w:tcBorders>
              <w:top w:val="nil"/>
              <w:left w:val="nil"/>
              <w:bottom w:val="single" w:sz="4" w:space="0" w:color="auto"/>
              <w:right w:val="single" w:sz="4" w:space="0" w:color="auto"/>
            </w:tcBorders>
            <w:noWrap/>
            <w:vAlign w:val="center"/>
            <w:hideMark/>
          </w:tcPr>
          <w:p w14:paraId="44B40A5B" w14:textId="0C9B3D72"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15.996.758</w:t>
            </w:r>
          </w:p>
        </w:tc>
        <w:tc>
          <w:tcPr>
            <w:tcW w:w="2126" w:type="dxa"/>
            <w:tcBorders>
              <w:top w:val="nil"/>
              <w:left w:val="nil"/>
              <w:bottom w:val="single" w:sz="4" w:space="0" w:color="auto"/>
              <w:right w:val="single" w:sz="4" w:space="0" w:color="auto"/>
            </w:tcBorders>
            <w:noWrap/>
            <w:vAlign w:val="center"/>
            <w:hideMark/>
          </w:tcPr>
          <w:p w14:paraId="49FE196D" w14:textId="65DEA686"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149.627.366</w:t>
            </w:r>
          </w:p>
        </w:tc>
      </w:tr>
      <w:tr w:rsidR="00E25C6C" w:rsidRPr="00B403DF" w14:paraId="38D960E3" w14:textId="77777777" w:rsidTr="00AE09B6">
        <w:trPr>
          <w:trHeight w:val="702"/>
        </w:trPr>
        <w:tc>
          <w:tcPr>
            <w:tcW w:w="1555" w:type="dxa"/>
            <w:tcBorders>
              <w:top w:val="nil"/>
              <w:left w:val="single" w:sz="4" w:space="0" w:color="auto"/>
              <w:bottom w:val="single" w:sz="4" w:space="0" w:color="auto"/>
              <w:right w:val="single" w:sz="4" w:space="0" w:color="auto"/>
            </w:tcBorders>
            <w:vAlign w:val="center"/>
            <w:hideMark/>
          </w:tcPr>
          <w:p w14:paraId="24B06B71" w14:textId="37B3CF91"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lastRenderedPageBreak/>
              <w:t>6 tháng</w:t>
            </w:r>
            <w:r w:rsidR="00AE09B6" w:rsidRPr="00B403DF">
              <w:rPr>
                <w:rFonts w:eastAsia="Times New Roman" w:cs="Times New Roman"/>
                <w:szCs w:val="28"/>
              </w:rPr>
              <w:t xml:space="preserve"> đầu năm</w:t>
            </w:r>
            <w:r w:rsidRPr="00B403DF">
              <w:rPr>
                <w:rFonts w:eastAsia="Times New Roman" w:cs="Times New Roman"/>
                <w:szCs w:val="28"/>
              </w:rPr>
              <w:t xml:space="preserve"> 2025</w:t>
            </w:r>
          </w:p>
        </w:tc>
        <w:tc>
          <w:tcPr>
            <w:tcW w:w="1984" w:type="dxa"/>
            <w:tcBorders>
              <w:top w:val="nil"/>
              <w:left w:val="nil"/>
              <w:bottom w:val="single" w:sz="4" w:space="0" w:color="auto"/>
              <w:right w:val="single" w:sz="4" w:space="0" w:color="auto"/>
            </w:tcBorders>
            <w:vAlign w:val="center"/>
            <w:hideMark/>
          </w:tcPr>
          <w:p w14:paraId="1F16A74B" w14:textId="12C349B8"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961.570</w:t>
            </w:r>
          </w:p>
        </w:tc>
        <w:tc>
          <w:tcPr>
            <w:tcW w:w="1701" w:type="dxa"/>
            <w:tcBorders>
              <w:top w:val="nil"/>
              <w:left w:val="nil"/>
              <w:bottom w:val="single" w:sz="4" w:space="0" w:color="auto"/>
              <w:right w:val="single" w:sz="4" w:space="0" w:color="auto"/>
            </w:tcBorders>
            <w:vAlign w:val="center"/>
            <w:hideMark/>
          </w:tcPr>
          <w:p w14:paraId="431CA889"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99,35%</w:t>
            </w:r>
          </w:p>
        </w:tc>
        <w:tc>
          <w:tcPr>
            <w:tcW w:w="1701" w:type="dxa"/>
            <w:tcBorders>
              <w:top w:val="nil"/>
              <w:left w:val="nil"/>
              <w:bottom w:val="single" w:sz="4" w:space="0" w:color="auto"/>
              <w:right w:val="single" w:sz="4" w:space="0" w:color="auto"/>
            </w:tcBorders>
            <w:noWrap/>
            <w:vAlign w:val="center"/>
            <w:hideMark/>
          </w:tcPr>
          <w:p w14:paraId="3D7A63C4" w14:textId="555757EE"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9.972.144</w:t>
            </w:r>
          </w:p>
        </w:tc>
        <w:tc>
          <w:tcPr>
            <w:tcW w:w="2126" w:type="dxa"/>
            <w:tcBorders>
              <w:top w:val="nil"/>
              <w:left w:val="nil"/>
              <w:bottom w:val="single" w:sz="4" w:space="0" w:color="auto"/>
              <w:right w:val="single" w:sz="4" w:space="0" w:color="auto"/>
            </w:tcBorders>
            <w:noWrap/>
            <w:vAlign w:val="center"/>
            <w:hideMark/>
          </w:tcPr>
          <w:p w14:paraId="1B52216F" w14:textId="16E1EA58"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159.599.510</w:t>
            </w:r>
          </w:p>
        </w:tc>
      </w:tr>
    </w:tbl>
    <w:p w14:paraId="0A35A7F7" w14:textId="4A537A43" w:rsidR="0002432A" w:rsidRPr="00B403DF" w:rsidRDefault="00AE09B6" w:rsidP="00B403DF">
      <w:pPr>
        <w:spacing w:before="120" w:after="120" w:line="276" w:lineRule="auto"/>
        <w:ind w:left="85" w:firstLine="720"/>
        <w:jc w:val="both"/>
        <w:rPr>
          <w:rFonts w:cs="Times New Roman"/>
          <w:noProof/>
          <w:szCs w:val="28"/>
        </w:rPr>
      </w:pPr>
      <w:r w:rsidRPr="00B403DF">
        <w:rPr>
          <w:rFonts w:cs="Times New Roman"/>
          <w:noProof/>
          <w:szCs w:val="28"/>
        </w:rPr>
        <w:t>Số liệu về nộp thuế tính từ 06 tháng cuối năm 2020 đến hết ngày 23/6/2025 như sau:</w:t>
      </w:r>
    </w:p>
    <w:tbl>
      <w:tblPr>
        <w:tblW w:w="9067" w:type="dxa"/>
        <w:tblLook w:val="04A0" w:firstRow="1" w:lastRow="0" w:firstColumn="1" w:lastColumn="0" w:noHBand="0" w:noVBand="1"/>
      </w:tblPr>
      <w:tblGrid>
        <w:gridCol w:w="1555"/>
        <w:gridCol w:w="3118"/>
        <w:gridCol w:w="4394"/>
      </w:tblGrid>
      <w:tr w:rsidR="00E25C6C" w:rsidRPr="00B403DF" w14:paraId="4EFDF9A5" w14:textId="77777777" w:rsidTr="00AE09B6">
        <w:trPr>
          <w:trHeight w:val="1238"/>
        </w:trPr>
        <w:tc>
          <w:tcPr>
            <w:tcW w:w="1555" w:type="dxa"/>
            <w:tcBorders>
              <w:top w:val="single" w:sz="4" w:space="0" w:color="auto"/>
              <w:left w:val="single" w:sz="4" w:space="0" w:color="auto"/>
              <w:bottom w:val="single" w:sz="4" w:space="0" w:color="auto"/>
              <w:right w:val="single" w:sz="4" w:space="0" w:color="auto"/>
            </w:tcBorders>
            <w:vAlign w:val="center"/>
            <w:hideMark/>
          </w:tcPr>
          <w:p w14:paraId="58D62D4A" w14:textId="77777777" w:rsidR="00AE09B6" w:rsidRPr="00B403DF" w:rsidRDefault="00AE09B6"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3118" w:type="dxa"/>
            <w:tcBorders>
              <w:top w:val="single" w:sz="4" w:space="0" w:color="auto"/>
              <w:left w:val="nil"/>
              <w:bottom w:val="single" w:sz="4" w:space="0" w:color="auto"/>
              <w:right w:val="nil"/>
            </w:tcBorders>
            <w:vAlign w:val="center"/>
            <w:hideMark/>
          </w:tcPr>
          <w:p w14:paraId="2B944CCC" w14:textId="77777777" w:rsidR="00AE09B6" w:rsidRPr="00B403DF" w:rsidRDefault="00AE09B6"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thu nội địa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352EA93" w14:textId="6787BBB5" w:rsidR="00AE09B6" w:rsidRPr="00B403DF" w:rsidRDefault="00AE09B6"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đăng ký nộp thuế điện tử tại Ngân hàng thương mại</w:t>
            </w:r>
            <w:r w:rsidRPr="00B403DF">
              <w:rPr>
                <w:rStyle w:val="FootnoteReference"/>
                <w:rFonts w:eastAsia="Times New Roman" w:cs="Times New Roman"/>
                <w:b/>
                <w:bCs/>
                <w:szCs w:val="28"/>
              </w:rPr>
              <w:footnoteReference w:id="4"/>
            </w:r>
            <w:r w:rsidRPr="00B403DF">
              <w:rPr>
                <w:rFonts w:eastAsia="Times New Roman" w:cs="Times New Roman"/>
                <w:b/>
                <w:bCs/>
                <w:szCs w:val="28"/>
              </w:rPr>
              <w:t>/ Tổng số doanh nghiệp đang hoạt động</w:t>
            </w:r>
          </w:p>
        </w:tc>
      </w:tr>
      <w:tr w:rsidR="00E25C6C" w:rsidRPr="00B403DF" w14:paraId="594244A9" w14:textId="77777777" w:rsidTr="00AE09B6">
        <w:trPr>
          <w:trHeight w:val="603"/>
        </w:trPr>
        <w:tc>
          <w:tcPr>
            <w:tcW w:w="1555" w:type="dxa"/>
            <w:tcBorders>
              <w:top w:val="nil"/>
              <w:left w:val="single" w:sz="4" w:space="0" w:color="auto"/>
              <w:bottom w:val="single" w:sz="4" w:space="0" w:color="auto"/>
              <w:right w:val="single" w:sz="4" w:space="0" w:color="auto"/>
            </w:tcBorders>
            <w:vAlign w:val="center"/>
            <w:hideMark/>
          </w:tcPr>
          <w:p w14:paraId="42469856"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3118" w:type="dxa"/>
            <w:tcBorders>
              <w:top w:val="nil"/>
              <w:left w:val="nil"/>
              <w:bottom w:val="single" w:sz="4" w:space="0" w:color="auto"/>
              <w:right w:val="single" w:sz="4" w:space="0" w:color="auto"/>
            </w:tcBorders>
            <w:vAlign w:val="center"/>
            <w:hideMark/>
          </w:tcPr>
          <w:p w14:paraId="294EF84E" w14:textId="32D3EF46"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603.247.667</w:t>
            </w:r>
          </w:p>
        </w:tc>
        <w:tc>
          <w:tcPr>
            <w:tcW w:w="4394" w:type="dxa"/>
            <w:tcBorders>
              <w:top w:val="nil"/>
              <w:left w:val="nil"/>
              <w:bottom w:val="single" w:sz="4" w:space="0" w:color="auto"/>
              <w:right w:val="single" w:sz="4" w:space="0" w:color="auto"/>
            </w:tcBorders>
            <w:noWrap/>
            <w:vAlign w:val="center"/>
            <w:hideMark/>
          </w:tcPr>
          <w:p w14:paraId="559892BD"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180F4DF1" w14:textId="77777777" w:rsidTr="00AE09B6">
        <w:trPr>
          <w:trHeight w:val="555"/>
        </w:trPr>
        <w:tc>
          <w:tcPr>
            <w:tcW w:w="1555" w:type="dxa"/>
            <w:tcBorders>
              <w:top w:val="nil"/>
              <w:left w:val="single" w:sz="4" w:space="0" w:color="auto"/>
              <w:bottom w:val="single" w:sz="4" w:space="0" w:color="auto"/>
              <w:right w:val="single" w:sz="4" w:space="0" w:color="auto"/>
            </w:tcBorders>
            <w:vAlign w:val="center"/>
            <w:hideMark/>
          </w:tcPr>
          <w:p w14:paraId="5E50E5BA"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3118" w:type="dxa"/>
            <w:tcBorders>
              <w:top w:val="nil"/>
              <w:left w:val="nil"/>
              <w:bottom w:val="single" w:sz="4" w:space="0" w:color="auto"/>
              <w:right w:val="single" w:sz="4" w:space="0" w:color="auto"/>
            </w:tcBorders>
            <w:vAlign w:val="center"/>
            <w:hideMark/>
          </w:tcPr>
          <w:p w14:paraId="608A04B5" w14:textId="17924A8E"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1.346.223.696</w:t>
            </w:r>
          </w:p>
        </w:tc>
        <w:tc>
          <w:tcPr>
            <w:tcW w:w="4394" w:type="dxa"/>
            <w:tcBorders>
              <w:top w:val="nil"/>
              <w:left w:val="nil"/>
              <w:bottom w:val="single" w:sz="4" w:space="0" w:color="auto"/>
              <w:right w:val="single" w:sz="4" w:space="0" w:color="auto"/>
            </w:tcBorders>
            <w:noWrap/>
            <w:vAlign w:val="center"/>
            <w:hideMark/>
          </w:tcPr>
          <w:p w14:paraId="29E3826D"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5DC0B2B6" w14:textId="77777777" w:rsidTr="00AE09B6">
        <w:trPr>
          <w:trHeight w:val="549"/>
        </w:trPr>
        <w:tc>
          <w:tcPr>
            <w:tcW w:w="1555" w:type="dxa"/>
            <w:tcBorders>
              <w:top w:val="nil"/>
              <w:left w:val="single" w:sz="4" w:space="0" w:color="auto"/>
              <w:bottom w:val="single" w:sz="4" w:space="0" w:color="auto"/>
              <w:right w:val="single" w:sz="4" w:space="0" w:color="auto"/>
            </w:tcBorders>
            <w:vAlign w:val="center"/>
            <w:hideMark/>
          </w:tcPr>
          <w:p w14:paraId="1E2DCED3"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3118" w:type="dxa"/>
            <w:tcBorders>
              <w:top w:val="nil"/>
              <w:left w:val="nil"/>
              <w:bottom w:val="single" w:sz="4" w:space="0" w:color="auto"/>
              <w:right w:val="single" w:sz="4" w:space="0" w:color="auto"/>
            </w:tcBorders>
            <w:vAlign w:val="center"/>
            <w:hideMark/>
          </w:tcPr>
          <w:p w14:paraId="5E6437F0" w14:textId="3C88E511"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1.518.970.041</w:t>
            </w:r>
          </w:p>
        </w:tc>
        <w:tc>
          <w:tcPr>
            <w:tcW w:w="4394" w:type="dxa"/>
            <w:tcBorders>
              <w:top w:val="nil"/>
              <w:left w:val="nil"/>
              <w:bottom w:val="single" w:sz="4" w:space="0" w:color="auto"/>
              <w:right w:val="single" w:sz="4" w:space="0" w:color="auto"/>
            </w:tcBorders>
            <w:noWrap/>
            <w:vAlign w:val="center"/>
            <w:hideMark/>
          </w:tcPr>
          <w:p w14:paraId="45C2D05F"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5B75240F" w14:textId="77777777" w:rsidTr="00AE09B6">
        <w:trPr>
          <w:trHeight w:val="557"/>
        </w:trPr>
        <w:tc>
          <w:tcPr>
            <w:tcW w:w="1555" w:type="dxa"/>
            <w:tcBorders>
              <w:top w:val="nil"/>
              <w:left w:val="single" w:sz="4" w:space="0" w:color="auto"/>
              <w:bottom w:val="single" w:sz="4" w:space="0" w:color="auto"/>
              <w:right w:val="single" w:sz="4" w:space="0" w:color="auto"/>
            </w:tcBorders>
            <w:vAlign w:val="center"/>
            <w:hideMark/>
          </w:tcPr>
          <w:p w14:paraId="4494E707"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3118" w:type="dxa"/>
            <w:tcBorders>
              <w:top w:val="nil"/>
              <w:left w:val="nil"/>
              <w:bottom w:val="single" w:sz="4" w:space="0" w:color="auto"/>
              <w:right w:val="single" w:sz="4" w:space="0" w:color="auto"/>
            </w:tcBorders>
            <w:vAlign w:val="center"/>
            <w:hideMark/>
          </w:tcPr>
          <w:p w14:paraId="1F6FDB80" w14:textId="2D9277E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1.540.040.994</w:t>
            </w:r>
          </w:p>
        </w:tc>
        <w:tc>
          <w:tcPr>
            <w:tcW w:w="4394" w:type="dxa"/>
            <w:tcBorders>
              <w:top w:val="nil"/>
              <w:left w:val="nil"/>
              <w:bottom w:val="single" w:sz="4" w:space="0" w:color="auto"/>
              <w:right w:val="single" w:sz="4" w:space="0" w:color="auto"/>
            </w:tcBorders>
            <w:noWrap/>
            <w:vAlign w:val="center"/>
            <w:hideMark/>
          </w:tcPr>
          <w:p w14:paraId="21447CD1"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w:t>
            </w:r>
          </w:p>
        </w:tc>
      </w:tr>
      <w:tr w:rsidR="00E25C6C" w:rsidRPr="00B403DF" w14:paraId="5FB96FAA" w14:textId="77777777" w:rsidTr="00AE09B6">
        <w:trPr>
          <w:trHeight w:val="551"/>
        </w:trPr>
        <w:tc>
          <w:tcPr>
            <w:tcW w:w="1555" w:type="dxa"/>
            <w:tcBorders>
              <w:top w:val="nil"/>
              <w:left w:val="single" w:sz="4" w:space="0" w:color="auto"/>
              <w:bottom w:val="single" w:sz="4" w:space="0" w:color="auto"/>
              <w:right w:val="single" w:sz="4" w:space="0" w:color="auto"/>
            </w:tcBorders>
            <w:vAlign w:val="center"/>
            <w:hideMark/>
          </w:tcPr>
          <w:p w14:paraId="37F52DE3"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3118" w:type="dxa"/>
            <w:tcBorders>
              <w:top w:val="nil"/>
              <w:left w:val="nil"/>
              <w:bottom w:val="single" w:sz="4" w:space="0" w:color="auto"/>
              <w:right w:val="single" w:sz="4" w:space="0" w:color="auto"/>
            </w:tcBorders>
            <w:vAlign w:val="center"/>
            <w:hideMark/>
          </w:tcPr>
          <w:p w14:paraId="53EE4085" w14:textId="3529C4FC"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1.752.646.556</w:t>
            </w:r>
          </w:p>
        </w:tc>
        <w:tc>
          <w:tcPr>
            <w:tcW w:w="4394" w:type="dxa"/>
            <w:tcBorders>
              <w:top w:val="nil"/>
              <w:left w:val="nil"/>
              <w:bottom w:val="single" w:sz="4" w:space="0" w:color="auto"/>
              <w:right w:val="single" w:sz="4" w:space="0" w:color="auto"/>
            </w:tcBorders>
            <w:noWrap/>
            <w:vAlign w:val="center"/>
            <w:hideMark/>
          </w:tcPr>
          <w:p w14:paraId="762E0D19"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718421DC" w14:textId="77777777" w:rsidTr="00AE09B6">
        <w:trPr>
          <w:trHeight w:val="573"/>
        </w:trPr>
        <w:tc>
          <w:tcPr>
            <w:tcW w:w="1555" w:type="dxa"/>
            <w:tcBorders>
              <w:top w:val="nil"/>
              <w:left w:val="single" w:sz="4" w:space="0" w:color="auto"/>
              <w:bottom w:val="single" w:sz="4" w:space="0" w:color="auto"/>
              <w:right w:val="single" w:sz="4" w:space="0" w:color="auto"/>
            </w:tcBorders>
            <w:vAlign w:val="center"/>
            <w:hideMark/>
          </w:tcPr>
          <w:p w14:paraId="67FDC910"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2025</w:t>
            </w:r>
          </w:p>
        </w:tc>
        <w:tc>
          <w:tcPr>
            <w:tcW w:w="3118" w:type="dxa"/>
            <w:tcBorders>
              <w:top w:val="nil"/>
              <w:left w:val="nil"/>
              <w:bottom w:val="single" w:sz="4" w:space="0" w:color="auto"/>
              <w:right w:val="single" w:sz="4" w:space="0" w:color="auto"/>
            </w:tcBorders>
            <w:vAlign w:val="center"/>
            <w:hideMark/>
          </w:tcPr>
          <w:p w14:paraId="0E1751C4" w14:textId="4C9F736A"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1.127.014.819</w:t>
            </w:r>
          </w:p>
        </w:tc>
        <w:tc>
          <w:tcPr>
            <w:tcW w:w="4394" w:type="dxa"/>
            <w:tcBorders>
              <w:top w:val="nil"/>
              <w:left w:val="nil"/>
              <w:bottom w:val="single" w:sz="4" w:space="0" w:color="auto"/>
              <w:right w:val="single" w:sz="4" w:space="0" w:color="auto"/>
            </w:tcBorders>
            <w:noWrap/>
            <w:vAlign w:val="center"/>
            <w:hideMark/>
          </w:tcPr>
          <w:p w14:paraId="2FA895B6"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bl>
    <w:p w14:paraId="39871ACC" w14:textId="0C592660" w:rsidR="003855B4" w:rsidRPr="00B403DF" w:rsidRDefault="00147B7E" w:rsidP="00B403DF">
      <w:pPr>
        <w:spacing w:before="120" w:after="120" w:line="276" w:lineRule="auto"/>
        <w:ind w:left="85" w:firstLineChars="202" w:firstLine="566"/>
        <w:jc w:val="both"/>
        <w:rPr>
          <w:rFonts w:cs="Times New Roman"/>
          <w:i/>
          <w:noProof/>
          <w:szCs w:val="28"/>
          <w:lang w:val="vi-VN"/>
        </w:rPr>
      </w:pPr>
      <w:r w:rsidRPr="00B403DF">
        <w:rPr>
          <w:rFonts w:cs="Times New Roman"/>
          <w:i/>
          <w:noProof/>
          <w:szCs w:val="28"/>
          <w:lang w:val="vi-VN"/>
        </w:rPr>
        <w:t>c</w:t>
      </w:r>
      <w:r w:rsidR="003855B4" w:rsidRPr="00B403DF">
        <w:rPr>
          <w:rFonts w:cs="Times New Roman"/>
          <w:i/>
          <w:noProof/>
          <w:szCs w:val="28"/>
          <w:lang w:val="vi-VN"/>
        </w:rPr>
        <w:t>) Công tác miễn thuế, giảm thuế</w:t>
      </w:r>
      <w:r w:rsidR="00370404" w:rsidRPr="00B403DF">
        <w:rPr>
          <w:rFonts w:cs="Times New Roman"/>
          <w:i/>
          <w:noProof/>
          <w:szCs w:val="28"/>
          <w:lang w:val="vi-VN"/>
        </w:rPr>
        <w:t>, hoàn thuế</w:t>
      </w:r>
      <w:r w:rsidR="003855B4" w:rsidRPr="00B403DF">
        <w:rPr>
          <w:rFonts w:cs="Times New Roman"/>
          <w:i/>
          <w:noProof/>
          <w:szCs w:val="28"/>
          <w:lang w:val="vi-VN"/>
        </w:rPr>
        <w:t xml:space="preserve"> đã góp một phần không nhỏ trong việc hỗ trợ người nộp thuế trong các trường hợp người nộp thuế bị thiên tai, hỏa hoạn, tai nạn bất ngờ không có khả năng nộp thuế hoặc trường hợp miễn, giảm thuế khác được quy định tại các Luật. </w:t>
      </w:r>
    </w:p>
    <w:p w14:paraId="6D82FEA0" w14:textId="1C5BADDE" w:rsidR="00762DC0" w:rsidRPr="00B403DF" w:rsidRDefault="00762DC0" w:rsidP="00B403DF">
      <w:pPr>
        <w:spacing w:before="120" w:after="120" w:line="276" w:lineRule="auto"/>
        <w:ind w:left="85" w:firstLineChars="202" w:firstLine="566"/>
        <w:jc w:val="both"/>
        <w:rPr>
          <w:rFonts w:cs="Times New Roman"/>
          <w:noProof/>
          <w:szCs w:val="28"/>
          <w:lang w:val="vi-VN"/>
        </w:rPr>
      </w:pPr>
      <w:r w:rsidRPr="00B403DF">
        <w:rPr>
          <w:rFonts w:cs="Times New Roman"/>
          <w:noProof/>
          <w:szCs w:val="28"/>
          <w:lang w:val="vi-VN"/>
        </w:rPr>
        <w:t xml:space="preserve">- Về miễn, giảm thuế: thực hiện các biện pháp nhằm rút ngắn thời gian giải quyết miễn, giảm thuế và triển khai tiếp nhận, giải quyết và trả kết quả miễn, giảm thuế cho người nộp thuế bằng phương thức điện tử. Sử dụng cơ sở dữ liệu thuế tập trung, dữ liệu từ bên thứ ba và dữ liệu từ cơ quan theo cơ chế một cửa liên thông làm cơ sở, căn cứ để tính, ban hành quyết định miễn, giảm thuế; áp dụng quản lý rủi ro trong giải quyết hồ sơ miễn giảm thuế. </w:t>
      </w:r>
    </w:p>
    <w:p w14:paraId="0429E5A9" w14:textId="2CFD331D" w:rsidR="000E2B53" w:rsidRPr="00B403DF" w:rsidRDefault="000E2B53" w:rsidP="00B403DF">
      <w:pPr>
        <w:spacing w:before="120" w:after="120" w:line="276" w:lineRule="auto"/>
        <w:ind w:left="85" w:firstLineChars="202" w:firstLine="566"/>
        <w:jc w:val="both"/>
        <w:rPr>
          <w:rFonts w:cs="Times New Roman"/>
          <w:noProof/>
          <w:szCs w:val="28"/>
        </w:rPr>
      </w:pPr>
      <w:r w:rsidRPr="00B403DF">
        <w:rPr>
          <w:rFonts w:cs="Times New Roman"/>
          <w:noProof/>
          <w:szCs w:val="28"/>
        </w:rPr>
        <w:t>Số liệu về miễn thuế, giảm thuế từ 06 tháng cuối năm 2020 đến hết năm 2024 như sau:</w:t>
      </w:r>
    </w:p>
    <w:tbl>
      <w:tblPr>
        <w:tblW w:w="9067" w:type="dxa"/>
        <w:tblLook w:val="04A0" w:firstRow="1" w:lastRow="0" w:firstColumn="1" w:lastColumn="0" w:noHBand="0" w:noVBand="1"/>
      </w:tblPr>
      <w:tblGrid>
        <w:gridCol w:w="2830"/>
        <w:gridCol w:w="3261"/>
        <w:gridCol w:w="2976"/>
      </w:tblGrid>
      <w:tr w:rsidR="00E25C6C" w:rsidRPr="00B403DF" w14:paraId="30C1BCE0" w14:textId="77777777" w:rsidTr="000E2B53">
        <w:trPr>
          <w:trHeight w:val="889"/>
        </w:trPr>
        <w:tc>
          <w:tcPr>
            <w:tcW w:w="2830" w:type="dxa"/>
            <w:tcBorders>
              <w:top w:val="single" w:sz="4" w:space="0" w:color="auto"/>
              <w:left w:val="single" w:sz="4" w:space="0" w:color="auto"/>
              <w:bottom w:val="single" w:sz="4" w:space="0" w:color="auto"/>
              <w:right w:val="single" w:sz="4" w:space="0" w:color="auto"/>
            </w:tcBorders>
            <w:vAlign w:val="center"/>
            <w:hideMark/>
          </w:tcPr>
          <w:p w14:paraId="5BECCD22"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lastRenderedPageBreak/>
              <w:t>Năm</w:t>
            </w:r>
          </w:p>
        </w:tc>
        <w:tc>
          <w:tcPr>
            <w:tcW w:w="3261" w:type="dxa"/>
            <w:tcBorders>
              <w:top w:val="single" w:sz="4" w:space="0" w:color="auto"/>
              <w:left w:val="nil"/>
              <w:bottom w:val="single" w:sz="4" w:space="0" w:color="auto"/>
              <w:right w:val="nil"/>
            </w:tcBorders>
            <w:vAlign w:val="center"/>
            <w:hideMark/>
          </w:tcPr>
          <w:p w14:paraId="26868172"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quyết định miễn thuế, giảm thuế đã ban hành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120C211" w14:textId="118ABE83" w:rsidR="000E2B53" w:rsidRPr="00B403DF" w:rsidRDefault="000E2B53"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szCs w:val="28"/>
              </w:rPr>
              <w:t xml:space="preserve">Số tiền thuế đã miễn, giảm </w:t>
            </w:r>
            <w:r w:rsidRPr="00B403DF">
              <w:rPr>
                <w:rFonts w:eastAsia="Times New Roman" w:cs="Times New Roman"/>
                <w:b/>
                <w:bCs/>
                <w:i/>
                <w:iCs/>
                <w:szCs w:val="28"/>
              </w:rPr>
              <w:t>(triệu đồng)</w:t>
            </w:r>
          </w:p>
        </w:tc>
      </w:tr>
      <w:tr w:rsidR="00E25C6C" w:rsidRPr="00B403DF" w14:paraId="6ECFDF20" w14:textId="77777777" w:rsidTr="00713842">
        <w:trPr>
          <w:trHeight w:val="598"/>
        </w:trPr>
        <w:tc>
          <w:tcPr>
            <w:tcW w:w="2830" w:type="dxa"/>
            <w:tcBorders>
              <w:top w:val="nil"/>
              <w:left w:val="single" w:sz="4" w:space="0" w:color="auto"/>
              <w:bottom w:val="single" w:sz="4" w:space="0" w:color="auto"/>
              <w:right w:val="single" w:sz="4" w:space="0" w:color="auto"/>
            </w:tcBorders>
            <w:vAlign w:val="center"/>
            <w:hideMark/>
          </w:tcPr>
          <w:p w14:paraId="04BD9576" w14:textId="0E00F67E"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cuối năm 2020</w:t>
            </w:r>
          </w:p>
        </w:tc>
        <w:tc>
          <w:tcPr>
            <w:tcW w:w="3261" w:type="dxa"/>
            <w:tcBorders>
              <w:top w:val="nil"/>
              <w:left w:val="nil"/>
              <w:bottom w:val="single" w:sz="4" w:space="0" w:color="auto"/>
              <w:right w:val="single" w:sz="4" w:space="0" w:color="auto"/>
            </w:tcBorders>
            <w:vAlign w:val="center"/>
            <w:hideMark/>
          </w:tcPr>
          <w:p w14:paraId="781B8A15" w14:textId="405D6556"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4.596.455</w:t>
            </w:r>
          </w:p>
        </w:tc>
        <w:tc>
          <w:tcPr>
            <w:tcW w:w="2976" w:type="dxa"/>
            <w:tcBorders>
              <w:top w:val="nil"/>
              <w:left w:val="nil"/>
              <w:bottom w:val="single" w:sz="4" w:space="0" w:color="auto"/>
              <w:right w:val="single" w:sz="4" w:space="0" w:color="auto"/>
            </w:tcBorders>
            <w:vAlign w:val="center"/>
            <w:hideMark/>
          </w:tcPr>
          <w:p w14:paraId="538D4D00" w14:textId="1E7F403E"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9.674.060</w:t>
            </w:r>
          </w:p>
        </w:tc>
      </w:tr>
      <w:tr w:rsidR="00E25C6C" w:rsidRPr="00B403DF" w14:paraId="3FCABDAC" w14:textId="77777777" w:rsidTr="000E2B53">
        <w:trPr>
          <w:trHeight w:val="554"/>
        </w:trPr>
        <w:tc>
          <w:tcPr>
            <w:tcW w:w="2830" w:type="dxa"/>
            <w:tcBorders>
              <w:top w:val="nil"/>
              <w:left w:val="single" w:sz="4" w:space="0" w:color="auto"/>
              <w:bottom w:val="single" w:sz="4" w:space="0" w:color="auto"/>
              <w:right w:val="single" w:sz="4" w:space="0" w:color="auto"/>
            </w:tcBorders>
            <w:vAlign w:val="center"/>
            <w:hideMark/>
          </w:tcPr>
          <w:p w14:paraId="37AFBE9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3261" w:type="dxa"/>
            <w:tcBorders>
              <w:top w:val="nil"/>
              <w:left w:val="nil"/>
              <w:bottom w:val="single" w:sz="4" w:space="0" w:color="auto"/>
              <w:right w:val="single" w:sz="4" w:space="0" w:color="auto"/>
            </w:tcBorders>
            <w:vAlign w:val="center"/>
            <w:hideMark/>
          </w:tcPr>
          <w:p w14:paraId="6C2EA8E6" w14:textId="5AB36E7D"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11.324.378</w:t>
            </w:r>
          </w:p>
        </w:tc>
        <w:tc>
          <w:tcPr>
            <w:tcW w:w="2976" w:type="dxa"/>
            <w:tcBorders>
              <w:top w:val="nil"/>
              <w:left w:val="nil"/>
              <w:bottom w:val="single" w:sz="4" w:space="0" w:color="auto"/>
              <w:right w:val="single" w:sz="4" w:space="0" w:color="auto"/>
            </w:tcBorders>
            <w:vAlign w:val="center"/>
            <w:hideMark/>
          </w:tcPr>
          <w:p w14:paraId="551272CB" w14:textId="68D8AFFF"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26.144.103</w:t>
            </w:r>
          </w:p>
        </w:tc>
      </w:tr>
      <w:tr w:rsidR="00E25C6C" w:rsidRPr="00B403DF" w14:paraId="6D512B87" w14:textId="77777777" w:rsidTr="000E2B53">
        <w:trPr>
          <w:trHeight w:val="549"/>
        </w:trPr>
        <w:tc>
          <w:tcPr>
            <w:tcW w:w="2830" w:type="dxa"/>
            <w:tcBorders>
              <w:top w:val="nil"/>
              <w:left w:val="single" w:sz="4" w:space="0" w:color="auto"/>
              <w:bottom w:val="single" w:sz="4" w:space="0" w:color="auto"/>
              <w:right w:val="single" w:sz="4" w:space="0" w:color="auto"/>
            </w:tcBorders>
            <w:vAlign w:val="center"/>
            <w:hideMark/>
          </w:tcPr>
          <w:p w14:paraId="5FDB46D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3261" w:type="dxa"/>
            <w:tcBorders>
              <w:top w:val="nil"/>
              <w:left w:val="nil"/>
              <w:bottom w:val="single" w:sz="4" w:space="0" w:color="auto"/>
              <w:right w:val="single" w:sz="4" w:space="0" w:color="auto"/>
            </w:tcBorders>
            <w:vAlign w:val="center"/>
            <w:hideMark/>
          </w:tcPr>
          <w:p w14:paraId="7A39EB17" w14:textId="6E09E95C"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7.603.112</w:t>
            </w:r>
          </w:p>
        </w:tc>
        <w:tc>
          <w:tcPr>
            <w:tcW w:w="2976" w:type="dxa"/>
            <w:tcBorders>
              <w:top w:val="nil"/>
              <w:left w:val="nil"/>
              <w:bottom w:val="single" w:sz="4" w:space="0" w:color="auto"/>
              <w:right w:val="single" w:sz="4" w:space="0" w:color="auto"/>
            </w:tcBorders>
            <w:vAlign w:val="center"/>
            <w:hideMark/>
          </w:tcPr>
          <w:p w14:paraId="1AFCBFA7" w14:textId="798038F1"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28.421.574</w:t>
            </w:r>
          </w:p>
        </w:tc>
      </w:tr>
      <w:tr w:rsidR="00E25C6C" w:rsidRPr="00B403DF" w14:paraId="0695578A" w14:textId="77777777" w:rsidTr="000E2B53">
        <w:trPr>
          <w:trHeight w:val="570"/>
        </w:trPr>
        <w:tc>
          <w:tcPr>
            <w:tcW w:w="2830" w:type="dxa"/>
            <w:tcBorders>
              <w:top w:val="nil"/>
              <w:left w:val="single" w:sz="4" w:space="0" w:color="auto"/>
              <w:bottom w:val="single" w:sz="4" w:space="0" w:color="auto"/>
              <w:right w:val="single" w:sz="4" w:space="0" w:color="auto"/>
            </w:tcBorders>
            <w:vAlign w:val="center"/>
            <w:hideMark/>
          </w:tcPr>
          <w:p w14:paraId="5DFFCD4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3261" w:type="dxa"/>
            <w:tcBorders>
              <w:top w:val="nil"/>
              <w:left w:val="nil"/>
              <w:bottom w:val="single" w:sz="4" w:space="0" w:color="auto"/>
              <w:right w:val="single" w:sz="4" w:space="0" w:color="auto"/>
            </w:tcBorders>
            <w:vAlign w:val="center"/>
            <w:hideMark/>
          </w:tcPr>
          <w:p w14:paraId="39732B15" w14:textId="1E925095"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9.895.741</w:t>
            </w:r>
          </w:p>
        </w:tc>
        <w:tc>
          <w:tcPr>
            <w:tcW w:w="2976" w:type="dxa"/>
            <w:tcBorders>
              <w:top w:val="nil"/>
              <w:left w:val="nil"/>
              <w:bottom w:val="single" w:sz="4" w:space="0" w:color="auto"/>
              <w:right w:val="single" w:sz="4" w:space="0" w:color="auto"/>
            </w:tcBorders>
            <w:vAlign w:val="center"/>
            <w:hideMark/>
          </w:tcPr>
          <w:p w14:paraId="12489C00" w14:textId="624DEAA8"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36.571.943</w:t>
            </w:r>
          </w:p>
        </w:tc>
      </w:tr>
      <w:tr w:rsidR="00E25C6C" w:rsidRPr="00B403DF" w14:paraId="77582A2F" w14:textId="77777777" w:rsidTr="000E2B53">
        <w:trPr>
          <w:trHeight w:val="564"/>
        </w:trPr>
        <w:tc>
          <w:tcPr>
            <w:tcW w:w="2830" w:type="dxa"/>
            <w:tcBorders>
              <w:top w:val="nil"/>
              <w:left w:val="single" w:sz="4" w:space="0" w:color="auto"/>
              <w:bottom w:val="single" w:sz="4" w:space="0" w:color="auto"/>
              <w:right w:val="single" w:sz="4" w:space="0" w:color="auto"/>
            </w:tcBorders>
            <w:vAlign w:val="center"/>
            <w:hideMark/>
          </w:tcPr>
          <w:p w14:paraId="2A4BEAB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3261" w:type="dxa"/>
            <w:tcBorders>
              <w:top w:val="nil"/>
              <w:left w:val="nil"/>
              <w:bottom w:val="single" w:sz="4" w:space="0" w:color="auto"/>
              <w:right w:val="single" w:sz="4" w:space="0" w:color="auto"/>
            </w:tcBorders>
            <w:vAlign w:val="center"/>
            <w:hideMark/>
          </w:tcPr>
          <w:p w14:paraId="3D77BD41" w14:textId="6A7D45E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6.602.409</w:t>
            </w:r>
          </w:p>
        </w:tc>
        <w:tc>
          <w:tcPr>
            <w:tcW w:w="2976" w:type="dxa"/>
            <w:tcBorders>
              <w:top w:val="nil"/>
              <w:left w:val="nil"/>
              <w:bottom w:val="single" w:sz="4" w:space="0" w:color="auto"/>
              <w:right w:val="single" w:sz="4" w:space="0" w:color="auto"/>
            </w:tcBorders>
            <w:vAlign w:val="center"/>
            <w:hideMark/>
          </w:tcPr>
          <w:p w14:paraId="35A4337E" w14:textId="1CCB303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33.407.914</w:t>
            </w:r>
          </w:p>
        </w:tc>
      </w:tr>
    </w:tbl>
    <w:p w14:paraId="5EB4F4FF" w14:textId="6EC828DF" w:rsidR="00983F39" w:rsidRPr="00B403DF" w:rsidRDefault="00370404" w:rsidP="00B403DF">
      <w:pPr>
        <w:spacing w:before="120" w:after="120" w:line="276" w:lineRule="auto"/>
        <w:ind w:left="85" w:firstLineChars="202" w:firstLine="566"/>
        <w:jc w:val="both"/>
        <w:rPr>
          <w:rFonts w:cs="Times New Roman"/>
          <w:noProof/>
          <w:szCs w:val="28"/>
          <w:lang w:val="vi-VN"/>
        </w:rPr>
      </w:pPr>
      <w:r w:rsidRPr="00B403DF">
        <w:rPr>
          <w:rFonts w:cs="Times New Roman"/>
          <w:noProof/>
          <w:szCs w:val="28"/>
          <w:lang w:val="vi-VN"/>
        </w:rPr>
        <w:t>- Về hoàn thuế: Trên cơ sở quy định tại Luật quản lý thuế</w:t>
      </w:r>
      <w:r w:rsidR="00CB3984">
        <w:rPr>
          <w:rFonts w:cs="Times New Roman"/>
          <w:noProof/>
          <w:szCs w:val="28"/>
        </w:rPr>
        <w:t xml:space="preserve"> và</w:t>
      </w:r>
      <w:r w:rsidRPr="00B403DF">
        <w:rPr>
          <w:rFonts w:cs="Times New Roman"/>
          <w:noProof/>
          <w:szCs w:val="28"/>
          <w:lang w:val="vi-VN"/>
        </w:rPr>
        <w:t xml:space="preserve"> </w:t>
      </w:r>
      <w:r w:rsidR="00CB3984" w:rsidRPr="00CB3984">
        <w:rPr>
          <w:rFonts w:cs="Times New Roman"/>
          <w:noProof/>
          <w:szCs w:val="28"/>
          <w:lang w:val="vi-VN"/>
        </w:rPr>
        <w:t>Nghị định số 126/2020/NĐ-CP</w:t>
      </w:r>
      <w:r w:rsidR="00CB3984">
        <w:rPr>
          <w:rFonts w:cs="Times New Roman"/>
          <w:noProof/>
          <w:szCs w:val="28"/>
        </w:rPr>
        <w:t xml:space="preserve">, </w:t>
      </w:r>
      <w:r w:rsidRPr="00B403DF">
        <w:rPr>
          <w:rFonts w:cs="Times New Roman"/>
          <w:noProof/>
          <w:szCs w:val="28"/>
          <w:lang w:val="vi-VN"/>
        </w:rPr>
        <w:t>cơ quan quản lý thuế đã xây dựng cơ sở dữ liệu về hoàn thuế, tăng cường hiệu quả công tác quản lý và hoàn thuế giá trị gia tăng; áp dụng quản lý rủi ro trong công tác khai thuế, nộp thuế, hoàn thuế.</w:t>
      </w:r>
    </w:p>
    <w:p w14:paraId="2BD62ADA" w14:textId="77777777" w:rsidR="000E2B53" w:rsidRPr="00B403DF" w:rsidRDefault="000E2B53" w:rsidP="00B403DF">
      <w:pPr>
        <w:spacing w:before="120" w:after="120" w:line="276" w:lineRule="auto"/>
        <w:ind w:left="85"/>
        <w:jc w:val="both"/>
        <w:rPr>
          <w:rFonts w:cs="Times New Roman"/>
          <w:noProof/>
          <w:szCs w:val="28"/>
        </w:rPr>
      </w:pPr>
      <w:r w:rsidRPr="00B403DF">
        <w:rPr>
          <w:rFonts w:cs="Times New Roman"/>
          <w:noProof/>
          <w:szCs w:val="28"/>
        </w:rPr>
        <w:tab/>
        <w:t>Số liệu về hoàn thuế GTGT từ 06 tháng cuối năm 2020 đến ngày 22/6/2025 như sau:</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985"/>
        <w:gridCol w:w="1984"/>
        <w:gridCol w:w="1419"/>
      </w:tblGrid>
      <w:tr w:rsidR="00E25C6C" w:rsidRPr="00B403DF" w14:paraId="769FAC4C" w14:textId="77777777" w:rsidTr="00932A79">
        <w:trPr>
          <w:trHeight w:val="383"/>
        </w:trPr>
        <w:tc>
          <w:tcPr>
            <w:tcW w:w="1980" w:type="dxa"/>
            <w:vMerge w:val="restart"/>
            <w:vAlign w:val="center"/>
            <w:hideMark/>
          </w:tcPr>
          <w:p w14:paraId="5236C828"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7089" w:type="dxa"/>
            <w:gridSpan w:val="4"/>
            <w:vAlign w:val="center"/>
            <w:hideMark/>
          </w:tcPr>
          <w:p w14:paraId="1AA99401"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Hoàn thuế GTGT</w:t>
            </w:r>
          </w:p>
        </w:tc>
      </w:tr>
      <w:tr w:rsidR="00E25C6C" w:rsidRPr="00B403DF" w14:paraId="10751A1C" w14:textId="77777777" w:rsidTr="00932A79">
        <w:trPr>
          <w:trHeight w:val="1512"/>
        </w:trPr>
        <w:tc>
          <w:tcPr>
            <w:tcW w:w="1980" w:type="dxa"/>
            <w:vMerge/>
            <w:vAlign w:val="center"/>
            <w:hideMark/>
          </w:tcPr>
          <w:p w14:paraId="66A1D9D1" w14:textId="77777777" w:rsidR="000E2B53" w:rsidRPr="00B403DF" w:rsidRDefault="000E2B53" w:rsidP="00B403DF">
            <w:pPr>
              <w:spacing w:before="120" w:after="120" w:line="276" w:lineRule="auto"/>
              <w:ind w:left="85"/>
              <w:jc w:val="center"/>
              <w:rPr>
                <w:rFonts w:eastAsia="Times New Roman" w:cs="Times New Roman"/>
                <w:b/>
                <w:bCs/>
                <w:szCs w:val="28"/>
              </w:rPr>
            </w:pPr>
          </w:p>
        </w:tc>
        <w:tc>
          <w:tcPr>
            <w:tcW w:w="1701" w:type="dxa"/>
            <w:vAlign w:val="center"/>
            <w:hideMark/>
          </w:tcPr>
          <w:p w14:paraId="6A2E0AA7"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hồ sơ đã giải quyết hoàn</w:t>
            </w:r>
          </w:p>
        </w:tc>
        <w:tc>
          <w:tcPr>
            <w:tcW w:w="1985" w:type="dxa"/>
            <w:vAlign w:val="center"/>
            <w:hideMark/>
          </w:tcPr>
          <w:p w14:paraId="035B9FCF"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 xml:space="preserve">Số tiền đã hoàn thuế </w:t>
            </w:r>
            <w:r w:rsidRPr="00B403DF">
              <w:rPr>
                <w:rFonts w:eastAsia="Times New Roman" w:cs="Times New Roman"/>
                <w:b/>
                <w:bCs/>
                <w:i/>
                <w:iCs/>
                <w:szCs w:val="28"/>
              </w:rPr>
              <w:t>(triệu đồng)</w:t>
            </w:r>
          </w:p>
        </w:tc>
        <w:tc>
          <w:tcPr>
            <w:tcW w:w="1984" w:type="dxa"/>
            <w:vAlign w:val="center"/>
            <w:hideMark/>
          </w:tcPr>
          <w:p w14:paraId="6D0E7454"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 xml:space="preserve">Số tiền đã hoàn điện tử </w:t>
            </w:r>
          </w:p>
          <w:p w14:paraId="5E91BA31"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i/>
                <w:iCs/>
                <w:szCs w:val="28"/>
              </w:rPr>
              <w:t>(triệu đồng)</w:t>
            </w:r>
          </w:p>
        </w:tc>
        <w:tc>
          <w:tcPr>
            <w:tcW w:w="1419" w:type="dxa"/>
            <w:vAlign w:val="center"/>
            <w:hideMark/>
          </w:tcPr>
          <w:p w14:paraId="17A0D76C"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hoàn thuế điện tử</w:t>
            </w:r>
          </w:p>
        </w:tc>
      </w:tr>
      <w:tr w:rsidR="00E25C6C" w:rsidRPr="00B403DF" w14:paraId="64AA298E" w14:textId="77777777" w:rsidTr="00932A79">
        <w:trPr>
          <w:trHeight w:val="835"/>
        </w:trPr>
        <w:tc>
          <w:tcPr>
            <w:tcW w:w="1980" w:type="dxa"/>
            <w:vAlign w:val="center"/>
            <w:hideMark/>
          </w:tcPr>
          <w:p w14:paraId="77776FC5"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cuối năm 2020</w:t>
            </w:r>
          </w:p>
        </w:tc>
        <w:tc>
          <w:tcPr>
            <w:tcW w:w="1701" w:type="dxa"/>
            <w:vAlign w:val="center"/>
            <w:hideMark/>
          </w:tcPr>
          <w:p w14:paraId="3C07E356"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13.932</w:t>
            </w:r>
          </w:p>
        </w:tc>
        <w:tc>
          <w:tcPr>
            <w:tcW w:w="1985" w:type="dxa"/>
            <w:vAlign w:val="center"/>
            <w:hideMark/>
          </w:tcPr>
          <w:p w14:paraId="15A91D0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87.150.189</w:t>
            </w:r>
          </w:p>
        </w:tc>
        <w:tc>
          <w:tcPr>
            <w:tcW w:w="1984" w:type="dxa"/>
            <w:vAlign w:val="center"/>
            <w:hideMark/>
          </w:tcPr>
          <w:p w14:paraId="13CA832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83.787.321</w:t>
            </w:r>
          </w:p>
        </w:tc>
        <w:tc>
          <w:tcPr>
            <w:tcW w:w="1419" w:type="dxa"/>
            <w:vAlign w:val="center"/>
            <w:hideMark/>
          </w:tcPr>
          <w:p w14:paraId="5B158C0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w:t>
            </w:r>
          </w:p>
        </w:tc>
      </w:tr>
      <w:tr w:rsidR="00E25C6C" w:rsidRPr="00B403DF" w14:paraId="147C98BA" w14:textId="77777777" w:rsidTr="00932A79">
        <w:trPr>
          <w:trHeight w:val="617"/>
        </w:trPr>
        <w:tc>
          <w:tcPr>
            <w:tcW w:w="1980" w:type="dxa"/>
            <w:vAlign w:val="center"/>
            <w:hideMark/>
          </w:tcPr>
          <w:p w14:paraId="6F092930"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1701" w:type="dxa"/>
            <w:vAlign w:val="center"/>
            <w:hideMark/>
          </w:tcPr>
          <w:p w14:paraId="4D7E194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21.882</w:t>
            </w:r>
          </w:p>
        </w:tc>
        <w:tc>
          <w:tcPr>
            <w:tcW w:w="1985" w:type="dxa"/>
            <w:vAlign w:val="center"/>
            <w:hideMark/>
          </w:tcPr>
          <w:p w14:paraId="799BFED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162.292.027</w:t>
            </w:r>
          </w:p>
        </w:tc>
        <w:tc>
          <w:tcPr>
            <w:tcW w:w="1984" w:type="dxa"/>
            <w:vAlign w:val="center"/>
            <w:hideMark/>
          </w:tcPr>
          <w:p w14:paraId="708DA18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155.896.252</w:t>
            </w:r>
          </w:p>
        </w:tc>
        <w:tc>
          <w:tcPr>
            <w:tcW w:w="1419" w:type="dxa"/>
            <w:vAlign w:val="center"/>
            <w:hideMark/>
          </w:tcPr>
          <w:p w14:paraId="047B97D6"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w:t>
            </w:r>
          </w:p>
        </w:tc>
      </w:tr>
      <w:tr w:rsidR="00E25C6C" w:rsidRPr="00B403DF" w14:paraId="372BFE24" w14:textId="77777777" w:rsidTr="00932A79">
        <w:trPr>
          <w:trHeight w:val="652"/>
        </w:trPr>
        <w:tc>
          <w:tcPr>
            <w:tcW w:w="1980" w:type="dxa"/>
            <w:vAlign w:val="center"/>
            <w:hideMark/>
          </w:tcPr>
          <w:p w14:paraId="0AFBE2F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1701" w:type="dxa"/>
            <w:vAlign w:val="center"/>
            <w:hideMark/>
          </w:tcPr>
          <w:p w14:paraId="7C3E53C6"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20.758</w:t>
            </w:r>
          </w:p>
        </w:tc>
        <w:tc>
          <w:tcPr>
            <w:tcW w:w="1985" w:type="dxa"/>
            <w:vAlign w:val="center"/>
            <w:hideMark/>
          </w:tcPr>
          <w:p w14:paraId="7E20C86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150.289.509</w:t>
            </w:r>
          </w:p>
        </w:tc>
        <w:tc>
          <w:tcPr>
            <w:tcW w:w="1984" w:type="dxa"/>
            <w:vAlign w:val="center"/>
            <w:hideMark/>
          </w:tcPr>
          <w:p w14:paraId="4AB5838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148.991.398</w:t>
            </w:r>
          </w:p>
        </w:tc>
        <w:tc>
          <w:tcPr>
            <w:tcW w:w="1419" w:type="dxa"/>
            <w:vAlign w:val="center"/>
            <w:hideMark/>
          </w:tcPr>
          <w:p w14:paraId="3083464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71067B1B" w14:textId="77777777" w:rsidTr="00932A79">
        <w:trPr>
          <w:trHeight w:val="557"/>
        </w:trPr>
        <w:tc>
          <w:tcPr>
            <w:tcW w:w="1980" w:type="dxa"/>
            <w:vAlign w:val="center"/>
            <w:hideMark/>
          </w:tcPr>
          <w:p w14:paraId="2DC17795"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1701" w:type="dxa"/>
            <w:vAlign w:val="center"/>
            <w:hideMark/>
          </w:tcPr>
          <w:p w14:paraId="7215540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19.181</w:t>
            </w:r>
          </w:p>
        </w:tc>
        <w:tc>
          <w:tcPr>
            <w:tcW w:w="1985" w:type="dxa"/>
            <w:vAlign w:val="center"/>
            <w:hideMark/>
          </w:tcPr>
          <w:p w14:paraId="3746C7D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149.976.017</w:t>
            </w:r>
          </w:p>
        </w:tc>
        <w:tc>
          <w:tcPr>
            <w:tcW w:w="1984" w:type="dxa"/>
            <w:vAlign w:val="center"/>
            <w:hideMark/>
          </w:tcPr>
          <w:p w14:paraId="316DA82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148.831.068</w:t>
            </w:r>
          </w:p>
        </w:tc>
        <w:tc>
          <w:tcPr>
            <w:tcW w:w="1419" w:type="dxa"/>
            <w:vAlign w:val="center"/>
            <w:hideMark/>
          </w:tcPr>
          <w:p w14:paraId="56D97FBE"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74B88582" w14:textId="77777777" w:rsidTr="00932A79">
        <w:trPr>
          <w:trHeight w:val="590"/>
        </w:trPr>
        <w:tc>
          <w:tcPr>
            <w:tcW w:w="1980" w:type="dxa"/>
            <w:vAlign w:val="center"/>
            <w:hideMark/>
          </w:tcPr>
          <w:p w14:paraId="20ADA7E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1701" w:type="dxa"/>
            <w:vAlign w:val="center"/>
            <w:hideMark/>
          </w:tcPr>
          <w:p w14:paraId="410F34B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19.806</w:t>
            </w:r>
          </w:p>
        </w:tc>
        <w:tc>
          <w:tcPr>
            <w:tcW w:w="1985" w:type="dxa"/>
            <w:vAlign w:val="center"/>
            <w:hideMark/>
          </w:tcPr>
          <w:p w14:paraId="7F671F1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156.941.018</w:t>
            </w:r>
          </w:p>
        </w:tc>
        <w:tc>
          <w:tcPr>
            <w:tcW w:w="1984" w:type="dxa"/>
            <w:vAlign w:val="center"/>
            <w:hideMark/>
          </w:tcPr>
          <w:p w14:paraId="322156F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155.310.806</w:t>
            </w:r>
          </w:p>
        </w:tc>
        <w:tc>
          <w:tcPr>
            <w:tcW w:w="1419" w:type="dxa"/>
            <w:vAlign w:val="center"/>
            <w:hideMark/>
          </w:tcPr>
          <w:p w14:paraId="4411AA21"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4CDAA82C" w14:textId="77777777" w:rsidTr="00932A79">
        <w:trPr>
          <w:trHeight w:val="982"/>
        </w:trPr>
        <w:tc>
          <w:tcPr>
            <w:tcW w:w="1980" w:type="dxa"/>
            <w:vAlign w:val="center"/>
            <w:hideMark/>
          </w:tcPr>
          <w:p w14:paraId="65E6BE0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lastRenderedPageBreak/>
              <w:t>6 tháng đầu năm 2025 (tính đến 22/6/2025)</w:t>
            </w:r>
          </w:p>
        </w:tc>
        <w:tc>
          <w:tcPr>
            <w:tcW w:w="1701" w:type="dxa"/>
            <w:vAlign w:val="center"/>
            <w:hideMark/>
          </w:tcPr>
          <w:p w14:paraId="6015828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8.350</w:t>
            </w:r>
          </w:p>
        </w:tc>
        <w:tc>
          <w:tcPr>
            <w:tcW w:w="1985" w:type="dxa"/>
            <w:vAlign w:val="center"/>
            <w:hideMark/>
          </w:tcPr>
          <w:p w14:paraId="343DBA1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66.506.235</w:t>
            </w:r>
          </w:p>
        </w:tc>
        <w:tc>
          <w:tcPr>
            <w:tcW w:w="1984" w:type="dxa"/>
            <w:vAlign w:val="center"/>
            <w:hideMark/>
          </w:tcPr>
          <w:p w14:paraId="3F196CB5"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66.155.328</w:t>
            </w:r>
          </w:p>
        </w:tc>
        <w:tc>
          <w:tcPr>
            <w:tcW w:w="1419" w:type="dxa"/>
            <w:vAlign w:val="center"/>
            <w:hideMark/>
          </w:tcPr>
          <w:p w14:paraId="4D6C3FD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bl>
    <w:p w14:paraId="7B72843C" w14:textId="77777777" w:rsidR="000E2B53" w:rsidRPr="00B403DF" w:rsidRDefault="000E2B53" w:rsidP="00B403DF">
      <w:pPr>
        <w:spacing w:before="120" w:after="120" w:line="276" w:lineRule="auto"/>
        <w:ind w:left="85"/>
        <w:jc w:val="both"/>
        <w:rPr>
          <w:rFonts w:cs="Times New Roman"/>
          <w:noProof/>
          <w:szCs w:val="28"/>
        </w:rPr>
      </w:pPr>
      <w:r w:rsidRPr="00B403DF">
        <w:rPr>
          <w:rFonts w:cs="Times New Roman"/>
          <w:noProof/>
          <w:szCs w:val="28"/>
        </w:rPr>
        <w:tab/>
        <w:t>Số liệu về hoàn thuế TNCN từ 06 tháng cuối năm 2020 đến ngày 22/6/2025 như sau:</w:t>
      </w:r>
    </w:p>
    <w:tbl>
      <w:tblPr>
        <w:tblW w:w="9067" w:type="dxa"/>
        <w:tblLook w:val="04A0" w:firstRow="1" w:lastRow="0" w:firstColumn="1" w:lastColumn="0" w:noHBand="0" w:noVBand="1"/>
      </w:tblPr>
      <w:tblGrid>
        <w:gridCol w:w="1838"/>
        <w:gridCol w:w="1843"/>
        <w:gridCol w:w="1843"/>
        <w:gridCol w:w="1842"/>
        <w:gridCol w:w="1701"/>
      </w:tblGrid>
      <w:tr w:rsidR="00E25C6C" w:rsidRPr="00B403DF" w14:paraId="45F1E0DA" w14:textId="77777777" w:rsidTr="00C429F9">
        <w:trPr>
          <w:trHeight w:val="383"/>
        </w:trPr>
        <w:tc>
          <w:tcPr>
            <w:tcW w:w="1838" w:type="dxa"/>
            <w:vMerge w:val="restart"/>
            <w:tcBorders>
              <w:top w:val="single" w:sz="4" w:space="0" w:color="auto"/>
              <w:left w:val="single" w:sz="4" w:space="0" w:color="auto"/>
              <w:bottom w:val="single" w:sz="4" w:space="0" w:color="000000"/>
              <w:right w:val="single" w:sz="4" w:space="0" w:color="auto"/>
            </w:tcBorders>
            <w:vAlign w:val="center"/>
            <w:hideMark/>
          </w:tcPr>
          <w:p w14:paraId="7347F358"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7229" w:type="dxa"/>
            <w:gridSpan w:val="4"/>
            <w:tcBorders>
              <w:top w:val="single" w:sz="4" w:space="0" w:color="auto"/>
              <w:left w:val="nil"/>
              <w:bottom w:val="single" w:sz="4" w:space="0" w:color="auto"/>
              <w:right w:val="single" w:sz="4" w:space="0" w:color="000000"/>
            </w:tcBorders>
            <w:vAlign w:val="center"/>
            <w:hideMark/>
          </w:tcPr>
          <w:p w14:paraId="2A4F796C"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Hoàn thuế TNCN</w:t>
            </w:r>
          </w:p>
        </w:tc>
      </w:tr>
      <w:tr w:rsidR="00E25C6C" w:rsidRPr="00B403DF" w14:paraId="6616C420" w14:textId="77777777" w:rsidTr="00C429F9">
        <w:trPr>
          <w:trHeight w:val="1333"/>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6B4BE302" w14:textId="77777777" w:rsidR="000E2B53" w:rsidRPr="00B403DF" w:rsidRDefault="000E2B53" w:rsidP="00B403DF">
            <w:pPr>
              <w:spacing w:before="120" w:after="120" w:line="276" w:lineRule="auto"/>
              <w:ind w:left="85"/>
              <w:jc w:val="center"/>
              <w:rPr>
                <w:rFonts w:eastAsia="Times New Roman" w:cs="Times New Roman"/>
                <w:b/>
                <w:bCs/>
                <w:szCs w:val="28"/>
              </w:rPr>
            </w:pPr>
          </w:p>
        </w:tc>
        <w:tc>
          <w:tcPr>
            <w:tcW w:w="1843" w:type="dxa"/>
            <w:tcBorders>
              <w:top w:val="nil"/>
              <w:left w:val="nil"/>
              <w:bottom w:val="single" w:sz="4" w:space="0" w:color="auto"/>
              <w:right w:val="single" w:sz="4" w:space="0" w:color="auto"/>
            </w:tcBorders>
            <w:vAlign w:val="center"/>
            <w:hideMark/>
          </w:tcPr>
          <w:p w14:paraId="5950BF6F"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hồ sơ đã giải quyết hoàn</w:t>
            </w:r>
          </w:p>
        </w:tc>
        <w:tc>
          <w:tcPr>
            <w:tcW w:w="1843" w:type="dxa"/>
            <w:tcBorders>
              <w:top w:val="nil"/>
              <w:left w:val="nil"/>
              <w:bottom w:val="single" w:sz="4" w:space="0" w:color="auto"/>
              <w:right w:val="single" w:sz="4" w:space="0" w:color="auto"/>
            </w:tcBorders>
            <w:vAlign w:val="center"/>
            <w:hideMark/>
          </w:tcPr>
          <w:p w14:paraId="09CCDAF9"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tiền đã hoàn thuế</w:t>
            </w:r>
          </w:p>
          <w:p w14:paraId="12F9272D" w14:textId="77777777" w:rsidR="000E2B53" w:rsidRPr="00B403DF" w:rsidRDefault="000E2B53"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i/>
                <w:iCs/>
                <w:szCs w:val="28"/>
              </w:rPr>
              <w:t>(triệu đồng)</w:t>
            </w:r>
          </w:p>
        </w:tc>
        <w:tc>
          <w:tcPr>
            <w:tcW w:w="1842" w:type="dxa"/>
            <w:tcBorders>
              <w:top w:val="nil"/>
              <w:left w:val="nil"/>
              <w:bottom w:val="single" w:sz="4" w:space="0" w:color="auto"/>
              <w:right w:val="single" w:sz="4" w:space="0" w:color="auto"/>
            </w:tcBorders>
            <w:vAlign w:val="center"/>
            <w:hideMark/>
          </w:tcPr>
          <w:p w14:paraId="7B609CF8"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tiền đã hoàn điện tử</w:t>
            </w:r>
          </w:p>
          <w:p w14:paraId="4472DC11" w14:textId="77777777" w:rsidR="000E2B53" w:rsidRPr="00B403DF" w:rsidRDefault="000E2B53"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i/>
                <w:iCs/>
                <w:szCs w:val="28"/>
              </w:rPr>
              <w:t>(triệu đồng)</w:t>
            </w:r>
          </w:p>
        </w:tc>
        <w:tc>
          <w:tcPr>
            <w:tcW w:w="1701" w:type="dxa"/>
            <w:tcBorders>
              <w:top w:val="nil"/>
              <w:left w:val="nil"/>
              <w:bottom w:val="single" w:sz="4" w:space="0" w:color="auto"/>
              <w:right w:val="single" w:sz="4" w:space="0" w:color="auto"/>
            </w:tcBorders>
            <w:vAlign w:val="center"/>
            <w:hideMark/>
          </w:tcPr>
          <w:p w14:paraId="05714954"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hoàn thuế điện tử</w:t>
            </w:r>
          </w:p>
        </w:tc>
      </w:tr>
      <w:tr w:rsidR="00E25C6C" w:rsidRPr="00B403DF" w14:paraId="6770C8A7" w14:textId="77777777" w:rsidTr="00C429F9">
        <w:trPr>
          <w:trHeight w:val="789"/>
        </w:trPr>
        <w:tc>
          <w:tcPr>
            <w:tcW w:w="1838" w:type="dxa"/>
            <w:tcBorders>
              <w:top w:val="nil"/>
              <w:left w:val="single" w:sz="4" w:space="0" w:color="auto"/>
              <w:bottom w:val="single" w:sz="4" w:space="0" w:color="auto"/>
              <w:right w:val="single" w:sz="4" w:space="0" w:color="auto"/>
            </w:tcBorders>
            <w:vAlign w:val="center"/>
            <w:hideMark/>
          </w:tcPr>
          <w:p w14:paraId="126EEAB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cuối năm 2020</w:t>
            </w:r>
          </w:p>
        </w:tc>
        <w:tc>
          <w:tcPr>
            <w:tcW w:w="1843" w:type="dxa"/>
            <w:tcBorders>
              <w:top w:val="nil"/>
              <w:left w:val="nil"/>
              <w:bottom w:val="single" w:sz="4" w:space="0" w:color="auto"/>
              <w:right w:val="single" w:sz="4" w:space="0" w:color="auto"/>
            </w:tcBorders>
            <w:vAlign w:val="center"/>
            <w:hideMark/>
          </w:tcPr>
          <w:p w14:paraId="442E9E2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66.048</w:t>
            </w:r>
          </w:p>
        </w:tc>
        <w:tc>
          <w:tcPr>
            <w:tcW w:w="1843" w:type="dxa"/>
            <w:tcBorders>
              <w:top w:val="nil"/>
              <w:left w:val="nil"/>
              <w:bottom w:val="nil"/>
              <w:right w:val="nil"/>
            </w:tcBorders>
            <w:vAlign w:val="center"/>
            <w:hideMark/>
          </w:tcPr>
          <w:p w14:paraId="4B76492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418.711</w:t>
            </w:r>
          </w:p>
        </w:tc>
        <w:tc>
          <w:tcPr>
            <w:tcW w:w="1842" w:type="dxa"/>
            <w:tcBorders>
              <w:top w:val="nil"/>
              <w:left w:val="single" w:sz="4" w:space="0" w:color="auto"/>
              <w:bottom w:val="single" w:sz="4" w:space="0" w:color="auto"/>
              <w:right w:val="single" w:sz="4" w:space="0" w:color="auto"/>
            </w:tcBorders>
            <w:vAlign w:val="center"/>
            <w:hideMark/>
          </w:tcPr>
          <w:p w14:paraId="13E18190"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842</w:t>
            </w:r>
          </w:p>
        </w:tc>
        <w:tc>
          <w:tcPr>
            <w:tcW w:w="1701" w:type="dxa"/>
            <w:tcBorders>
              <w:top w:val="nil"/>
              <w:left w:val="nil"/>
              <w:bottom w:val="single" w:sz="4" w:space="0" w:color="auto"/>
              <w:right w:val="single" w:sz="4" w:space="0" w:color="auto"/>
            </w:tcBorders>
            <w:noWrap/>
            <w:vAlign w:val="center"/>
            <w:hideMark/>
          </w:tcPr>
          <w:p w14:paraId="4D3438B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0,2%</w:t>
            </w:r>
          </w:p>
        </w:tc>
      </w:tr>
      <w:tr w:rsidR="00E25C6C" w:rsidRPr="00B403DF" w14:paraId="0A7995AC" w14:textId="77777777" w:rsidTr="00C429F9">
        <w:trPr>
          <w:trHeight w:val="571"/>
        </w:trPr>
        <w:tc>
          <w:tcPr>
            <w:tcW w:w="1838" w:type="dxa"/>
            <w:tcBorders>
              <w:top w:val="nil"/>
              <w:left w:val="single" w:sz="4" w:space="0" w:color="auto"/>
              <w:bottom w:val="single" w:sz="4" w:space="0" w:color="auto"/>
              <w:right w:val="single" w:sz="4" w:space="0" w:color="auto"/>
            </w:tcBorders>
            <w:vAlign w:val="center"/>
            <w:hideMark/>
          </w:tcPr>
          <w:p w14:paraId="6CCE986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1843" w:type="dxa"/>
            <w:tcBorders>
              <w:top w:val="nil"/>
              <w:left w:val="nil"/>
              <w:bottom w:val="single" w:sz="4" w:space="0" w:color="auto"/>
              <w:right w:val="single" w:sz="4" w:space="0" w:color="auto"/>
            </w:tcBorders>
            <w:vAlign w:val="center"/>
            <w:hideMark/>
          </w:tcPr>
          <w:p w14:paraId="4CB9197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222.476</w:t>
            </w:r>
          </w:p>
        </w:tc>
        <w:tc>
          <w:tcPr>
            <w:tcW w:w="1843" w:type="dxa"/>
            <w:tcBorders>
              <w:top w:val="single" w:sz="4" w:space="0" w:color="auto"/>
              <w:left w:val="nil"/>
              <w:bottom w:val="single" w:sz="4" w:space="0" w:color="auto"/>
              <w:right w:val="single" w:sz="4" w:space="0" w:color="auto"/>
            </w:tcBorders>
            <w:vAlign w:val="center"/>
            <w:hideMark/>
          </w:tcPr>
          <w:p w14:paraId="741365E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1.696.467</w:t>
            </w:r>
          </w:p>
        </w:tc>
        <w:tc>
          <w:tcPr>
            <w:tcW w:w="1842" w:type="dxa"/>
            <w:tcBorders>
              <w:top w:val="nil"/>
              <w:left w:val="nil"/>
              <w:bottom w:val="single" w:sz="4" w:space="0" w:color="auto"/>
              <w:right w:val="single" w:sz="4" w:space="0" w:color="auto"/>
            </w:tcBorders>
            <w:vAlign w:val="center"/>
            <w:hideMark/>
          </w:tcPr>
          <w:p w14:paraId="2739A0DE"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598.049</w:t>
            </w:r>
          </w:p>
        </w:tc>
        <w:tc>
          <w:tcPr>
            <w:tcW w:w="1701" w:type="dxa"/>
            <w:tcBorders>
              <w:top w:val="nil"/>
              <w:left w:val="nil"/>
              <w:bottom w:val="single" w:sz="4" w:space="0" w:color="auto"/>
              <w:right w:val="single" w:sz="4" w:space="0" w:color="auto"/>
            </w:tcBorders>
            <w:noWrap/>
            <w:vAlign w:val="center"/>
            <w:hideMark/>
          </w:tcPr>
          <w:p w14:paraId="68DD3CF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35,3%</w:t>
            </w:r>
          </w:p>
        </w:tc>
      </w:tr>
      <w:tr w:rsidR="00E25C6C" w:rsidRPr="00B403DF" w14:paraId="20A57534" w14:textId="77777777" w:rsidTr="00C429F9">
        <w:trPr>
          <w:trHeight w:val="553"/>
        </w:trPr>
        <w:tc>
          <w:tcPr>
            <w:tcW w:w="1838" w:type="dxa"/>
            <w:tcBorders>
              <w:top w:val="nil"/>
              <w:left w:val="single" w:sz="4" w:space="0" w:color="auto"/>
              <w:bottom w:val="single" w:sz="4" w:space="0" w:color="auto"/>
              <w:right w:val="single" w:sz="4" w:space="0" w:color="auto"/>
            </w:tcBorders>
            <w:vAlign w:val="center"/>
            <w:hideMark/>
          </w:tcPr>
          <w:p w14:paraId="756FA03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1843" w:type="dxa"/>
            <w:tcBorders>
              <w:top w:val="nil"/>
              <w:left w:val="nil"/>
              <w:bottom w:val="single" w:sz="4" w:space="0" w:color="auto"/>
              <w:right w:val="single" w:sz="4" w:space="0" w:color="auto"/>
            </w:tcBorders>
            <w:vAlign w:val="center"/>
            <w:hideMark/>
          </w:tcPr>
          <w:p w14:paraId="5661D7F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237.933</w:t>
            </w:r>
          </w:p>
        </w:tc>
        <w:tc>
          <w:tcPr>
            <w:tcW w:w="1843" w:type="dxa"/>
            <w:tcBorders>
              <w:top w:val="nil"/>
              <w:left w:val="nil"/>
              <w:bottom w:val="single" w:sz="4" w:space="0" w:color="auto"/>
              <w:right w:val="single" w:sz="4" w:space="0" w:color="auto"/>
            </w:tcBorders>
            <w:vAlign w:val="center"/>
            <w:hideMark/>
          </w:tcPr>
          <w:p w14:paraId="02A7CA5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1.796.027</w:t>
            </w:r>
          </w:p>
        </w:tc>
        <w:tc>
          <w:tcPr>
            <w:tcW w:w="1842" w:type="dxa"/>
            <w:tcBorders>
              <w:top w:val="nil"/>
              <w:left w:val="nil"/>
              <w:bottom w:val="single" w:sz="4" w:space="0" w:color="auto"/>
              <w:right w:val="single" w:sz="4" w:space="0" w:color="auto"/>
            </w:tcBorders>
            <w:vAlign w:val="center"/>
            <w:hideMark/>
          </w:tcPr>
          <w:p w14:paraId="7A0B609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1.464.652</w:t>
            </w:r>
          </w:p>
        </w:tc>
        <w:tc>
          <w:tcPr>
            <w:tcW w:w="1701" w:type="dxa"/>
            <w:tcBorders>
              <w:top w:val="nil"/>
              <w:left w:val="nil"/>
              <w:bottom w:val="single" w:sz="4" w:space="0" w:color="auto"/>
              <w:right w:val="single" w:sz="4" w:space="0" w:color="auto"/>
            </w:tcBorders>
            <w:noWrap/>
            <w:vAlign w:val="center"/>
            <w:hideMark/>
          </w:tcPr>
          <w:p w14:paraId="2185AF5E"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81,5%</w:t>
            </w:r>
          </w:p>
        </w:tc>
      </w:tr>
      <w:tr w:rsidR="00E25C6C" w:rsidRPr="00B403DF" w14:paraId="08F14689" w14:textId="77777777" w:rsidTr="00C429F9">
        <w:trPr>
          <w:trHeight w:val="560"/>
        </w:trPr>
        <w:tc>
          <w:tcPr>
            <w:tcW w:w="1838" w:type="dxa"/>
            <w:tcBorders>
              <w:top w:val="nil"/>
              <w:left w:val="single" w:sz="4" w:space="0" w:color="auto"/>
              <w:bottom w:val="single" w:sz="4" w:space="0" w:color="auto"/>
              <w:right w:val="single" w:sz="4" w:space="0" w:color="auto"/>
            </w:tcBorders>
            <w:vAlign w:val="center"/>
            <w:hideMark/>
          </w:tcPr>
          <w:p w14:paraId="068E0D6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1843" w:type="dxa"/>
            <w:tcBorders>
              <w:top w:val="nil"/>
              <w:left w:val="nil"/>
              <w:bottom w:val="single" w:sz="4" w:space="0" w:color="auto"/>
              <w:right w:val="single" w:sz="4" w:space="0" w:color="auto"/>
            </w:tcBorders>
            <w:vAlign w:val="center"/>
            <w:hideMark/>
          </w:tcPr>
          <w:p w14:paraId="12A412A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356.601</w:t>
            </w:r>
          </w:p>
        </w:tc>
        <w:tc>
          <w:tcPr>
            <w:tcW w:w="1843" w:type="dxa"/>
            <w:tcBorders>
              <w:top w:val="nil"/>
              <w:left w:val="nil"/>
              <w:bottom w:val="single" w:sz="4" w:space="0" w:color="auto"/>
              <w:right w:val="single" w:sz="4" w:space="0" w:color="auto"/>
            </w:tcBorders>
            <w:vAlign w:val="center"/>
            <w:hideMark/>
          </w:tcPr>
          <w:p w14:paraId="3B6BCD3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2.607.970</w:t>
            </w:r>
          </w:p>
        </w:tc>
        <w:tc>
          <w:tcPr>
            <w:tcW w:w="1842" w:type="dxa"/>
            <w:tcBorders>
              <w:top w:val="nil"/>
              <w:left w:val="nil"/>
              <w:bottom w:val="single" w:sz="4" w:space="0" w:color="auto"/>
              <w:right w:val="single" w:sz="4" w:space="0" w:color="auto"/>
            </w:tcBorders>
            <w:vAlign w:val="center"/>
            <w:hideMark/>
          </w:tcPr>
          <w:p w14:paraId="31AD3E5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2.469.293</w:t>
            </w:r>
          </w:p>
        </w:tc>
        <w:tc>
          <w:tcPr>
            <w:tcW w:w="1701" w:type="dxa"/>
            <w:tcBorders>
              <w:top w:val="nil"/>
              <w:left w:val="nil"/>
              <w:bottom w:val="single" w:sz="4" w:space="0" w:color="auto"/>
              <w:right w:val="single" w:sz="4" w:space="0" w:color="auto"/>
            </w:tcBorders>
            <w:noWrap/>
            <w:vAlign w:val="center"/>
            <w:hideMark/>
          </w:tcPr>
          <w:p w14:paraId="5E3DEE71"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94,7%</w:t>
            </w:r>
          </w:p>
        </w:tc>
      </w:tr>
      <w:tr w:rsidR="00E25C6C" w:rsidRPr="00B403DF" w14:paraId="7533FC43" w14:textId="77777777" w:rsidTr="00C429F9">
        <w:trPr>
          <w:trHeight w:val="554"/>
        </w:trPr>
        <w:tc>
          <w:tcPr>
            <w:tcW w:w="1838" w:type="dxa"/>
            <w:tcBorders>
              <w:top w:val="nil"/>
              <w:left w:val="single" w:sz="4" w:space="0" w:color="auto"/>
              <w:bottom w:val="single" w:sz="4" w:space="0" w:color="auto"/>
              <w:right w:val="single" w:sz="4" w:space="0" w:color="auto"/>
            </w:tcBorders>
            <w:vAlign w:val="center"/>
            <w:hideMark/>
          </w:tcPr>
          <w:p w14:paraId="2B2BB54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1843" w:type="dxa"/>
            <w:tcBorders>
              <w:top w:val="nil"/>
              <w:left w:val="nil"/>
              <w:bottom w:val="single" w:sz="4" w:space="0" w:color="auto"/>
              <w:right w:val="single" w:sz="4" w:space="0" w:color="auto"/>
            </w:tcBorders>
            <w:vAlign w:val="center"/>
            <w:hideMark/>
          </w:tcPr>
          <w:p w14:paraId="46D772B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449.878</w:t>
            </w:r>
          </w:p>
        </w:tc>
        <w:tc>
          <w:tcPr>
            <w:tcW w:w="1843" w:type="dxa"/>
            <w:tcBorders>
              <w:top w:val="nil"/>
              <w:left w:val="nil"/>
              <w:bottom w:val="single" w:sz="4" w:space="0" w:color="auto"/>
              <w:right w:val="single" w:sz="4" w:space="0" w:color="auto"/>
            </w:tcBorders>
            <w:vAlign w:val="center"/>
            <w:hideMark/>
          </w:tcPr>
          <w:p w14:paraId="52598AB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3.173.390</w:t>
            </w:r>
          </w:p>
        </w:tc>
        <w:tc>
          <w:tcPr>
            <w:tcW w:w="1842" w:type="dxa"/>
            <w:tcBorders>
              <w:top w:val="nil"/>
              <w:left w:val="nil"/>
              <w:bottom w:val="single" w:sz="4" w:space="0" w:color="auto"/>
              <w:right w:val="single" w:sz="4" w:space="0" w:color="auto"/>
            </w:tcBorders>
            <w:vAlign w:val="center"/>
            <w:hideMark/>
          </w:tcPr>
          <w:p w14:paraId="502C327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3.117.736</w:t>
            </w:r>
          </w:p>
        </w:tc>
        <w:tc>
          <w:tcPr>
            <w:tcW w:w="1701" w:type="dxa"/>
            <w:tcBorders>
              <w:top w:val="nil"/>
              <w:left w:val="nil"/>
              <w:bottom w:val="single" w:sz="4" w:space="0" w:color="auto"/>
              <w:right w:val="single" w:sz="4" w:space="0" w:color="auto"/>
            </w:tcBorders>
            <w:noWrap/>
            <w:vAlign w:val="center"/>
            <w:hideMark/>
          </w:tcPr>
          <w:p w14:paraId="4A99468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98,2%</w:t>
            </w:r>
          </w:p>
        </w:tc>
      </w:tr>
      <w:tr w:rsidR="00E25C6C" w:rsidRPr="00B403DF" w14:paraId="7C2E1945" w14:textId="77777777" w:rsidTr="00C429F9">
        <w:trPr>
          <w:trHeight w:val="1399"/>
        </w:trPr>
        <w:tc>
          <w:tcPr>
            <w:tcW w:w="1838" w:type="dxa"/>
            <w:tcBorders>
              <w:top w:val="nil"/>
              <w:left w:val="single" w:sz="4" w:space="0" w:color="auto"/>
              <w:bottom w:val="single" w:sz="4" w:space="0" w:color="auto"/>
              <w:right w:val="single" w:sz="4" w:space="0" w:color="auto"/>
            </w:tcBorders>
            <w:vAlign w:val="center"/>
            <w:hideMark/>
          </w:tcPr>
          <w:p w14:paraId="6661984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đầu năm 2025 (tính đến 22/6/2025)</w:t>
            </w:r>
          </w:p>
        </w:tc>
        <w:tc>
          <w:tcPr>
            <w:tcW w:w="1843" w:type="dxa"/>
            <w:tcBorders>
              <w:top w:val="nil"/>
              <w:left w:val="nil"/>
              <w:bottom w:val="single" w:sz="4" w:space="0" w:color="auto"/>
              <w:right w:val="single" w:sz="4" w:space="0" w:color="auto"/>
            </w:tcBorders>
            <w:vAlign w:val="center"/>
            <w:hideMark/>
          </w:tcPr>
          <w:p w14:paraId="491B415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514.231</w:t>
            </w:r>
          </w:p>
        </w:tc>
        <w:tc>
          <w:tcPr>
            <w:tcW w:w="1843" w:type="dxa"/>
            <w:tcBorders>
              <w:top w:val="nil"/>
              <w:left w:val="nil"/>
              <w:bottom w:val="single" w:sz="4" w:space="0" w:color="auto"/>
              <w:right w:val="single" w:sz="4" w:space="0" w:color="auto"/>
            </w:tcBorders>
            <w:vAlign w:val="center"/>
            <w:hideMark/>
          </w:tcPr>
          <w:p w14:paraId="35A6A23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3.058.819</w:t>
            </w:r>
          </w:p>
        </w:tc>
        <w:tc>
          <w:tcPr>
            <w:tcW w:w="1842" w:type="dxa"/>
            <w:tcBorders>
              <w:top w:val="nil"/>
              <w:left w:val="nil"/>
              <w:bottom w:val="single" w:sz="4" w:space="0" w:color="auto"/>
              <w:right w:val="single" w:sz="4" w:space="0" w:color="auto"/>
            </w:tcBorders>
            <w:vAlign w:val="center"/>
            <w:hideMark/>
          </w:tcPr>
          <w:p w14:paraId="54AACCC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3.019.441</w:t>
            </w:r>
          </w:p>
        </w:tc>
        <w:tc>
          <w:tcPr>
            <w:tcW w:w="1701" w:type="dxa"/>
            <w:tcBorders>
              <w:top w:val="nil"/>
              <w:left w:val="nil"/>
              <w:bottom w:val="single" w:sz="4" w:space="0" w:color="auto"/>
              <w:right w:val="single" w:sz="4" w:space="0" w:color="auto"/>
            </w:tcBorders>
            <w:noWrap/>
            <w:vAlign w:val="center"/>
            <w:hideMark/>
          </w:tcPr>
          <w:p w14:paraId="377E1D1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98,7%</w:t>
            </w:r>
          </w:p>
        </w:tc>
      </w:tr>
    </w:tbl>
    <w:p w14:paraId="1A7A5E08" w14:textId="0A5E55B3" w:rsidR="003855B4" w:rsidRPr="00B403DF" w:rsidRDefault="00147B7E" w:rsidP="00B403DF">
      <w:pPr>
        <w:pStyle w:val="Default"/>
        <w:spacing w:before="120" w:after="120" w:line="276" w:lineRule="auto"/>
        <w:ind w:left="85" w:firstLine="680"/>
        <w:jc w:val="both"/>
        <w:rPr>
          <w:i/>
          <w:noProof/>
          <w:color w:val="auto"/>
          <w:sz w:val="28"/>
          <w:szCs w:val="28"/>
          <w:lang w:val="vi-VN"/>
        </w:rPr>
      </w:pPr>
      <w:r w:rsidRPr="00B403DF">
        <w:rPr>
          <w:i/>
          <w:noProof/>
          <w:color w:val="auto"/>
          <w:sz w:val="28"/>
          <w:szCs w:val="28"/>
          <w:lang w:val="vi-VN"/>
        </w:rPr>
        <w:t>d</w:t>
      </w:r>
      <w:r w:rsidR="003855B4" w:rsidRPr="00B403DF">
        <w:rPr>
          <w:i/>
          <w:noProof/>
          <w:color w:val="auto"/>
          <w:sz w:val="28"/>
          <w:szCs w:val="28"/>
          <w:lang w:val="vi-VN"/>
        </w:rPr>
        <w:t>)</w:t>
      </w:r>
      <w:r w:rsidR="003855B4" w:rsidRPr="00B403DF">
        <w:rPr>
          <w:noProof/>
          <w:color w:val="auto"/>
          <w:sz w:val="28"/>
          <w:szCs w:val="28"/>
          <w:lang w:val="vi-VN"/>
        </w:rPr>
        <w:t xml:space="preserve"> C</w:t>
      </w:r>
      <w:r w:rsidR="003855B4" w:rsidRPr="00B403DF">
        <w:rPr>
          <w:i/>
          <w:noProof/>
          <w:color w:val="auto"/>
          <w:sz w:val="28"/>
          <w:szCs w:val="28"/>
          <w:lang w:val="vi-VN"/>
        </w:rPr>
        <w:t>ông tác kiểm tra, thanh tra thuế ngày càng phát huy vai trò chủ chốt trong hoạt động quản lý thuế. Việc thực hiện kiểm tra, thanh tra được thực hiện theo đúng quy định, quy trình thanh tra, kiểm tra và đảm bảo thực hiện đúng kế hoạch thanh tra, kiểm tra hàng năm. Thông qua công tác thanh tra, kiểm tra, cơ quan quản lý thuế đã đảm bảo việc thu đúng, thu đủ số thuế phải nộp vào NSNN đồng thời đề xuất những kiến nghị về cơ chế, chính sách quản lý thuế để phù hợp với tình hình thực tế hoạt động của người nộp thuế.</w:t>
      </w:r>
    </w:p>
    <w:p w14:paraId="22E64191" w14:textId="57941FCE" w:rsidR="007413C3" w:rsidRPr="00B403DF" w:rsidRDefault="00DA642D" w:rsidP="00B403DF">
      <w:pPr>
        <w:pStyle w:val="Default"/>
        <w:spacing w:before="120" w:after="120" w:line="276" w:lineRule="auto"/>
        <w:ind w:left="85" w:firstLine="680"/>
        <w:jc w:val="both"/>
        <w:rPr>
          <w:noProof/>
          <w:color w:val="auto"/>
          <w:sz w:val="28"/>
          <w:szCs w:val="28"/>
        </w:rPr>
      </w:pPr>
      <w:r>
        <w:rPr>
          <w:noProof/>
          <w:color w:val="auto"/>
          <w:sz w:val="28"/>
          <w:szCs w:val="28"/>
        </w:rPr>
        <w:t>T</w:t>
      </w:r>
      <w:r w:rsidR="007413C3" w:rsidRPr="00B403DF">
        <w:rPr>
          <w:noProof/>
          <w:color w:val="auto"/>
          <w:sz w:val="28"/>
          <w:szCs w:val="28"/>
        </w:rPr>
        <w:t>rong giai đoạn 2020 – 202</w:t>
      </w:r>
      <w:r w:rsidR="00625E52">
        <w:rPr>
          <w:noProof/>
          <w:color w:val="auto"/>
          <w:sz w:val="28"/>
          <w:szCs w:val="28"/>
        </w:rPr>
        <w:t>5</w:t>
      </w:r>
      <w:r w:rsidR="007413C3" w:rsidRPr="00B403DF">
        <w:rPr>
          <w:noProof/>
          <w:color w:val="auto"/>
          <w:sz w:val="28"/>
          <w:szCs w:val="28"/>
        </w:rPr>
        <w:t xml:space="preserve">, toàn ngành Thuế đã thực hiện được </w:t>
      </w:r>
      <w:r w:rsidR="00625E52">
        <w:rPr>
          <w:noProof/>
          <w:color w:val="auto"/>
          <w:sz w:val="28"/>
          <w:szCs w:val="28"/>
        </w:rPr>
        <w:t>442</w:t>
      </w:r>
      <w:r w:rsidR="007413C3" w:rsidRPr="00B403DF">
        <w:rPr>
          <w:noProof/>
          <w:color w:val="auto"/>
          <w:sz w:val="28"/>
          <w:szCs w:val="28"/>
        </w:rPr>
        <w:t xml:space="preserve">.154 cuộc thanh tra, kiểm tra. Tổng số tiền kiến nghị xử lý qua thanh tra, kiểm tra là </w:t>
      </w:r>
      <w:r w:rsidR="00625E52">
        <w:rPr>
          <w:noProof/>
          <w:color w:val="auto"/>
          <w:sz w:val="28"/>
          <w:szCs w:val="28"/>
        </w:rPr>
        <w:t>402.448</w:t>
      </w:r>
      <w:r w:rsidR="007413C3" w:rsidRPr="00B403DF">
        <w:rPr>
          <w:noProof/>
          <w:color w:val="auto"/>
          <w:sz w:val="28"/>
          <w:szCs w:val="28"/>
        </w:rPr>
        <w:t xml:space="preserve"> tỷ đồng, trong đó: tổng số thuế tăng thu qua thanh tra, kiểm tra là </w:t>
      </w:r>
      <w:r w:rsidR="00625E52">
        <w:rPr>
          <w:noProof/>
          <w:color w:val="auto"/>
          <w:sz w:val="28"/>
          <w:szCs w:val="28"/>
        </w:rPr>
        <w:t>103.893</w:t>
      </w:r>
      <w:r w:rsidR="007413C3" w:rsidRPr="00B403DF">
        <w:rPr>
          <w:noProof/>
          <w:color w:val="auto"/>
          <w:sz w:val="28"/>
          <w:szCs w:val="28"/>
        </w:rPr>
        <w:t xml:space="preserve"> </w:t>
      </w:r>
      <w:r w:rsidR="007413C3" w:rsidRPr="00B403DF">
        <w:rPr>
          <w:noProof/>
          <w:color w:val="auto"/>
          <w:sz w:val="28"/>
          <w:szCs w:val="28"/>
        </w:rPr>
        <w:lastRenderedPageBreak/>
        <w:t xml:space="preserve">tỷ đồng, giảm khấu trừ là </w:t>
      </w:r>
      <w:r w:rsidR="00625E52">
        <w:rPr>
          <w:noProof/>
          <w:color w:val="auto"/>
          <w:sz w:val="28"/>
          <w:szCs w:val="28"/>
        </w:rPr>
        <w:t>15.633</w:t>
      </w:r>
      <w:r w:rsidR="007413C3" w:rsidRPr="00B403DF">
        <w:rPr>
          <w:noProof/>
          <w:color w:val="auto"/>
          <w:sz w:val="28"/>
          <w:szCs w:val="28"/>
        </w:rPr>
        <w:t xml:space="preserve"> tỷ đồng; giảm lỗ là </w:t>
      </w:r>
      <w:r w:rsidR="00625E52">
        <w:rPr>
          <w:noProof/>
          <w:color w:val="auto"/>
          <w:sz w:val="28"/>
          <w:szCs w:val="28"/>
        </w:rPr>
        <w:t>282.922</w:t>
      </w:r>
      <w:r w:rsidR="007413C3" w:rsidRPr="00B403DF">
        <w:rPr>
          <w:noProof/>
          <w:color w:val="auto"/>
          <w:sz w:val="28"/>
          <w:szCs w:val="28"/>
        </w:rPr>
        <w:t xml:space="preserve"> tỷ đồng. Tổng số tiền thuế nộp vào ngân sách là </w:t>
      </w:r>
      <w:r w:rsidR="00625E52">
        <w:rPr>
          <w:noProof/>
          <w:color w:val="auto"/>
          <w:sz w:val="28"/>
          <w:szCs w:val="28"/>
        </w:rPr>
        <w:t>71.537</w:t>
      </w:r>
      <w:r w:rsidR="007413C3" w:rsidRPr="00B403DF">
        <w:rPr>
          <w:noProof/>
          <w:color w:val="auto"/>
          <w:sz w:val="28"/>
          <w:szCs w:val="28"/>
        </w:rPr>
        <w:t xml:space="preserve"> tỷ đồng. Qua thanh tra, kiểm tra đã kiến nghị tăng thu góp phần vào hoàn thành thu ngân sách Nhà nước và xử lý kịp thời các hành vi phạm phạm pháp luật thuế của NNT, ngăn chặn vi phạm và nâng cao tính tuân thủ của NNT.</w:t>
      </w:r>
    </w:p>
    <w:p w14:paraId="436F75A5" w14:textId="6FFFD46E" w:rsidR="003855B4" w:rsidRPr="00B403DF" w:rsidRDefault="00DA642D" w:rsidP="00B403DF">
      <w:pPr>
        <w:spacing w:before="120" w:after="120" w:line="276" w:lineRule="auto"/>
        <w:ind w:left="85" w:firstLine="680"/>
        <w:jc w:val="both"/>
        <w:rPr>
          <w:rFonts w:cs="Times New Roman"/>
          <w:noProof/>
          <w:szCs w:val="28"/>
          <w:lang w:val="vi-VN"/>
        </w:rPr>
      </w:pPr>
      <w:r>
        <w:rPr>
          <w:rFonts w:eastAsia="Times New Roman" w:cs="Times New Roman"/>
          <w:szCs w:val="28"/>
        </w:rPr>
        <w:t>C</w:t>
      </w:r>
      <w:r w:rsidR="00B17AF6" w:rsidRPr="00B403DF">
        <w:rPr>
          <w:rFonts w:eastAsia="Times New Roman" w:cs="Times New Roman"/>
          <w:szCs w:val="28"/>
          <w:lang w:val="vi-VN"/>
        </w:rPr>
        <w:t>ông tác thanh tra, kiểm tra tại trụ sở người nộp thuế, kiểm tra hồ sơ khai thuế tại cơ quan thuế theo kế hoạch</w:t>
      </w:r>
      <w:r w:rsidR="003075A3" w:rsidRPr="00B403DF">
        <w:rPr>
          <w:rFonts w:eastAsia="Times New Roman" w:cs="Times New Roman"/>
          <w:szCs w:val="28"/>
        </w:rPr>
        <w:t>, chuyên đề</w:t>
      </w:r>
      <w:r w:rsidR="00B17AF6" w:rsidRPr="00B403DF">
        <w:rPr>
          <w:rFonts w:eastAsia="Times New Roman" w:cs="Times New Roman"/>
          <w:szCs w:val="28"/>
          <w:lang w:val="vi-VN"/>
        </w:rPr>
        <w:t xml:space="preserve"> hàng năm và đột xuất đã cơ bản đáp ứng được yêu cầu của công tác quản lý thuế và đạt được hiệu quả nhất định về số lượng và chất lượng. Số doanh nghiệp được thanh tra đúng trọng tâm, trọng điểm, phát hiện được những vấn đề thiếu sót lớn của doanh nghiệp, vướng mắc của các quy định pháp luật trong quá trình thanh tra, kiểm tra</w:t>
      </w:r>
      <w:r w:rsidR="00B17AF6" w:rsidRPr="00B403DF">
        <w:rPr>
          <w:rFonts w:eastAsia="Times New Roman" w:cs="Times New Roman"/>
          <w:b/>
          <w:i/>
          <w:szCs w:val="28"/>
        </w:rPr>
        <w:t xml:space="preserve">. </w:t>
      </w:r>
      <w:r w:rsidR="00B17AF6" w:rsidRPr="00B403DF">
        <w:rPr>
          <w:rFonts w:eastAsia="Times New Roman" w:cs="Times New Roman"/>
          <w:szCs w:val="28"/>
          <w:lang w:val="vi-VN"/>
        </w:rPr>
        <w:t>Nhiều năm có số kiến nghị truy thu, xử lý vi phạm hành chính về thuế tăng cao</w:t>
      </w:r>
      <w:r w:rsidR="003855B4" w:rsidRPr="00B403DF">
        <w:rPr>
          <w:rFonts w:cs="Times New Roman"/>
          <w:noProof/>
          <w:szCs w:val="28"/>
          <w:lang w:val="vi-VN"/>
        </w:rPr>
        <w:t xml:space="preserve">. </w:t>
      </w:r>
    </w:p>
    <w:p w14:paraId="24682997" w14:textId="77777777" w:rsidR="00B17AF6" w:rsidRPr="00B403DF" w:rsidRDefault="00B17AF6" w:rsidP="00B403DF">
      <w:pPr>
        <w:spacing w:before="120" w:after="120" w:line="276" w:lineRule="auto"/>
        <w:ind w:left="85" w:firstLine="680"/>
        <w:jc w:val="both"/>
        <w:rPr>
          <w:rFonts w:eastAsia="Times New Roman" w:cs="Times New Roman"/>
          <w:szCs w:val="28"/>
          <w:lang w:val="vi-VN"/>
        </w:rPr>
      </w:pPr>
      <w:r w:rsidRPr="00B403DF">
        <w:rPr>
          <w:rFonts w:eastAsia="Times New Roman" w:cs="Times New Roman"/>
          <w:szCs w:val="28"/>
          <w:lang w:val="vi-VN"/>
        </w:rPr>
        <w:t>Số liệu cụ thể về kết quả thực hiện thanh tra thuế của cơ quan hải quan giai đoạn 2020-2025 như sau:</w:t>
      </w:r>
    </w:p>
    <w:tbl>
      <w:tblPr>
        <w:tblStyle w:val="TableGrid"/>
        <w:tblW w:w="0" w:type="auto"/>
        <w:tblLook w:val="04A0" w:firstRow="1" w:lastRow="0" w:firstColumn="1" w:lastColumn="0" w:noHBand="0" w:noVBand="1"/>
      </w:tblPr>
      <w:tblGrid>
        <w:gridCol w:w="957"/>
        <w:gridCol w:w="1921"/>
        <w:gridCol w:w="3064"/>
        <w:gridCol w:w="3122"/>
      </w:tblGrid>
      <w:tr w:rsidR="00E25C6C" w:rsidRPr="00B403DF" w14:paraId="62EA23CB" w14:textId="77777777" w:rsidTr="00C429F9">
        <w:tc>
          <w:tcPr>
            <w:tcW w:w="959" w:type="dxa"/>
          </w:tcPr>
          <w:p w14:paraId="4B103F8D"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Năm</w:t>
            </w:r>
          </w:p>
        </w:tc>
        <w:tc>
          <w:tcPr>
            <w:tcW w:w="1984" w:type="dxa"/>
          </w:tcPr>
          <w:p w14:paraId="4962D8D1"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Tổng số cuộc</w:t>
            </w:r>
          </w:p>
        </w:tc>
        <w:tc>
          <w:tcPr>
            <w:tcW w:w="3119" w:type="dxa"/>
          </w:tcPr>
          <w:p w14:paraId="7024A689"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Kiến nghị (VNĐ)</w:t>
            </w:r>
          </w:p>
        </w:tc>
        <w:tc>
          <w:tcPr>
            <w:tcW w:w="3181" w:type="dxa"/>
          </w:tcPr>
          <w:p w14:paraId="4915C317"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Số đã thu nộp NSNN</w:t>
            </w:r>
          </w:p>
        </w:tc>
      </w:tr>
      <w:tr w:rsidR="00E25C6C" w:rsidRPr="00B403DF" w14:paraId="4325598C" w14:textId="77777777" w:rsidTr="00C429F9">
        <w:tc>
          <w:tcPr>
            <w:tcW w:w="959" w:type="dxa"/>
          </w:tcPr>
          <w:p w14:paraId="4B6C05C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2020</w:t>
            </w:r>
          </w:p>
        </w:tc>
        <w:tc>
          <w:tcPr>
            <w:tcW w:w="1984" w:type="dxa"/>
          </w:tcPr>
          <w:p w14:paraId="0A27684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52</w:t>
            </w:r>
          </w:p>
        </w:tc>
        <w:tc>
          <w:tcPr>
            <w:tcW w:w="3119" w:type="dxa"/>
          </w:tcPr>
          <w:p w14:paraId="24D77D3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87,593,103,382</w:t>
            </w:r>
          </w:p>
        </w:tc>
        <w:tc>
          <w:tcPr>
            <w:tcW w:w="3181" w:type="dxa"/>
          </w:tcPr>
          <w:p w14:paraId="79EAE378"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101,562,868,933</w:t>
            </w:r>
          </w:p>
        </w:tc>
      </w:tr>
      <w:tr w:rsidR="00E25C6C" w:rsidRPr="00B403DF" w14:paraId="18A0A722" w14:textId="77777777" w:rsidTr="00C429F9">
        <w:tc>
          <w:tcPr>
            <w:tcW w:w="959" w:type="dxa"/>
          </w:tcPr>
          <w:p w14:paraId="0AE91984"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2021</w:t>
            </w:r>
          </w:p>
        </w:tc>
        <w:tc>
          <w:tcPr>
            <w:tcW w:w="1984" w:type="dxa"/>
          </w:tcPr>
          <w:p w14:paraId="2B84A5A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36</w:t>
            </w:r>
          </w:p>
        </w:tc>
        <w:tc>
          <w:tcPr>
            <w:tcW w:w="3119" w:type="dxa"/>
          </w:tcPr>
          <w:p w14:paraId="1AD3190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82,640,000,000</w:t>
            </w:r>
          </w:p>
        </w:tc>
        <w:tc>
          <w:tcPr>
            <w:tcW w:w="3181" w:type="dxa"/>
          </w:tcPr>
          <w:p w14:paraId="2F74384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70,100,917,537</w:t>
            </w:r>
          </w:p>
        </w:tc>
      </w:tr>
      <w:tr w:rsidR="00E25C6C" w:rsidRPr="00B403DF" w14:paraId="1D367264" w14:textId="77777777" w:rsidTr="00C429F9">
        <w:tc>
          <w:tcPr>
            <w:tcW w:w="959" w:type="dxa"/>
          </w:tcPr>
          <w:p w14:paraId="66388FE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2022</w:t>
            </w:r>
          </w:p>
        </w:tc>
        <w:tc>
          <w:tcPr>
            <w:tcW w:w="1984" w:type="dxa"/>
          </w:tcPr>
          <w:p w14:paraId="22F6695E"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115</w:t>
            </w:r>
          </w:p>
        </w:tc>
        <w:tc>
          <w:tcPr>
            <w:tcW w:w="3119" w:type="dxa"/>
          </w:tcPr>
          <w:p w14:paraId="6234EEB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71,491,000,000</w:t>
            </w:r>
          </w:p>
        </w:tc>
        <w:tc>
          <w:tcPr>
            <w:tcW w:w="3181" w:type="dxa"/>
          </w:tcPr>
          <w:p w14:paraId="23B621AB"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55,785,000,000</w:t>
            </w:r>
          </w:p>
        </w:tc>
      </w:tr>
      <w:tr w:rsidR="00E25C6C" w:rsidRPr="00B403DF" w14:paraId="78FACD73" w14:textId="77777777" w:rsidTr="00C429F9">
        <w:tc>
          <w:tcPr>
            <w:tcW w:w="959" w:type="dxa"/>
          </w:tcPr>
          <w:p w14:paraId="4CCF34E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2023</w:t>
            </w:r>
          </w:p>
        </w:tc>
        <w:tc>
          <w:tcPr>
            <w:tcW w:w="1984" w:type="dxa"/>
          </w:tcPr>
          <w:p w14:paraId="442E56B1"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113</w:t>
            </w:r>
          </w:p>
        </w:tc>
        <w:tc>
          <w:tcPr>
            <w:tcW w:w="3119" w:type="dxa"/>
          </w:tcPr>
          <w:p w14:paraId="40C0A20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208,652,000,000</w:t>
            </w:r>
          </w:p>
        </w:tc>
        <w:tc>
          <w:tcPr>
            <w:tcW w:w="3181" w:type="dxa"/>
          </w:tcPr>
          <w:p w14:paraId="39151607"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296,087,000,000</w:t>
            </w:r>
          </w:p>
        </w:tc>
      </w:tr>
      <w:tr w:rsidR="00E25C6C" w:rsidRPr="00B403DF" w14:paraId="2FB9625D" w14:textId="77777777" w:rsidTr="00C429F9">
        <w:tc>
          <w:tcPr>
            <w:tcW w:w="959" w:type="dxa"/>
          </w:tcPr>
          <w:p w14:paraId="48A8BCD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2024</w:t>
            </w:r>
          </w:p>
        </w:tc>
        <w:tc>
          <w:tcPr>
            <w:tcW w:w="1984" w:type="dxa"/>
          </w:tcPr>
          <w:p w14:paraId="0C61A548"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55</w:t>
            </w:r>
          </w:p>
        </w:tc>
        <w:tc>
          <w:tcPr>
            <w:tcW w:w="3119" w:type="dxa"/>
          </w:tcPr>
          <w:p w14:paraId="190E6378"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155,154,000,000</w:t>
            </w:r>
          </w:p>
        </w:tc>
        <w:tc>
          <w:tcPr>
            <w:tcW w:w="3181" w:type="dxa"/>
          </w:tcPr>
          <w:p w14:paraId="580AC1CB"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82,086,000,000</w:t>
            </w:r>
          </w:p>
        </w:tc>
      </w:tr>
      <w:tr w:rsidR="00E25C6C" w:rsidRPr="00B403DF" w14:paraId="4BB06CEF" w14:textId="77777777" w:rsidTr="00C429F9">
        <w:tc>
          <w:tcPr>
            <w:tcW w:w="959" w:type="dxa"/>
          </w:tcPr>
          <w:p w14:paraId="75FF468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2025</w:t>
            </w:r>
          </w:p>
        </w:tc>
        <w:tc>
          <w:tcPr>
            <w:tcW w:w="1984" w:type="dxa"/>
          </w:tcPr>
          <w:p w14:paraId="5D4274F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3</w:t>
            </w:r>
          </w:p>
        </w:tc>
        <w:tc>
          <w:tcPr>
            <w:tcW w:w="3119" w:type="dxa"/>
          </w:tcPr>
          <w:p w14:paraId="598E6812"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11,331,000,000</w:t>
            </w:r>
          </w:p>
        </w:tc>
        <w:tc>
          <w:tcPr>
            <w:tcW w:w="3181" w:type="dxa"/>
          </w:tcPr>
          <w:p w14:paraId="473B5ECB"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9,731,000,000</w:t>
            </w:r>
          </w:p>
        </w:tc>
      </w:tr>
      <w:tr w:rsidR="00E25C6C" w:rsidRPr="00B403DF" w14:paraId="4BDC2AEE" w14:textId="77777777" w:rsidTr="00C429F9">
        <w:tc>
          <w:tcPr>
            <w:tcW w:w="959" w:type="dxa"/>
          </w:tcPr>
          <w:p w14:paraId="4A4FE8D6"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Tổng</w:t>
            </w:r>
          </w:p>
        </w:tc>
        <w:tc>
          <w:tcPr>
            <w:tcW w:w="1984" w:type="dxa"/>
          </w:tcPr>
          <w:p w14:paraId="76A435AD"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374</w:t>
            </w:r>
          </w:p>
        </w:tc>
        <w:tc>
          <w:tcPr>
            <w:tcW w:w="3119" w:type="dxa"/>
          </w:tcPr>
          <w:p w14:paraId="14AC292F"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616,861,103,382</w:t>
            </w:r>
          </w:p>
        </w:tc>
        <w:tc>
          <w:tcPr>
            <w:tcW w:w="3181" w:type="dxa"/>
          </w:tcPr>
          <w:p w14:paraId="2BB4A2F4"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615,352,786,470</w:t>
            </w:r>
          </w:p>
        </w:tc>
      </w:tr>
    </w:tbl>
    <w:p w14:paraId="67A56CAA" w14:textId="3DFFAB52" w:rsidR="00B17AF6" w:rsidRPr="00B403DF" w:rsidRDefault="00B17AF6" w:rsidP="00B403DF">
      <w:pPr>
        <w:spacing w:before="120" w:after="120" w:line="276" w:lineRule="auto"/>
        <w:ind w:left="85" w:firstLine="720"/>
        <w:jc w:val="both"/>
        <w:rPr>
          <w:rFonts w:eastAsia="Times New Roman" w:cs="Times New Roman"/>
          <w:szCs w:val="28"/>
          <w:lang w:val="vi-VN"/>
        </w:rPr>
      </w:pPr>
      <w:r w:rsidRPr="00B403DF">
        <w:rPr>
          <w:rFonts w:eastAsia="Times New Roman" w:cs="Times New Roman"/>
          <w:szCs w:val="28"/>
          <w:lang w:val="vi-VN"/>
        </w:rPr>
        <w:t xml:space="preserve">Về công tác kiểm tra sau thông quan: Số cuộc kiểm tra sau thông quan từ năm 2020 đến tháng 3/2025: 9835 cuộc; Số tiền thu vào NSNN là 3117,19 tỷ đồng. Công tác kiểm tra sau thông quan đã góp phần nâng cao tính tuân thủ pháp luật quản lý thuế của doanh nghiệp, các sai phạm được chấn chỉnh. </w:t>
      </w:r>
    </w:p>
    <w:p w14:paraId="3D456CB3" w14:textId="34ED46DE" w:rsidR="005D6FC8" w:rsidRPr="00B403DF" w:rsidRDefault="005D6FC8" w:rsidP="00B403DF">
      <w:pPr>
        <w:pStyle w:val="Default"/>
        <w:spacing w:before="120" w:after="120" w:line="276" w:lineRule="auto"/>
        <w:ind w:left="85" w:firstLine="680"/>
        <w:jc w:val="both"/>
        <w:rPr>
          <w:b/>
          <w:noProof/>
          <w:color w:val="auto"/>
          <w:sz w:val="28"/>
          <w:szCs w:val="28"/>
          <w:lang w:val="vi-VN"/>
        </w:rPr>
      </w:pPr>
      <w:r w:rsidRPr="00B403DF">
        <w:rPr>
          <w:b/>
          <w:noProof/>
          <w:color w:val="auto"/>
          <w:sz w:val="28"/>
          <w:szCs w:val="28"/>
          <w:lang w:val="vi-VN"/>
        </w:rPr>
        <w:t>2.1.2. Tăng cường bảo vệ quyền lợi người nộp thuế</w:t>
      </w:r>
    </w:p>
    <w:p w14:paraId="2B67E3EC" w14:textId="7F8CD7B7" w:rsidR="005D6FC8" w:rsidRPr="00B403DF" w:rsidRDefault="00983F39" w:rsidP="00B403DF">
      <w:pPr>
        <w:spacing w:before="120" w:after="120" w:line="276" w:lineRule="auto"/>
        <w:ind w:left="85" w:firstLine="720"/>
        <w:jc w:val="both"/>
        <w:rPr>
          <w:rFonts w:cs="Times New Roman"/>
          <w:i/>
          <w:iCs/>
          <w:noProof/>
          <w:szCs w:val="28"/>
          <w:lang w:val="vi-VN"/>
        </w:rPr>
      </w:pPr>
      <w:r w:rsidRPr="00B403DF">
        <w:rPr>
          <w:rFonts w:cs="Times New Roman"/>
          <w:noProof/>
          <w:szCs w:val="28"/>
          <w:lang w:val="vi-VN"/>
        </w:rPr>
        <w:t xml:space="preserve">a) </w:t>
      </w:r>
      <w:r w:rsidR="00DA642D" w:rsidRPr="00DA642D">
        <w:rPr>
          <w:rFonts w:cs="Times New Roman"/>
          <w:i/>
          <w:iCs/>
          <w:noProof/>
          <w:szCs w:val="28"/>
          <w:lang w:val="vi-VN"/>
        </w:rPr>
        <w:t xml:space="preserve">Nghị định số 126/2020/NĐ-CP </w:t>
      </w:r>
      <w:r w:rsidR="005D6FC8" w:rsidRPr="00B403DF">
        <w:rPr>
          <w:rFonts w:cs="Times New Roman"/>
          <w:i/>
          <w:iCs/>
          <w:noProof/>
          <w:szCs w:val="28"/>
          <w:lang w:val="vi-VN"/>
        </w:rPr>
        <w:t xml:space="preserve">đã thiết lập một khung pháp lý toàn diện để bảo vệ quyền lợi người nộp thuế. Theo đó, người nộp thuế được quyền yêu cầu cơ quan thuế giải thích và cung cấp thông tin liên quan đến nghĩa vụ thuế </w:t>
      </w:r>
      <w:r w:rsidR="005D6FC8" w:rsidRPr="00B403DF">
        <w:rPr>
          <w:rFonts w:cs="Times New Roman"/>
          <w:i/>
          <w:iCs/>
          <w:noProof/>
          <w:szCs w:val="28"/>
          <w:lang w:val="vi-VN"/>
        </w:rPr>
        <w:lastRenderedPageBreak/>
        <w:t>của họ. Điều này giúp đảm bảo tính minh bạch trong quản lý thuế và tạo điều kiện cho người nộp thuế hiểu rõ về trách nhiệm của mình.</w:t>
      </w:r>
    </w:p>
    <w:p w14:paraId="26D6B527" w14:textId="29AB6F29" w:rsidR="00983FF8" w:rsidRDefault="00983FF8" w:rsidP="00983FF8">
      <w:pPr>
        <w:spacing w:before="120" w:after="120" w:line="276" w:lineRule="auto"/>
        <w:ind w:left="85" w:firstLine="720"/>
        <w:jc w:val="both"/>
        <w:rPr>
          <w:rFonts w:cs="Times New Roman"/>
          <w:noProof/>
          <w:szCs w:val="28"/>
        </w:rPr>
      </w:pPr>
      <w:r w:rsidRPr="00983FF8">
        <w:rPr>
          <w:rFonts w:cs="Times New Roman"/>
          <w:noProof/>
          <w:szCs w:val="28"/>
        </w:rPr>
        <w:t>Nghị định số 126/2020/NĐ-CP thể hiện tính nhân văn sâu sắc qua việc bảo vệ quyền lợi</w:t>
      </w:r>
      <w:r>
        <w:rPr>
          <w:rFonts w:cs="Times New Roman"/>
          <w:noProof/>
          <w:szCs w:val="28"/>
        </w:rPr>
        <w:t xml:space="preserve"> </w:t>
      </w:r>
      <w:r w:rsidRPr="00983FF8">
        <w:rPr>
          <w:rFonts w:cs="Times New Roman"/>
          <w:noProof/>
          <w:szCs w:val="28"/>
        </w:rPr>
        <w:t>chính đáng của người nộp thuế. Các quy định về bảo mật thông tin, miễn xử</w:t>
      </w:r>
      <w:r>
        <w:rPr>
          <w:rFonts w:cs="Times New Roman"/>
          <w:noProof/>
          <w:szCs w:val="28"/>
        </w:rPr>
        <w:t xml:space="preserve"> </w:t>
      </w:r>
      <w:r w:rsidRPr="00983FF8">
        <w:rPr>
          <w:rFonts w:cs="Times New Roman"/>
          <w:noProof/>
          <w:szCs w:val="28"/>
        </w:rPr>
        <w:t>phạt và miễn tính tiền chậm nộp trong trường hợp tuân thủ theo hướng dẫn của</w:t>
      </w:r>
      <w:r>
        <w:rPr>
          <w:rFonts w:cs="Times New Roman"/>
          <w:noProof/>
          <w:szCs w:val="28"/>
        </w:rPr>
        <w:t xml:space="preserve"> </w:t>
      </w:r>
      <w:r w:rsidRPr="00983FF8">
        <w:rPr>
          <w:rFonts w:cs="Times New Roman"/>
          <w:noProof/>
          <w:szCs w:val="28"/>
        </w:rPr>
        <w:t xml:space="preserve">cơ quan thuế đã giúp người nộp thuế an tâm hơn khi thực hiện nghĩa vụ. </w:t>
      </w:r>
    </w:p>
    <w:p w14:paraId="5A6F8A8D" w14:textId="33ADB2A7" w:rsidR="005D6FC8"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Đặc biệt, </w:t>
      </w:r>
      <w:r w:rsidR="00983FF8">
        <w:rPr>
          <w:rFonts w:cs="Times New Roman"/>
          <w:noProof/>
          <w:szCs w:val="28"/>
        </w:rPr>
        <w:t xml:space="preserve">Nghị định </w:t>
      </w:r>
      <w:r w:rsidR="00983FF8" w:rsidRPr="00983FF8">
        <w:rPr>
          <w:rFonts w:cs="Times New Roman"/>
          <w:noProof/>
          <w:szCs w:val="28"/>
          <w:lang w:val="vi-VN"/>
        </w:rPr>
        <w:t>số 126/2020/NĐ-CP</w:t>
      </w:r>
      <w:r w:rsidRPr="00B403DF">
        <w:rPr>
          <w:rFonts w:cs="Times New Roman"/>
          <w:noProof/>
          <w:szCs w:val="28"/>
          <w:lang w:val="vi-VN"/>
        </w:rPr>
        <w:t xml:space="preserve"> đã thể hiện tính nhân văn thông qua các cơ chế gia hạn, giảm thuế và miễn thuế linh hoạt. Trong những trường hợp người nộp thuế gặp khó khăn khách quan như thiên tai, hỏa hoạn, tai nạn bất ngờ hoặc gặp khó khăn đặc biệt khác, họ có thể được xem xét gia hạn nộp thuế, giảm thuế hoặc miễn thuế. Điều này đã được thể hiện rõ qua việc thực hiện các chính sách hỗ trợ trong giai đoạn đại dịch Covid-19, giúp doanh nghiệp và người dân vượt qua khó khăn.</w:t>
      </w:r>
    </w:p>
    <w:p w14:paraId="04233797" w14:textId="2AEBD5CB" w:rsidR="005D6FC8"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Các quy định về bảo vệ quyền lợi người nộp thuế không chỉ thể hiện trên văn bản mà còn được cụ thể hóa thông qua việc cải cách thủ tục hành chính, hiện đại hóa công tác quản lý thuế. Người nộp thuế được tiếp cận các dịch vụ hỗ trợ đa dạng, từ tư vấn trực tiếp đến các kênh hỗ trợ trực tuyến, giúp họ thực hiện nghĩa vụ thuế một cách thuận lợi nhất.</w:t>
      </w:r>
    </w:p>
    <w:p w14:paraId="21695F47" w14:textId="0172DDE4" w:rsidR="009B2734" w:rsidRPr="00B403DF" w:rsidRDefault="00DD0A6F" w:rsidP="00B403DF">
      <w:pPr>
        <w:pStyle w:val="Default"/>
        <w:spacing w:before="120" w:after="120" w:line="276" w:lineRule="auto"/>
        <w:ind w:left="85" w:firstLine="680"/>
        <w:jc w:val="both"/>
        <w:rPr>
          <w:i/>
          <w:color w:val="auto"/>
          <w:sz w:val="28"/>
          <w:szCs w:val="28"/>
          <w:lang w:val="vi-VN"/>
        </w:rPr>
      </w:pPr>
      <w:r>
        <w:rPr>
          <w:i/>
          <w:color w:val="auto"/>
          <w:sz w:val="28"/>
          <w:szCs w:val="28"/>
        </w:rPr>
        <w:t>b</w:t>
      </w:r>
      <w:r w:rsidR="009B2734" w:rsidRPr="00B403DF">
        <w:rPr>
          <w:i/>
          <w:color w:val="auto"/>
          <w:sz w:val="28"/>
          <w:szCs w:val="28"/>
          <w:lang w:val="vi-VN"/>
        </w:rPr>
        <w:t>) Công tác giải quyết khiếu nại, tố cáo được đảm bảo thực hiện đúng theo quy trình, thủ tục giải quyết, đáp ứng được yêu cầu của người khiếu nại.</w:t>
      </w:r>
    </w:p>
    <w:p w14:paraId="551B5E41" w14:textId="44ECDBAE" w:rsidR="00E96785" w:rsidRPr="00DD0A6F" w:rsidRDefault="009B2734" w:rsidP="00DD0A6F">
      <w:pPr>
        <w:pStyle w:val="Default"/>
        <w:spacing w:before="120" w:after="120" w:line="276" w:lineRule="auto"/>
        <w:ind w:left="85" w:firstLine="680"/>
        <w:jc w:val="both"/>
        <w:rPr>
          <w:color w:val="auto"/>
          <w:sz w:val="28"/>
          <w:szCs w:val="28"/>
          <w:lang w:val="vi-VN"/>
        </w:rPr>
      </w:pPr>
      <w:r w:rsidRPr="00B403DF">
        <w:rPr>
          <w:color w:val="auto"/>
          <w:sz w:val="28"/>
          <w:szCs w:val="28"/>
          <w:lang w:val="vi-VN"/>
        </w:rPr>
        <w:t xml:space="preserve">Việc giải quyết khiếu nại, tố cáo luôn là một trong những nhiệm vụ trọng tâm trong hoạt động của cơ quan quản lý thuế. Cơ quan quản lý thuế đã xây dựng quy trình giải quyết khiếu nại, quy trình giải quyết tố cáo, trong đó xác định rõ thời gian </w:t>
      </w:r>
      <w:r w:rsidRPr="00DD0A6F">
        <w:rPr>
          <w:color w:val="auto"/>
          <w:sz w:val="28"/>
          <w:szCs w:val="28"/>
          <w:lang w:val="vi-VN"/>
        </w:rPr>
        <w:t>giải quyết, trách nhiệm giải quyết khiếu nại, tố cáo tại cơ quan quản lý thuế các cấp.</w:t>
      </w:r>
      <w:r w:rsidR="00DD0A6F" w:rsidRPr="00DD0A6F">
        <w:rPr>
          <w:color w:val="auto"/>
          <w:sz w:val="28"/>
          <w:szCs w:val="28"/>
        </w:rPr>
        <w:t xml:space="preserve"> </w:t>
      </w:r>
      <w:r w:rsidR="00B17AF6" w:rsidRPr="00DD0A6F">
        <w:rPr>
          <w:sz w:val="28"/>
          <w:szCs w:val="28"/>
          <w:lang w:val="vi-VN"/>
        </w:rPr>
        <w:t>Công tác giải quyết khiếu nại, tố cáo luôn được thực hiện theo đúng trình tự, thủ tục của Luật khiếu nại, tố cáo.</w:t>
      </w:r>
    </w:p>
    <w:p w14:paraId="604DAFD9" w14:textId="69626568" w:rsidR="00CD33B4" w:rsidRPr="00B403DF" w:rsidRDefault="005D6FC8" w:rsidP="00B403DF">
      <w:pPr>
        <w:spacing w:before="120" w:after="120" w:line="276" w:lineRule="auto"/>
        <w:ind w:left="85" w:firstLine="720"/>
        <w:jc w:val="both"/>
        <w:rPr>
          <w:rFonts w:cs="Times New Roman"/>
          <w:b/>
          <w:noProof/>
          <w:szCs w:val="28"/>
          <w:lang w:val="vi-VN"/>
        </w:rPr>
      </w:pPr>
      <w:r w:rsidRPr="00B403DF">
        <w:rPr>
          <w:rFonts w:cs="Times New Roman"/>
          <w:b/>
          <w:noProof/>
          <w:szCs w:val="28"/>
          <w:lang w:val="vi-VN"/>
        </w:rPr>
        <w:t>2.1.3. Hiện đại hóa công tác quản lý và giám sát thuế</w:t>
      </w:r>
    </w:p>
    <w:p w14:paraId="332F51A3" w14:textId="68CC6AFB"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a) Trong thời gian qua, cơ quan quản lý thuế đã tập trung xây dựng, phát triển hệ thống </w:t>
      </w:r>
      <w:r w:rsidRPr="00B403DF">
        <w:rPr>
          <w:rFonts w:cs="Times New Roman"/>
          <w:bCs/>
          <w:spacing w:val="-2"/>
          <w:szCs w:val="28"/>
          <w:lang w:val="vi-VN"/>
        </w:rPr>
        <w:t>ứng dụng</w:t>
      </w:r>
      <w:r w:rsidRPr="00B403DF">
        <w:rPr>
          <w:rFonts w:cs="Times New Roman"/>
          <w:bCs/>
          <w:spacing w:val="-2"/>
          <w:szCs w:val="28"/>
        </w:rPr>
        <w:t xml:space="preserve"> công nghệ </w:t>
      </w:r>
      <w:r w:rsidRPr="00B403DF">
        <w:rPr>
          <w:rFonts w:cs="Times New Roman"/>
          <w:bCs/>
          <w:spacing w:val="-2"/>
          <w:szCs w:val="28"/>
          <w:lang w:val="vi-VN"/>
        </w:rPr>
        <w:t>thông tin</w:t>
      </w:r>
      <w:r w:rsidRPr="00B403DF">
        <w:rPr>
          <w:rFonts w:cs="Times New Roman"/>
          <w:bCs/>
          <w:spacing w:val="-2"/>
          <w:szCs w:val="28"/>
        </w:rPr>
        <w:t xml:space="preserve"> </w:t>
      </w:r>
      <w:r w:rsidRPr="00B403DF">
        <w:rPr>
          <w:rFonts w:cs="Times New Roman"/>
          <w:bCs/>
          <w:spacing w:val="-2"/>
          <w:szCs w:val="28"/>
          <w:lang w:val="vi-VN"/>
        </w:rPr>
        <w:t>phục vụ công tác quản lý thuế</w:t>
      </w:r>
      <w:r w:rsidRPr="00B403DF">
        <w:rPr>
          <w:rFonts w:cs="Times New Roman"/>
          <w:bCs/>
          <w:spacing w:val="-2"/>
          <w:szCs w:val="28"/>
        </w:rPr>
        <w:t xml:space="preserve">. Hệ thống ứng dụng được xây dựng trên cơ sở bám sát các yêu cầu nghiệp vụ và bao gồm các lớp ứng dụng quan trọng như: ứng dụng dịch vụ thuế trực tuyến, ứng dụng phục vụ nghiệp vụ lõi, ứng dụng hỗ trợ quản lý thuế, ứng dụng phục vụ quản trị nội bộ và ứng dụng dữ liệu. Đến thời điểm hiện tại, hệ thống này đã đáp ứng được yêu cầu của cơ quan thuế trong quản lý thu thuế, chỉ đạo điều hành cũng như kết </w:t>
      </w:r>
      <w:r w:rsidRPr="00B403DF">
        <w:rPr>
          <w:rFonts w:cs="Times New Roman"/>
          <w:bCs/>
          <w:spacing w:val="-2"/>
          <w:szCs w:val="28"/>
        </w:rPr>
        <w:lastRenderedPageBreak/>
        <w:t>nối, trao đổi thông tin. Đồng thời đã đáp ứng yêu cầu về cung cấp dịch vụ hỗ trợ, tạo điều kiện thuận lợi cho người nộp thuế thực hiện nghĩa vụ thuế.</w:t>
      </w:r>
    </w:p>
    <w:p w14:paraId="395BBB79" w14:textId="381CFBE0" w:rsidR="003670D7" w:rsidRPr="00B403DF" w:rsidRDefault="003670D7" w:rsidP="00B403DF">
      <w:pPr>
        <w:spacing w:before="120" w:after="120" w:line="276" w:lineRule="auto"/>
        <w:ind w:left="85" w:firstLine="720"/>
        <w:jc w:val="both"/>
        <w:rPr>
          <w:rFonts w:cs="Times New Roman"/>
          <w:szCs w:val="28"/>
          <w:lang w:val="vi-VN"/>
        </w:rPr>
      </w:pPr>
      <w:r w:rsidRPr="00B403DF">
        <w:rPr>
          <w:rFonts w:cs="Times New Roman"/>
          <w:szCs w:val="28"/>
          <w:lang w:val="vi-VN"/>
        </w:rPr>
        <w:t xml:space="preserve">Một trong những thành tựu quan trọng của Luật Quản lý thuế </w:t>
      </w:r>
      <w:r w:rsidR="00983FF8">
        <w:rPr>
          <w:rFonts w:cs="Times New Roman"/>
          <w:szCs w:val="28"/>
        </w:rPr>
        <w:t xml:space="preserve">và Nghị định </w:t>
      </w:r>
      <w:r w:rsidR="00983FF8" w:rsidRPr="00983FF8">
        <w:rPr>
          <w:rFonts w:cs="Times New Roman"/>
          <w:szCs w:val="28"/>
        </w:rPr>
        <w:t xml:space="preserve">số 126/2020/NĐ-CP </w:t>
      </w:r>
      <w:r w:rsidRPr="00B403DF">
        <w:rPr>
          <w:rFonts w:cs="Times New Roman"/>
          <w:szCs w:val="28"/>
          <w:lang w:val="vi-VN"/>
        </w:rPr>
        <w:t xml:space="preserve">là việc mở rộng phạm vi quản lý thuế, không chỉ với các </w:t>
      </w:r>
      <w:r w:rsidRPr="00B403DF">
        <w:rPr>
          <w:rFonts w:cs="Times New Roman"/>
          <w:szCs w:val="28"/>
        </w:rPr>
        <w:t xml:space="preserve">giao dịch </w:t>
      </w:r>
      <w:r w:rsidRPr="00B403DF">
        <w:rPr>
          <w:rFonts w:cs="Times New Roman"/>
          <w:szCs w:val="28"/>
          <w:lang w:val="vi-VN"/>
        </w:rPr>
        <w:t>thuế nội địa mà còn bao gồm cả các giao dịch xuyên biên giới, thương mại điện tử và các giao dịch quốc tế. Điều này tạo hành lang pháp lý vững chắc để quản lý toàn diện các hoạt động kinh tế trong bối cảnh số hóa và hội nhập.</w:t>
      </w:r>
    </w:p>
    <w:p w14:paraId="0F33E1F5" w14:textId="77777777" w:rsidR="003670D7" w:rsidRPr="00B403DF" w:rsidRDefault="003670D7" w:rsidP="00B403DF">
      <w:pPr>
        <w:pStyle w:val="ListParagraph"/>
        <w:spacing w:before="120" w:after="120" w:line="276" w:lineRule="auto"/>
        <w:ind w:left="85" w:firstLine="720"/>
        <w:jc w:val="both"/>
        <w:rPr>
          <w:rFonts w:cs="Times New Roman"/>
          <w:szCs w:val="28"/>
        </w:rPr>
      </w:pPr>
      <w:r w:rsidRPr="00B403DF">
        <w:rPr>
          <w:rFonts w:cs="Times New Roman"/>
          <w:szCs w:val="28"/>
        </w:rPr>
        <w:t xml:space="preserve">Đáp ứng yêu cầu quản lý thuế, một số giải pháp hiện đại hóa đã được ngành thuế triển khai mạnh với những thành tựu đáng kể như: </w:t>
      </w:r>
    </w:p>
    <w:p w14:paraId="5470350A" w14:textId="2B42CEED" w:rsidR="003670D7" w:rsidRPr="00B403DF" w:rsidRDefault="003670D7" w:rsidP="00B403DF">
      <w:pPr>
        <w:pStyle w:val="ListParagraph"/>
        <w:spacing w:before="120" w:after="120" w:line="276" w:lineRule="auto"/>
        <w:ind w:left="85" w:firstLine="720"/>
        <w:jc w:val="both"/>
        <w:rPr>
          <w:rFonts w:cs="Times New Roman"/>
          <w:szCs w:val="28"/>
          <w:shd w:val="clear" w:color="auto" w:fill="FFFFFF"/>
          <w:lang w:eastAsia="vi-VN"/>
        </w:rPr>
      </w:pPr>
      <w:r w:rsidRPr="00B403DF">
        <w:rPr>
          <w:rFonts w:cs="Times New Roman"/>
          <w:szCs w:val="28"/>
        </w:rPr>
        <w:t>- H</w:t>
      </w:r>
      <w:r w:rsidRPr="00B403DF">
        <w:rPr>
          <w:rFonts w:cs="Times New Roman"/>
          <w:szCs w:val="28"/>
          <w:lang w:val="vi-VN"/>
        </w:rPr>
        <w:t>ệ thống hóa đơn điện tử toàn quốc</w:t>
      </w:r>
      <w:r w:rsidRPr="00B403DF">
        <w:rPr>
          <w:rFonts w:cs="Times New Roman"/>
          <w:szCs w:val="28"/>
        </w:rPr>
        <w:t xml:space="preserve"> bắt đầu triển khai </w:t>
      </w:r>
      <w:r w:rsidRPr="00B403DF">
        <w:rPr>
          <w:rFonts w:cs="Times New Roman"/>
          <w:szCs w:val="28"/>
          <w:lang w:val="vi-VN"/>
        </w:rPr>
        <w:t>từ tháng 7 năm 2022</w:t>
      </w:r>
      <w:r w:rsidRPr="00B403DF">
        <w:rPr>
          <w:rFonts w:cs="Times New Roman"/>
          <w:szCs w:val="28"/>
        </w:rPr>
        <w:t xml:space="preserve"> và được nâng cấp nhiều lần để đáp ứng yêu cầu quản lý đã góp phần tăng cường tính công bằng, minh bạch trong triển khai pháp luật thuế khi các giao dịch đều được ghi nhận, cập nhật đúng thực tế, giúp giảm thời gian kê khai của NNT, hạn chế gian lận về thuế. </w:t>
      </w:r>
      <w:r w:rsidRPr="00B403DF">
        <w:rPr>
          <w:rFonts w:cs="Times New Roman"/>
          <w:szCs w:val="28"/>
          <w:shd w:val="clear" w:color="auto" w:fill="FFFFFF"/>
          <w:lang w:val="vi-VN"/>
        </w:rPr>
        <w:t>Lũy</w:t>
      </w:r>
      <w:r w:rsidRPr="00B403DF">
        <w:rPr>
          <w:rFonts w:cs="Times New Roman"/>
          <w:szCs w:val="28"/>
          <w:lang w:val="vi-VN"/>
        </w:rPr>
        <w:t xml:space="preserve"> kế đến 24h ngày 30/</w:t>
      </w:r>
      <w:r w:rsidRPr="00B403DF">
        <w:rPr>
          <w:rFonts w:cs="Times New Roman"/>
          <w:szCs w:val="28"/>
        </w:rPr>
        <w:t>4</w:t>
      </w:r>
      <w:r w:rsidRPr="00B403DF">
        <w:rPr>
          <w:rFonts w:cs="Times New Roman"/>
          <w:szCs w:val="28"/>
          <w:lang w:val="vi-VN"/>
        </w:rPr>
        <w:t>/202</w:t>
      </w:r>
      <w:r w:rsidRPr="00B403DF">
        <w:rPr>
          <w:rFonts w:cs="Times New Roman"/>
          <w:szCs w:val="28"/>
        </w:rPr>
        <w:t>5</w:t>
      </w:r>
      <w:r w:rsidRPr="00B403DF">
        <w:rPr>
          <w:rFonts w:cs="Times New Roman"/>
          <w:szCs w:val="28"/>
          <w:lang w:val="vi-VN"/>
        </w:rPr>
        <w:t xml:space="preserve">, trên cả nước đã có tổng số </w:t>
      </w:r>
      <w:r w:rsidRPr="00B403DF">
        <w:rPr>
          <w:rFonts w:cs="Times New Roman"/>
          <w:szCs w:val="28"/>
        </w:rPr>
        <w:t xml:space="preserve">13.831.477.325 </w:t>
      </w:r>
      <w:r w:rsidRPr="00B403DF">
        <w:rPr>
          <w:rFonts w:cs="Times New Roman"/>
          <w:szCs w:val="28"/>
          <w:lang w:val="vi-VN"/>
        </w:rPr>
        <w:t xml:space="preserve">hóa đơn điện tử đã được tiếp nhận và xử lý (Hóa đơn điện tử có mã: </w:t>
      </w:r>
      <w:r w:rsidRPr="00B403DF">
        <w:rPr>
          <w:rFonts w:cs="Times New Roman"/>
          <w:szCs w:val="28"/>
        </w:rPr>
        <w:t>3.165.207.055</w:t>
      </w:r>
      <w:r w:rsidRPr="00B403DF">
        <w:rPr>
          <w:rFonts w:cs="Times New Roman"/>
          <w:szCs w:val="28"/>
          <w:lang w:val="vi-VN"/>
        </w:rPr>
        <w:t xml:space="preserve">; Hóa đơn điện tử không có mã: </w:t>
      </w:r>
      <w:r w:rsidRPr="00B403DF">
        <w:rPr>
          <w:rFonts w:cs="Times New Roman"/>
          <w:szCs w:val="28"/>
        </w:rPr>
        <w:t>3.726.251.630</w:t>
      </w:r>
      <w:r w:rsidRPr="00B403DF">
        <w:rPr>
          <w:rFonts w:cs="Times New Roman"/>
          <w:szCs w:val="28"/>
          <w:lang w:val="vi-VN"/>
        </w:rPr>
        <w:t>; Hóa đơn điện tử không mã gửi Bảng tổng hợp: </w:t>
      </w:r>
      <w:r w:rsidRPr="00B403DF">
        <w:rPr>
          <w:rFonts w:cs="Times New Roman"/>
          <w:szCs w:val="28"/>
        </w:rPr>
        <w:t>4.823.706.703</w:t>
      </w:r>
      <w:r w:rsidRPr="00B403DF">
        <w:rPr>
          <w:rFonts w:cs="Times New Roman"/>
          <w:szCs w:val="28"/>
          <w:lang w:val="vi-VN"/>
        </w:rPr>
        <w:t xml:space="preserve">; Hóa đơn theo từng lần phát sinh: </w:t>
      </w:r>
      <w:r w:rsidRPr="00B403DF">
        <w:rPr>
          <w:rFonts w:cs="Times New Roman"/>
          <w:szCs w:val="28"/>
        </w:rPr>
        <w:t>2.398.720</w:t>
      </w:r>
      <w:r w:rsidRPr="00B403DF">
        <w:rPr>
          <w:rFonts w:cs="Times New Roman"/>
          <w:szCs w:val="28"/>
          <w:lang w:val="vi-VN"/>
        </w:rPr>
        <w:t>; Hóa đơn khởi tạo từ máy tính tiền: </w:t>
      </w:r>
      <w:r w:rsidRPr="00B403DF">
        <w:rPr>
          <w:rFonts w:cs="Times New Roman"/>
          <w:szCs w:val="28"/>
        </w:rPr>
        <w:t>2.113.913.217</w:t>
      </w:r>
      <w:r w:rsidRPr="00B403DF">
        <w:rPr>
          <w:rFonts w:cs="Times New Roman"/>
          <w:szCs w:val="28"/>
          <w:lang w:val="vi-VN"/>
        </w:rPr>
        <w:t>)</w:t>
      </w:r>
      <w:r w:rsidRPr="00B403DF">
        <w:rPr>
          <w:rFonts w:cs="Times New Roman"/>
          <w:szCs w:val="28"/>
        </w:rPr>
        <w:t>.</w:t>
      </w:r>
    </w:p>
    <w:p w14:paraId="6FAFB3F2" w14:textId="2132BA45"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P</w:t>
      </w:r>
      <w:r w:rsidRPr="00B403DF">
        <w:rPr>
          <w:rFonts w:cs="Times New Roman"/>
          <w:szCs w:val="28"/>
          <w:lang w:val="vi-VN"/>
        </w:rPr>
        <w:t>hát triển các giải pháp công nghệ để quản lý</w:t>
      </w:r>
      <w:r w:rsidRPr="00B403DF">
        <w:rPr>
          <w:rFonts w:cs="Times New Roman"/>
          <w:szCs w:val="28"/>
        </w:rPr>
        <w:t xml:space="preserve"> các hình thức giao dịch mới phát sinh như</w:t>
      </w:r>
      <w:r w:rsidRPr="00B403DF">
        <w:rPr>
          <w:rFonts w:cs="Times New Roman"/>
          <w:szCs w:val="28"/>
          <w:lang w:val="vi-VN"/>
        </w:rPr>
        <w:t xml:space="preserve"> hoạt động thương mại điện tử</w:t>
      </w:r>
      <w:r w:rsidRPr="00B403DF">
        <w:rPr>
          <w:rFonts w:cs="Times New Roman"/>
          <w:szCs w:val="28"/>
        </w:rPr>
        <w:t>,</w:t>
      </w:r>
      <w:r w:rsidRPr="00B403DF">
        <w:rPr>
          <w:rFonts w:cs="Times New Roman"/>
          <w:szCs w:val="28"/>
          <w:lang w:val="vi-VN"/>
        </w:rPr>
        <w:t xml:space="preserve"> kinh doanh trên nền tảng số</w:t>
      </w:r>
      <w:r w:rsidRPr="00B403DF">
        <w:rPr>
          <w:rFonts w:cs="Times New Roman"/>
          <w:szCs w:val="28"/>
        </w:rPr>
        <w:t xml:space="preserve">, giao dịch xuyên biên giới góp phần nâng cao hiệu quả quản lý thuế đối với các hoạt động này, cung cấp thông tin hỗ trợ công tác chỉ đạo điều hành và xây dựng chính sách pháp luật. Đồng thời, các giải pháp này cũng giúp đơn giản hóa TTHC cho người nộp thuế, qua đó góp phần tiết kiện chi phí, thời gian tuân thủ pháp luật của NNT. </w:t>
      </w:r>
    </w:p>
    <w:p w14:paraId="429739A9" w14:textId="77777777"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 Ngày 21/03/2022, ngành Thuế đã chính thức công bố ứng dụng Cổng thông tin điện tử dành cho nhà cung cấp nước ngoài (NCCNN) được xây dựng dựa trên các căn cứ pháp lý về quản lý thuế đối với các nhà cung cấp nước ngoài đã hoàn thiện để hỗ trợ nhà cung cấp nước ngoài thực hiện việc đăng ký, kê khai, nộp thuế trực tiếp từ bất cứ đâu trên thế giới. </w:t>
      </w:r>
    </w:p>
    <w:p w14:paraId="3E8BCDDA" w14:textId="5CB18471"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 Ngày 15/12/2022, ngành Thuế đã </w:t>
      </w:r>
      <w:r w:rsidRPr="00B403DF">
        <w:rPr>
          <w:rFonts w:cs="Times New Roman"/>
          <w:szCs w:val="28"/>
          <w:lang w:val="es-ES"/>
        </w:rPr>
        <w:t xml:space="preserve">chính thức công bố triển khai và </w:t>
      </w:r>
      <w:r w:rsidRPr="00B403DF">
        <w:rPr>
          <w:rFonts w:cs="Times New Roman"/>
          <w:szCs w:val="28"/>
        </w:rPr>
        <w:t xml:space="preserve">đưa vào </w:t>
      </w:r>
      <w:r w:rsidRPr="00B403DF">
        <w:rPr>
          <w:rFonts w:cs="Times New Roman"/>
          <w:szCs w:val="28"/>
          <w:lang w:val="vi-VN"/>
        </w:rPr>
        <w:t>vận hành Cổng</w:t>
      </w:r>
      <w:r w:rsidRPr="00B403DF">
        <w:rPr>
          <w:rFonts w:cs="Times New Roman"/>
          <w:szCs w:val="28"/>
        </w:rPr>
        <w:t xml:space="preserve"> tiếp nhận</w:t>
      </w:r>
      <w:r w:rsidRPr="00B403DF">
        <w:rPr>
          <w:rFonts w:cs="Times New Roman"/>
          <w:szCs w:val="28"/>
          <w:lang w:val="vi-VN"/>
        </w:rPr>
        <w:t xml:space="preserve"> thông tin thương mại điện tử</w:t>
      </w:r>
      <w:r w:rsidRPr="00B403DF">
        <w:rPr>
          <w:rFonts w:cs="Times New Roman"/>
          <w:szCs w:val="28"/>
        </w:rPr>
        <w:t xml:space="preserve"> </w:t>
      </w:r>
      <w:r w:rsidRPr="00B403DF">
        <w:rPr>
          <w:rFonts w:eastAsia="SimSun" w:cs="Times New Roman"/>
          <w:spacing w:val="-4"/>
          <w:szCs w:val="28"/>
          <w:lang w:val="nl-NL" w:eastAsia="zh-CN"/>
        </w:rPr>
        <w:t>tiếp nhận thông tin của doanh nghiệp, cá nhân kinh doanh trên các sàn TMĐT đáp ứng quy định các sàn giao dịch TMĐT phải cung cấp thông tin về các tổ chức, cá nhân kinh doanh trên sàn cho cơ quan thuế định kỳ hàng quý</w:t>
      </w:r>
      <w:r w:rsidRPr="00B403DF">
        <w:rPr>
          <w:rFonts w:cs="Times New Roman"/>
          <w:szCs w:val="28"/>
        </w:rPr>
        <w:t>.</w:t>
      </w:r>
      <w:r w:rsidRPr="00B403DF">
        <w:rPr>
          <w:rFonts w:cs="Times New Roman"/>
          <w:szCs w:val="28"/>
          <w:lang w:val="vi-VN"/>
        </w:rPr>
        <w:t xml:space="preserve"> </w:t>
      </w:r>
      <w:r w:rsidRPr="00B403DF">
        <w:rPr>
          <w:rFonts w:cs="Times New Roman"/>
          <w:spacing w:val="-4"/>
          <w:szCs w:val="28"/>
          <w:lang w:val="nl-NL" w:eastAsia="zh-CN"/>
        </w:rPr>
        <w:t xml:space="preserve">Đến </w:t>
      </w:r>
      <w:r w:rsidRPr="00B403DF">
        <w:rPr>
          <w:rFonts w:cs="Times New Roman"/>
          <w:spacing w:val="-4"/>
          <w:szCs w:val="28"/>
          <w:lang w:val="vi-VN" w:eastAsia="zh-CN"/>
        </w:rPr>
        <w:t xml:space="preserve">ngày </w:t>
      </w:r>
      <w:r w:rsidRPr="00B403DF">
        <w:rPr>
          <w:rFonts w:cs="Times New Roman"/>
          <w:spacing w:val="-4"/>
          <w:szCs w:val="28"/>
          <w:lang w:eastAsia="zh-CN"/>
        </w:rPr>
        <w:t>20/04/2025</w:t>
      </w:r>
      <w:r w:rsidRPr="00B403DF">
        <w:rPr>
          <w:rFonts w:cs="Times New Roman"/>
          <w:spacing w:val="-4"/>
          <w:szCs w:val="28"/>
          <w:lang w:val="nl-NL" w:eastAsia="zh-CN"/>
        </w:rPr>
        <w:t xml:space="preserve">, đã có 441 sàn TMĐT với 2.722 lượt nộp hồ sơ gửi đến cơ quan thuế cung cấp thông tin hàng triệu nhà </w:t>
      </w:r>
      <w:r w:rsidRPr="00B403DF">
        <w:rPr>
          <w:rFonts w:cs="Times New Roman"/>
          <w:spacing w:val="-4"/>
          <w:szCs w:val="28"/>
          <w:lang w:val="nl-NL" w:eastAsia="zh-CN"/>
        </w:rPr>
        <w:lastRenderedPageBreak/>
        <w:t>cung cấp hàng hoá, dịch vụ trên các sàn</w:t>
      </w:r>
      <w:r w:rsidRPr="00B403DF">
        <w:rPr>
          <w:rFonts w:cs="Times New Roman"/>
          <w:szCs w:val="28"/>
          <w:lang w:val="vi-VN"/>
        </w:rPr>
        <w:t xml:space="preserve">. </w:t>
      </w:r>
      <w:r w:rsidRPr="00B403DF">
        <w:rPr>
          <w:rFonts w:cs="Times New Roman"/>
          <w:szCs w:val="28"/>
        </w:rPr>
        <w:t xml:space="preserve">Tiếp đó, </w:t>
      </w:r>
      <w:r w:rsidRPr="00B403DF">
        <w:rPr>
          <w:rFonts w:cs="Times New Roman"/>
          <w:szCs w:val="28"/>
          <w:lang w:val="vi-VN"/>
        </w:rPr>
        <w:t>ngày 19/1</w:t>
      </w:r>
      <w:r w:rsidRPr="00B403DF">
        <w:rPr>
          <w:rFonts w:cs="Times New Roman"/>
          <w:szCs w:val="28"/>
        </w:rPr>
        <w:t>2</w:t>
      </w:r>
      <w:r w:rsidRPr="00B403DF">
        <w:rPr>
          <w:rFonts w:cs="Times New Roman"/>
          <w:szCs w:val="28"/>
          <w:lang w:val="vi-VN"/>
        </w:rPr>
        <w:t xml:space="preserve">/2024, ngành Thuế tiếp tục ra mắt Cổng thông tin điện tử dành cho hộ, cá nhân kinh doanh </w:t>
      </w:r>
      <w:r w:rsidRPr="00B403DF">
        <w:rPr>
          <w:rFonts w:cs="Times New Roman"/>
          <w:szCs w:val="28"/>
        </w:rPr>
        <w:t xml:space="preserve">đăng ký, kê khai, nộp thuế </w:t>
      </w:r>
      <w:r w:rsidRPr="00B403DF">
        <w:rPr>
          <w:rFonts w:cs="Times New Roman"/>
          <w:szCs w:val="28"/>
          <w:lang w:val="vi-VN"/>
        </w:rPr>
        <w:t xml:space="preserve">thương mại điện tử, </w:t>
      </w:r>
      <w:r w:rsidRPr="00B403DF">
        <w:rPr>
          <w:rFonts w:cs="Times New Roman"/>
          <w:szCs w:val="28"/>
        </w:rPr>
        <w:t xml:space="preserve">kinh doanh trên nền tảng số, bao gồm </w:t>
      </w:r>
      <w:r w:rsidRPr="00B403DF">
        <w:rPr>
          <w:rFonts w:cs="Times New Roman"/>
          <w:szCs w:val="28"/>
          <w:lang w:val="vi-VN"/>
        </w:rPr>
        <w:t>các chức năng từ đăng ký thuế đến kê khai, nộp thuế và tra cứu</w:t>
      </w:r>
      <w:r w:rsidRPr="00B403DF">
        <w:rPr>
          <w:rFonts w:cs="Times New Roman"/>
          <w:szCs w:val="28"/>
        </w:rPr>
        <w:t xml:space="preserve"> đã được tích hợp đầy đủ và mở ra thêm một kênh giao dịch mới thuận lợi hơn cho NNT là hộ, cá nhân kinh doanh</w:t>
      </w:r>
      <w:r w:rsidRPr="00B403DF">
        <w:rPr>
          <w:rFonts w:cs="Times New Roman"/>
          <w:szCs w:val="28"/>
          <w:lang w:val="vi-VN"/>
        </w:rPr>
        <w:t>.</w:t>
      </w:r>
      <w:r w:rsidRPr="00B403DF">
        <w:rPr>
          <w:rFonts w:cs="Times New Roman"/>
          <w:szCs w:val="28"/>
        </w:rPr>
        <w:t xml:space="preserve"> </w:t>
      </w:r>
      <w:r w:rsidRPr="00B403DF">
        <w:rPr>
          <w:rFonts w:eastAsia="Calibri" w:cs="Times New Roman"/>
          <w:bCs/>
          <w:iCs/>
          <w:szCs w:val="28"/>
          <w:lang w:val="nl-NL"/>
        </w:rPr>
        <w:t xml:space="preserve">Tính đến ngày </w:t>
      </w:r>
      <w:r w:rsidRPr="00B403DF">
        <w:rPr>
          <w:rFonts w:cs="Times New Roman"/>
          <w:iCs/>
          <w:szCs w:val="28"/>
        </w:rPr>
        <w:t xml:space="preserve">20/04/2025 đã cấp được 78.629 MST cho NNT, tiếp nhận được 182.101 tờ khai, 123.810 chứng từ nộp tiền với tổng số tiền đã nộp là trên 726 tỷ đồng. </w:t>
      </w:r>
    </w:p>
    <w:p w14:paraId="14650CA6" w14:textId="2528FBF0"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 Phát triển các giải pháp công nghệ để </w:t>
      </w:r>
      <w:r w:rsidRPr="00B403DF">
        <w:rPr>
          <w:rFonts w:cs="Times New Roman"/>
          <w:szCs w:val="28"/>
          <w:lang w:val="vi-VN"/>
        </w:rPr>
        <w:t xml:space="preserve">áp dụng hiệu quả phương pháp quản lý rủi ro trong </w:t>
      </w:r>
      <w:r w:rsidRPr="00B403DF">
        <w:rPr>
          <w:rFonts w:cs="Times New Roman"/>
          <w:szCs w:val="28"/>
          <w:lang w:val="nl-NL"/>
        </w:rPr>
        <w:t>phân loại hồ sơ hoàn thuế và lựa chọn doanh nghiệp có dấu hiệu rủi ro để xây dựng kế hoạch kiểm tra, thanh tra sau hoàn thuế GTGT</w:t>
      </w:r>
      <w:r w:rsidRPr="00B403DF">
        <w:rPr>
          <w:rFonts w:cs="Times New Roman"/>
          <w:szCs w:val="28"/>
        </w:rPr>
        <w:t xml:space="preserve"> đáp ứng </w:t>
      </w:r>
      <w:r w:rsidRPr="00B403DF">
        <w:rPr>
          <w:rFonts w:cs="Times New Roman"/>
          <w:szCs w:val="28"/>
          <w:lang w:val="vi-VN"/>
        </w:rPr>
        <w:t>quy trình hoàn thuế mới</w:t>
      </w:r>
      <w:r w:rsidRPr="00B403DF">
        <w:rPr>
          <w:rFonts w:cs="Times New Roman"/>
          <w:szCs w:val="28"/>
          <w:vertAlign w:val="superscript"/>
          <w:lang w:val="vi-VN"/>
        </w:rPr>
        <w:footnoteReference w:id="5"/>
      </w:r>
      <w:r w:rsidRPr="00B403DF">
        <w:rPr>
          <w:rFonts w:cs="Times New Roman"/>
          <w:szCs w:val="28"/>
          <w:lang w:val="vi-VN"/>
        </w:rPr>
        <w:t xml:space="preserve"> và bộ tiêu chí</w:t>
      </w:r>
      <w:r w:rsidRPr="00B403DF">
        <w:rPr>
          <w:rFonts w:cs="Times New Roman"/>
          <w:szCs w:val="28"/>
          <w:vertAlign w:val="superscript"/>
          <w:lang w:val="vi-VN"/>
        </w:rPr>
        <w:footnoteReference w:id="6"/>
      </w:r>
      <w:r w:rsidRPr="00B403DF">
        <w:rPr>
          <w:rFonts w:cs="Times New Roman"/>
          <w:szCs w:val="28"/>
        </w:rPr>
        <w:t xml:space="preserve"> đánh giá rủi ro. </w:t>
      </w:r>
      <w:r w:rsidRPr="00B403DF">
        <w:rPr>
          <w:rFonts w:cs="Times New Roman"/>
          <w:szCs w:val="28"/>
          <w:lang w:val="vi-VN"/>
        </w:rPr>
        <w:t>Từ ngày 28/10/2023, Ứng dụng phân loại hồ sơ hoàn thuế tự động được triển khai trong toàn ngành, giúp tự động hóa khâu phân loại và điện tử hóa các bước giải quyết hồ sơ hoàn thuế. Điều này vừa đẩy nhanh tiến độ giải quyết hồ sơ, vừa tăng cường kiểm soát rủi ro trong công tác quản lý hoàn thuế.</w:t>
      </w:r>
    </w:p>
    <w:p w14:paraId="2FC8E2CB" w14:textId="6665CEEE" w:rsidR="00161E72" w:rsidRDefault="00161E72" w:rsidP="00983FF8">
      <w:pPr>
        <w:spacing w:before="120" w:after="120" w:line="276" w:lineRule="auto"/>
        <w:ind w:left="85" w:firstLine="720"/>
        <w:jc w:val="both"/>
        <w:rPr>
          <w:rFonts w:cs="Times New Roman"/>
          <w:szCs w:val="28"/>
        </w:rPr>
      </w:pPr>
      <w:r w:rsidRPr="00B403DF">
        <w:rPr>
          <w:rFonts w:cs="Times New Roman"/>
          <w:szCs w:val="28"/>
        </w:rPr>
        <w:t xml:space="preserve">Từ ngày 01/7/2025, triển khai Nghị định số 118/2025/NĐ-CP </w:t>
      </w:r>
      <w:bookmarkStart w:id="2" w:name="loai_1_name"/>
      <w:r w:rsidRPr="00B403DF">
        <w:rPr>
          <w:rFonts w:cs="Times New Roman"/>
          <w:szCs w:val="28"/>
        </w:rPr>
        <w:t>về thực hiện thủ tục hành chính theo cơ chế một cửa, một cửa liên thông tại bộ phận một cửa và cổng dịch vụ công quốc gia</w:t>
      </w:r>
      <w:bookmarkEnd w:id="2"/>
      <w:r w:rsidRPr="00B403DF">
        <w:rPr>
          <w:rFonts w:cs="Times New Roman"/>
          <w:szCs w:val="28"/>
        </w:rPr>
        <w:t xml:space="preserve">, </w:t>
      </w:r>
      <w:r w:rsidRPr="00B403DF">
        <w:rPr>
          <w:rFonts w:cs="Times New Roman"/>
          <w:szCs w:val="28"/>
          <w:lang w:val="vi-VN"/>
        </w:rPr>
        <w:t>Cục Thuế đã triển khai Hệ thống Hệ thống thông tin giải quyết TTHC trong lĩnh vực thuế (https: dichvucong.gdt.gov.vn) đáp ứng theo đúng quy định, tiêu chuẩn kỹ thuật của Bộ Khoa học công nghệ và các điểm mới của Nghị định số 118/2025/NĐ-CP về tiếp nhận TTHC không phụ thuộc vào địa giới hành chính</w:t>
      </w:r>
      <w:r w:rsidR="00983FF8">
        <w:rPr>
          <w:rFonts w:cs="Times New Roman"/>
          <w:szCs w:val="28"/>
        </w:rPr>
        <w:t>.</w:t>
      </w:r>
    </w:p>
    <w:p w14:paraId="379606B4" w14:textId="06D6D326" w:rsidR="0032259D" w:rsidRPr="00983FF8" w:rsidRDefault="0032259D" w:rsidP="00983FF8">
      <w:pPr>
        <w:spacing w:before="120" w:after="120" w:line="276" w:lineRule="auto"/>
        <w:ind w:left="85" w:firstLine="720"/>
        <w:jc w:val="both"/>
        <w:rPr>
          <w:rFonts w:cs="Times New Roman"/>
          <w:szCs w:val="28"/>
        </w:rPr>
      </w:pPr>
      <w:r w:rsidRPr="0032259D">
        <w:rPr>
          <w:rFonts w:cs="Times New Roman"/>
          <w:szCs w:val="28"/>
        </w:rPr>
        <w:t>Tiếp tục hoàn thiện, mở rộng việc triển khai các ứng dụng công nghệ vào công tác quản lý thuế như eTax Mobile có tích hợp thống nhất trên VneID của Bộ Công an; iCanhan; sử dụng số căn cước công dân thay cho mã số thuế</w:t>
      </w:r>
      <w:r>
        <w:rPr>
          <w:rFonts w:cs="Times New Roman"/>
          <w:szCs w:val="28"/>
        </w:rPr>
        <w:t>.</w:t>
      </w:r>
    </w:p>
    <w:p w14:paraId="51A64ED3" w14:textId="503412D4" w:rsidR="00983F39" w:rsidRPr="00B403DF" w:rsidRDefault="003670D7" w:rsidP="00983FF8">
      <w:pPr>
        <w:widowControl w:val="0"/>
        <w:spacing w:before="120" w:after="120" w:line="276" w:lineRule="auto"/>
        <w:ind w:left="86" w:firstLine="720"/>
        <w:jc w:val="both"/>
        <w:rPr>
          <w:rFonts w:cs="Times New Roman"/>
          <w:szCs w:val="28"/>
        </w:rPr>
      </w:pPr>
      <w:r w:rsidRPr="00B403DF">
        <w:rPr>
          <w:rFonts w:cs="Times New Roman"/>
          <w:szCs w:val="28"/>
        </w:rPr>
        <w:t xml:space="preserve">Như vậy, hệ thống thông tin quản lý thuế đã dần được hoàn thiện, đồng bộ, tích hợp đáp ứng yêu cầu công tác quản lý và giám sát. Và do đó, những </w:t>
      </w:r>
      <w:r w:rsidRPr="00B403DF">
        <w:rPr>
          <w:rFonts w:cs="Times New Roman"/>
          <w:szCs w:val="28"/>
          <w:lang w:val="vi-VN"/>
        </w:rPr>
        <w:t xml:space="preserve">nỗ lực hiện đại hóa </w:t>
      </w:r>
      <w:r w:rsidRPr="00B403DF">
        <w:rPr>
          <w:rFonts w:cs="Times New Roman"/>
          <w:szCs w:val="28"/>
        </w:rPr>
        <w:t>của ngành</w:t>
      </w:r>
      <w:r w:rsidRPr="00B403DF">
        <w:rPr>
          <w:rFonts w:cs="Times New Roman"/>
          <w:szCs w:val="28"/>
          <w:lang w:val="vi-VN"/>
        </w:rPr>
        <w:t xml:space="preserve"> đã</w:t>
      </w:r>
      <w:r w:rsidRPr="00B403DF">
        <w:rPr>
          <w:rFonts w:cs="Times New Roman"/>
          <w:szCs w:val="28"/>
        </w:rPr>
        <w:t xml:space="preserve"> từng bước</w:t>
      </w:r>
      <w:r w:rsidRPr="00B403DF">
        <w:rPr>
          <w:rFonts w:cs="Times New Roman"/>
          <w:szCs w:val="28"/>
          <w:lang w:val="vi-VN"/>
        </w:rPr>
        <w:t xml:space="preserve"> nâng cao hiệu quả quản lý thuế, tạo môi trường kinh doanh </w:t>
      </w:r>
      <w:r w:rsidRPr="00B403DF">
        <w:rPr>
          <w:rFonts w:cs="Times New Roman"/>
          <w:szCs w:val="28"/>
        </w:rPr>
        <w:t xml:space="preserve">công bằng, </w:t>
      </w:r>
      <w:r w:rsidRPr="00B403DF">
        <w:rPr>
          <w:rFonts w:cs="Times New Roman"/>
          <w:szCs w:val="28"/>
          <w:lang w:val="vi-VN"/>
        </w:rPr>
        <w:t>minh bạch và thuận lợi cho người nộp thuế, đồng thời đảm bảo</w:t>
      </w:r>
      <w:r w:rsidRPr="00B403DF">
        <w:rPr>
          <w:rFonts w:cs="Times New Roman"/>
          <w:szCs w:val="28"/>
        </w:rPr>
        <w:t xml:space="preserve"> hiệu quả nhiệm vụ thu ngân sách nhà nước</w:t>
      </w:r>
      <w:r w:rsidRPr="00B403DF">
        <w:rPr>
          <w:rFonts w:cs="Times New Roman"/>
          <w:szCs w:val="28"/>
          <w:lang w:val="vi-VN"/>
        </w:rPr>
        <w:t>. Đây là nền tảng quan trọng để ngành thuế tiếp tục phát triển</w:t>
      </w:r>
      <w:r w:rsidRPr="00B403DF">
        <w:rPr>
          <w:rFonts w:cs="Times New Roman"/>
          <w:szCs w:val="28"/>
        </w:rPr>
        <w:t xml:space="preserve"> hệ thống</w:t>
      </w:r>
      <w:r w:rsidRPr="00B403DF">
        <w:rPr>
          <w:rFonts w:cs="Times New Roman"/>
          <w:szCs w:val="28"/>
          <w:lang w:val="vi-VN"/>
        </w:rPr>
        <w:t xml:space="preserve"> theo hướng </w:t>
      </w:r>
      <w:r w:rsidRPr="00B403DF">
        <w:rPr>
          <w:rFonts w:cs="Times New Roman"/>
          <w:szCs w:val="28"/>
        </w:rPr>
        <w:t xml:space="preserve">hiện đại, </w:t>
      </w:r>
      <w:r w:rsidRPr="00B403DF">
        <w:rPr>
          <w:rFonts w:cs="Times New Roman"/>
          <w:szCs w:val="28"/>
          <w:lang w:val="vi-VN"/>
        </w:rPr>
        <w:t xml:space="preserve">chuyên nghiệp </w:t>
      </w:r>
      <w:r w:rsidRPr="00B403DF">
        <w:rPr>
          <w:rFonts w:cs="Times New Roman"/>
          <w:szCs w:val="28"/>
        </w:rPr>
        <w:t xml:space="preserve">trên cơ sở đẩy mạnh ứng dụng công nghệ số mới vừa nhằm tăng cường </w:t>
      </w:r>
      <w:r w:rsidRPr="00B403DF">
        <w:rPr>
          <w:rFonts w:cs="Times New Roman"/>
          <w:szCs w:val="28"/>
        </w:rPr>
        <w:lastRenderedPageBreak/>
        <w:t>hiệu quả công tác quản lý thuế vừa đáp ứng yêu cầu cung cấp dịch vụ thuế số cho người nộp thuế.</w:t>
      </w:r>
    </w:p>
    <w:p w14:paraId="78C31E10" w14:textId="5C1501B1" w:rsidR="00B17AF6" w:rsidRPr="00B403DF" w:rsidRDefault="00B17AF6" w:rsidP="00983FF8">
      <w:pPr>
        <w:widowControl w:val="0"/>
        <w:spacing w:before="120" w:after="120" w:line="276" w:lineRule="auto"/>
        <w:ind w:left="86" w:firstLine="720"/>
        <w:jc w:val="both"/>
        <w:rPr>
          <w:rFonts w:cs="Times New Roman"/>
          <w:noProof/>
          <w:szCs w:val="28"/>
          <w:lang w:val="vi-VN"/>
        </w:rPr>
      </w:pPr>
      <w:r w:rsidRPr="00B403DF">
        <w:rPr>
          <w:rFonts w:cs="Times New Roman"/>
          <w:noProof/>
          <w:szCs w:val="28"/>
          <w:lang w:val="vi-VN"/>
        </w:rPr>
        <w:t>Việc đầu tư phát triển ứng dụng CNTT của ngành Hải quan trong giai đoạn từ 2020 đến 2025 đã góp phần nâng cao hiệu quả công tác quản lý thuế và đem lại những lợi ích thiết thực cho người nộp thuế; nâng cao năng lực quản lý, điều hành; góp phần đẩy mạnh cải cách, hiện đại hóa quản lý thu. Giúp người nộp thuế giảm thủ tục kê khai thuế, tiết kiệm thời gian và chi phí về thủ tục nộp thuế do hầu hết các tờ khai thuế, hồ sơ thuế và chứng từ nộp thuế được số hóa để xử lý tự động vào hệ thống ứng dụng của ngành Hải quan thay cho việc sử dụng cán bộ hải quan để nhập dữ liệu. Từ năm 2020 đến nay, Tổng cục Hải quan (nay là Cục Hải quan) đã triển khai hệ thống miễn, giảm, hoàn thuế điện tử để điện tử hóa công tác quản lý miễn, giảm, hoàn thuế.</w:t>
      </w:r>
    </w:p>
    <w:p w14:paraId="64F9EA68" w14:textId="7A70B6AF" w:rsidR="00CD33B4" w:rsidRPr="00B403DF" w:rsidRDefault="00CD33B4" w:rsidP="00B403DF">
      <w:pPr>
        <w:pStyle w:val="NormalWeb"/>
        <w:spacing w:before="120" w:beforeAutospacing="0" w:after="120" w:afterAutospacing="0" w:line="276" w:lineRule="auto"/>
        <w:ind w:left="85" w:firstLine="680"/>
        <w:jc w:val="both"/>
        <w:rPr>
          <w:bCs/>
          <w:i/>
          <w:noProof/>
          <w:sz w:val="28"/>
          <w:szCs w:val="28"/>
          <w:bdr w:val="none" w:sz="0" w:space="0" w:color="auto" w:frame="1"/>
          <w:lang w:val="vi-VN"/>
        </w:rPr>
      </w:pPr>
      <w:r w:rsidRPr="00B403DF">
        <w:rPr>
          <w:bCs/>
          <w:i/>
          <w:noProof/>
          <w:sz w:val="28"/>
          <w:szCs w:val="28"/>
          <w:lang w:val="vi-VN"/>
        </w:rPr>
        <w:t>b) Tổ chức bộ máy</w:t>
      </w:r>
      <w:r w:rsidRPr="00B403DF">
        <w:rPr>
          <w:bCs/>
          <w:i/>
          <w:noProof/>
          <w:sz w:val="28"/>
          <w:szCs w:val="28"/>
          <w:bdr w:val="none" w:sz="0" w:space="0" w:color="auto" w:frame="1"/>
          <w:lang w:val="vi-VN"/>
        </w:rPr>
        <w:t xml:space="preserve"> quản lý thuế không ngừng được hoàn thiện đã đáp ứng ngày càng tốt hơn những yêu cầu quản lý nhà nước trong tình hình mới</w:t>
      </w:r>
    </w:p>
    <w:p w14:paraId="5EE963AE" w14:textId="06C71739" w:rsidR="00CD33B4" w:rsidRPr="00B403DF" w:rsidRDefault="00CD33B4" w:rsidP="00B403DF">
      <w:pPr>
        <w:spacing w:before="120" w:after="120" w:line="276" w:lineRule="auto"/>
        <w:ind w:left="85" w:firstLine="720"/>
        <w:jc w:val="both"/>
        <w:rPr>
          <w:rFonts w:cs="Times New Roman"/>
          <w:noProof/>
          <w:szCs w:val="28"/>
        </w:rPr>
      </w:pPr>
      <w:r w:rsidRPr="00B403DF">
        <w:rPr>
          <w:rFonts w:cs="Times New Roman"/>
          <w:noProof/>
          <w:szCs w:val="28"/>
          <w:lang w:val="vi-VN"/>
        </w:rPr>
        <w:t>Để thực hiện chức năng, nhiệm vụ, quyền hạn và trách nhiệm theo yêu cầu của Luật Quản lý thuế</w:t>
      </w:r>
      <w:r w:rsidR="00983FF8">
        <w:rPr>
          <w:rFonts w:cs="Times New Roman"/>
          <w:noProof/>
          <w:szCs w:val="28"/>
        </w:rPr>
        <w:t xml:space="preserve"> và Nghị định </w:t>
      </w:r>
      <w:r w:rsidR="00983FF8" w:rsidRPr="00983FF8">
        <w:rPr>
          <w:rFonts w:cs="Times New Roman"/>
          <w:noProof/>
          <w:szCs w:val="28"/>
        </w:rPr>
        <w:t>số 126/2020/NĐ-CP</w:t>
      </w:r>
      <w:r w:rsidRPr="00B403DF">
        <w:rPr>
          <w:rFonts w:cs="Times New Roman"/>
          <w:noProof/>
          <w:szCs w:val="28"/>
          <w:lang w:val="vi-VN"/>
        </w:rPr>
        <w:t>, cơ quan quản lý thuế đã từng bước sắp xếp, kiện toàn theo chức năng tại cơ quan thuế các cấp</w:t>
      </w:r>
      <w:r w:rsidR="002F6E75" w:rsidRPr="00B403DF">
        <w:rPr>
          <w:rFonts w:cs="Times New Roman"/>
          <w:noProof/>
          <w:szCs w:val="28"/>
        </w:rPr>
        <w:t>.</w:t>
      </w:r>
      <w:r w:rsidR="009F52B9" w:rsidRPr="00B403DF">
        <w:rPr>
          <w:rFonts w:cs="Times New Roman"/>
          <w:noProof/>
          <w:szCs w:val="28"/>
        </w:rPr>
        <w:t xml:space="preserve"> </w:t>
      </w:r>
      <w:r w:rsidRPr="00B403DF">
        <w:rPr>
          <w:rFonts w:cs="Times New Roman"/>
          <w:noProof/>
          <w:szCs w:val="28"/>
          <w:lang w:val="vi-VN"/>
        </w:rPr>
        <w:t>Hệ thống cơ quan thuế được tổ chức thành hệ thống dọc thống nhất từ trung ương đến cấp huyện, bảo đảm nguyên tắc tập trung thống nhất.</w:t>
      </w:r>
    </w:p>
    <w:p w14:paraId="5C0ACAC2" w14:textId="520B9C68" w:rsidR="00FA4F41" w:rsidRPr="00B403DF" w:rsidRDefault="00FA4F41" w:rsidP="00B403DF">
      <w:pPr>
        <w:spacing w:before="120" w:after="120" w:line="276" w:lineRule="auto"/>
        <w:ind w:left="85" w:firstLine="680"/>
        <w:jc w:val="both"/>
        <w:rPr>
          <w:rFonts w:cs="Times New Roman"/>
          <w:noProof/>
          <w:szCs w:val="28"/>
          <w:lang w:val="vi-VN"/>
        </w:rPr>
      </w:pPr>
      <w:r w:rsidRPr="00B403DF">
        <w:rPr>
          <w:rFonts w:cs="Times New Roman"/>
          <w:b/>
          <w:bCs/>
          <w:i/>
          <w:iCs/>
          <w:noProof/>
          <w:szCs w:val="28"/>
        </w:rPr>
        <w:t>- Ngành Thuế:</w:t>
      </w:r>
      <w:r w:rsidRPr="00B403DF">
        <w:rPr>
          <w:rFonts w:cs="Times New Roman"/>
          <w:noProof/>
          <w:szCs w:val="28"/>
        </w:rPr>
        <w:t xml:space="preserve"> </w:t>
      </w:r>
      <w:r w:rsidR="00CD33B4" w:rsidRPr="00B403DF">
        <w:rPr>
          <w:rFonts w:cs="Times New Roman"/>
          <w:noProof/>
          <w:szCs w:val="28"/>
          <w:lang w:val="vi-VN"/>
        </w:rPr>
        <w:t xml:space="preserve">Từ năm 2020 đến </w:t>
      </w:r>
      <w:r w:rsidR="00DB28F8" w:rsidRPr="00B403DF">
        <w:rPr>
          <w:rFonts w:cs="Times New Roman"/>
          <w:noProof/>
          <w:szCs w:val="28"/>
          <w:lang w:val="vi-VN"/>
        </w:rPr>
        <w:t>ngày</w:t>
      </w:r>
      <w:r w:rsidR="00CD33B4" w:rsidRPr="00B403DF">
        <w:rPr>
          <w:rFonts w:cs="Times New Roman"/>
          <w:noProof/>
          <w:szCs w:val="28"/>
          <w:lang w:val="vi-VN"/>
        </w:rPr>
        <w:t xml:space="preserve"> </w:t>
      </w:r>
      <w:r w:rsidR="00DB28F8" w:rsidRPr="00B403DF">
        <w:rPr>
          <w:rFonts w:cs="Times New Roman"/>
          <w:noProof/>
          <w:szCs w:val="28"/>
          <w:lang w:val="vi-VN"/>
        </w:rPr>
        <w:t>28/02</w:t>
      </w:r>
      <w:r w:rsidR="00CD33B4" w:rsidRPr="00B403DF">
        <w:rPr>
          <w:rFonts w:cs="Times New Roman"/>
          <w:noProof/>
          <w:szCs w:val="28"/>
          <w:lang w:val="vi-VN"/>
        </w:rPr>
        <w:t>/2025: Tại Trung ương có Tổng cục Thuế, cấp tỉnh có Cục Thuế trực thuộc Tổng cục Thuế; cấp huyện có Chi cục Thuế trực thuộc Cục Thuế, gồm: Cơ quan Tổng cục Thuế ở Trung ương với 19 Cục, Vụ thực hiện chức năng quản lý nhà nước, trong đó có 1</w:t>
      </w:r>
      <w:r w:rsidRPr="00B403DF">
        <w:rPr>
          <w:rFonts w:cs="Times New Roman"/>
          <w:noProof/>
          <w:szCs w:val="28"/>
        </w:rPr>
        <w:t>7</w:t>
      </w:r>
      <w:r w:rsidR="00CD33B4" w:rsidRPr="00B403DF">
        <w:rPr>
          <w:rFonts w:cs="Times New Roman"/>
          <w:noProof/>
          <w:szCs w:val="28"/>
          <w:lang w:val="vi-VN"/>
        </w:rPr>
        <w:t xml:space="preserve"> Vụ, đơn vị hành chính, 02 đơn vị sự nghiệp, Ban Cải cách và Ban Quản lý rủi ro; 63 Cục thuế tại các tỉnh, thành phố trực thuộc Trung ương với </w:t>
      </w:r>
      <w:r w:rsidRPr="00B403DF">
        <w:rPr>
          <w:rFonts w:cs="Times New Roman"/>
          <w:noProof/>
          <w:szCs w:val="28"/>
        </w:rPr>
        <w:t>727</w:t>
      </w:r>
      <w:r w:rsidR="00CD33B4" w:rsidRPr="00B403DF">
        <w:rPr>
          <w:rFonts w:cs="Times New Roman"/>
          <w:noProof/>
          <w:szCs w:val="28"/>
          <w:lang w:val="vi-VN"/>
        </w:rPr>
        <w:t xml:space="preserve"> Phòng</w:t>
      </w:r>
      <w:r w:rsidRPr="00B403DF">
        <w:rPr>
          <w:rFonts w:cs="Times New Roman"/>
          <w:noProof/>
          <w:szCs w:val="28"/>
        </w:rPr>
        <w:t xml:space="preserve"> chức năng, chuyên môn</w:t>
      </w:r>
      <w:r w:rsidR="00CD33B4" w:rsidRPr="00B403DF">
        <w:rPr>
          <w:rFonts w:cs="Times New Roman"/>
          <w:noProof/>
          <w:szCs w:val="28"/>
          <w:lang w:val="vi-VN"/>
        </w:rPr>
        <w:t xml:space="preserve">; </w:t>
      </w:r>
      <w:r w:rsidRPr="00B403DF">
        <w:rPr>
          <w:rFonts w:cs="Times New Roman"/>
          <w:noProof/>
          <w:szCs w:val="28"/>
        </w:rPr>
        <w:t>413</w:t>
      </w:r>
      <w:r w:rsidR="00CD33B4" w:rsidRPr="00B403DF">
        <w:rPr>
          <w:rFonts w:cs="Times New Roman"/>
          <w:noProof/>
          <w:szCs w:val="28"/>
          <w:lang w:val="vi-VN"/>
        </w:rPr>
        <w:t xml:space="preserve"> Chi cục Thuế tại các quận, huyện</w:t>
      </w:r>
      <w:r w:rsidRPr="00B403DF">
        <w:rPr>
          <w:rFonts w:cs="Times New Roman"/>
          <w:noProof/>
          <w:szCs w:val="28"/>
        </w:rPr>
        <w:t xml:space="preserve"> (trong đó, </w:t>
      </w:r>
      <w:r w:rsidRPr="00B403DF">
        <w:rPr>
          <w:rFonts w:cs="Times New Roman"/>
          <w:i/>
          <w:iCs/>
          <w:noProof/>
          <w:szCs w:val="28"/>
        </w:rPr>
        <w:t>262 Chi cục Thuế khu vực và 151 Chi cục Thuế quận, huyện, thị xã với 2.585 Đội thuế trực thuộc</w:t>
      </w:r>
      <w:r w:rsidRPr="00B403DF">
        <w:rPr>
          <w:rFonts w:cs="Times New Roman"/>
          <w:noProof/>
          <w:szCs w:val="28"/>
        </w:rPr>
        <w:t>)</w:t>
      </w:r>
      <w:r w:rsidR="00CD33B4" w:rsidRPr="00B403DF">
        <w:rPr>
          <w:rFonts w:cs="Times New Roman"/>
          <w:noProof/>
          <w:szCs w:val="28"/>
          <w:lang w:val="vi-VN"/>
        </w:rPr>
        <w:t xml:space="preserve">. </w:t>
      </w:r>
    </w:p>
    <w:p w14:paraId="4E84F1F9" w14:textId="64FA01CB" w:rsidR="0035454D" w:rsidRPr="00B403DF" w:rsidRDefault="0035454D" w:rsidP="00B403DF">
      <w:pPr>
        <w:spacing w:before="120" w:after="120" w:line="276" w:lineRule="auto"/>
        <w:ind w:left="85" w:firstLine="680"/>
        <w:jc w:val="both"/>
        <w:rPr>
          <w:rFonts w:cs="Times New Roman"/>
          <w:noProof/>
          <w:szCs w:val="28"/>
        </w:rPr>
      </w:pPr>
      <w:r w:rsidRPr="00B403DF">
        <w:rPr>
          <w:rFonts w:cs="Times New Roman"/>
          <w:noProof/>
          <w:szCs w:val="28"/>
        </w:rPr>
        <w:t xml:space="preserve">Từ ngày 01/3/2025, Ngành Thuế tiếp tục sắp xếp bộ máy tổ chức theo hướng tinh gọn, hoạt động hiệu lực, hiệu năng, hiệu quả với điểm nhấn là xóa bỏ mô hình Tổng cục và thu gọn tối đa các đầu mối bên trong. Tại Cục Thuế giảm từ 17 đầu mối xuống còn 12 đầu mối Ban và tương đương; Tại Chi cục Thuế đã sắp xếp, tổ chức lại 63 Cục Thuế thành 20 Chi cục Thuế khu vực; Tại Đội thuế cấp huyện đã sắp xếp, tổ chức lại 413 Chi cục Thuế khu vực thành 350 Đội thuế cấp huyện; đã xóa bỏ 2886 Đội Thuế thuộc Chi cục Thuế. </w:t>
      </w:r>
      <w:r w:rsidR="007D14A4" w:rsidRPr="00B403DF">
        <w:rPr>
          <w:rFonts w:cs="Times New Roman"/>
          <w:noProof/>
          <w:szCs w:val="28"/>
        </w:rPr>
        <w:t>T</w:t>
      </w:r>
      <w:r w:rsidRPr="00B403DF">
        <w:rPr>
          <w:rFonts w:cs="Times New Roman"/>
          <w:noProof/>
          <w:szCs w:val="28"/>
        </w:rPr>
        <w:t xml:space="preserve">heo mô hình tổ chức bộ máy </w:t>
      </w:r>
      <w:r w:rsidR="007D14A4" w:rsidRPr="00B403DF">
        <w:rPr>
          <w:rFonts w:cs="Times New Roman"/>
          <w:noProof/>
          <w:szCs w:val="28"/>
        </w:rPr>
        <w:t>này</w:t>
      </w:r>
      <w:r w:rsidRPr="00B403DF">
        <w:rPr>
          <w:rFonts w:cs="Times New Roman"/>
          <w:noProof/>
          <w:szCs w:val="28"/>
        </w:rPr>
        <w:t xml:space="preserve"> thì ngành Thuế đã giảm hơn 4000 đầu mối xuống còn hơn 600 đầu mối.</w:t>
      </w:r>
    </w:p>
    <w:p w14:paraId="5182F699" w14:textId="25F43325" w:rsidR="006A3051" w:rsidRPr="00B403DF" w:rsidRDefault="006A3051" w:rsidP="00B403DF">
      <w:pPr>
        <w:spacing w:before="120" w:after="120" w:line="276" w:lineRule="auto"/>
        <w:ind w:left="85" w:firstLine="680"/>
        <w:jc w:val="both"/>
        <w:rPr>
          <w:rFonts w:cs="Times New Roman"/>
          <w:noProof/>
          <w:szCs w:val="28"/>
        </w:rPr>
      </w:pPr>
      <w:r w:rsidRPr="00B403DF">
        <w:rPr>
          <w:rFonts w:cs="Times New Roman"/>
          <w:noProof/>
          <w:szCs w:val="28"/>
        </w:rPr>
        <w:lastRenderedPageBreak/>
        <w:t>Từ ngày 01/7/2025, Ngành Thuế tiếp tục có sự thay đổi sắp xếp theo hướng vận hành mô hình chính quyền địa phương 02 cấp (tỉnh-xã) thay cho chính qyền địa phương 03 cấp trước đây (tỉnh- huyện-xã). Theo đó, ngành Thuế sắp xếp theo mô hình: Thuế tỉnh, thành phố (34); Thuế cơ sở (350).</w:t>
      </w:r>
    </w:p>
    <w:p w14:paraId="780BB7D8" w14:textId="4CFAA701" w:rsidR="0035454D" w:rsidRPr="00B403DF" w:rsidRDefault="0035454D" w:rsidP="00B403DF">
      <w:pPr>
        <w:spacing w:before="120" w:after="120" w:line="276" w:lineRule="auto"/>
        <w:ind w:left="85" w:firstLine="680"/>
        <w:jc w:val="both"/>
        <w:rPr>
          <w:rFonts w:cs="Times New Roman"/>
          <w:noProof/>
          <w:szCs w:val="28"/>
        </w:rPr>
      </w:pPr>
      <w:r w:rsidRPr="00B403DF">
        <w:rPr>
          <w:rFonts w:cs="Times New Roman"/>
          <w:noProof/>
          <w:szCs w:val="28"/>
        </w:rPr>
        <w:t xml:space="preserve">Sau sắp xếp, mô hình tổ chức bộ máy của ngành Thuế cũng đã chuyển đổi từ mô hình “quản lý thuế theo chức năng” sang mô hình “quản lý thuế theo đối tượng” giúp đẩy mạnh chuyển đổi số, ứng dụng công nghệ hiện đại để cung cấp dịch vụ tốt nhất cho </w:t>
      </w:r>
      <w:r w:rsidR="00780749" w:rsidRPr="00B403DF">
        <w:rPr>
          <w:rFonts w:cs="Times New Roman"/>
          <w:noProof/>
          <w:szCs w:val="28"/>
        </w:rPr>
        <w:t>người nộp thuế với phương châm “lấy người nộp thuế là trung tâm phục vụ”.</w:t>
      </w:r>
      <w:r w:rsidR="007033B6" w:rsidRPr="00B403DF">
        <w:rPr>
          <w:rFonts w:cs="Times New Roman"/>
          <w:noProof/>
          <w:szCs w:val="28"/>
        </w:rPr>
        <w:t xml:space="preserve"> </w:t>
      </w:r>
      <w:r w:rsidR="007033B6" w:rsidRPr="00B403DF">
        <w:rPr>
          <w:rFonts w:cs="Times New Roman"/>
          <w:szCs w:val="28"/>
        </w:rPr>
        <w:t>Cơ quan thuế các cấp đã hoàn thành 100% việc kết xuất dữ liệu từ các hệ thống ứng dụng của ngành Thuế với 195 loại dữ liệu và 216.058 file dữ liệu cần bàn giao. Đồng thời, cập nhật danh mục 34 Thuế tỉnh/thành phố, 350 cơ quan thuế cơ sở; danh mục tỉnh/thành phố; danh mục phường/xã và cơ bản hoàn thành việc cập nhật bộ địa chỉ theo địa bàn hành chính mới cho các tổ chức, doanh nghiệp và hộ, cá nhân kinh doanh.</w:t>
      </w:r>
    </w:p>
    <w:p w14:paraId="5FF3282C" w14:textId="29982004" w:rsidR="00E96785" w:rsidRPr="00B403DF" w:rsidRDefault="0035454D" w:rsidP="00B403DF">
      <w:pPr>
        <w:spacing w:before="120" w:after="120" w:line="276" w:lineRule="auto"/>
        <w:ind w:left="85" w:firstLine="680"/>
        <w:jc w:val="both"/>
        <w:rPr>
          <w:rFonts w:cs="Times New Roman"/>
          <w:szCs w:val="28"/>
          <w:lang w:val="sv-SE"/>
        </w:rPr>
      </w:pPr>
      <w:r w:rsidRPr="00B403DF">
        <w:rPr>
          <w:rFonts w:cs="Times New Roman"/>
          <w:b/>
          <w:bCs/>
          <w:i/>
          <w:iCs/>
          <w:szCs w:val="28"/>
          <w:lang w:val="sv-SE"/>
        </w:rPr>
        <w:t xml:space="preserve">- Ngành </w:t>
      </w:r>
      <w:r w:rsidR="00C44A5B" w:rsidRPr="00B403DF">
        <w:rPr>
          <w:rFonts w:cs="Times New Roman"/>
          <w:b/>
          <w:bCs/>
          <w:i/>
          <w:iCs/>
          <w:szCs w:val="28"/>
          <w:lang w:val="sv-SE"/>
        </w:rPr>
        <w:t>Hải quan</w:t>
      </w:r>
      <w:r w:rsidRPr="00B403DF">
        <w:rPr>
          <w:rFonts w:cs="Times New Roman"/>
          <w:b/>
          <w:bCs/>
          <w:i/>
          <w:iCs/>
          <w:szCs w:val="28"/>
          <w:lang w:val="sv-SE"/>
        </w:rPr>
        <w:t xml:space="preserve">: </w:t>
      </w:r>
      <w:r w:rsidR="00E96785" w:rsidRPr="00B403DF">
        <w:rPr>
          <w:rFonts w:cs="Times New Roman"/>
          <w:szCs w:val="28"/>
          <w:lang w:val="sv-SE"/>
        </w:rPr>
        <w:t>Hệ thống cơ quan hải quan được tổ chức thành hệ thống dọc từ Tổng cục Hải quan</w:t>
      </w:r>
      <w:r w:rsidR="00E96785" w:rsidRPr="00B403DF">
        <w:rPr>
          <w:rFonts w:cs="Times New Roman"/>
          <w:szCs w:val="28"/>
          <w:lang w:val="it-IT"/>
        </w:rPr>
        <w:t xml:space="preserve">, </w:t>
      </w:r>
      <w:r w:rsidR="00E96785" w:rsidRPr="00B403DF">
        <w:rPr>
          <w:rFonts w:cs="Times New Roman"/>
          <w:szCs w:val="28"/>
          <w:lang w:val="sv-SE"/>
        </w:rPr>
        <w:t>Hải quan tỉnh</w:t>
      </w:r>
      <w:r w:rsidR="00E96785" w:rsidRPr="00B403DF">
        <w:rPr>
          <w:rFonts w:cs="Times New Roman"/>
          <w:szCs w:val="28"/>
          <w:lang w:val="it-IT"/>
        </w:rPr>
        <w:t xml:space="preserve"> hoặc khu vực (bao gồm 1 số tỉnh) và các chi cục hải quan</w:t>
      </w:r>
      <w:r w:rsidR="00E96785" w:rsidRPr="00B403DF">
        <w:rPr>
          <w:rFonts w:cs="Times New Roman"/>
          <w:szCs w:val="28"/>
          <w:lang w:val="sv-SE"/>
        </w:rPr>
        <w:t>, bảo đảm nguyên tắc tập trung thống nhất, gồm: Tổng cục</w:t>
      </w:r>
      <w:r w:rsidR="00C44A5B" w:rsidRPr="00B403DF">
        <w:rPr>
          <w:rFonts w:cs="Times New Roman"/>
          <w:szCs w:val="28"/>
          <w:lang w:val="sv-SE"/>
        </w:rPr>
        <w:t xml:space="preserve"> Hải quan</w:t>
      </w:r>
      <w:r w:rsidR="00E96785" w:rsidRPr="00B403DF">
        <w:rPr>
          <w:rFonts w:cs="Times New Roman"/>
          <w:szCs w:val="28"/>
          <w:lang w:val="sv-SE"/>
        </w:rPr>
        <w:t xml:space="preserve"> (với 14 Cục, Vụ thực hiện chức năng quản lý nhà nước, 3 đơn vị sự nghiệp); 35 Cục Hải quan tỉnh và </w:t>
      </w:r>
      <w:r w:rsidR="00E96785" w:rsidRPr="00B403DF">
        <w:rPr>
          <w:rFonts w:cs="Times New Roman"/>
          <w:szCs w:val="28"/>
          <w:lang w:val="it-IT"/>
        </w:rPr>
        <w:t>khu vực</w:t>
      </w:r>
      <w:r w:rsidR="00E96785" w:rsidRPr="00B403DF">
        <w:rPr>
          <w:rFonts w:cs="Times New Roman"/>
          <w:szCs w:val="28"/>
          <w:lang w:val="sv-SE"/>
        </w:rPr>
        <w:t xml:space="preserve">; 157 Chi cục Hải quan, Đội Kiểm soát Hải quan và đơn vị tương đương trực thuộc Cục Hải quan địa phương. </w:t>
      </w:r>
    </w:p>
    <w:p w14:paraId="6BFDFDB7" w14:textId="08D08BD5" w:rsidR="0035454D" w:rsidRPr="00B403DF" w:rsidRDefault="0035454D" w:rsidP="00B403DF">
      <w:pPr>
        <w:spacing w:before="120" w:after="120" w:line="276" w:lineRule="auto"/>
        <w:ind w:left="85" w:firstLine="680"/>
        <w:jc w:val="both"/>
        <w:rPr>
          <w:rFonts w:cs="Times New Roman"/>
          <w:szCs w:val="28"/>
          <w:lang w:val="sv-SE"/>
        </w:rPr>
      </w:pPr>
      <w:r w:rsidRPr="00B403DF">
        <w:rPr>
          <w:rFonts w:cs="Times New Roman"/>
          <w:noProof/>
          <w:szCs w:val="28"/>
          <w:lang w:val="sv-SE"/>
        </w:rPr>
        <w:t>Để thực hiện chức năng, nhiệm vụ, quyền hạn và trách nhiệm theo yêu cầu quản lý thuế, cơ quan Hải quan đã thực hiện sắp xếp, kiện toàn cơ cấu tổ chức bộ máy: Thành lập bộ phận hỗ trợ tuyên truyền pháp luật cho người khai hải quan, người nộp thuế; Thành lập các phòng thuế đối với hàng hóa xuất nhập khẩu thuộc một số đơn vị có số thu lớn như: TP.Hồ Chí Minh, Hà Nội, Hải phòng...</w:t>
      </w:r>
    </w:p>
    <w:p w14:paraId="1FE88BD0" w14:textId="77777777" w:rsidR="002F6E75" w:rsidRPr="00B403DF" w:rsidRDefault="002F6E75" w:rsidP="00B403DF">
      <w:pPr>
        <w:spacing w:before="120" w:after="120" w:line="276" w:lineRule="auto"/>
        <w:ind w:left="85" w:firstLine="720"/>
        <w:jc w:val="both"/>
        <w:rPr>
          <w:rFonts w:cs="Times New Roman"/>
          <w:szCs w:val="28"/>
          <w:lang w:val="vi-VN"/>
        </w:rPr>
      </w:pPr>
      <w:r w:rsidRPr="00B403DF">
        <w:rPr>
          <w:rFonts w:cs="Times New Roman"/>
          <w:szCs w:val="28"/>
          <w:lang w:val="sv-SE"/>
        </w:rPr>
        <w:t>Đẩy mạnh công tác đào tạo, bồi dưỡng đội ngũ công chức theo hướng chuyên sâu, chuyên nghiệp. Tập trung vào việc bồi dưỡng chính sách thuế, kỹ năng nghiệp vụ quản lý thuế, kỹ năng khai t</w:t>
      </w:r>
      <w:r w:rsidRPr="00B403DF">
        <w:rPr>
          <w:rFonts w:cs="Times New Roman"/>
          <w:szCs w:val="28"/>
          <w:lang w:val="vi-VN"/>
        </w:rPr>
        <w:t>h</w:t>
      </w:r>
      <w:r w:rsidRPr="00B403DF">
        <w:rPr>
          <w:rFonts w:cs="Times New Roman"/>
          <w:szCs w:val="28"/>
          <w:lang w:val="sv-SE"/>
        </w:rPr>
        <w:t>ác và vận hành các chương trình phần mềm cho cán bộ  đáp ứng được yêu cầu công tác quản lý của Luật quản lý thuế.</w:t>
      </w:r>
    </w:p>
    <w:p w14:paraId="5DA10776" w14:textId="5A2DCFDA" w:rsidR="002F6E75" w:rsidRPr="00B403DF" w:rsidRDefault="002F6E75" w:rsidP="00F90F3B">
      <w:pPr>
        <w:widowControl w:val="0"/>
        <w:spacing w:before="120" w:after="120" w:line="276" w:lineRule="auto"/>
        <w:ind w:left="86" w:firstLine="677"/>
        <w:jc w:val="both"/>
        <w:rPr>
          <w:rFonts w:cs="Times New Roman"/>
          <w:szCs w:val="28"/>
          <w:lang w:val="sv-SE"/>
        </w:rPr>
      </w:pPr>
      <w:r w:rsidRPr="00B403DF">
        <w:rPr>
          <w:rFonts w:cs="Times New Roman"/>
          <w:szCs w:val="28"/>
          <w:lang w:val="vi-VN"/>
        </w:rPr>
        <w:t>Từ ngày 1/3/2025, cục Hải quan được tổ chức và hoạt động theo 03 cấp: Cục Hải quan, Chi cục Hải quan khu vực, Hải quan cửa khẩu/ngoài cửa khẩu. Sau khi sắp xếp, tổ chức lại Tổng cục Hải quan thành Cục Hải quan giảm khoảng 485/902 đầu mối, tương ứng 53.77%.</w:t>
      </w:r>
      <w:r w:rsidRPr="00B403DF">
        <w:rPr>
          <w:rFonts w:cs="Times New Roman"/>
          <w:szCs w:val="28"/>
        </w:rPr>
        <w:t xml:space="preserve"> </w:t>
      </w:r>
      <w:r w:rsidRPr="00B403DF">
        <w:rPr>
          <w:rFonts w:cs="Times New Roman"/>
          <w:szCs w:val="28"/>
          <w:lang w:val="vi-VN"/>
        </w:rPr>
        <w:t xml:space="preserve">Thực hiện sắp xếp, tinh gọn tổ chức bộ máy, Cục Hải quan phân định rõ nhiệm vụ, quyền hạn của các đơn vị bên trong, giảm đầu mối, giúp các đơn vị hoạt động hiệu lực, hiệu quả hơn. </w:t>
      </w:r>
    </w:p>
    <w:p w14:paraId="04D4DEE1" w14:textId="4DCB81A6" w:rsidR="00E96785" w:rsidRPr="00B403DF" w:rsidRDefault="00E96785" w:rsidP="00F90F3B">
      <w:pPr>
        <w:widowControl w:val="0"/>
        <w:spacing w:before="120" w:after="120" w:line="276" w:lineRule="auto"/>
        <w:ind w:left="86" w:firstLine="677"/>
        <w:jc w:val="both"/>
        <w:rPr>
          <w:rFonts w:cs="Times New Roman"/>
          <w:bCs/>
          <w:i/>
          <w:szCs w:val="28"/>
        </w:rPr>
      </w:pPr>
      <w:r w:rsidRPr="00B403DF">
        <w:rPr>
          <w:rFonts w:cs="Times New Roman"/>
          <w:bCs/>
          <w:i/>
          <w:szCs w:val="28"/>
        </w:rPr>
        <w:lastRenderedPageBreak/>
        <w:t xml:space="preserve">c) </w:t>
      </w:r>
      <w:r w:rsidRPr="00B403DF">
        <w:rPr>
          <w:rFonts w:cs="Times New Roman"/>
          <w:bCs/>
          <w:i/>
          <w:szCs w:val="28"/>
          <w:lang w:val="vi-VN"/>
        </w:rPr>
        <w:t>Mô hình quản lý thuế được thay đổi theo hướng từng bước hiện đại và phù hợp với thông lệ quốc tế, tăng cường tính tuân thủ</w:t>
      </w:r>
      <w:r w:rsidRPr="00B403DF">
        <w:rPr>
          <w:rFonts w:cs="Times New Roman"/>
          <w:bCs/>
          <w:i/>
          <w:szCs w:val="28"/>
          <w:lang w:val="sv-SE"/>
        </w:rPr>
        <w:t>,</w:t>
      </w:r>
      <w:r w:rsidRPr="00B403DF">
        <w:rPr>
          <w:rFonts w:cs="Times New Roman"/>
          <w:bCs/>
          <w:i/>
          <w:szCs w:val="28"/>
          <w:lang w:val="vi-VN"/>
        </w:rPr>
        <w:t xml:space="preserve"> thực thi pháp luật của người nộp thuế và cơ quan quản lý thuế</w:t>
      </w:r>
    </w:p>
    <w:p w14:paraId="2DE65378" w14:textId="738CD789"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Hiện hành các quy trình nghiệp vụ quản lý thuế được thực hiện trên các hệ thống tác nghiệp gồm TMS và QLTB-NĐ. Trong đó, Hệ thống TMS được thiết kế theo</w:t>
      </w:r>
      <w:r w:rsidRPr="00B403DF">
        <w:rPr>
          <w:rFonts w:cs="Times New Roman"/>
          <w:bCs/>
          <w:iCs/>
          <w:szCs w:val="28"/>
          <w:lang w:val="vi-VN"/>
        </w:rPr>
        <w:t xml:space="preserve"> chức năng </w:t>
      </w:r>
      <w:r w:rsidRPr="00B403DF">
        <w:rPr>
          <w:rFonts w:cs="Times New Roman"/>
          <w:bCs/>
          <w:iCs/>
          <w:szCs w:val="28"/>
        </w:rPr>
        <w:t>đăng ký thuế, xử lý tờ khai, quyết toán thuế, kế toán thuế, quản lý nợ. Thiết</w:t>
      </w:r>
      <w:r w:rsidRPr="00B403DF">
        <w:rPr>
          <w:rFonts w:cs="Times New Roman"/>
          <w:bCs/>
          <w:iCs/>
          <w:szCs w:val="28"/>
          <w:lang w:val="vi-VN"/>
        </w:rPr>
        <w:t xml:space="preserve"> kế ứng dụng</w:t>
      </w:r>
      <w:r w:rsidRPr="00B403DF">
        <w:rPr>
          <w:rFonts w:cs="Times New Roman"/>
          <w:bCs/>
          <w:iCs/>
          <w:szCs w:val="28"/>
        </w:rPr>
        <w:t xml:space="preserve"> theo chức năng là một đặc điểm quan trọng của TMS, đảm bảo rằng các cán bộ thuế chỉ có quyền truy cập và thực hiện các tác vụ phù hợp với vai trò và trách nhiệm</w:t>
      </w:r>
      <w:r w:rsidRPr="00B403DF">
        <w:rPr>
          <w:rFonts w:cs="Times New Roman"/>
          <w:bCs/>
          <w:iCs/>
          <w:szCs w:val="28"/>
          <w:lang w:val="vi-VN"/>
        </w:rPr>
        <w:t xml:space="preserve"> theo chức năng</w:t>
      </w:r>
      <w:r w:rsidRPr="00B403DF">
        <w:rPr>
          <w:rFonts w:cs="Times New Roman"/>
          <w:bCs/>
          <w:iCs/>
          <w:szCs w:val="28"/>
        </w:rPr>
        <w:t>.</w:t>
      </w:r>
    </w:p>
    <w:p w14:paraId="2BF0B1FE" w14:textId="77777777" w:rsidR="00C10E29" w:rsidRPr="00B403DF" w:rsidRDefault="00C10E29" w:rsidP="00B403DF">
      <w:pPr>
        <w:spacing w:before="120" w:after="120" w:line="276" w:lineRule="auto"/>
        <w:ind w:left="85" w:firstLine="680"/>
        <w:jc w:val="both"/>
        <w:rPr>
          <w:rFonts w:cs="Times New Roman"/>
          <w:bCs/>
          <w:iCs/>
          <w:szCs w:val="28"/>
          <w:lang w:val="vi-VN"/>
        </w:rPr>
      </w:pPr>
      <w:r w:rsidRPr="00B403DF">
        <w:rPr>
          <w:rFonts w:cs="Times New Roman"/>
          <w:bCs/>
          <w:iCs/>
          <w:szCs w:val="28"/>
          <w:lang w:val="vi-VN"/>
        </w:rPr>
        <w:t>Khi thay đổi mô hình quản lý từ chức năng sang quản lý theo đối tượng gắn với chức năng, hiện hành hệ thống TMS gặp một số hạn chế:</w:t>
      </w:r>
    </w:p>
    <w:p w14:paraId="4BE9189E" w14:textId="160E3A48"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 xml:space="preserve">- </w:t>
      </w:r>
      <w:r w:rsidRPr="00B403DF">
        <w:rPr>
          <w:rFonts w:cs="Times New Roman"/>
          <w:bCs/>
          <w:iCs/>
          <w:szCs w:val="28"/>
          <w:lang w:val="vi-VN"/>
        </w:rPr>
        <w:t>Kiến trúc dữ liệu, phân quyền không đáo ứng yêu cầu quản lý xuyên suốt 1 NNT theo vòng đời (life cycle)</w:t>
      </w:r>
      <w:r w:rsidRPr="00B403DF">
        <w:rPr>
          <w:rFonts w:cs="Times New Roman"/>
          <w:bCs/>
          <w:iCs/>
          <w:szCs w:val="28"/>
        </w:rPr>
        <w:t>.</w:t>
      </w:r>
    </w:p>
    <w:p w14:paraId="486239D8" w14:textId="06AF11BC"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 xml:space="preserve">- </w:t>
      </w:r>
      <w:r w:rsidRPr="00B403DF">
        <w:rPr>
          <w:rFonts w:cs="Times New Roman"/>
          <w:bCs/>
          <w:iCs/>
          <w:szCs w:val="28"/>
          <w:lang w:val="vi-VN"/>
        </w:rPr>
        <w:t>Kiến trúc ứng dụng thiết kế đóng theo từng cơ quan thuế theo nguyên tắc hạch toán kế toán (bộ sổ), phân quyền thao tác dữ liệu theo từng CQT (ứng dụng triển khai nhưng xử lý phân tán)</w:t>
      </w:r>
      <w:r w:rsidRPr="00B403DF">
        <w:rPr>
          <w:rFonts w:cs="Times New Roman"/>
          <w:bCs/>
          <w:iCs/>
          <w:szCs w:val="28"/>
        </w:rPr>
        <w:t>.</w:t>
      </w:r>
    </w:p>
    <w:p w14:paraId="13CCCCB4" w14:textId="7A0A4DB4"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 xml:space="preserve">- </w:t>
      </w:r>
      <w:r w:rsidRPr="00B403DF">
        <w:rPr>
          <w:rFonts w:cs="Times New Roman"/>
          <w:bCs/>
          <w:iCs/>
          <w:szCs w:val="28"/>
          <w:lang w:val="vi-VN"/>
        </w:rPr>
        <w:t>Các hệ thống dịch vụ điện tử, hệ thống quản lý và các hệ thống hỗ trợ tác nghiệp còn kết nối qua các trung gian dẫn đến việc dữ liệu cập nhật real time chưa thực sự đảm bảo, một C</w:t>
      </w:r>
      <w:r w:rsidR="00F90F3B">
        <w:rPr>
          <w:rFonts w:cs="Times New Roman"/>
          <w:bCs/>
          <w:iCs/>
          <w:szCs w:val="28"/>
        </w:rPr>
        <w:t>BT</w:t>
      </w:r>
      <w:r w:rsidRPr="00B403DF">
        <w:rPr>
          <w:rFonts w:cs="Times New Roman"/>
          <w:bCs/>
          <w:iCs/>
          <w:szCs w:val="28"/>
          <w:lang w:val="vi-VN"/>
        </w:rPr>
        <w:t xml:space="preserve"> phải tác nghiệp trên nhiều hệ thống</w:t>
      </w:r>
      <w:r w:rsidRPr="00B403DF">
        <w:rPr>
          <w:rFonts w:cs="Times New Roman"/>
          <w:bCs/>
          <w:iCs/>
          <w:szCs w:val="28"/>
        </w:rPr>
        <w:t>.</w:t>
      </w:r>
    </w:p>
    <w:p w14:paraId="4D79D270" w14:textId="7F29DB05" w:rsidR="005D6FC8" w:rsidRPr="00B403DF" w:rsidRDefault="005D6FC8" w:rsidP="00B403DF">
      <w:pPr>
        <w:spacing w:before="120" w:after="120" w:line="276" w:lineRule="auto"/>
        <w:ind w:left="85" w:firstLine="720"/>
        <w:jc w:val="both"/>
        <w:rPr>
          <w:rFonts w:cs="Times New Roman"/>
          <w:b/>
          <w:noProof/>
          <w:szCs w:val="28"/>
          <w:lang w:val="vi-VN"/>
        </w:rPr>
      </w:pPr>
      <w:bookmarkStart w:id="3" w:name="_Hlk200723821"/>
      <w:r w:rsidRPr="00B403DF">
        <w:rPr>
          <w:rFonts w:cs="Times New Roman"/>
          <w:b/>
          <w:noProof/>
          <w:szCs w:val="28"/>
          <w:lang w:val="vi-VN"/>
        </w:rPr>
        <w:t xml:space="preserve">2.1.4. Nâng cao hiệu quả thu ngân sách và </w:t>
      </w:r>
      <w:r w:rsidR="008C04E6" w:rsidRPr="00B403DF">
        <w:rPr>
          <w:rFonts w:cs="Times New Roman"/>
          <w:b/>
          <w:noProof/>
          <w:szCs w:val="28"/>
        </w:rPr>
        <w:t xml:space="preserve">biện pháp </w:t>
      </w:r>
      <w:r w:rsidRPr="00B403DF">
        <w:rPr>
          <w:rFonts w:cs="Times New Roman"/>
          <w:b/>
          <w:noProof/>
          <w:szCs w:val="28"/>
          <w:lang w:val="vi-VN"/>
        </w:rPr>
        <w:t>chống thất thu</w:t>
      </w:r>
    </w:p>
    <w:p w14:paraId="1B23211B" w14:textId="270D9292" w:rsidR="006A3051" w:rsidRPr="00B403DF" w:rsidRDefault="006A3051" w:rsidP="00B403DF">
      <w:pPr>
        <w:spacing w:before="120" w:after="120" w:line="276" w:lineRule="auto"/>
        <w:ind w:left="85" w:firstLine="680"/>
        <w:jc w:val="both"/>
        <w:rPr>
          <w:rFonts w:cs="Times New Roman"/>
          <w:i/>
          <w:iCs/>
          <w:noProof/>
          <w:szCs w:val="28"/>
        </w:rPr>
      </w:pPr>
      <w:r w:rsidRPr="00B403DF">
        <w:rPr>
          <w:rFonts w:cs="Times New Roman"/>
          <w:b/>
          <w:bCs/>
          <w:i/>
          <w:iCs/>
          <w:noProof/>
          <w:szCs w:val="28"/>
        </w:rPr>
        <w:t xml:space="preserve">(i) </w:t>
      </w:r>
      <w:r w:rsidRPr="00B403DF">
        <w:rPr>
          <w:rFonts w:cs="Times New Roman"/>
          <w:i/>
          <w:iCs/>
          <w:noProof/>
          <w:szCs w:val="28"/>
        </w:rPr>
        <w:t>Đánh giá số thu ngân sách</w:t>
      </w:r>
    </w:p>
    <w:p w14:paraId="4D3AC1D3" w14:textId="7B0938E7" w:rsidR="001C1C1D" w:rsidRPr="00F90F3B" w:rsidRDefault="006A3051" w:rsidP="00F90F3B">
      <w:pPr>
        <w:spacing w:before="120" w:after="120" w:line="276" w:lineRule="auto"/>
        <w:ind w:left="85" w:firstLine="680"/>
        <w:jc w:val="both"/>
        <w:rPr>
          <w:rFonts w:cs="Times New Roman"/>
          <w:szCs w:val="28"/>
        </w:rPr>
      </w:pPr>
      <w:r w:rsidRPr="00B403DF">
        <w:rPr>
          <w:rFonts w:cs="Times New Roman"/>
          <w:szCs w:val="28"/>
        </w:rPr>
        <w:t xml:space="preserve">- </w:t>
      </w:r>
      <w:r w:rsidR="008C04E6" w:rsidRPr="00B403DF">
        <w:rPr>
          <w:rFonts w:cs="Times New Roman"/>
          <w:szCs w:val="28"/>
        </w:rPr>
        <w:t>Thu NSNN giai đoạn 2020-2024 đạt được những kết quả tích cực, thu ngân sách hàng năm đều đạt và vượt dự toán, quy mô số thu ngân sách ngày càng tăng, cơ cấu thu chuyển dịch theo hướng bền vững với tỷ trọng thu nội địa ngày càng cao, giảm dần phụ thuộc vào thu từ dầu thô và thu từ hoạt động xuất nhập khẩu. Việc đẩy mạnh chuyển đổi số, hiện đại hóa trong công tác quản lý thu, đẩy mạnh cải cách hành chính trong lĩnh vực thuế và hải quan đã góp phần tăng tính minh bạch, tăng cường hiệu quả quản lý, chống thất thu. Nhờ nguồn lực tài chính dồi dào đã giúp Nhà nước đảm bảo chi cho đầu tư phát triển kinh tế, an sinh xã hội, quốc phòng - an ninh, chuyển đổi số quốc gia và ứng phó hiệu quả với đại dịch COVID-19, đặc biệt là có nguồn lực để triển khai thực hiện các chính sách hỗ trợ doanh nghiệp và người dân hồi phục nhanh nền kinh tế sau giai đoạn dịch bệnh.</w:t>
      </w:r>
      <w:r w:rsidR="00F90F3B">
        <w:rPr>
          <w:rFonts w:cs="Times New Roman"/>
          <w:szCs w:val="28"/>
        </w:rPr>
        <w:t xml:space="preserve"> </w:t>
      </w:r>
      <w:r w:rsidR="001C1C1D" w:rsidRPr="00B403DF">
        <w:rPr>
          <w:rFonts w:cs="Times New Roman"/>
          <w:noProof/>
          <w:szCs w:val="28"/>
          <w:lang w:val="vi-VN"/>
        </w:rPr>
        <w:t>Tổng thu NSNN do cơ quan thuế và cơ quan hải quan quản lý từ 01/7/2020 đến 3</w:t>
      </w:r>
      <w:r w:rsidR="00DB28F8" w:rsidRPr="00B403DF">
        <w:rPr>
          <w:rFonts w:cs="Times New Roman"/>
          <w:noProof/>
          <w:szCs w:val="28"/>
          <w:lang w:val="vi-VN"/>
        </w:rPr>
        <w:t xml:space="preserve">1/12/2024 </w:t>
      </w:r>
      <w:r w:rsidR="001C1C1D" w:rsidRPr="00B403DF">
        <w:rPr>
          <w:rFonts w:cs="Times New Roman"/>
          <w:noProof/>
          <w:szCs w:val="28"/>
          <w:lang w:val="vi-VN"/>
        </w:rPr>
        <w:t>đã có mức tăng trưởng đáng kể, cụ thể:</w:t>
      </w:r>
    </w:p>
    <w:p w14:paraId="6988FB76" w14:textId="38E9676E" w:rsidR="00E96785" w:rsidRPr="00B403DF" w:rsidRDefault="00E96785" w:rsidP="00B403DF">
      <w:pPr>
        <w:spacing w:before="120" w:after="120" w:line="276" w:lineRule="auto"/>
        <w:ind w:left="85" w:firstLine="720"/>
        <w:jc w:val="both"/>
        <w:rPr>
          <w:rFonts w:cs="Times New Roman"/>
          <w:b/>
          <w:bCs/>
          <w:i/>
          <w:iCs/>
          <w:szCs w:val="28"/>
        </w:rPr>
      </w:pPr>
      <w:r w:rsidRPr="00B403DF">
        <w:rPr>
          <w:rFonts w:cs="Times New Roman"/>
          <w:b/>
          <w:bCs/>
          <w:i/>
          <w:iCs/>
          <w:szCs w:val="28"/>
        </w:rPr>
        <w:t>+) Tổng thu nội địa:</w:t>
      </w:r>
    </w:p>
    <w:p w14:paraId="6D31A8BF" w14:textId="4943062A" w:rsidR="008C04E6" w:rsidRPr="00B403DF" w:rsidRDefault="008C04E6" w:rsidP="00B403DF">
      <w:pPr>
        <w:spacing w:before="120" w:after="120" w:line="276" w:lineRule="auto"/>
        <w:ind w:left="85" w:firstLine="567"/>
        <w:jc w:val="both"/>
        <w:rPr>
          <w:rFonts w:cs="Times New Roman"/>
          <w:szCs w:val="28"/>
        </w:rPr>
      </w:pPr>
      <w:r w:rsidRPr="00B403DF">
        <w:rPr>
          <w:rFonts w:cs="Times New Roman"/>
          <w:szCs w:val="28"/>
          <w:lang w:val="nl-NL"/>
        </w:rPr>
        <w:lastRenderedPageBreak/>
        <w:t xml:space="preserve">Tính đến cuối năm 2024, tổng thu NSNN giai đoạn 2020-2024 đạt khoảng 8,736 triệu tỷ đồng, đạt </w:t>
      </w:r>
      <w:r w:rsidRPr="00B403DF">
        <w:rPr>
          <w:rFonts w:cs="Times New Roman"/>
          <w:szCs w:val="28"/>
        </w:rPr>
        <w:t>115,1% so dự toán, trong đó, tổng thu thuế, phí đạt 7,026 triệu tỷ đồng, chiếm 14,7% GDP; thu nội địa đạt 7,251 triệu tỷ đồng, chiếm 83% tổng thu NSNN, đạt</w:t>
      </w:r>
      <w:r w:rsidRPr="00B403DF">
        <w:rPr>
          <w:rFonts w:cs="Times New Roman"/>
          <w:szCs w:val="28"/>
          <w:lang w:val="nl-NL"/>
        </w:rPr>
        <w:t xml:space="preserve"> 14,1% dự toán, thu nội địa hàng năm đều vượt dự toán</w:t>
      </w:r>
      <w:r w:rsidRPr="00B403DF">
        <w:rPr>
          <w:rStyle w:val="FootnoteReference"/>
          <w:rFonts w:cs="Times New Roman"/>
          <w:szCs w:val="28"/>
          <w:lang w:val="nl-NL"/>
        </w:rPr>
        <w:footnoteReference w:id="7"/>
      </w:r>
      <w:r w:rsidRPr="00B403DF">
        <w:rPr>
          <w:rFonts w:cs="Times New Roman"/>
          <w:szCs w:val="28"/>
          <w:lang w:val="nl-NL"/>
        </w:rPr>
        <w:t>. T</w:t>
      </w:r>
      <w:r w:rsidRPr="00B403DF">
        <w:rPr>
          <w:rFonts w:cs="Times New Roman"/>
          <w:szCs w:val="28"/>
          <w:lang w:val="am-ET"/>
        </w:rPr>
        <w:t>ỷ lệ huy động thu</w:t>
      </w:r>
      <w:r w:rsidRPr="00B403DF">
        <w:rPr>
          <w:rFonts w:cs="Times New Roman"/>
          <w:szCs w:val="28"/>
        </w:rPr>
        <w:t xml:space="preserve"> ngân sách </w:t>
      </w:r>
      <w:r w:rsidRPr="00B403DF">
        <w:rPr>
          <w:rFonts w:cs="Times New Roman"/>
          <w:szCs w:val="28"/>
          <w:lang w:val="am-ET"/>
        </w:rPr>
        <w:t>chiếm khoảng 18,</w:t>
      </w:r>
      <w:r w:rsidRPr="00B403DF">
        <w:rPr>
          <w:rFonts w:cs="Times New Roman"/>
          <w:szCs w:val="28"/>
        </w:rPr>
        <w:t>2</w:t>
      </w:r>
      <w:r w:rsidRPr="00B403DF">
        <w:rPr>
          <w:rFonts w:cs="Times New Roman"/>
          <w:szCs w:val="28"/>
          <w:lang w:val="am-ET"/>
        </w:rPr>
        <w:t xml:space="preserve">%/GDP, </w:t>
      </w:r>
      <w:r w:rsidRPr="00B403DF">
        <w:rPr>
          <w:rFonts w:cs="Times New Roman"/>
          <w:szCs w:val="28"/>
        </w:rPr>
        <w:t>t</w:t>
      </w:r>
      <w:r w:rsidRPr="00B403DF">
        <w:rPr>
          <w:rFonts w:cs="Times New Roman"/>
          <w:szCs w:val="28"/>
          <w:lang w:val="am-ET"/>
        </w:rPr>
        <w:t>rong đó, tỷ lệ huy động thu thuế phí đạt 14,</w:t>
      </w:r>
      <w:r w:rsidRPr="00B403DF">
        <w:rPr>
          <w:rFonts w:cs="Times New Roman"/>
          <w:szCs w:val="28"/>
        </w:rPr>
        <w:t>7</w:t>
      </w:r>
      <w:r w:rsidRPr="00B403DF">
        <w:rPr>
          <w:rFonts w:cs="Times New Roman"/>
          <w:szCs w:val="28"/>
          <w:lang w:val="am-ET"/>
        </w:rPr>
        <w:t>% trên GDP</w:t>
      </w:r>
      <w:r w:rsidRPr="00B403DF">
        <w:rPr>
          <w:rFonts w:cs="Times New Roman"/>
          <w:szCs w:val="28"/>
        </w:rPr>
        <w:t>. C</w:t>
      </w:r>
      <w:r w:rsidRPr="00B403DF">
        <w:rPr>
          <w:rFonts w:cs="Times New Roman"/>
          <w:szCs w:val="28"/>
          <w:lang w:val="am-ET"/>
        </w:rPr>
        <w:t>ơ cấu thu NSNN</w:t>
      </w:r>
      <w:r w:rsidRPr="00B403DF">
        <w:rPr>
          <w:rFonts w:cs="Times New Roman"/>
          <w:szCs w:val="28"/>
        </w:rPr>
        <w:t xml:space="preserve"> </w:t>
      </w:r>
      <w:r w:rsidRPr="00B403DF">
        <w:rPr>
          <w:rFonts w:cs="Times New Roman"/>
          <w:szCs w:val="28"/>
          <w:lang w:val="am-ET"/>
        </w:rPr>
        <w:t>tiếp tục chuyển biến theo hướng bền vững hơn</w:t>
      </w:r>
      <w:r w:rsidRPr="00B403DF">
        <w:rPr>
          <w:rFonts w:cs="Times New Roman"/>
          <w:szCs w:val="28"/>
        </w:rPr>
        <w:t>, t</w:t>
      </w:r>
      <w:r w:rsidRPr="00B403DF">
        <w:rPr>
          <w:rFonts w:cs="Times New Roman"/>
          <w:szCs w:val="28"/>
          <w:lang w:val="am-ET"/>
        </w:rPr>
        <w:t>ỷ trọng thu nội địa giai đoạn 202</w:t>
      </w:r>
      <w:r w:rsidRPr="00B403DF">
        <w:rPr>
          <w:rFonts w:cs="Times New Roman"/>
          <w:szCs w:val="28"/>
        </w:rPr>
        <w:t>0</w:t>
      </w:r>
      <w:r w:rsidRPr="00B403DF">
        <w:rPr>
          <w:rFonts w:cs="Times New Roman"/>
          <w:szCs w:val="28"/>
          <w:lang w:val="am-ET"/>
        </w:rPr>
        <w:t>-202</w:t>
      </w:r>
      <w:r w:rsidRPr="00B403DF">
        <w:rPr>
          <w:rFonts w:cs="Times New Roman"/>
          <w:szCs w:val="28"/>
        </w:rPr>
        <w:t>4</w:t>
      </w:r>
      <w:r w:rsidRPr="00B403DF">
        <w:rPr>
          <w:rFonts w:cs="Times New Roman"/>
          <w:szCs w:val="28"/>
          <w:lang w:val="am-ET"/>
        </w:rPr>
        <w:t xml:space="preserve"> chiếm khoảng 83% trong tổng thu NSNN</w:t>
      </w:r>
      <w:r w:rsidRPr="00B403DF">
        <w:rPr>
          <w:rFonts w:cs="Times New Roman"/>
          <w:szCs w:val="28"/>
        </w:rPr>
        <w:t>. Q</w:t>
      </w:r>
      <w:r w:rsidRPr="00B403DF">
        <w:rPr>
          <w:rFonts w:cs="Times New Roman"/>
          <w:szCs w:val="28"/>
          <w:lang w:val="am-ET"/>
        </w:rPr>
        <w:t>uy mô thu NSNN ngày càng tăng, tổng thu NSNN từ mức 1,51 triệu tỷ đồng của năm 2020 đã tăng lên mức 2,</w:t>
      </w:r>
      <w:r w:rsidRPr="00B403DF">
        <w:rPr>
          <w:rFonts w:cs="Times New Roman"/>
          <w:szCs w:val="28"/>
        </w:rPr>
        <w:t>044</w:t>
      </w:r>
      <w:r w:rsidRPr="00B403DF">
        <w:rPr>
          <w:rFonts w:cs="Times New Roman"/>
          <w:szCs w:val="28"/>
          <w:lang w:val="am-ET"/>
        </w:rPr>
        <w:t xml:space="preserve"> triệu tỷ vào năm 2025, tương đương gấp 1,</w:t>
      </w:r>
      <w:r w:rsidRPr="00B403DF">
        <w:rPr>
          <w:rFonts w:cs="Times New Roman"/>
          <w:szCs w:val="28"/>
        </w:rPr>
        <w:t>35</w:t>
      </w:r>
      <w:r w:rsidRPr="00B403DF">
        <w:rPr>
          <w:rFonts w:cs="Times New Roman"/>
          <w:szCs w:val="28"/>
          <w:lang w:val="am-ET"/>
        </w:rPr>
        <w:t xml:space="preserve"> lần so với năm 2020, trong đó, thu nội địa thực hiện gấp 1,</w:t>
      </w:r>
      <w:r w:rsidRPr="00B403DF">
        <w:rPr>
          <w:rFonts w:cs="Times New Roman"/>
          <w:szCs w:val="28"/>
        </w:rPr>
        <w:t>32</w:t>
      </w:r>
      <w:r w:rsidRPr="00B403DF">
        <w:rPr>
          <w:rFonts w:cs="Times New Roman"/>
          <w:szCs w:val="28"/>
          <w:lang w:val="am-ET"/>
        </w:rPr>
        <w:t xml:space="preserve"> lần. </w:t>
      </w:r>
      <w:r w:rsidRPr="00B403DF">
        <w:rPr>
          <w:rFonts w:cs="Times New Roman"/>
          <w:szCs w:val="28"/>
          <w:lang w:val="it-IT"/>
        </w:rPr>
        <w:t>Tốc độ tăng thu giai đoạn 2020-2024 tăng bình quân khoảng 7,8%/năm, trong đó, tốc độ tăng thu nội địa bình quân khoảng 7,3%/năm.</w:t>
      </w:r>
    </w:p>
    <w:p w14:paraId="4723C74B" w14:textId="0FF8E371" w:rsidR="00E96785" w:rsidRPr="00B403DF" w:rsidRDefault="00E96785" w:rsidP="00B403DF">
      <w:pPr>
        <w:spacing w:before="120" w:after="120" w:line="276" w:lineRule="auto"/>
        <w:ind w:left="85" w:firstLine="720"/>
        <w:jc w:val="both"/>
        <w:rPr>
          <w:rFonts w:cs="Times New Roman"/>
          <w:b/>
          <w:bCs/>
          <w:i/>
          <w:iCs/>
          <w:szCs w:val="28"/>
        </w:rPr>
      </w:pPr>
      <w:r w:rsidRPr="00B403DF">
        <w:rPr>
          <w:rFonts w:cs="Times New Roman"/>
          <w:b/>
          <w:bCs/>
          <w:i/>
          <w:iCs/>
          <w:szCs w:val="28"/>
        </w:rPr>
        <w:t>+) Tổng thu từ hoạt động xuất khẩu, nhập khẩu:</w:t>
      </w:r>
    </w:p>
    <w:p w14:paraId="42A039E7" w14:textId="098E688F" w:rsidR="00F65B5F" w:rsidRPr="00B403DF" w:rsidRDefault="00F65B5F" w:rsidP="00B403DF">
      <w:pPr>
        <w:spacing w:before="120" w:after="120" w:line="276" w:lineRule="auto"/>
        <w:ind w:left="85" w:firstLine="720"/>
        <w:jc w:val="both"/>
        <w:rPr>
          <w:rFonts w:cs="Times New Roman"/>
          <w:szCs w:val="28"/>
        </w:rPr>
      </w:pPr>
      <w:r w:rsidRPr="00B403DF">
        <w:rPr>
          <w:rFonts w:cs="Times New Roman"/>
          <w:szCs w:val="28"/>
        </w:rPr>
        <w:t xml:space="preserve">Thu ngân sách từ hoạt động xuất nhập khẩu trong 05 năm (từ 2020 – 2024) đạt 1.925.229 tỷ đồng. </w:t>
      </w:r>
      <w:r w:rsidRPr="00B403DF">
        <w:rPr>
          <w:rFonts w:cs="Times New Roman"/>
          <w:szCs w:val="28"/>
          <w:lang w:val="vi-VN"/>
        </w:rPr>
        <w:t>Thu ngân sách từ hoạt động xuất nhập khẩu đã thể hiện sự tăng trưởng ổn định qua các năm. Từ mức đạt 314.463 tỷ đồng năm 2020 (đạt 93,04% dự toán), thu ngân sách đã tăng lên 377.147 tỷ đồng năm 2021 (vượt 19,73% dự toán), 437.368 tỷ đồng năm 2022 (vượt 24,25% dự toán), và 368.615 tỷ đồng năm 2023 (đạt 86,85% dự toán). Năm 2024, thu ngân sách từ hoạt động xuất nhập khẩu đạt 427.636 tỷ đồng, tăng 14,04% so với dự toán.</w:t>
      </w:r>
    </w:p>
    <w:p w14:paraId="4D8F897E" w14:textId="63A11CC8" w:rsidR="005D6FC8" w:rsidRPr="00B403DF" w:rsidRDefault="006A3051" w:rsidP="00B403DF">
      <w:pPr>
        <w:spacing w:before="120" w:after="120" w:line="276" w:lineRule="auto"/>
        <w:ind w:left="85" w:firstLine="720"/>
        <w:jc w:val="both"/>
        <w:rPr>
          <w:rFonts w:cs="Times New Roman"/>
          <w:noProof/>
          <w:szCs w:val="28"/>
          <w:lang w:val="vi-VN"/>
        </w:rPr>
      </w:pPr>
      <w:r w:rsidRPr="00B403DF">
        <w:rPr>
          <w:rFonts w:cs="Times New Roman"/>
          <w:b/>
          <w:bCs/>
          <w:i/>
          <w:iCs/>
          <w:noProof/>
          <w:szCs w:val="28"/>
        </w:rPr>
        <w:t>(ii)</w:t>
      </w:r>
      <w:r w:rsidR="001C1C1D" w:rsidRPr="00B403DF">
        <w:rPr>
          <w:rFonts w:cs="Times New Roman"/>
          <w:noProof/>
          <w:szCs w:val="28"/>
          <w:lang w:val="vi-VN"/>
        </w:rPr>
        <w:t xml:space="preserve"> </w:t>
      </w:r>
      <w:r w:rsidR="005D6FC8" w:rsidRPr="00B403DF">
        <w:rPr>
          <w:rFonts w:cs="Times New Roman"/>
          <w:noProof/>
          <w:szCs w:val="28"/>
          <w:lang w:val="vi-VN"/>
        </w:rPr>
        <w:t xml:space="preserve">Công tác thanh tra, kiểm tra thuế đã đạt được những kết quả đáng kể trong việc chống thất thu. </w:t>
      </w:r>
      <w:r w:rsidR="00F50A28" w:rsidRPr="00B403DF">
        <w:rPr>
          <w:rFonts w:cs="Times New Roman"/>
          <w:noProof/>
          <w:szCs w:val="28"/>
          <w:lang w:val="vi-VN"/>
        </w:rPr>
        <w:t>Theo Nghị quyết số 08-NQ/ĐUCT ngày 26/5/2025 của Đảng ủy Cục Thuế về tăng cường công tác kiểm tra chống thất thu ngân sách nhà nước, trong n</w:t>
      </w:r>
      <w:r w:rsidR="005D6FC8" w:rsidRPr="00B403DF">
        <w:rPr>
          <w:rFonts w:cs="Times New Roman"/>
          <w:noProof/>
          <w:szCs w:val="28"/>
          <w:lang w:val="vi-VN"/>
        </w:rPr>
        <w:t>ăm 2024,</w:t>
      </w:r>
      <w:r w:rsidR="00F50A28" w:rsidRPr="00B403DF">
        <w:rPr>
          <w:rFonts w:cs="Times New Roman"/>
          <w:noProof/>
          <w:szCs w:val="28"/>
          <w:lang w:val="vi-VN"/>
        </w:rPr>
        <w:t xml:space="preserve"> toàn ngành Thuế đã thực hiện được 72.343 cuộc thanh tra, kiểm tra, đạt 112,11% kế hoạch năm 2024; kiểm tra được 729.985 hồ sơ bằng 95,49% so với cùng kỳ năm 2023. Tổng số tiền kiến nghị xử lý qua thanh tra, kiểm tra là 75.772,45 tỷ đồng bằng 107,86% năm 2023, trong đó: tổng số thuế tăng thu qua thanh tra, kiểm tra là 19.665,7 tỷ đồng, giảm khấu trừ là 3.481,91 tỷ đồng; giảm lỗ là 52.624,84 tỷ đồng. Tổng số tiền thuế nộp vào ngân sách là 13.413,5 tỷ đồng, bằng 68,21% số tăng thu qua thanh tra kiểm tra.</w:t>
      </w:r>
    </w:p>
    <w:p w14:paraId="4E86B25D" w14:textId="15A5BA07" w:rsidR="000B4F8B" w:rsidRPr="00B403DF" w:rsidRDefault="005D6FC8" w:rsidP="00B403DF">
      <w:pPr>
        <w:spacing w:before="120" w:after="120" w:line="276" w:lineRule="auto"/>
        <w:ind w:left="85" w:firstLine="720"/>
        <w:jc w:val="both"/>
        <w:rPr>
          <w:rFonts w:cs="Times New Roman"/>
          <w:noProof/>
          <w:szCs w:val="28"/>
          <w:lang w:val="de-DE"/>
        </w:rPr>
      </w:pPr>
      <w:r w:rsidRPr="00B403DF">
        <w:rPr>
          <w:rFonts w:cs="Times New Roman"/>
          <w:noProof/>
          <w:szCs w:val="28"/>
          <w:lang w:val="vi-VN"/>
        </w:rPr>
        <w:t xml:space="preserve">Năm 2024 đánh dấu nhiều thành công trong việc thanh tra, kiểm tra chuyên đề. </w:t>
      </w:r>
      <w:r w:rsidR="000B4F8B" w:rsidRPr="00B403DF">
        <w:rPr>
          <w:rFonts w:cs="Times New Roman"/>
          <w:noProof/>
          <w:szCs w:val="28"/>
        </w:rPr>
        <w:t xml:space="preserve">Về chuyên đề nông sản, </w:t>
      </w:r>
      <w:r w:rsidR="000B4F8B" w:rsidRPr="00B403DF">
        <w:rPr>
          <w:rFonts w:cs="Times New Roman"/>
          <w:noProof/>
          <w:szCs w:val="28"/>
          <w:lang w:val="de-DE"/>
        </w:rPr>
        <w:t xml:space="preserve">kết quả triển khai lũy kế cập nhật đến hết tháng 4/2025 như sau: </w:t>
      </w:r>
    </w:p>
    <w:p w14:paraId="20757580" w14:textId="77777777"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lastRenderedPageBreak/>
        <w:t>Tổng số thuế phát hiện kê khai sai, kê khai thiếu qua công tác triển khai chuyên đề là 745 tỷ đồng, số đã nộp NSNN là 205 tỷ đồng, cụ thể:</w:t>
      </w:r>
    </w:p>
    <w:p w14:paraId="55296F90" w14:textId="63B997C6"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t>+ Số phát hiện qua công tác thanh tra, kiểm tra tại trụ sở NNT là 592,5 tỷ đồng (tăng 181 tỷ đồng so với kết quả lũy kế 2024), bao gồm truy thu, xử phạt là 182 tỷ đồng (số đã nộp NSNN là 124 tỷ đồng); giảm khấu trừ GTGT là 21,2 tỷ đồng; giảm lỗ TNDN là 389,3 tỷ đồng;</w:t>
      </w:r>
    </w:p>
    <w:p w14:paraId="31A9CCC4" w14:textId="48220279"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t>+ Số phát hiện qua kiểm tra tại trụ sở cơ quan thuế là 51,4 tỷ đồng (đã nộp NSNN là 25,6 tỷ đồng);</w:t>
      </w:r>
    </w:p>
    <w:p w14:paraId="73C875FB" w14:textId="4BC7DA2D"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t>+ Số tăng thu với hộ, cá nhân kinh doanh là 101 tỷ đồng (đã nộp NSNN là 55,3 tỷ đồng).</w:t>
      </w:r>
    </w:p>
    <w:p w14:paraId="2715941D" w14:textId="68FAACEA" w:rsidR="001C1C1D"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Việc kiểm tra các doanh nghiệp đại chúng về phát hành cổ tức bằng cổ phiếu, cổ phiếu thưởng cũng thu về ngân sách 151,5 tỷ đồng. Đặc biệt, trong lĩnh vực bảo hiểm, qua thanh tra 20 doanh nghiệp đã giảm lỗ gần 5 tỷ đồng, truy thu 3,3 tỷ đồng và phạt gần 1,2 tỷ đồng.</w:t>
      </w:r>
    </w:p>
    <w:p w14:paraId="5B560945" w14:textId="28AA06B1" w:rsidR="00F65B5F" w:rsidRPr="00B403DF" w:rsidRDefault="00F65B5F" w:rsidP="00B403DF">
      <w:pPr>
        <w:spacing w:before="120" w:after="120" w:line="276" w:lineRule="auto"/>
        <w:ind w:left="85" w:firstLine="720"/>
        <w:jc w:val="both"/>
        <w:rPr>
          <w:rFonts w:cs="Times New Roman"/>
          <w:noProof/>
          <w:szCs w:val="28"/>
          <w:lang w:val="vi-VN"/>
        </w:rPr>
      </w:pPr>
      <w:r w:rsidRPr="00B403DF">
        <w:rPr>
          <w:rFonts w:cs="Times New Roman"/>
          <w:noProof/>
          <w:szCs w:val="28"/>
          <w:lang w:val="it-IT"/>
        </w:rPr>
        <w:t>Công tác kiểm tra thuế tại cơ quan hải quan và kiểm tra thuế tại trụ sở người nộp thuế đã đảm bảo thực hiện đúng các quy định của Luật quản lý thuế</w:t>
      </w:r>
      <w:r w:rsidR="00F90F3B">
        <w:rPr>
          <w:rFonts w:cs="Times New Roman"/>
          <w:noProof/>
          <w:szCs w:val="28"/>
          <w:lang w:val="it-IT"/>
        </w:rPr>
        <w:t xml:space="preserve">, Nghị định số </w:t>
      </w:r>
      <w:r w:rsidR="00F90F3B" w:rsidRPr="00F90F3B">
        <w:rPr>
          <w:rFonts w:cs="Times New Roman"/>
          <w:noProof/>
          <w:szCs w:val="28"/>
          <w:lang w:val="it-IT"/>
        </w:rPr>
        <w:t xml:space="preserve">126/2020/NĐ-CP </w:t>
      </w:r>
      <w:r w:rsidRPr="00B403DF">
        <w:rPr>
          <w:rFonts w:cs="Times New Roman"/>
          <w:noProof/>
          <w:szCs w:val="28"/>
          <w:lang w:val="it-IT"/>
        </w:rPr>
        <w:t xml:space="preserve">và các văn bản hướng dẫn. Phát hiện, ngăn chặn kịp thời các hành vi vi phạm pháp luật về thuế, vừa chống thất thu thuế. Từ đó giúp cho người nộp thuế nâng cao tính tuân thủ pháp luật về thuế. Công tác kiểm tra thuế của ngành hải quan chủ yếu thực hiện sau khi hàng hóa đã thông quan, do lực lượng kiểm tra sau thông quan thực hiện. </w:t>
      </w:r>
      <w:r w:rsidRPr="00B403DF">
        <w:rPr>
          <w:rFonts w:cs="Times New Roman"/>
          <w:noProof/>
          <w:szCs w:val="28"/>
          <w:lang w:val="vi-VN"/>
        </w:rPr>
        <w:t>Số cuộc kiểm tra sau thông quan từ năm 2020 đến tháng 3/2025: 9835 cuộc; Số tiền thu vào NSNN là 3117,19 tỷ đồng.</w:t>
      </w:r>
    </w:p>
    <w:p w14:paraId="5FA9B2AB" w14:textId="77777777" w:rsidR="00F65B5F" w:rsidRPr="00B403DF" w:rsidRDefault="00F65B5F" w:rsidP="00B403DF">
      <w:pPr>
        <w:spacing w:before="120" w:after="120" w:line="276" w:lineRule="auto"/>
        <w:ind w:left="85" w:firstLine="720"/>
        <w:jc w:val="both"/>
        <w:rPr>
          <w:rFonts w:cs="Times New Roman"/>
          <w:noProof/>
          <w:szCs w:val="28"/>
        </w:rPr>
      </w:pPr>
      <w:r w:rsidRPr="00B403DF">
        <w:rPr>
          <w:rFonts w:cs="Times New Roman"/>
          <w:noProof/>
          <w:szCs w:val="28"/>
          <w:lang w:val="it-IT"/>
        </w:rPr>
        <w:t>Thanh tra thuế trong lĩnh vực hải quan là một nội dung thanh tra chuyên ngành hải quan.</w:t>
      </w:r>
      <w:r w:rsidRPr="00B403DF">
        <w:rPr>
          <w:rFonts w:cs="Times New Roman"/>
          <w:noProof/>
          <w:szCs w:val="28"/>
          <w:lang w:val="vi-VN"/>
        </w:rPr>
        <w:t xml:space="preserve"> </w:t>
      </w:r>
      <w:r w:rsidRPr="00B403DF">
        <w:rPr>
          <w:rFonts w:cs="Times New Roman"/>
          <w:noProof/>
          <w:szCs w:val="28"/>
          <w:lang w:val="it-IT"/>
        </w:rPr>
        <w:t>Số liệu kết quả thanh tra chuyên ngành giai đoạn từ 1/7/2020 đến 31/5/2025 như sau:</w:t>
      </w:r>
      <w:r w:rsidRPr="00B403DF">
        <w:rPr>
          <w:rFonts w:cs="Times New Roman"/>
          <w:noProof/>
          <w:szCs w:val="28"/>
          <w:lang w:val="vi-VN"/>
        </w:rPr>
        <w:t xml:space="preserve"> </w:t>
      </w:r>
    </w:p>
    <w:tbl>
      <w:tblPr>
        <w:tblStyle w:val="TableGrid"/>
        <w:tblW w:w="0" w:type="auto"/>
        <w:tblLook w:val="04A0" w:firstRow="1" w:lastRow="0" w:firstColumn="1" w:lastColumn="0" w:noHBand="0" w:noVBand="1"/>
      </w:tblPr>
      <w:tblGrid>
        <w:gridCol w:w="1271"/>
        <w:gridCol w:w="1985"/>
        <w:gridCol w:w="2835"/>
        <w:gridCol w:w="2973"/>
      </w:tblGrid>
      <w:tr w:rsidR="00E25C6C" w:rsidRPr="00B403DF" w14:paraId="796B9D0C" w14:textId="77777777" w:rsidTr="00F65B5F">
        <w:tc>
          <w:tcPr>
            <w:tcW w:w="1271" w:type="dxa"/>
          </w:tcPr>
          <w:p w14:paraId="0C383040"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Năm</w:t>
            </w:r>
          </w:p>
        </w:tc>
        <w:tc>
          <w:tcPr>
            <w:tcW w:w="1985" w:type="dxa"/>
          </w:tcPr>
          <w:p w14:paraId="629FD0D4"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Tổng số cuộc</w:t>
            </w:r>
          </w:p>
        </w:tc>
        <w:tc>
          <w:tcPr>
            <w:tcW w:w="2835" w:type="dxa"/>
          </w:tcPr>
          <w:p w14:paraId="281B3D18"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Kiến nghị (VNĐ)</w:t>
            </w:r>
          </w:p>
        </w:tc>
        <w:tc>
          <w:tcPr>
            <w:tcW w:w="2973" w:type="dxa"/>
          </w:tcPr>
          <w:p w14:paraId="380380A9"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Số đã thu nộp NSNN</w:t>
            </w:r>
          </w:p>
        </w:tc>
      </w:tr>
      <w:tr w:rsidR="00E25C6C" w:rsidRPr="00B403DF" w14:paraId="445B922A" w14:textId="77777777" w:rsidTr="00F65B5F">
        <w:tc>
          <w:tcPr>
            <w:tcW w:w="1271" w:type="dxa"/>
          </w:tcPr>
          <w:p w14:paraId="3074C468"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2020</w:t>
            </w:r>
          </w:p>
        </w:tc>
        <w:tc>
          <w:tcPr>
            <w:tcW w:w="1985" w:type="dxa"/>
          </w:tcPr>
          <w:p w14:paraId="0A9F84C1"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52</w:t>
            </w:r>
          </w:p>
        </w:tc>
        <w:tc>
          <w:tcPr>
            <w:tcW w:w="2835" w:type="dxa"/>
          </w:tcPr>
          <w:p w14:paraId="24B491B8"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87,593,103,382</w:t>
            </w:r>
          </w:p>
        </w:tc>
        <w:tc>
          <w:tcPr>
            <w:tcW w:w="2973" w:type="dxa"/>
          </w:tcPr>
          <w:p w14:paraId="3E46FCC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101,562,868,933</w:t>
            </w:r>
          </w:p>
        </w:tc>
      </w:tr>
      <w:tr w:rsidR="00E25C6C" w:rsidRPr="00B403DF" w14:paraId="3C46DE96" w14:textId="77777777" w:rsidTr="00F65B5F">
        <w:tc>
          <w:tcPr>
            <w:tcW w:w="1271" w:type="dxa"/>
          </w:tcPr>
          <w:p w14:paraId="0803407C"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2021</w:t>
            </w:r>
          </w:p>
        </w:tc>
        <w:tc>
          <w:tcPr>
            <w:tcW w:w="1985" w:type="dxa"/>
          </w:tcPr>
          <w:p w14:paraId="7FCD85BF"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36</w:t>
            </w:r>
          </w:p>
        </w:tc>
        <w:tc>
          <w:tcPr>
            <w:tcW w:w="2835" w:type="dxa"/>
          </w:tcPr>
          <w:p w14:paraId="0A90F324"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82,640,000,000</w:t>
            </w:r>
          </w:p>
        </w:tc>
        <w:tc>
          <w:tcPr>
            <w:tcW w:w="2973" w:type="dxa"/>
          </w:tcPr>
          <w:p w14:paraId="75CC5E34"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70,100,917,537</w:t>
            </w:r>
          </w:p>
        </w:tc>
      </w:tr>
      <w:tr w:rsidR="00E25C6C" w:rsidRPr="00B403DF" w14:paraId="5FBF1A34" w14:textId="77777777" w:rsidTr="00F65B5F">
        <w:tc>
          <w:tcPr>
            <w:tcW w:w="1271" w:type="dxa"/>
          </w:tcPr>
          <w:p w14:paraId="05D5F757"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2022</w:t>
            </w:r>
          </w:p>
        </w:tc>
        <w:tc>
          <w:tcPr>
            <w:tcW w:w="1985" w:type="dxa"/>
          </w:tcPr>
          <w:p w14:paraId="7C7E65B8"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115</w:t>
            </w:r>
          </w:p>
        </w:tc>
        <w:tc>
          <w:tcPr>
            <w:tcW w:w="2835" w:type="dxa"/>
          </w:tcPr>
          <w:p w14:paraId="18114EFD"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71,491,000,000</w:t>
            </w:r>
          </w:p>
        </w:tc>
        <w:tc>
          <w:tcPr>
            <w:tcW w:w="2973" w:type="dxa"/>
          </w:tcPr>
          <w:p w14:paraId="6B0FFF39"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55,785,000,000</w:t>
            </w:r>
          </w:p>
        </w:tc>
      </w:tr>
      <w:tr w:rsidR="00E25C6C" w:rsidRPr="00B403DF" w14:paraId="635FD551" w14:textId="77777777" w:rsidTr="00F65B5F">
        <w:tc>
          <w:tcPr>
            <w:tcW w:w="1271" w:type="dxa"/>
          </w:tcPr>
          <w:p w14:paraId="415D1754"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2023</w:t>
            </w:r>
          </w:p>
        </w:tc>
        <w:tc>
          <w:tcPr>
            <w:tcW w:w="1985" w:type="dxa"/>
          </w:tcPr>
          <w:p w14:paraId="2B54D49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113</w:t>
            </w:r>
          </w:p>
        </w:tc>
        <w:tc>
          <w:tcPr>
            <w:tcW w:w="2835" w:type="dxa"/>
          </w:tcPr>
          <w:p w14:paraId="706BC3D2"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208,652,000,000</w:t>
            </w:r>
          </w:p>
        </w:tc>
        <w:tc>
          <w:tcPr>
            <w:tcW w:w="2973" w:type="dxa"/>
          </w:tcPr>
          <w:p w14:paraId="714446DF"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296,087,000,000</w:t>
            </w:r>
          </w:p>
        </w:tc>
      </w:tr>
      <w:tr w:rsidR="00E25C6C" w:rsidRPr="00B403DF" w14:paraId="096684F1" w14:textId="77777777" w:rsidTr="00F65B5F">
        <w:tc>
          <w:tcPr>
            <w:tcW w:w="1271" w:type="dxa"/>
          </w:tcPr>
          <w:p w14:paraId="6E876B7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lastRenderedPageBreak/>
              <w:t>2024</w:t>
            </w:r>
          </w:p>
        </w:tc>
        <w:tc>
          <w:tcPr>
            <w:tcW w:w="1985" w:type="dxa"/>
          </w:tcPr>
          <w:p w14:paraId="5C32119D"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55</w:t>
            </w:r>
          </w:p>
        </w:tc>
        <w:tc>
          <w:tcPr>
            <w:tcW w:w="2835" w:type="dxa"/>
          </w:tcPr>
          <w:p w14:paraId="07DA912D"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155,154,000,000</w:t>
            </w:r>
          </w:p>
        </w:tc>
        <w:tc>
          <w:tcPr>
            <w:tcW w:w="2973" w:type="dxa"/>
          </w:tcPr>
          <w:p w14:paraId="6700165B"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82,086,000,000</w:t>
            </w:r>
          </w:p>
        </w:tc>
      </w:tr>
      <w:tr w:rsidR="00E25C6C" w:rsidRPr="00B403DF" w14:paraId="2757A966" w14:textId="77777777" w:rsidTr="00F65B5F">
        <w:tc>
          <w:tcPr>
            <w:tcW w:w="1271" w:type="dxa"/>
          </w:tcPr>
          <w:p w14:paraId="3D06C9E6"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2025</w:t>
            </w:r>
          </w:p>
        </w:tc>
        <w:tc>
          <w:tcPr>
            <w:tcW w:w="1985" w:type="dxa"/>
          </w:tcPr>
          <w:p w14:paraId="487C46CF"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3</w:t>
            </w:r>
          </w:p>
        </w:tc>
        <w:tc>
          <w:tcPr>
            <w:tcW w:w="2835" w:type="dxa"/>
          </w:tcPr>
          <w:p w14:paraId="62B54D4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11,331,000,000</w:t>
            </w:r>
          </w:p>
        </w:tc>
        <w:tc>
          <w:tcPr>
            <w:tcW w:w="2973" w:type="dxa"/>
          </w:tcPr>
          <w:p w14:paraId="6061E9EA"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9,731,000,000</w:t>
            </w:r>
          </w:p>
        </w:tc>
      </w:tr>
      <w:tr w:rsidR="00E25C6C" w:rsidRPr="00B403DF" w14:paraId="65C49BFE" w14:textId="77777777" w:rsidTr="00F65B5F">
        <w:tc>
          <w:tcPr>
            <w:tcW w:w="1271" w:type="dxa"/>
          </w:tcPr>
          <w:p w14:paraId="690A7D67"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Tổng</w:t>
            </w:r>
          </w:p>
        </w:tc>
        <w:tc>
          <w:tcPr>
            <w:tcW w:w="1985" w:type="dxa"/>
          </w:tcPr>
          <w:p w14:paraId="5279BFF8"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374</w:t>
            </w:r>
          </w:p>
        </w:tc>
        <w:tc>
          <w:tcPr>
            <w:tcW w:w="2835" w:type="dxa"/>
          </w:tcPr>
          <w:p w14:paraId="23C667FC"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616,861,103,382</w:t>
            </w:r>
          </w:p>
        </w:tc>
        <w:tc>
          <w:tcPr>
            <w:tcW w:w="2973" w:type="dxa"/>
          </w:tcPr>
          <w:p w14:paraId="0D8FEEB0"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615,352,786,470</w:t>
            </w:r>
          </w:p>
        </w:tc>
      </w:tr>
    </w:tbl>
    <w:p w14:paraId="20BCC027" w14:textId="2301F618" w:rsidR="00593776" w:rsidRPr="00B403DF" w:rsidRDefault="006A3051" w:rsidP="00B403DF">
      <w:pPr>
        <w:pStyle w:val="Heading2"/>
        <w:spacing w:before="120" w:after="120" w:line="276" w:lineRule="auto"/>
        <w:ind w:left="85" w:firstLine="720"/>
        <w:rPr>
          <w:rFonts w:cs="Times New Roman"/>
          <w:b w:val="0"/>
          <w:bCs/>
          <w:noProof/>
          <w:szCs w:val="28"/>
          <w:lang w:val="vi-VN"/>
        </w:rPr>
      </w:pPr>
      <w:r w:rsidRPr="00B403DF">
        <w:rPr>
          <w:rFonts w:cs="Times New Roman"/>
          <w:i/>
          <w:iCs/>
          <w:noProof/>
          <w:szCs w:val="28"/>
        </w:rPr>
        <w:t>(iii)</w:t>
      </w:r>
      <w:r w:rsidR="00593776" w:rsidRPr="00B403DF">
        <w:rPr>
          <w:rFonts w:cs="Times New Roman"/>
          <w:noProof/>
          <w:szCs w:val="28"/>
          <w:lang w:val="vi-VN"/>
        </w:rPr>
        <w:t xml:space="preserve"> </w:t>
      </w:r>
      <w:r w:rsidR="00593776" w:rsidRPr="00B403DF">
        <w:rPr>
          <w:rFonts w:cs="Times New Roman"/>
          <w:b w:val="0"/>
          <w:bCs/>
          <w:noProof/>
          <w:szCs w:val="28"/>
          <w:lang w:val="vi-VN"/>
        </w:rPr>
        <w:t>Đơn giản hoá các thủ tục quản lý nợ và cưỡng chế thu nợ để nâng cao hiệu quả quản lý, giảm thiểu thời gian xử lý công việc, giảm nợ đọng thuế. Nghiên cứu các biện pháp thu nợ và cưỡng chế nợ thuế khác nhau tùy theo tính chất của khoản nợ (theo tuổi nợ, loại nợ, địa bàn và mức độ phức tạp); xây dựng, ban hành quy chế phối hợp giữa các ngành phục vụ công tác quản lý nợ và cưỡng chế nợ thuế.</w:t>
      </w:r>
    </w:p>
    <w:p w14:paraId="5CF9E788" w14:textId="77777777" w:rsidR="00713842" w:rsidRPr="00B403DF" w:rsidRDefault="005D6FC8" w:rsidP="00B403DF">
      <w:pPr>
        <w:spacing w:before="120" w:after="120" w:line="276" w:lineRule="auto"/>
        <w:ind w:left="85" w:firstLine="720"/>
        <w:jc w:val="both"/>
        <w:rPr>
          <w:rFonts w:cs="Times New Roman"/>
          <w:noProof/>
          <w:szCs w:val="28"/>
        </w:rPr>
      </w:pPr>
      <w:r w:rsidRPr="00B403DF">
        <w:rPr>
          <w:rFonts w:cs="Times New Roman"/>
          <w:noProof/>
          <w:szCs w:val="28"/>
          <w:lang w:val="vi-VN"/>
        </w:rPr>
        <w:t xml:space="preserve">Công tác quản lý và thu hồi nợ thuế cũng đạt hiệu quả cao nhờ ứng dụng công nghệ thông tin. Cơ quan thuế đã xây dựng và nâng cấp các ứng dụng quản lý nợ và cưỡng chế nợ thuế, tự động hóa việc thông báo nợ và quyết định cưỡng chế thông qua phương thức điện tử. Kết quả thu hồi nợ thuế </w:t>
      </w:r>
      <w:r w:rsidR="00713842" w:rsidRPr="00B403DF">
        <w:rPr>
          <w:rFonts w:cs="Times New Roman"/>
          <w:noProof/>
          <w:szCs w:val="28"/>
        </w:rPr>
        <w:t>từ năm 2020 đến 6 tháng đầu năm 2025 như sau:</w:t>
      </w:r>
    </w:p>
    <w:tbl>
      <w:tblPr>
        <w:tblW w:w="9067" w:type="dxa"/>
        <w:tblLook w:val="04A0" w:firstRow="1" w:lastRow="0" w:firstColumn="1" w:lastColumn="0" w:noHBand="0" w:noVBand="1"/>
      </w:tblPr>
      <w:tblGrid>
        <w:gridCol w:w="1600"/>
        <w:gridCol w:w="2081"/>
        <w:gridCol w:w="2835"/>
        <w:gridCol w:w="2551"/>
      </w:tblGrid>
      <w:tr w:rsidR="00E25C6C" w:rsidRPr="00B403DF" w14:paraId="6BE2DE4B" w14:textId="77777777" w:rsidTr="00713842">
        <w:trPr>
          <w:trHeight w:val="900"/>
        </w:trPr>
        <w:tc>
          <w:tcPr>
            <w:tcW w:w="1600" w:type="dxa"/>
            <w:tcBorders>
              <w:top w:val="single" w:sz="4" w:space="0" w:color="auto"/>
              <w:left w:val="single" w:sz="4" w:space="0" w:color="auto"/>
              <w:bottom w:val="single" w:sz="4" w:space="0" w:color="auto"/>
              <w:right w:val="single" w:sz="4" w:space="0" w:color="auto"/>
            </w:tcBorders>
            <w:vAlign w:val="center"/>
            <w:hideMark/>
          </w:tcPr>
          <w:p w14:paraId="5553418D" w14:textId="77777777" w:rsidR="00713842" w:rsidRPr="00B403DF" w:rsidRDefault="00713842"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2081" w:type="dxa"/>
            <w:tcBorders>
              <w:top w:val="single" w:sz="4" w:space="0" w:color="auto"/>
              <w:left w:val="nil"/>
              <w:bottom w:val="single" w:sz="4" w:space="0" w:color="auto"/>
              <w:right w:val="nil"/>
            </w:tcBorders>
            <w:vAlign w:val="center"/>
            <w:hideMark/>
          </w:tcPr>
          <w:p w14:paraId="7606AC7A" w14:textId="77777777" w:rsidR="00713842" w:rsidRPr="00B403DF" w:rsidRDefault="00713842"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thu nội địa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13BC34" w14:textId="2B94DDAD" w:rsidR="00713842" w:rsidRPr="00B403DF" w:rsidRDefault="00713842"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szCs w:val="28"/>
              </w:rPr>
              <w:t xml:space="preserve">Số thuế nợ đã thu hồi </w:t>
            </w:r>
            <w:r w:rsidRPr="00B403DF">
              <w:rPr>
                <w:rFonts w:eastAsia="Times New Roman" w:cs="Times New Roman"/>
                <w:b/>
                <w:bCs/>
                <w:i/>
                <w:iCs/>
                <w:szCs w:val="28"/>
              </w:rPr>
              <w:t>(triệu đồng)</w:t>
            </w:r>
          </w:p>
        </w:tc>
        <w:tc>
          <w:tcPr>
            <w:tcW w:w="2551" w:type="dxa"/>
            <w:tcBorders>
              <w:top w:val="single" w:sz="4" w:space="0" w:color="auto"/>
              <w:left w:val="nil"/>
              <w:bottom w:val="single" w:sz="4" w:space="0" w:color="auto"/>
              <w:right w:val="single" w:sz="4" w:space="0" w:color="auto"/>
            </w:tcBorders>
            <w:vAlign w:val="center"/>
            <w:hideMark/>
          </w:tcPr>
          <w:p w14:paraId="052808B6" w14:textId="77777777" w:rsidR="00713842" w:rsidRPr="00B403DF" w:rsidRDefault="00713842"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thu hồi thuế nợ</w:t>
            </w:r>
          </w:p>
        </w:tc>
      </w:tr>
      <w:tr w:rsidR="00E25C6C" w:rsidRPr="00B403DF" w14:paraId="58AC1DCC" w14:textId="77777777" w:rsidTr="00713842">
        <w:trPr>
          <w:trHeight w:val="663"/>
        </w:trPr>
        <w:tc>
          <w:tcPr>
            <w:tcW w:w="1600" w:type="dxa"/>
            <w:tcBorders>
              <w:top w:val="nil"/>
              <w:left w:val="single" w:sz="4" w:space="0" w:color="auto"/>
              <w:bottom w:val="single" w:sz="4" w:space="0" w:color="auto"/>
              <w:right w:val="single" w:sz="4" w:space="0" w:color="auto"/>
            </w:tcBorders>
            <w:vAlign w:val="center"/>
            <w:hideMark/>
          </w:tcPr>
          <w:p w14:paraId="493B884F"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2081" w:type="dxa"/>
            <w:tcBorders>
              <w:top w:val="nil"/>
              <w:left w:val="nil"/>
              <w:bottom w:val="single" w:sz="4" w:space="0" w:color="auto"/>
              <w:right w:val="single" w:sz="4" w:space="0" w:color="auto"/>
            </w:tcBorders>
            <w:vAlign w:val="center"/>
            <w:hideMark/>
          </w:tcPr>
          <w:p w14:paraId="0BE91B50" w14:textId="44C9A49D"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1.278.648</w:t>
            </w:r>
          </w:p>
        </w:tc>
        <w:tc>
          <w:tcPr>
            <w:tcW w:w="2835" w:type="dxa"/>
            <w:tcBorders>
              <w:top w:val="nil"/>
              <w:left w:val="nil"/>
              <w:bottom w:val="single" w:sz="4" w:space="0" w:color="auto"/>
              <w:right w:val="single" w:sz="4" w:space="0" w:color="auto"/>
            </w:tcBorders>
            <w:vAlign w:val="center"/>
            <w:hideMark/>
          </w:tcPr>
          <w:p w14:paraId="08C99306" w14:textId="188CB840"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28.476</w:t>
            </w:r>
          </w:p>
        </w:tc>
        <w:tc>
          <w:tcPr>
            <w:tcW w:w="2551" w:type="dxa"/>
            <w:tcBorders>
              <w:top w:val="nil"/>
              <w:left w:val="nil"/>
              <w:bottom w:val="single" w:sz="4" w:space="0" w:color="auto"/>
              <w:right w:val="single" w:sz="4" w:space="0" w:color="auto"/>
            </w:tcBorders>
            <w:vAlign w:val="center"/>
            <w:hideMark/>
          </w:tcPr>
          <w:p w14:paraId="381A012E"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2,2%</w:t>
            </w:r>
          </w:p>
        </w:tc>
      </w:tr>
      <w:tr w:rsidR="00E25C6C" w:rsidRPr="00B403DF" w14:paraId="5BBED9BB" w14:textId="77777777" w:rsidTr="00713842">
        <w:trPr>
          <w:trHeight w:val="570"/>
        </w:trPr>
        <w:tc>
          <w:tcPr>
            <w:tcW w:w="1600" w:type="dxa"/>
            <w:tcBorders>
              <w:top w:val="nil"/>
              <w:left w:val="single" w:sz="4" w:space="0" w:color="auto"/>
              <w:bottom w:val="single" w:sz="4" w:space="0" w:color="auto"/>
              <w:right w:val="single" w:sz="4" w:space="0" w:color="auto"/>
            </w:tcBorders>
            <w:vAlign w:val="center"/>
            <w:hideMark/>
          </w:tcPr>
          <w:p w14:paraId="5DFFFE03"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2081" w:type="dxa"/>
            <w:tcBorders>
              <w:top w:val="nil"/>
              <w:left w:val="nil"/>
              <w:bottom w:val="single" w:sz="4" w:space="0" w:color="auto"/>
              <w:right w:val="single" w:sz="4" w:space="0" w:color="auto"/>
            </w:tcBorders>
            <w:vAlign w:val="center"/>
            <w:hideMark/>
          </w:tcPr>
          <w:p w14:paraId="40C0B04D" w14:textId="35275902"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1.301.586</w:t>
            </w:r>
          </w:p>
        </w:tc>
        <w:tc>
          <w:tcPr>
            <w:tcW w:w="2835" w:type="dxa"/>
            <w:tcBorders>
              <w:top w:val="nil"/>
              <w:left w:val="nil"/>
              <w:bottom w:val="single" w:sz="4" w:space="0" w:color="auto"/>
              <w:right w:val="single" w:sz="4" w:space="0" w:color="auto"/>
            </w:tcBorders>
            <w:vAlign w:val="center"/>
            <w:hideMark/>
          </w:tcPr>
          <w:p w14:paraId="3B385370" w14:textId="113E65D4"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34.546</w:t>
            </w:r>
          </w:p>
        </w:tc>
        <w:tc>
          <w:tcPr>
            <w:tcW w:w="2551" w:type="dxa"/>
            <w:tcBorders>
              <w:top w:val="nil"/>
              <w:left w:val="nil"/>
              <w:bottom w:val="single" w:sz="4" w:space="0" w:color="auto"/>
              <w:right w:val="single" w:sz="4" w:space="0" w:color="auto"/>
            </w:tcBorders>
            <w:vAlign w:val="center"/>
            <w:hideMark/>
          </w:tcPr>
          <w:p w14:paraId="7AE5C4E1"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2,7%</w:t>
            </w:r>
          </w:p>
        </w:tc>
      </w:tr>
      <w:tr w:rsidR="00E25C6C" w:rsidRPr="00B403DF" w14:paraId="581DDCDA" w14:textId="77777777" w:rsidTr="00713842">
        <w:trPr>
          <w:trHeight w:val="551"/>
        </w:trPr>
        <w:tc>
          <w:tcPr>
            <w:tcW w:w="1600" w:type="dxa"/>
            <w:tcBorders>
              <w:top w:val="nil"/>
              <w:left w:val="single" w:sz="4" w:space="0" w:color="auto"/>
              <w:bottom w:val="single" w:sz="4" w:space="0" w:color="auto"/>
              <w:right w:val="single" w:sz="4" w:space="0" w:color="auto"/>
            </w:tcBorders>
            <w:vAlign w:val="center"/>
            <w:hideMark/>
          </w:tcPr>
          <w:p w14:paraId="43B3CDA6"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2081" w:type="dxa"/>
            <w:tcBorders>
              <w:top w:val="nil"/>
              <w:left w:val="nil"/>
              <w:bottom w:val="single" w:sz="4" w:space="0" w:color="auto"/>
              <w:right w:val="single" w:sz="4" w:space="0" w:color="auto"/>
            </w:tcBorders>
            <w:vAlign w:val="center"/>
            <w:hideMark/>
          </w:tcPr>
          <w:p w14:paraId="63E536AA" w14:textId="07DC8D03"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1.440.833</w:t>
            </w:r>
          </w:p>
        </w:tc>
        <w:tc>
          <w:tcPr>
            <w:tcW w:w="2835" w:type="dxa"/>
            <w:tcBorders>
              <w:top w:val="nil"/>
              <w:left w:val="nil"/>
              <w:bottom w:val="single" w:sz="4" w:space="0" w:color="auto"/>
              <w:right w:val="single" w:sz="4" w:space="0" w:color="auto"/>
            </w:tcBorders>
            <w:vAlign w:val="center"/>
            <w:hideMark/>
          </w:tcPr>
          <w:p w14:paraId="6B6EFE08" w14:textId="1635AAD3"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39.000</w:t>
            </w:r>
          </w:p>
        </w:tc>
        <w:tc>
          <w:tcPr>
            <w:tcW w:w="2551" w:type="dxa"/>
            <w:tcBorders>
              <w:top w:val="nil"/>
              <w:left w:val="nil"/>
              <w:bottom w:val="single" w:sz="4" w:space="0" w:color="auto"/>
              <w:right w:val="single" w:sz="4" w:space="0" w:color="auto"/>
            </w:tcBorders>
            <w:vAlign w:val="center"/>
            <w:hideMark/>
          </w:tcPr>
          <w:p w14:paraId="1C1476CA"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2,7%</w:t>
            </w:r>
          </w:p>
        </w:tc>
      </w:tr>
      <w:tr w:rsidR="00E25C6C" w:rsidRPr="00B403DF" w14:paraId="60425731" w14:textId="77777777" w:rsidTr="00713842">
        <w:trPr>
          <w:trHeight w:val="547"/>
        </w:trPr>
        <w:tc>
          <w:tcPr>
            <w:tcW w:w="1600" w:type="dxa"/>
            <w:tcBorders>
              <w:top w:val="nil"/>
              <w:left w:val="single" w:sz="4" w:space="0" w:color="auto"/>
              <w:bottom w:val="single" w:sz="4" w:space="0" w:color="auto"/>
              <w:right w:val="single" w:sz="4" w:space="0" w:color="auto"/>
            </w:tcBorders>
            <w:vAlign w:val="center"/>
            <w:hideMark/>
          </w:tcPr>
          <w:p w14:paraId="0CAE7D40"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2081" w:type="dxa"/>
            <w:tcBorders>
              <w:top w:val="nil"/>
              <w:left w:val="nil"/>
              <w:bottom w:val="single" w:sz="4" w:space="0" w:color="auto"/>
              <w:right w:val="single" w:sz="4" w:space="0" w:color="auto"/>
            </w:tcBorders>
            <w:vAlign w:val="center"/>
            <w:hideMark/>
          </w:tcPr>
          <w:p w14:paraId="1D07C2DD" w14:textId="744C588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1.478.070</w:t>
            </w:r>
          </w:p>
        </w:tc>
        <w:tc>
          <w:tcPr>
            <w:tcW w:w="2835" w:type="dxa"/>
            <w:tcBorders>
              <w:top w:val="nil"/>
              <w:left w:val="nil"/>
              <w:bottom w:val="single" w:sz="4" w:space="0" w:color="auto"/>
              <w:right w:val="single" w:sz="4" w:space="0" w:color="auto"/>
            </w:tcBorders>
            <w:vAlign w:val="center"/>
            <w:hideMark/>
          </w:tcPr>
          <w:p w14:paraId="4DCB5E1E" w14:textId="367E101E"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49.500</w:t>
            </w:r>
          </w:p>
        </w:tc>
        <w:tc>
          <w:tcPr>
            <w:tcW w:w="2551" w:type="dxa"/>
            <w:tcBorders>
              <w:top w:val="nil"/>
              <w:left w:val="nil"/>
              <w:bottom w:val="single" w:sz="4" w:space="0" w:color="auto"/>
              <w:right w:val="single" w:sz="4" w:space="0" w:color="auto"/>
            </w:tcBorders>
            <w:vAlign w:val="center"/>
            <w:hideMark/>
          </w:tcPr>
          <w:p w14:paraId="0DE689D5"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3,3%</w:t>
            </w:r>
          </w:p>
        </w:tc>
      </w:tr>
      <w:tr w:rsidR="00E25C6C" w:rsidRPr="00B403DF" w14:paraId="6A7F0FB6" w14:textId="77777777" w:rsidTr="00713842">
        <w:trPr>
          <w:trHeight w:val="569"/>
        </w:trPr>
        <w:tc>
          <w:tcPr>
            <w:tcW w:w="1600" w:type="dxa"/>
            <w:tcBorders>
              <w:top w:val="nil"/>
              <w:left w:val="single" w:sz="4" w:space="0" w:color="auto"/>
              <w:bottom w:val="single" w:sz="4" w:space="0" w:color="auto"/>
              <w:right w:val="single" w:sz="4" w:space="0" w:color="auto"/>
            </w:tcBorders>
            <w:vAlign w:val="center"/>
            <w:hideMark/>
          </w:tcPr>
          <w:p w14:paraId="6C17D016"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2081" w:type="dxa"/>
            <w:tcBorders>
              <w:top w:val="nil"/>
              <w:left w:val="nil"/>
              <w:bottom w:val="single" w:sz="4" w:space="0" w:color="auto"/>
              <w:right w:val="single" w:sz="4" w:space="0" w:color="auto"/>
            </w:tcBorders>
            <w:vAlign w:val="center"/>
            <w:hideMark/>
          </w:tcPr>
          <w:p w14:paraId="6896BB4C" w14:textId="4FC93B64"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1.694.001</w:t>
            </w:r>
          </w:p>
        </w:tc>
        <w:tc>
          <w:tcPr>
            <w:tcW w:w="2835" w:type="dxa"/>
            <w:tcBorders>
              <w:top w:val="nil"/>
              <w:left w:val="nil"/>
              <w:bottom w:val="single" w:sz="4" w:space="0" w:color="auto"/>
              <w:right w:val="single" w:sz="4" w:space="0" w:color="auto"/>
            </w:tcBorders>
            <w:vAlign w:val="center"/>
            <w:hideMark/>
          </w:tcPr>
          <w:p w14:paraId="799C549B" w14:textId="5006B9DA"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62.919</w:t>
            </w:r>
          </w:p>
        </w:tc>
        <w:tc>
          <w:tcPr>
            <w:tcW w:w="2551" w:type="dxa"/>
            <w:tcBorders>
              <w:top w:val="nil"/>
              <w:left w:val="nil"/>
              <w:bottom w:val="single" w:sz="4" w:space="0" w:color="auto"/>
              <w:right w:val="single" w:sz="4" w:space="0" w:color="auto"/>
            </w:tcBorders>
            <w:vAlign w:val="center"/>
            <w:hideMark/>
          </w:tcPr>
          <w:p w14:paraId="7D66C421"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3,7%</w:t>
            </w:r>
          </w:p>
        </w:tc>
      </w:tr>
      <w:tr w:rsidR="00E25C6C" w:rsidRPr="00B403DF" w14:paraId="6A36BBCD" w14:textId="77777777" w:rsidTr="00713842">
        <w:trPr>
          <w:trHeight w:val="704"/>
        </w:trPr>
        <w:tc>
          <w:tcPr>
            <w:tcW w:w="1600" w:type="dxa"/>
            <w:tcBorders>
              <w:top w:val="nil"/>
              <w:left w:val="single" w:sz="4" w:space="0" w:color="auto"/>
              <w:bottom w:val="single" w:sz="4" w:space="0" w:color="auto"/>
              <w:right w:val="single" w:sz="4" w:space="0" w:color="auto"/>
            </w:tcBorders>
            <w:vAlign w:val="center"/>
            <w:hideMark/>
          </w:tcPr>
          <w:p w14:paraId="278A9E59" w14:textId="7E3E9121"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đầu năm 2025</w:t>
            </w:r>
          </w:p>
        </w:tc>
        <w:tc>
          <w:tcPr>
            <w:tcW w:w="2081" w:type="dxa"/>
            <w:tcBorders>
              <w:top w:val="nil"/>
              <w:left w:val="nil"/>
              <w:bottom w:val="single" w:sz="4" w:space="0" w:color="auto"/>
              <w:right w:val="single" w:sz="4" w:space="0" w:color="auto"/>
            </w:tcBorders>
            <w:vAlign w:val="center"/>
            <w:hideMark/>
          </w:tcPr>
          <w:p w14:paraId="0BE97F06" w14:textId="12B29498"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1.656.836</w:t>
            </w:r>
          </w:p>
        </w:tc>
        <w:tc>
          <w:tcPr>
            <w:tcW w:w="2835" w:type="dxa"/>
            <w:tcBorders>
              <w:top w:val="nil"/>
              <w:left w:val="nil"/>
              <w:bottom w:val="single" w:sz="4" w:space="0" w:color="auto"/>
              <w:right w:val="single" w:sz="4" w:space="0" w:color="auto"/>
            </w:tcBorders>
            <w:vAlign w:val="center"/>
            <w:hideMark/>
          </w:tcPr>
          <w:p w14:paraId="17BAAF9F" w14:textId="2F58A50A"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43.109</w:t>
            </w:r>
          </w:p>
        </w:tc>
        <w:tc>
          <w:tcPr>
            <w:tcW w:w="2551" w:type="dxa"/>
            <w:tcBorders>
              <w:top w:val="nil"/>
              <w:left w:val="nil"/>
              <w:bottom w:val="single" w:sz="4" w:space="0" w:color="auto"/>
              <w:right w:val="single" w:sz="4" w:space="0" w:color="auto"/>
            </w:tcBorders>
            <w:vAlign w:val="center"/>
            <w:hideMark/>
          </w:tcPr>
          <w:p w14:paraId="6FF02134"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2,6%</w:t>
            </w:r>
          </w:p>
        </w:tc>
      </w:tr>
    </w:tbl>
    <w:p w14:paraId="226D7BF8" w14:textId="11E2B594" w:rsidR="00F65B5F" w:rsidRPr="00B403DF" w:rsidRDefault="00F65B5F"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Kết quả thu hồi nợ thuế của ngành hải quan năm 2022 đạt 459,67 tỷ đồng, năm 2023 đạt 1.288 tỷ đồng, tăng 180% so với cùng kỳ</w:t>
      </w:r>
      <w:r w:rsidR="00713842" w:rsidRPr="00B403DF">
        <w:rPr>
          <w:rFonts w:cs="Times New Roman"/>
          <w:noProof/>
          <w:szCs w:val="28"/>
        </w:rPr>
        <w:t>,</w:t>
      </w:r>
      <w:r w:rsidRPr="00B403DF">
        <w:rPr>
          <w:rFonts w:cs="Times New Roman"/>
          <w:noProof/>
          <w:szCs w:val="28"/>
          <w:lang w:val="vi-VN"/>
        </w:rPr>
        <w:t xml:space="preserve"> năm 2024 đạt 896 tỷ đồng, giảm 30,4% so với cùng kỳ.  </w:t>
      </w:r>
    </w:p>
    <w:bookmarkEnd w:id="3"/>
    <w:p w14:paraId="010A05A1" w14:textId="4B4C1EFD" w:rsidR="00C10E29" w:rsidRPr="00B403DF" w:rsidRDefault="00DD0A6F" w:rsidP="001052D2">
      <w:pPr>
        <w:spacing w:before="120" w:after="120" w:line="240" w:lineRule="auto"/>
        <w:ind w:left="85" w:firstLine="720"/>
        <w:jc w:val="both"/>
        <w:rPr>
          <w:rFonts w:cs="Times New Roman"/>
          <w:noProof/>
          <w:szCs w:val="28"/>
        </w:rPr>
      </w:pPr>
      <w:r>
        <w:rPr>
          <w:rFonts w:cs="Times New Roman"/>
          <w:noProof/>
          <w:szCs w:val="28"/>
        </w:rPr>
        <w:t xml:space="preserve">- </w:t>
      </w:r>
      <w:r w:rsidR="00C10E29" w:rsidRPr="00B403DF">
        <w:rPr>
          <w:rFonts w:cs="Times New Roman"/>
          <w:noProof/>
          <w:szCs w:val="28"/>
        </w:rPr>
        <w:t xml:space="preserve">Tính đến thời điểm ngày 03/7/2025, tổng số NCCNN đã đăng ký thuế, kê khai và nộp thuế qua Cổng thông tin điện tử từ thời điểm triển khai vận hành </w:t>
      </w:r>
      <w:r w:rsidR="00C10E29" w:rsidRPr="00B403DF">
        <w:rPr>
          <w:rFonts w:cs="Times New Roman"/>
          <w:noProof/>
          <w:szCs w:val="28"/>
        </w:rPr>
        <w:lastRenderedPageBreak/>
        <w:t xml:space="preserve">là 163 NCCNN đến từ nhiều quốc gia như Hoa Kỳ, Singapore, Anh,…. Tổng số thu NSNN từ các nhà cung cấp nước ngoài (ghi nhận trên hệ thống quản lý thuế tập trung - TMS) kể từ thời điểm triển khai vận hành Cổng TTĐT là 23.131 tỷ đồng, trong đó: </w:t>
      </w:r>
    </w:p>
    <w:p w14:paraId="2A84B20D" w14:textId="5ABE233A"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2022 là 1.850 tỷ đồng khai – nộp trực tiếp qua Cổng TTĐT; (42 NCCNN).</w:t>
      </w:r>
    </w:p>
    <w:p w14:paraId="3F99DE3D" w14:textId="5B340A70"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2023 là 6.896 tỷ đồng khai – nộp trực tiếp qua Cổng TTĐT; (74 NCCNN).</w:t>
      </w:r>
    </w:p>
    <w:p w14:paraId="34786B87" w14:textId="3F73BCF4"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2024 là 8.693 tỷ đồng khai – nộp trực tiếp qua Cổng TTĐT; (120 NCCNN).</w:t>
      </w:r>
    </w:p>
    <w:p w14:paraId="036CB5A5" w14:textId="4B5A5517"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2025 (tính đến ngày 03/7/2025) là 5.692 tỷ đồng khai – nộp trực tiếp qua Cổng TTĐT (tăng 41% so với cùng kỳ năm ngoái) (163 NCCNN).</w:t>
      </w:r>
    </w:p>
    <w:p w14:paraId="2A9D60C0" w14:textId="4F568A69" w:rsidR="00C174B7" w:rsidRPr="00B403DF" w:rsidRDefault="00C174B7" w:rsidP="001052D2">
      <w:pPr>
        <w:spacing w:before="120" w:after="120" w:line="240" w:lineRule="auto"/>
        <w:ind w:left="85" w:firstLine="720"/>
        <w:jc w:val="both"/>
        <w:rPr>
          <w:rFonts w:cs="Times New Roman"/>
          <w:noProof/>
          <w:szCs w:val="28"/>
        </w:rPr>
      </w:pPr>
      <w:r w:rsidRPr="00B403DF">
        <w:rPr>
          <w:rFonts w:cs="Times New Roman"/>
          <w:noProof/>
          <w:szCs w:val="28"/>
        </w:rPr>
        <w:t xml:space="preserve">Từ số liệu báo cáo thực tế đã cho thấy hiệu quả rõ rệt của </w:t>
      </w:r>
      <w:r w:rsidR="00DD0A6F">
        <w:rPr>
          <w:rFonts w:cs="Times New Roman"/>
          <w:noProof/>
          <w:szCs w:val="28"/>
        </w:rPr>
        <w:t xml:space="preserve">Nghị định </w:t>
      </w:r>
      <w:r w:rsidR="00DD0A6F" w:rsidRPr="00DD0A6F">
        <w:rPr>
          <w:rFonts w:cs="Times New Roman"/>
          <w:noProof/>
          <w:szCs w:val="28"/>
        </w:rPr>
        <w:t xml:space="preserve">số 126/2020/NĐ-CP </w:t>
      </w:r>
      <w:r w:rsidRPr="00B403DF">
        <w:rPr>
          <w:rFonts w:cs="Times New Roman"/>
          <w:noProof/>
          <w:szCs w:val="28"/>
        </w:rPr>
        <w:t>trong việc quản lý thuế đối với các NCCNN, hỗ trợ người nộp thuế thực hiện nghĩa vụ dễ dàng hơn, góp phần giảm thiểu thất thu và gian lận thuế trong bối cảnh thương mại điện tử bùng nổ.</w:t>
      </w:r>
    </w:p>
    <w:p w14:paraId="3084ADB3" w14:textId="4E851672" w:rsidR="005D6FC8" w:rsidRPr="00B403DF" w:rsidRDefault="006A3051" w:rsidP="001052D2">
      <w:pPr>
        <w:spacing w:before="120" w:after="120" w:line="240" w:lineRule="auto"/>
        <w:ind w:left="85" w:firstLine="720"/>
        <w:jc w:val="both"/>
        <w:rPr>
          <w:rFonts w:cs="Times New Roman"/>
          <w:noProof/>
          <w:szCs w:val="28"/>
          <w:lang w:val="vi-VN"/>
        </w:rPr>
      </w:pPr>
      <w:r w:rsidRPr="00B403DF">
        <w:rPr>
          <w:rFonts w:cs="Times New Roman"/>
          <w:b/>
          <w:bCs/>
          <w:i/>
          <w:iCs/>
          <w:noProof/>
          <w:szCs w:val="28"/>
        </w:rPr>
        <w:t>(iv)</w:t>
      </w:r>
      <w:r w:rsidR="001C1C1D" w:rsidRPr="00B403DF">
        <w:rPr>
          <w:rFonts w:cs="Times New Roman"/>
          <w:noProof/>
          <w:szCs w:val="28"/>
          <w:lang w:val="vi-VN"/>
        </w:rPr>
        <w:t xml:space="preserve"> </w:t>
      </w:r>
      <w:r w:rsidR="005D6FC8" w:rsidRPr="00B403DF">
        <w:rPr>
          <w:rFonts w:cs="Times New Roman"/>
          <w:noProof/>
          <w:szCs w:val="28"/>
          <w:lang w:val="vi-VN"/>
        </w:rPr>
        <w:t>Đặc biệt, việc kiểm soát thuế trong lĩnh vực thương mại điện tử</w:t>
      </w:r>
      <w:r w:rsidR="003F422E" w:rsidRPr="00B403DF">
        <w:rPr>
          <w:rFonts w:cs="Times New Roman"/>
          <w:noProof/>
          <w:szCs w:val="28"/>
        </w:rPr>
        <w:t xml:space="preserve"> (TMĐT)</w:t>
      </w:r>
      <w:r w:rsidR="005D6FC8" w:rsidRPr="00B403DF">
        <w:rPr>
          <w:rFonts w:cs="Times New Roman"/>
          <w:noProof/>
          <w:szCs w:val="28"/>
          <w:lang w:val="vi-VN"/>
        </w:rPr>
        <w:t xml:space="preserve"> đã có bước tiến quan trọng. Thông qua Cổng thông tin thương mại điện tử, cơ quan thuế đã tiếp nhận thông tin từ 439 sàn giao dịch với gần 725 nghìn tổ chức, cá nhân kinh doanh, tổng giá trị giao dịch đạt hơn 75 nghìn tỷ đồng. </w:t>
      </w:r>
      <w:r w:rsidR="00E122B9" w:rsidRPr="00B403DF">
        <w:rPr>
          <w:rFonts w:eastAsia="Calibri" w:cs="Times New Roman"/>
          <w:noProof/>
          <w:szCs w:val="28"/>
          <w:lang w:val="vi-VN"/>
        </w:rPr>
        <w:t xml:space="preserve">Trong năm 2024, kết quả thu thuế từ các tổ chức, cá nhân có hoạt động kinh doanh </w:t>
      </w:r>
      <w:r w:rsidR="002C0012" w:rsidRPr="00B403DF">
        <w:rPr>
          <w:rFonts w:eastAsia="Calibri" w:cs="Times New Roman"/>
          <w:noProof/>
          <w:szCs w:val="28"/>
          <w:lang w:val="vi-VN"/>
        </w:rPr>
        <w:t>thương mại điện tử</w:t>
      </w:r>
      <w:r w:rsidR="00E122B9" w:rsidRPr="00B403DF">
        <w:rPr>
          <w:rFonts w:eastAsia="Calibri" w:cs="Times New Roman"/>
          <w:noProof/>
          <w:szCs w:val="28"/>
          <w:lang w:val="vi-VN"/>
        </w:rPr>
        <w:t xml:space="preserve"> là khoảng 116 nghìn tỷ đồng</w:t>
      </w:r>
      <w:r w:rsidR="00E122B9" w:rsidRPr="00B403DF">
        <w:rPr>
          <w:rFonts w:eastAsia="Calibri" w:cs="Times New Roman"/>
          <w:noProof/>
          <w:szCs w:val="28"/>
          <w:vertAlign w:val="superscript"/>
          <w:lang w:val="vi-VN"/>
        </w:rPr>
        <w:footnoteReference w:id="8"/>
      </w:r>
      <w:r w:rsidR="00E122B9" w:rsidRPr="00B403DF">
        <w:rPr>
          <w:rFonts w:eastAsia="Calibri" w:cs="Times New Roman"/>
          <w:noProof/>
          <w:szCs w:val="28"/>
          <w:lang w:val="vi-VN"/>
        </w:rPr>
        <w:t xml:space="preserve">, </w:t>
      </w:r>
      <w:r w:rsidR="00E122B9" w:rsidRPr="00B403DF">
        <w:rPr>
          <w:rFonts w:cs="Times New Roman"/>
          <w:noProof/>
          <w:szCs w:val="28"/>
          <w:lang w:val="vi-VN"/>
        </w:rPr>
        <w:t xml:space="preserve">tăng 20% so với số thuế năm 2023. </w:t>
      </w:r>
      <w:r w:rsidR="005D6FC8" w:rsidRPr="00B403DF">
        <w:rPr>
          <w:rFonts w:cs="Times New Roman"/>
          <w:noProof/>
          <w:szCs w:val="28"/>
          <w:lang w:val="vi-VN"/>
        </w:rPr>
        <w:t>Việc triển khai Cổng thông tin điện tử dành cho hộ, cá nhân kinh doanh thương mại điện tử vào tháng 11/2024 với 5 chức năng chính (đăng nhập, đăng ký thuế, kê khai, nộp thuế, tra cứu) đã tạo thêm kênh hỗ trợ thuận lợi cho người nộp thuế, đồng thời tăng cường hiệu quả quản lý thuế trong lĩnh vực này.</w:t>
      </w:r>
    </w:p>
    <w:p w14:paraId="3F6A8695" w14:textId="78BB5BE7" w:rsidR="00967317" w:rsidRPr="00B403DF" w:rsidRDefault="003F422E" w:rsidP="001052D2">
      <w:pPr>
        <w:spacing w:before="120" w:after="120" w:line="240" w:lineRule="auto"/>
        <w:ind w:left="85" w:firstLine="720"/>
        <w:jc w:val="both"/>
        <w:rPr>
          <w:rFonts w:cs="Times New Roman"/>
          <w:noProof/>
          <w:szCs w:val="28"/>
        </w:rPr>
      </w:pPr>
      <w:r w:rsidRPr="00B403DF">
        <w:rPr>
          <w:rFonts w:cs="Times New Roman"/>
          <w:noProof/>
          <w:szCs w:val="28"/>
        </w:rPr>
        <w:t>Về kết quả công tác thu thuế đối với hoạt động TMĐT</w:t>
      </w:r>
      <w:r w:rsidR="00967317" w:rsidRPr="00B403DF">
        <w:rPr>
          <w:rFonts w:cs="Times New Roman"/>
          <w:noProof/>
          <w:szCs w:val="28"/>
        </w:rPr>
        <w:t>:</w:t>
      </w:r>
    </w:p>
    <w:p w14:paraId="52797B7B" w14:textId="7B47FDC9" w:rsidR="00967317" w:rsidRPr="00B403DF" w:rsidRDefault="00967317" w:rsidP="001052D2">
      <w:pPr>
        <w:spacing w:before="120" w:after="120" w:line="240" w:lineRule="auto"/>
        <w:ind w:left="85" w:firstLine="720"/>
        <w:jc w:val="both"/>
        <w:rPr>
          <w:rFonts w:cs="Times New Roman"/>
          <w:noProof/>
          <w:szCs w:val="28"/>
        </w:rPr>
      </w:pPr>
      <w:r w:rsidRPr="00B403DF">
        <w:rPr>
          <w:rFonts w:cs="Times New Roman"/>
          <w:noProof/>
          <w:szCs w:val="28"/>
        </w:rPr>
        <w:t>+ Số liệu quản lý thuế đối với người nộp thuế có hoạt động TMĐT: Năm 2022 số thuế đã nộp là 83 nghìn tỷ đồng; Năm 2023 số thuế đã nộp là 97 nghìn tỷ đồng; Năm 2024 số thuế đã nộp là 116 nghìn tỷ đồng.</w:t>
      </w:r>
    </w:p>
    <w:p w14:paraId="40A3108A" w14:textId="77777777" w:rsidR="00967317" w:rsidRPr="00B403DF" w:rsidRDefault="00967317" w:rsidP="001052D2">
      <w:pPr>
        <w:spacing w:before="120" w:after="120" w:line="240" w:lineRule="auto"/>
        <w:ind w:left="85" w:firstLine="720"/>
        <w:jc w:val="both"/>
        <w:rPr>
          <w:rFonts w:cs="Times New Roman"/>
          <w:noProof/>
          <w:szCs w:val="28"/>
        </w:rPr>
      </w:pPr>
      <w:r w:rsidRPr="00B403DF">
        <w:rPr>
          <w:rFonts w:cs="Times New Roman"/>
          <w:noProof/>
          <w:szCs w:val="28"/>
        </w:rPr>
        <w:t>+ Số liệu quản lý thuế đối với người nộp thuế có hoạt động TMĐT trong 05 tháng đầu năm 2025:</w:t>
      </w:r>
    </w:p>
    <w:p w14:paraId="4FE20A43" w14:textId="1F31F0B7" w:rsidR="003F422E" w:rsidRPr="00B403DF" w:rsidRDefault="007D1F68" w:rsidP="001052D2">
      <w:pPr>
        <w:spacing w:before="120" w:after="120" w:line="240" w:lineRule="auto"/>
        <w:ind w:left="85" w:firstLine="720"/>
        <w:jc w:val="both"/>
        <w:rPr>
          <w:rFonts w:cs="Times New Roman"/>
          <w:noProof/>
          <w:szCs w:val="28"/>
        </w:rPr>
      </w:pPr>
      <w:r w:rsidRPr="00B403DF">
        <w:rPr>
          <w:rFonts w:cs="Times New Roman"/>
          <w:noProof/>
          <w:szCs w:val="28"/>
        </w:rPr>
        <w:t>Đối với Cổng thông tin điện tử: Tổng số NCCNN đã đăng ký thuế, kê khai và nộp thuế qua Cổng thông tin điện tử từ thời điểm kê khai, vận hành là 158 NCCNN, đã thực hiện kê khai, nộp thuế đạt 5,674 nghìn tỷ đồng</w:t>
      </w:r>
      <w:r w:rsidR="00A645CF" w:rsidRPr="00B403DF">
        <w:rPr>
          <w:rFonts w:cs="Times New Roman"/>
          <w:noProof/>
          <w:szCs w:val="28"/>
        </w:rPr>
        <w:t xml:space="preserve"> tăng 41% so với cùng kỳ năm 2024.</w:t>
      </w:r>
    </w:p>
    <w:p w14:paraId="59EC4D55" w14:textId="4B7B0241"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lastRenderedPageBreak/>
        <w:t>Đối với Cổng thông tin điện tử dành cho hộ, cá nhân kinh doanh đăng ký, kê khai nộp thuế đã có 100 nghìn hộ, cá nhân kinh doanh thực hiện đăng ký thuế, khai thuế, nộp thuế trên cổng với số tiền gần 1,1 nghìn tỷ đồng.</w:t>
      </w:r>
    </w:p>
    <w:p w14:paraId="4912544D" w14:textId="3868F346"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t>Rà soát dữ liệu của gần 93 nghìn tổ chức đang hoạt động có hoạt động kinh doanh TMĐT với số thuế đã nộp là 67,6 nghìn tỷ đồng.</w:t>
      </w:r>
    </w:p>
    <w:p w14:paraId="6B847ADB" w14:textId="27003DE0"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t>Về việc xử lý thuế đối với hoạt động TMĐT, cơ quan thuế đã thực hiện rà soát 164.661 người nộp thuế, trong đó:</w:t>
      </w:r>
    </w:p>
    <w:p w14:paraId="4F527305" w14:textId="17DEBDA5"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t>Đối với doanh nghiệp: Thực hiện xử lý truy thu đối với doanh nghiệp</w:t>
      </w:r>
      <w:r w:rsidR="00CA73C5" w:rsidRPr="00B403DF">
        <w:rPr>
          <w:rFonts w:cs="Times New Roman"/>
          <w:noProof/>
          <w:szCs w:val="28"/>
        </w:rPr>
        <w:t xml:space="preserve"> (số lượng từ hệ thống quản lý thuế tập trung là 1.457 doanh nghiệp) với số tiền hơn 416 tỷ đồng (Thuế GTGT: 98 tỷ đồng, thuế TNDN: 318 tỷ đồng, thuế TTĐB: 71 triệu đồng).</w:t>
      </w:r>
    </w:p>
    <w:p w14:paraId="571E2E5B" w14:textId="11695914" w:rsidR="00CA73C5" w:rsidRPr="00B403DF" w:rsidRDefault="00CA73C5" w:rsidP="001052D2">
      <w:pPr>
        <w:spacing w:before="120" w:after="120" w:line="240" w:lineRule="auto"/>
        <w:ind w:left="85" w:firstLine="720"/>
        <w:jc w:val="both"/>
        <w:rPr>
          <w:rFonts w:cs="Times New Roman"/>
          <w:noProof/>
          <w:szCs w:val="28"/>
        </w:rPr>
      </w:pPr>
      <w:r w:rsidRPr="00B403DF">
        <w:rPr>
          <w:rFonts w:cs="Times New Roman"/>
          <w:noProof/>
          <w:szCs w:val="28"/>
        </w:rPr>
        <w:t>Đối với cá nhân, hộ kinh doanh: Thực hiện xử lý truy thu đối với cá nhân, hộ kinh doanh 25.201 trường hợp (số lượng theo cơ quan thuế báo cáo) với số tiền hơn 331 tỷ đồng.</w:t>
      </w:r>
    </w:p>
    <w:p w14:paraId="6D08808B" w14:textId="60C1357F" w:rsidR="005D6FC8" w:rsidRPr="00B403DF" w:rsidRDefault="005D6FC8" w:rsidP="001052D2">
      <w:pPr>
        <w:spacing w:before="120" w:after="120" w:line="240" w:lineRule="auto"/>
        <w:ind w:left="85" w:firstLine="720"/>
        <w:jc w:val="both"/>
        <w:rPr>
          <w:rFonts w:cs="Times New Roman"/>
          <w:b/>
          <w:noProof/>
          <w:szCs w:val="28"/>
          <w:lang w:val="vi-VN"/>
        </w:rPr>
      </w:pPr>
      <w:r w:rsidRPr="00B403DF">
        <w:rPr>
          <w:rFonts w:cs="Times New Roman"/>
          <w:b/>
          <w:noProof/>
          <w:szCs w:val="28"/>
          <w:lang w:val="vi-VN"/>
        </w:rPr>
        <w:t>2.1.5. Thúc đẩy hội nhập quốc tế</w:t>
      </w:r>
    </w:p>
    <w:p w14:paraId="7A385080" w14:textId="2833C0E6" w:rsidR="005D6FC8" w:rsidRPr="00B403DF" w:rsidRDefault="00DD0A6F" w:rsidP="001052D2">
      <w:pPr>
        <w:spacing w:before="120" w:after="120" w:line="240" w:lineRule="auto"/>
        <w:ind w:left="85" w:firstLine="720"/>
        <w:jc w:val="both"/>
        <w:rPr>
          <w:rFonts w:cs="Times New Roman"/>
          <w:noProof/>
          <w:szCs w:val="28"/>
          <w:lang w:val="vi-VN"/>
        </w:rPr>
      </w:pPr>
      <w:r>
        <w:rPr>
          <w:rFonts w:cs="Times New Roman"/>
          <w:noProof/>
          <w:szCs w:val="28"/>
        </w:rPr>
        <w:t xml:space="preserve">Nghị định </w:t>
      </w:r>
      <w:r w:rsidRPr="00DD0A6F">
        <w:rPr>
          <w:rFonts w:cs="Times New Roman"/>
          <w:noProof/>
          <w:szCs w:val="28"/>
          <w:lang w:val="vi-VN"/>
        </w:rPr>
        <w:t xml:space="preserve">số 126/2020/NĐ-CP </w:t>
      </w:r>
      <w:r w:rsidR="005D6FC8" w:rsidRPr="00B403DF">
        <w:rPr>
          <w:rFonts w:cs="Times New Roman"/>
          <w:noProof/>
          <w:szCs w:val="28"/>
          <w:lang w:val="vi-VN"/>
        </w:rPr>
        <w:t>đã đóng vai trò quan trọng trong việc thúc đẩy hội nhập quốc tế của ngành thuế Việt Nam thông qua việc xây dựng khung pháp lý phù hợp với cam kết quốc tế. Điều này đã giúp hình thành hệ thống quản lý thuế đáp ứng các tiêu chuẩn quốc tế, tăng cường khả năng chống trốn thuế, chuyển giá và gian lận thuế xuyên biên giới.</w:t>
      </w:r>
    </w:p>
    <w:p w14:paraId="51DABD0E" w14:textId="77777777" w:rsidR="00A77F7F"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Trong năm 2024, ngành thuế tiếp tục tăng cường hợp tác với cơ quan thuế các nước và tổ chức quốc tế thông qua việc triển khai đàm phán các Hiệp định tránh đánh thuế hai lần, Nghị định thư sửa đổi Hiệp định thuế với Hy Lạp, Nhật Bản, Ai Cập, Albani, Ghi-nê, Ca-mơ-run, Cô-oét</w:t>
      </w:r>
      <w:r w:rsidRPr="00B403DF">
        <w:rPr>
          <w:rFonts w:cs="Times New Roman"/>
          <w:noProof/>
          <w:szCs w:val="28"/>
        </w:rPr>
        <w:t>, UAE, Qatar, Canada, ....</w:t>
      </w:r>
      <w:r w:rsidRPr="00B403DF">
        <w:rPr>
          <w:rFonts w:cs="Times New Roman"/>
          <w:noProof/>
          <w:szCs w:val="28"/>
          <w:lang w:val="vi-VN"/>
        </w:rPr>
        <w:t xml:space="preserve"> Song song với đó, ngành thuế cũng đẩy mạnh hợp tác, trao đổi và chia sẻ kinh nghiệm trong công tác quản lý thuế với các đối tác như Lào, Hàn Quốc</w:t>
      </w:r>
      <w:r w:rsidRPr="00B403DF">
        <w:rPr>
          <w:rFonts w:cs="Times New Roman"/>
          <w:noProof/>
          <w:szCs w:val="28"/>
        </w:rPr>
        <w:t>, Nga</w:t>
      </w:r>
      <w:r w:rsidRPr="00B403DF">
        <w:rPr>
          <w:rFonts w:cs="Times New Roman"/>
          <w:noProof/>
          <w:szCs w:val="28"/>
          <w:lang w:val="vi-VN"/>
        </w:rPr>
        <w:t xml:space="preserve"> cùng các tổ chức quốc tế như SGATAR, IMF trong đó có các giải pháp nâng cao hiệu quả công tác quản lý thuế đối với những lĩnh vực, ngành nghề kinh doanh mới, phức tạp như: chuyển giá, thương mại điện tử, kinh doanh trên nền tảng số, quyền đánh thuế giữa các quốc gia, thống kê thuế… </w:t>
      </w:r>
    </w:p>
    <w:p w14:paraId="4F93AC55" w14:textId="77777777" w:rsidR="00A77F7F"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Công tác trao đổi thông tin quốc tế về thuế cũng đạt được những kết quả đáng kể. </w:t>
      </w:r>
      <w:r w:rsidRPr="00B403DF">
        <w:rPr>
          <w:rFonts w:cs="Times New Roman"/>
          <w:noProof/>
          <w:szCs w:val="28"/>
        </w:rPr>
        <w:t>Chỉ tính riêng n</w:t>
      </w:r>
      <w:r w:rsidRPr="00B403DF">
        <w:rPr>
          <w:rFonts w:cs="Times New Roman"/>
          <w:noProof/>
          <w:szCs w:val="28"/>
          <w:lang w:val="vi-VN"/>
        </w:rPr>
        <w:t>ăm 2024, ngành Thuế đã tiến hành xử lý 56 trường hợp</w:t>
      </w:r>
      <w:r w:rsidRPr="00B403DF">
        <w:rPr>
          <w:rFonts w:cs="Times New Roman"/>
          <w:noProof/>
          <w:szCs w:val="28"/>
          <w:vertAlign w:val="superscript"/>
          <w:lang w:val="vi-VN"/>
        </w:rPr>
        <w:footnoteReference w:id="9"/>
      </w:r>
      <w:r w:rsidRPr="00B403DF">
        <w:rPr>
          <w:rFonts w:cs="Times New Roman"/>
          <w:noProof/>
          <w:szCs w:val="28"/>
          <w:lang w:val="vi-VN"/>
        </w:rPr>
        <w:t xml:space="preserve"> đề nghị trao đổi thông tin theo Hiệp định với cơ quan thuế các nước. Các hồ sơ tập trung nhiều vào sắc thuế TNDN</w:t>
      </w:r>
      <w:r w:rsidRPr="00B403DF">
        <w:rPr>
          <w:rFonts w:cs="Times New Roman"/>
          <w:noProof/>
          <w:szCs w:val="28"/>
        </w:rPr>
        <w:t>, TNCN</w:t>
      </w:r>
      <w:r w:rsidRPr="00B403DF">
        <w:rPr>
          <w:rFonts w:cs="Times New Roman"/>
          <w:noProof/>
          <w:szCs w:val="28"/>
          <w:lang w:val="vi-VN"/>
        </w:rPr>
        <w:t xml:space="preserve"> và GTGT (chủ yếu liên quan đến </w:t>
      </w:r>
      <w:r w:rsidRPr="00B403DF">
        <w:rPr>
          <w:rFonts w:cs="Times New Roman"/>
          <w:noProof/>
          <w:szCs w:val="28"/>
        </w:rPr>
        <w:t xml:space="preserve">việc xác minh </w:t>
      </w:r>
      <w:r w:rsidRPr="00B403DF">
        <w:rPr>
          <w:rFonts w:cs="Times New Roman"/>
          <w:noProof/>
          <w:szCs w:val="28"/>
          <w:lang w:val="vi-VN"/>
        </w:rPr>
        <w:t>hoạt động xuất khẩu của doanh nghiệp Việt Nam</w:t>
      </w:r>
      <w:r w:rsidRPr="00B403DF">
        <w:rPr>
          <w:rFonts w:cs="Times New Roman"/>
          <w:noProof/>
          <w:szCs w:val="28"/>
        </w:rPr>
        <w:t xml:space="preserve"> phục vụ công tác </w:t>
      </w:r>
      <w:r w:rsidRPr="00B403DF">
        <w:rPr>
          <w:rFonts w:cs="Times New Roman"/>
          <w:noProof/>
          <w:szCs w:val="28"/>
        </w:rPr>
        <w:lastRenderedPageBreak/>
        <w:t>kiểm tra hoàn thuế GTGT</w:t>
      </w:r>
      <w:r w:rsidRPr="00B403DF">
        <w:rPr>
          <w:rFonts w:cs="Times New Roman"/>
          <w:noProof/>
          <w:szCs w:val="28"/>
          <w:lang w:val="vi-VN"/>
        </w:rPr>
        <w:t>), góp phần tích cực vào công tác chống gian lận và tăng thu ngân sách nhà nước</w:t>
      </w:r>
      <w:r w:rsidRPr="00B403DF">
        <w:rPr>
          <w:rFonts w:cs="Times New Roman"/>
          <w:bCs/>
          <w:noProof/>
          <w:szCs w:val="28"/>
          <w:vertAlign w:val="superscript"/>
          <w:lang w:val="vi-VN"/>
        </w:rPr>
        <w:footnoteReference w:id="10"/>
      </w:r>
      <w:r w:rsidRPr="00B403DF">
        <w:rPr>
          <w:rFonts w:cs="Times New Roman"/>
          <w:noProof/>
          <w:szCs w:val="28"/>
          <w:lang w:val="vi-VN"/>
        </w:rPr>
        <w:t>.</w:t>
      </w:r>
    </w:p>
    <w:p w14:paraId="6F472872" w14:textId="77777777" w:rsidR="00A77F7F"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Năm 2024 đánh dấu bước tiến mới trong hội nhập quốc tế khi ngành thuế tích cực tham gia các </w:t>
      </w:r>
      <w:r w:rsidRPr="00B403DF">
        <w:rPr>
          <w:rFonts w:cs="Times New Roman"/>
          <w:noProof/>
          <w:szCs w:val="28"/>
        </w:rPr>
        <w:t xml:space="preserve">Cam kết quốc tế </w:t>
      </w:r>
      <w:r w:rsidRPr="00B403DF">
        <w:rPr>
          <w:rFonts w:cs="Times New Roman"/>
          <w:noProof/>
          <w:szCs w:val="28"/>
          <w:lang w:val="vi-VN"/>
        </w:rPr>
        <w:t xml:space="preserve">đa phương quan trọng. </w:t>
      </w:r>
      <w:r w:rsidRPr="00B403DF">
        <w:rPr>
          <w:rFonts w:cs="Times New Roman"/>
          <w:noProof/>
          <w:szCs w:val="28"/>
        </w:rPr>
        <w:t xml:space="preserve">Trong đó bao gồm: </w:t>
      </w:r>
      <w:r w:rsidRPr="00B403DF">
        <w:rPr>
          <w:rFonts w:cs="Times New Roman"/>
          <w:noProof/>
          <w:szCs w:val="28"/>
          <w:lang w:val="vi-VN"/>
        </w:rPr>
        <w:t xml:space="preserve">ký Hiệp định đa phương về Hỗ trợ hành chính thuế </w:t>
      </w:r>
      <w:r w:rsidRPr="00B403DF">
        <w:rPr>
          <w:rFonts w:cs="Times New Roman"/>
          <w:noProof/>
          <w:szCs w:val="28"/>
        </w:rPr>
        <w:t>(</w:t>
      </w:r>
      <w:r w:rsidRPr="00B403DF">
        <w:rPr>
          <w:rFonts w:cs="Times New Roman"/>
          <w:noProof/>
          <w:szCs w:val="28"/>
          <w:lang w:val="vi-VN"/>
        </w:rPr>
        <w:t>MAAC</w:t>
      </w:r>
      <w:r w:rsidRPr="00B403DF">
        <w:rPr>
          <w:rFonts w:cs="Times New Roman"/>
          <w:noProof/>
          <w:szCs w:val="28"/>
        </w:rPr>
        <w:t>)</w:t>
      </w:r>
      <w:r w:rsidRPr="00B403DF">
        <w:rPr>
          <w:rFonts w:cs="Times New Roman"/>
          <w:noProof/>
          <w:szCs w:val="28"/>
          <w:lang w:val="vi-VN"/>
        </w:rPr>
        <w:t xml:space="preserve"> </w:t>
      </w:r>
      <w:r w:rsidRPr="00B403DF">
        <w:rPr>
          <w:rFonts w:cs="Times New Roman"/>
          <w:noProof/>
          <w:szCs w:val="28"/>
        </w:rPr>
        <w:t>giúp</w:t>
      </w:r>
      <w:r w:rsidRPr="00B403DF">
        <w:rPr>
          <w:rFonts w:cs="Times New Roman"/>
          <w:noProof/>
          <w:szCs w:val="28"/>
          <w:lang w:val="vi-VN"/>
        </w:rPr>
        <w:t xml:space="preserve"> thực thi tốt hơn các luật thuế </w:t>
      </w:r>
      <w:r w:rsidRPr="00B403DF">
        <w:rPr>
          <w:rFonts w:cs="Times New Roman"/>
          <w:noProof/>
          <w:szCs w:val="28"/>
        </w:rPr>
        <w:t>trong nước</w:t>
      </w:r>
      <w:r w:rsidRPr="00B403DF">
        <w:rPr>
          <w:rFonts w:cs="Times New Roman"/>
          <w:noProof/>
          <w:szCs w:val="28"/>
          <w:lang w:val="vi-VN"/>
        </w:rPr>
        <w:t xml:space="preserve"> thông qua việc áp dụng các công cụ pháp lý quốc tế để trao đổi thông tin thuế và hợp tác về hành chính thuế nhằm chống trốn, và tránh thuế quốc tế và các hình thức không tuân thủ khác; </w:t>
      </w:r>
      <w:r w:rsidRPr="00B403DF">
        <w:rPr>
          <w:rFonts w:cs="Times New Roman"/>
          <w:noProof/>
          <w:szCs w:val="28"/>
        </w:rPr>
        <w:t>đồng thời</w:t>
      </w:r>
      <w:r w:rsidRPr="00B403DF">
        <w:rPr>
          <w:rFonts w:cs="Times New Roman"/>
          <w:noProof/>
          <w:szCs w:val="28"/>
          <w:lang w:val="vi-VN"/>
        </w:rPr>
        <w:t xml:space="preserve">, Việt Nam đã tham gia Thỏa thuận đa phương giữa các Nhà chức trách có thẩm quyền về trao đổi báo cáo lợi nhuận liên quốc gia (CbC MCAA) và </w:t>
      </w:r>
      <w:r w:rsidRPr="00B403DF">
        <w:rPr>
          <w:rFonts w:cs="Times New Roman"/>
          <w:noProof/>
          <w:szCs w:val="28"/>
        </w:rPr>
        <w:t xml:space="preserve">tiếp tục nghiên cứu để báo cáo cấp có thẩm quyền xem xét tham gia </w:t>
      </w:r>
      <w:r w:rsidRPr="00B403DF">
        <w:rPr>
          <w:rFonts w:cs="Times New Roman"/>
          <w:noProof/>
          <w:szCs w:val="28"/>
          <w:lang w:val="vi-VN"/>
        </w:rPr>
        <w:t xml:space="preserve">Thỏa thuận đa phương giữa các Nhà chức trách có thẩm quyền về trao đổi </w:t>
      </w:r>
      <w:r w:rsidRPr="00B403DF">
        <w:rPr>
          <w:rFonts w:cs="Times New Roman"/>
          <w:noProof/>
          <w:szCs w:val="28"/>
        </w:rPr>
        <w:t xml:space="preserve">tự động </w:t>
      </w:r>
      <w:r w:rsidRPr="00B403DF">
        <w:rPr>
          <w:rFonts w:cs="Times New Roman"/>
          <w:noProof/>
          <w:szCs w:val="28"/>
          <w:lang w:val="vi-VN"/>
        </w:rPr>
        <w:t xml:space="preserve">thông tin tài khoản tài chính (CRS MCAA). Bên cạnh đó, việc tham gia sáng kiến toàn cầu về thuế như BEPS (chống xói mòn cơ sở tính thuế và chuyển lợi nhuận) thể hiện cam kết mạnh mẽ của Việt Nam trong việc áp dụng các chuẩn mực quốc tế về thuế. </w:t>
      </w:r>
    </w:p>
    <w:p w14:paraId="521A2CEE" w14:textId="17E78904" w:rsidR="005D6FC8"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Những nỗ lực hội nhập quốc tế này không chỉ nâng cao năng lực quản lý thuế của Việt Nam mà còn thể hiện cam kết mạnh mẽ của ngành thuế trong việc xây dựng một hệ thống thuế hiện đại, minh bạch và phù hợp với thông lệ </w:t>
      </w:r>
      <w:r w:rsidRPr="00B403DF">
        <w:rPr>
          <w:rFonts w:cs="Times New Roman"/>
          <w:noProof/>
          <w:szCs w:val="28"/>
        </w:rPr>
        <w:t xml:space="preserve">và chuẩn  mực </w:t>
      </w:r>
      <w:r w:rsidRPr="00B403DF">
        <w:rPr>
          <w:rFonts w:cs="Times New Roman"/>
          <w:noProof/>
          <w:szCs w:val="28"/>
          <w:lang w:val="vi-VN"/>
        </w:rPr>
        <w:t>quốc tế. Điều này góp phần quan trọng trong việc tạo môi trường đầu tư thuận lợi và thúc đẩy hội nhập kinh tế quốc tế của Việt Nam.</w:t>
      </w:r>
    </w:p>
    <w:p w14:paraId="6A907DB3" w14:textId="47007F0C" w:rsidR="005D6FC8" w:rsidRPr="00B403DF" w:rsidRDefault="005D6FC8" w:rsidP="001052D2">
      <w:pPr>
        <w:spacing w:before="120" w:after="120" w:line="240" w:lineRule="auto"/>
        <w:ind w:left="85" w:firstLine="635"/>
        <w:jc w:val="both"/>
        <w:rPr>
          <w:rFonts w:cs="Times New Roman"/>
          <w:b/>
          <w:bCs/>
          <w:noProof/>
          <w:szCs w:val="28"/>
          <w:lang w:val="vi-VN"/>
        </w:rPr>
      </w:pPr>
      <w:r w:rsidRPr="00B403DF">
        <w:rPr>
          <w:rFonts w:cs="Times New Roman"/>
          <w:b/>
          <w:bCs/>
          <w:noProof/>
          <w:szCs w:val="28"/>
          <w:lang w:val="vi-VN"/>
        </w:rPr>
        <w:t xml:space="preserve">2.2. </w:t>
      </w:r>
      <w:r w:rsidR="00074796" w:rsidRPr="00B403DF">
        <w:rPr>
          <w:rFonts w:cs="Times New Roman"/>
          <w:b/>
          <w:bCs/>
          <w:noProof/>
          <w:szCs w:val="28"/>
        </w:rPr>
        <w:t>Bất cập</w:t>
      </w:r>
      <w:r w:rsidRPr="00B403DF">
        <w:rPr>
          <w:rFonts w:cs="Times New Roman"/>
          <w:b/>
          <w:bCs/>
          <w:noProof/>
          <w:szCs w:val="28"/>
          <w:lang w:val="vi-VN"/>
        </w:rPr>
        <w:t xml:space="preserve">, hạn chế </w:t>
      </w:r>
    </w:p>
    <w:p w14:paraId="5FCCDC51" w14:textId="2E739EA2" w:rsidR="00210213" w:rsidRPr="00B403DF" w:rsidRDefault="00210213" w:rsidP="001052D2">
      <w:pPr>
        <w:spacing w:before="120" w:after="120" w:line="240" w:lineRule="auto"/>
        <w:ind w:left="85" w:firstLine="720"/>
        <w:jc w:val="both"/>
        <w:rPr>
          <w:rFonts w:cs="Times New Roman"/>
          <w:bCs/>
          <w:noProof/>
          <w:szCs w:val="28"/>
          <w:lang w:val="vi-VN"/>
        </w:rPr>
      </w:pPr>
      <w:r w:rsidRPr="00B403DF">
        <w:rPr>
          <w:rFonts w:cs="Times New Roman"/>
          <w:bCs/>
          <w:noProof/>
          <w:szCs w:val="28"/>
          <w:lang w:val="vi-VN"/>
        </w:rPr>
        <w:t xml:space="preserve">Bên cạnh những kết quả đạt được, quá trình triển khai thực hiện </w:t>
      </w:r>
      <w:r w:rsidR="009618EA">
        <w:rPr>
          <w:rFonts w:cs="Times New Roman"/>
          <w:bCs/>
          <w:noProof/>
          <w:szCs w:val="28"/>
        </w:rPr>
        <w:t xml:space="preserve">Nghị định </w:t>
      </w:r>
      <w:r w:rsidR="009618EA" w:rsidRPr="009618EA">
        <w:rPr>
          <w:rFonts w:cs="Times New Roman"/>
          <w:bCs/>
          <w:noProof/>
          <w:szCs w:val="28"/>
          <w:lang w:val="vi-VN"/>
        </w:rPr>
        <w:t>số 126/2020/NĐ-CP</w:t>
      </w:r>
      <w:r w:rsidRPr="00B403DF">
        <w:rPr>
          <w:rFonts w:cs="Times New Roman"/>
          <w:bCs/>
          <w:noProof/>
          <w:szCs w:val="28"/>
          <w:lang w:val="vi-VN"/>
        </w:rPr>
        <w:t xml:space="preserve"> cũng phát sinh một số tồn tại, hạn chế như sau:</w:t>
      </w:r>
    </w:p>
    <w:p w14:paraId="1CEC885A" w14:textId="270AAE49"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2.2.1. Bất cập trong khung pháp lý và quy trình nghiệp vụ</w:t>
      </w:r>
    </w:p>
    <w:p w14:paraId="3937A762" w14:textId="287786E2" w:rsidR="005D6FC8" w:rsidRPr="005A1AA8" w:rsidRDefault="005D6FC8" w:rsidP="001052D2">
      <w:pPr>
        <w:spacing w:before="120" w:after="120" w:line="240" w:lineRule="auto"/>
        <w:ind w:left="85" w:firstLine="720"/>
        <w:jc w:val="both"/>
        <w:rPr>
          <w:rFonts w:cs="Times New Roman"/>
          <w:noProof/>
          <w:szCs w:val="28"/>
        </w:rPr>
      </w:pPr>
      <w:r w:rsidRPr="00B403DF">
        <w:rPr>
          <w:rFonts w:cs="Times New Roman"/>
          <w:noProof/>
          <w:szCs w:val="28"/>
          <w:lang w:val="vi-VN"/>
        </w:rPr>
        <w:t xml:space="preserve">Khung pháp lý và quy trình nghiệp vụ của </w:t>
      </w:r>
      <w:r w:rsidR="009618EA">
        <w:rPr>
          <w:rFonts w:cs="Times New Roman"/>
          <w:noProof/>
          <w:szCs w:val="28"/>
        </w:rPr>
        <w:t xml:space="preserve">Nghị định </w:t>
      </w:r>
      <w:r w:rsidR="009618EA" w:rsidRPr="009618EA">
        <w:rPr>
          <w:rFonts w:cs="Times New Roman"/>
          <w:noProof/>
          <w:szCs w:val="28"/>
          <w:lang w:val="vi-VN"/>
        </w:rPr>
        <w:t xml:space="preserve">số 126/2020/NĐ-CP </w:t>
      </w:r>
      <w:r w:rsidRPr="00B403DF">
        <w:rPr>
          <w:rFonts w:cs="Times New Roman"/>
          <w:noProof/>
          <w:szCs w:val="28"/>
          <w:lang w:val="vi-VN"/>
        </w:rPr>
        <w:t xml:space="preserve">đang bộc lộ nhiều </w:t>
      </w:r>
      <w:r w:rsidR="00AE35D8">
        <w:rPr>
          <w:rFonts w:cs="Times New Roman"/>
          <w:noProof/>
          <w:szCs w:val="28"/>
        </w:rPr>
        <w:t>hạn chế đáng quan ngại qua quá trình thực hiện</w:t>
      </w:r>
      <w:r w:rsidRPr="00B403DF">
        <w:rPr>
          <w:rFonts w:cs="Times New Roman"/>
          <w:noProof/>
          <w:szCs w:val="28"/>
          <w:lang w:val="vi-VN"/>
        </w:rPr>
        <w:t>, thể hiện qua ba nhóm vấn đề chính</w:t>
      </w:r>
      <w:r w:rsidRPr="001E7AD6">
        <w:rPr>
          <w:rFonts w:cs="Times New Roman"/>
          <w:noProof/>
          <w:szCs w:val="28"/>
          <w:lang w:val="vi-VN"/>
        </w:rPr>
        <w:t>. Nhóm thứ nhất liên quan đến quy định về đăng ký, khai thuế</w:t>
      </w:r>
      <w:r w:rsidR="00B72F92" w:rsidRPr="001E7AD6">
        <w:rPr>
          <w:rFonts w:cs="Times New Roman"/>
          <w:noProof/>
          <w:szCs w:val="28"/>
        </w:rPr>
        <w:t>,</w:t>
      </w:r>
      <w:r w:rsidRPr="001E7AD6">
        <w:rPr>
          <w:rFonts w:cs="Times New Roman"/>
          <w:noProof/>
          <w:szCs w:val="28"/>
          <w:lang w:val="vi-VN"/>
        </w:rPr>
        <w:t xml:space="preserve"> tính thuế</w:t>
      </w:r>
      <w:r w:rsidR="005A1AA8" w:rsidRPr="001E7AD6">
        <w:rPr>
          <w:rFonts w:cs="Times New Roman"/>
          <w:noProof/>
          <w:szCs w:val="28"/>
        </w:rPr>
        <w:t>:</w:t>
      </w:r>
      <w:r w:rsidRPr="001E7AD6">
        <w:rPr>
          <w:rFonts w:cs="Times New Roman"/>
          <w:noProof/>
          <w:szCs w:val="28"/>
          <w:lang w:val="vi-VN"/>
        </w:rPr>
        <w:t xml:space="preserve"> những quy định này chưa bao quát hết các tình huống thực tế</w:t>
      </w:r>
      <w:r w:rsidR="001857AF" w:rsidRPr="001E7AD6">
        <w:rPr>
          <w:rFonts w:cs="Times New Roman"/>
          <w:noProof/>
          <w:szCs w:val="28"/>
        </w:rPr>
        <w:t>, đặc biệt đối với các quy định về khai thuế</w:t>
      </w:r>
      <w:r w:rsidR="005A1AA8" w:rsidRPr="001E7AD6">
        <w:rPr>
          <w:rFonts w:cs="Times New Roman"/>
          <w:noProof/>
          <w:szCs w:val="28"/>
        </w:rPr>
        <w:t xml:space="preserve"> như </w:t>
      </w:r>
      <w:r w:rsidR="00B72F92" w:rsidRPr="001E7AD6">
        <w:rPr>
          <w:rFonts w:cs="Times New Roman"/>
          <w:noProof/>
          <w:szCs w:val="28"/>
        </w:rPr>
        <w:t>địa điểm nộp hồ sơ khai thuế đối với người nộp thuế có nhiều hoạt động, kinh doanh trên nhiều địa bàn cấp tỉnh có hoạt động chuyển nhượng bất động sản hay</w:t>
      </w:r>
      <w:r w:rsidR="005A1AA8" w:rsidRPr="001E7AD6">
        <w:rPr>
          <w:rFonts w:cs="Times New Roman"/>
          <w:noProof/>
          <w:szCs w:val="28"/>
        </w:rPr>
        <w:t xml:space="preserve"> khai thuế giá trị gia tăng tại nơi có nhà máy điện trải dài trên nhiều địa bàn;</w:t>
      </w:r>
      <w:r w:rsidR="00B95CA3" w:rsidRPr="001E7AD6">
        <w:rPr>
          <w:rFonts w:cs="Times New Roman"/>
          <w:noProof/>
          <w:szCs w:val="28"/>
        </w:rPr>
        <w:t xml:space="preserve"> </w:t>
      </w:r>
      <w:r w:rsidR="001857AF" w:rsidRPr="001E7AD6">
        <w:rPr>
          <w:rFonts w:cs="Times New Roman"/>
          <w:noProof/>
          <w:szCs w:val="28"/>
        </w:rPr>
        <w:t xml:space="preserve">hồ sơ khai thuế giá trị gia tăng đối với dự án đầu tư, </w:t>
      </w:r>
      <w:r w:rsidRPr="001E7AD6">
        <w:rPr>
          <w:rFonts w:cs="Times New Roman"/>
          <w:noProof/>
          <w:szCs w:val="28"/>
          <w:lang w:val="vi-VN"/>
        </w:rPr>
        <w:t>hợp đồng hợp tác kinh doanh</w:t>
      </w:r>
      <w:r w:rsidR="001857AF" w:rsidRPr="001E7AD6">
        <w:rPr>
          <w:rFonts w:cs="Times New Roman"/>
          <w:bCs/>
          <w:noProof/>
          <w:szCs w:val="28"/>
        </w:rPr>
        <w:t>. Ngoài ra,</w:t>
      </w:r>
      <w:r w:rsidR="0026649D" w:rsidRPr="001E7AD6">
        <w:rPr>
          <w:rFonts w:cs="Times New Roman"/>
          <w:bCs/>
          <w:noProof/>
          <w:szCs w:val="28"/>
        </w:rPr>
        <w:t xml:space="preserve"> </w:t>
      </w:r>
      <w:r w:rsidR="001857AF" w:rsidRPr="001E7AD6">
        <w:rPr>
          <w:rFonts w:cs="Times New Roman"/>
          <w:bCs/>
          <w:noProof/>
          <w:szCs w:val="28"/>
        </w:rPr>
        <w:t xml:space="preserve">quy định về người nộp thuế không phải nộp hồ sơ khai thuế; </w:t>
      </w:r>
      <w:r w:rsidR="005A1AA8" w:rsidRPr="001E7AD6">
        <w:rPr>
          <w:rFonts w:cs="Times New Roman"/>
          <w:bCs/>
          <w:noProof/>
          <w:szCs w:val="28"/>
        </w:rPr>
        <w:t xml:space="preserve">địa điểm nộp hồ sơ quyết toán thuế thu nhập cá nhân; </w:t>
      </w:r>
      <w:r w:rsidR="001857AF" w:rsidRPr="001E7AD6">
        <w:rPr>
          <w:rFonts w:cs="Times New Roman"/>
          <w:bCs/>
          <w:noProof/>
          <w:szCs w:val="28"/>
        </w:rPr>
        <w:t xml:space="preserve">khai bổ sung hồ sơ khai thuế và </w:t>
      </w:r>
      <w:r w:rsidR="0026649D" w:rsidRPr="001E7AD6">
        <w:rPr>
          <w:rFonts w:eastAsia="Times New Roman" w:cs="Times New Roman"/>
          <w:spacing w:val="-2"/>
          <w:szCs w:val="28"/>
        </w:rPr>
        <w:t xml:space="preserve">vướng mắc phát sinh từ pháp luật chuyên ngành về dầu khí đặc biệt là vướng mắc liên quan về </w:t>
      </w:r>
      <w:r w:rsidR="005A1AA8" w:rsidRPr="001E7AD6">
        <w:rPr>
          <w:rFonts w:eastAsia="Times New Roman" w:cs="Times New Roman"/>
          <w:spacing w:val="-2"/>
          <w:szCs w:val="28"/>
        </w:rPr>
        <w:t xml:space="preserve">địa điểm nộp hồ sơ khai thuế, </w:t>
      </w:r>
      <w:r w:rsidR="0026649D" w:rsidRPr="001E7AD6">
        <w:rPr>
          <w:rFonts w:eastAsia="Times New Roman" w:cs="Times New Roman"/>
          <w:spacing w:val="-2"/>
          <w:szCs w:val="28"/>
        </w:rPr>
        <w:t>thời hạn kê khai, nộp thuế</w:t>
      </w:r>
      <w:r w:rsidR="005A1AA8" w:rsidRPr="001E7AD6">
        <w:rPr>
          <w:rFonts w:eastAsia="Times New Roman" w:cs="Times New Roman"/>
          <w:spacing w:val="-2"/>
          <w:szCs w:val="28"/>
        </w:rPr>
        <w:t>, hoàn thuế giá trị gia tăng</w:t>
      </w:r>
      <w:r w:rsidR="0026649D" w:rsidRPr="001E7AD6">
        <w:rPr>
          <w:rFonts w:eastAsia="Times New Roman" w:cs="Times New Roman"/>
          <w:spacing w:val="-2"/>
          <w:szCs w:val="28"/>
        </w:rPr>
        <w:t xml:space="preserve"> đối với hoạt động dầu khí</w:t>
      </w:r>
      <w:r w:rsidR="001857AF" w:rsidRPr="001E7AD6">
        <w:rPr>
          <w:rFonts w:cs="Times New Roman"/>
          <w:bCs/>
          <w:noProof/>
          <w:szCs w:val="28"/>
        </w:rPr>
        <w:t xml:space="preserve"> </w:t>
      </w:r>
      <w:r w:rsidR="001857AF" w:rsidRPr="001E7AD6">
        <w:rPr>
          <w:rFonts w:cs="Times New Roman"/>
          <w:bCs/>
          <w:noProof/>
          <w:szCs w:val="28"/>
        </w:rPr>
        <w:lastRenderedPageBreak/>
        <w:t>cũng là những điểm nghẽn trong nhóm chính sách này.</w:t>
      </w:r>
      <w:r w:rsidRPr="001E7AD6">
        <w:rPr>
          <w:rFonts w:cs="Times New Roman"/>
          <w:noProof/>
          <w:szCs w:val="28"/>
          <w:lang w:val="vi-VN"/>
        </w:rPr>
        <w:t xml:space="preserve"> Nhóm thứ hai tập trung vào quy trình nộp thuế, trong đó nổi cộm là </w:t>
      </w:r>
      <w:r w:rsidR="002B4FED" w:rsidRPr="001E7AD6">
        <w:rPr>
          <w:rFonts w:cs="Times New Roman"/>
          <w:noProof/>
          <w:szCs w:val="28"/>
        </w:rPr>
        <w:t>vấn đề tạm nộp thuế thu nhập doanh nghiệp khi đặt trong tương quan bài toán cân đối tài chính của doanh nghiệp cũng như vấn đề ấn định thuế trong bối cảnh thiếu vắng các quy định cụ thể về căn cứ ấn định dựa trên tiêu chí thực tế</w:t>
      </w:r>
      <w:r w:rsidRPr="001E7AD6">
        <w:rPr>
          <w:rFonts w:cs="Times New Roman"/>
          <w:noProof/>
          <w:szCs w:val="28"/>
          <w:lang w:val="vi-VN"/>
        </w:rPr>
        <w:t>. Nhóm thứ ba liên</w:t>
      </w:r>
      <w:r w:rsidRPr="00B403DF">
        <w:rPr>
          <w:rFonts w:cs="Times New Roman"/>
          <w:noProof/>
          <w:szCs w:val="28"/>
          <w:lang w:val="vi-VN"/>
        </w:rPr>
        <w:t xml:space="preserve"> quan đến </w:t>
      </w:r>
      <w:r w:rsidR="0082199A">
        <w:rPr>
          <w:rFonts w:cs="Times New Roman"/>
          <w:noProof/>
          <w:szCs w:val="28"/>
        </w:rPr>
        <w:t xml:space="preserve">quy định về cưỡng chế thi hành quyết định hành chính về quản lý thuế và quy định về </w:t>
      </w:r>
      <w:r w:rsidR="0082199A" w:rsidRPr="0082199A">
        <w:rPr>
          <w:rFonts w:cs="Times New Roman"/>
          <w:noProof/>
          <w:szCs w:val="28"/>
        </w:rPr>
        <w:t>trách nhiệm của ngân hàng thương mại trong việc cung cấp thông tin</w:t>
      </w:r>
      <w:r w:rsidRPr="00B403DF">
        <w:rPr>
          <w:rFonts w:cs="Times New Roman"/>
          <w:noProof/>
          <w:szCs w:val="28"/>
          <w:lang w:val="vi-VN"/>
        </w:rPr>
        <w:t>.</w:t>
      </w:r>
      <w:r w:rsidR="000235A9" w:rsidRPr="00B403DF">
        <w:rPr>
          <w:rFonts w:cs="Times New Roman"/>
          <w:noProof/>
          <w:szCs w:val="28"/>
        </w:rPr>
        <w:t xml:space="preserve"> </w:t>
      </w:r>
      <w:r w:rsidR="0082199A">
        <w:rPr>
          <w:rFonts w:cs="Times New Roman"/>
          <w:noProof/>
          <w:szCs w:val="28"/>
        </w:rPr>
        <w:t>Với vai trò là công cụ pháp lý quan trọng trong thu nợ thuế, việc thiếu kiện toàn cơ chế cưỡng chế nợ thuế sẽ ảnh hưởng trực tiếp đến hiệu quả xử lý nợ thuế, gây thất thu ngân sách nhà nước</w:t>
      </w:r>
      <w:r w:rsidR="003644B4">
        <w:rPr>
          <w:rFonts w:cs="Times New Roman"/>
          <w:noProof/>
          <w:szCs w:val="28"/>
        </w:rPr>
        <w:t xml:space="preserve">. </w:t>
      </w:r>
      <w:r w:rsidRPr="00B403DF">
        <w:rPr>
          <w:rFonts w:cs="Times New Roman"/>
          <w:noProof/>
          <w:szCs w:val="28"/>
          <w:lang w:val="vi-VN"/>
        </w:rPr>
        <w:t>Những bất cập này không chỉ ảnh hưởng đến hiệu quả quản lý thuế mà còn tạo ra những điểm mờ trong việc thực thi pháp luật, đòi hỏi cần có những điều chỉnh kịp thời và toàn diện.</w:t>
      </w:r>
    </w:p>
    <w:p w14:paraId="271D2768" w14:textId="35CACF4D"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2.2.2.  Chưa theo kịp sự phát triển của nền kinh tế số</w:t>
      </w:r>
    </w:p>
    <w:p w14:paraId="247D7B3A" w14:textId="362999A8" w:rsidR="005D6FC8" w:rsidRPr="00FF3B66" w:rsidRDefault="00DB1EA7" w:rsidP="001052D2">
      <w:pPr>
        <w:spacing w:before="120" w:after="120" w:line="240" w:lineRule="auto"/>
        <w:ind w:left="85" w:firstLine="720"/>
        <w:jc w:val="both"/>
        <w:rPr>
          <w:rFonts w:cs="Times New Roman"/>
          <w:noProof/>
          <w:szCs w:val="28"/>
        </w:rPr>
      </w:pPr>
      <w:r>
        <w:rPr>
          <w:rFonts w:cs="Times New Roman"/>
          <w:noProof/>
          <w:szCs w:val="28"/>
        </w:rPr>
        <w:t>Trong bối cảnh nền kinh tế số phát triển nhanh chóng, với sự gia tăng mạnh mẽ của các mô hình kinh doanh dựa trên nền tảng số, thương mại điện tử, cung cấp dịch vụ xuyên biên giới và các hoạt động khai thác dữ liệu, tài sản số, Nghị định số 126/2020/NĐ-CP đã bộc lộ những hạn chế nhất định trong việc theo kịp yêu cầu quản lý mới. Một số quy định của Nghị định được xây dựng trên cơ sở các mô hình kinh doanh truyền thống, chưa bao quát đầy đủ đặc điểm phi biên giới, đa chủ thể</w:t>
      </w:r>
      <w:r w:rsidR="00FF3B66">
        <w:rPr>
          <w:rFonts w:cs="Times New Roman"/>
          <w:noProof/>
          <w:szCs w:val="28"/>
        </w:rPr>
        <w:t xml:space="preserve"> và dựa trên nền tảng công nghệ của kinh tế số.</w:t>
      </w:r>
      <w:r w:rsidR="005D6FC8" w:rsidRPr="00B403DF">
        <w:rPr>
          <w:rFonts w:cs="Times New Roman"/>
          <w:noProof/>
          <w:szCs w:val="28"/>
          <w:lang w:val="vi-VN"/>
        </w:rPr>
        <w:t xml:space="preserve"> </w:t>
      </w:r>
      <w:r w:rsidR="00FF3B66">
        <w:rPr>
          <w:rFonts w:cs="Times New Roman"/>
          <w:noProof/>
          <w:szCs w:val="28"/>
        </w:rPr>
        <w:t>V</w:t>
      </w:r>
      <w:r w:rsidR="005D6FC8" w:rsidRPr="00B403DF">
        <w:rPr>
          <w:rFonts w:cs="Times New Roman"/>
          <w:noProof/>
          <w:szCs w:val="28"/>
          <w:lang w:val="vi-VN"/>
        </w:rPr>
        <w:t xml:space="preserve">iệc thiếu vắng các công cụ pháp lý phù hợp để quản lý doanh thu và thu thuế từ các nền tảng số, sàn giao dịch trực tuyến đang trở thành điểm nghẽn đáng kể. Tình trạng này càng trở nên phức tạp hơn đối với các doanh nghiệp công nghệ nước ngoài không có hiện diện thương mại tại Việt Nam nhưng vẫn thu được lợi nhuận đáng kể từ thị trường nội địa. Mặt khác, </w:t>
      </w:r>
      <w:r w:rsidR="00FF3B66">
        <w:rPr>
          <w:rFonts w:cs="Times New Roman"/>
          <w:noProof/>
          <w:szCs w:val="28"/>
        </w:rPr>
        <w:t xml:space="preserve">việc </w:t>
      </w:r>
      <w:r w:rsidR="005D6FC8" w:rsidRPr="00B403DF">
        <w:rPr>
          <w:rFonts w:cs="Times New Roman"/>
          <w:noProof/>
          <w:szCs w:val="28"/>
          <w:lang w:val="vi-VN"/>
        </w:rPr>
        <w:t xml:space="preserve">tham gia ngày càng sâu rộng vào các hiệp định thương mại tự do thế hệ mới </w:t>
      </w:r>
      <w:r w:rsidR="00FF3B66">
        <w:rPr>
          <w:rFonts w:cs="Times New Roman"/>
          <w:noProof/>
          <w:szCs w:val="28"/>
        </w:rPr>
        <w:t xml:space="preserve">đã mang lại cho Việt Nam nhiều lợi ích kinh tế, đồng thời cũng </w:t>
      </w:r>
      <w:r w:rsidR="005D6FC8" w:rsidRPr="00B403DF">
        <w:rPr>
          <w:rFonts w:cs="Times New Roman"/>
          <w:noProof/>
          <w:szCs w:val="28"/>
          <w:lang w:val="vi-VN"/>
        </w:rPr>
        <w:t>đòi hỏi phải có những điều chỉnh căn bản trong cơ chế quản lý thuế. Những điều chỉnh này cần đảm bảo vừa tuân thủ các cam kết quốc tế, vừa tạo môi trường thuận lợi thu hút đầu tư nước ngoài, đồng thời vẫn phải đảm bảo được tính công bằng trong cạnh tranh thương mại và không để thất thu ngân sách nhà nước.</w:t>
      </w:r>
    </w:p>
    <w:p w14:paraId="7CED2D9E" w14:textId="76B5DEAB"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2.2.3. Hạn chế trong ứng dụng công nghệ và chuyển đổi số</w:t>
      </w:r>
    </w:p>
    <w:p w14:paraId="6278A94F" w14:textId="31C99ECD"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xml:space="preserve">Quy định hiện hành trong </w:t>
      </w:r>
      <w:r w:rsidR="00FF3B66">
        <w:rPr>
          <w:rFonts w:cs="Times New Roman"/>
          <w:noProof/>
          <w:szCs w:val="28"/>
        </w:rPr>
        <w:t xml:space="preserve">Nghị định số 126/2020/NĐ-CP </w:t>
      </w:r>
      <w:r w:rsidRPr="00B403DF">
        <w:rPr>
          <w:rFonts w:cs="Times New Roman"/>
          <w:szCs w:val="28"/>
        </w:rPr>
        <w:t xml:space="preserve">thể hiện một số hạn chế nhất định trong việc ứng dụng công nghệ đáp ứng yêu cầu quản lý, cụ thể: </w:t>
      </w:r>
    </w:p>
    <w:p w14:paraId="4A043502" w14:textId="20DFD282"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C</w:t>
      </w:r>
      <w:r w:rsidRPr="00B403DF">
        <w:rPr>
          <w:rFonts w:cs="Times New Roman"/>
          <w:szCs w:val="28"/>
          <w:lang w:val="vi-VN"/>
        </w:rPr>
        <w:t xml:space="preserve">hưa </w:t>
      </w:r>
      <w:r w:rsidRPr="00B403DF">
        <w:rPr>
          <w:rFonts w:cs="Times New Roman"/>
          <w:szCs w:val="28"/>
        </w:rPr>
        <w:t xml:space="preserve">thiết lập cơ sở pháp lý </w:t>
      </w:r>
      <w:r w:rsidRPr="00B403DF">
        <w:rPr>
          <w:rFonts w:cs="Times New Roman"/>
          <w:szCs w:val="28"/>
          <w:lang w:val="vi-VN"/>
        </w:rPr>
        <w:t>cho việc ứng dụng các công nghệ</w:t>
      </w:r>
      <w:r w:rsidRPr="00B403DF">
        <w:rPr>
          <w:rFonts w:cs="Times New Roman"/>
          <w:szCs w:val="28"/>
        </w:rPr>
        <w:t xml:space="preserve"> số</w:t>
      </w:r>
      <w:r w:rsidRPr="00B403DF">
        <w:rPr>
          <w:rFonts w:cs="Times New Roman"/>
          <w:szCs w:val="28"/>
          <w:lang w:val="vi-VN"/>
        </w:rPr>
        <w:t xml:space="preserve"> tiên tiến như dữ liệu lớn (big data) và trí tuệ nhân tạo (AI) trong</w:t>
      </w:r>
      <w:r w:rsidRPr="00B403DF">
        <w:rPr>
          <w:rFonts w:cs="Times New Roman"/>
          <w:szCs w:val="28"/>
        </w:rPr>
        <w:t xml:space="preserve"> quản lý thuế</w:t>
      </w:r>
      <w:r w:rsidRPr="00B403DF">
        <w:rPr>
          <w:rFonts w:cs="Times New Roman"/>
          <w:szCs w:val="28"/>
          <w:lang w:val="vi-VN"/>
        </w:rPr>
        <w:t xml:space="preserve">. </w:t>
      </w:r>
    </w:p>
    <w:p w14:paraId="1E726A7D" w14:textId="77777777"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xml:space="preserve">- Các quy định về trách nhiệm cũng như cơ chế chia sẻ, trao đổi thông tin giữa các Bộ, ngành, tổ chức, cá nhân có liên quan phục vụ công tác quản lý thuế chưa được đầy đủ, bao quát. Việc thay đổi thông tin số diễn ra hàng ngày, hàng giờ và việc quy định pháp lý thì không kịp điều chỉnh theo những diễn biến đó. </w:t>
      </w:r>
    </w:p>
    <w:p w14:paraId="266C124E" w14:textId="77777777"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lastRenderedPageBreak/>
        <w:t>- Thiếu cơ sở pháp lý để sử dụng một cách hợp pháp các thông tin, dữ liệu được trao đổi với bên thứ ba phục vụ công tác quản lý thuế, nhất là sử dụng những thông tin cá nhân có tính bảo mật cao.</w:t>
      </w:r>
    </w:p>
    <w:p w14:paraId="1B070C76" w14:textId="77777777"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Thiếu khung pháp lý cho việc triển khai đồng bộ tự động hóa quy trình nghiệp vụ cũng như giải quyết TTHC thuế tự động nhất là đối với các TTHC có tính chất liên thông, sử dụng thông tin dữ liệu từ nhiều bộ/ ngành/ địa phương.</w:t>
      </w:r>
    </w:p>
    <w:p w14:paraId="7875C156" w14:textId="362AF03A"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Đây chính là một số hạn chế cần được cải thiện để tối đa hóa được việc khai thác sử dụng dữ liệu chia sẻ dùng chung của quốc gia, của các cơ quan quản lý hành chính nhà nước, giữa cơ quan thuế và các Doanh nghiệp, Tổ chức, chủ thể cung cấp thông tin khác nhằm mục tiêu hiện đại hóa công tác quản lý thuế theo định hướng chuyển đổi số của Chính phủ đang hướng tới.</w:t>
      </w:r>
    </w:p>
    <w:p w14:paraId="284EA16F" w14:textId="1B78C79E" w:rsidR="004C2E37" w:rsidRPr="00B403DF" w:rsidRDefault="004C2E37" w:rsidP="001052D2">
      <w:pPr>
        <w:spacing w:before="120" w:after="120" w:line="240" w:lineRule="auto"/>
        <w:ind w:left="85" w:firstLine="720"/>
        <w:jc w:val="both"/>
        <w:rPr>
          <w:rFonts w:cs="Times New Roman"/>
          <w:szCs w:val="28"/>
        </w:rPr>
      </w:pPr>
      <w:r w:rsidRPr="00B403DF">
        <w:rPr>
          <w:rFonts w:cs="Times New Roman"/>
          <w:szCs w:val="28"/>
        </w:rPr>
        <w:t xml:space="preserve">- Ngày 14/6/2025, tại Kỳ họp thứ 9, Quốc hội khóa XV, Quốc hội đã biểu quyết thông qua Luật Công nghiệp Công nghệ số, trong đó có một số nội dung liên quan đến nghĩa vụ thuế, miễn giảm thuế đối với tài sản số như sản phẩm bán dẫn, tài sản mã hóa, dịch vụ công nghệ số ...tuy nhiên, </w:t>
      </w:r>
      <w:r w:rsidR="00715502">
        <w:rPr>
          <w:rFonts w:cs="Times New Roman"/>
          <w:szCs w:val="28"/>
        </w:rPr>
        <w:t>Nghị định quản lý thuế</w:t>
      </w:r>
      <w:r w:rsidRPr="00B403DF">
        <w:rPr>
          <w:rFonts w:cs="Times New Roman"/>
          <w:szCs w:val="28"/>
        </w:rPr>
        <w:t xml:space="preserve"> hiện hành chưa có cơ chế quản lý rủi ro chuyên biệt với tiêu chí phù hợp với tính chất ngành: tốc độ phát triển nhanh, phi vật chất, dễ chuyển giao giá trị, khó định danh chính xác của đối tượng NNT hoạt động trong lĩnh vực công nghiệp công nghệ số do vậy cũng cần nghiên cứu đề xuất về cơ chế quản lý thuế đối với lĩnh vực công nghiệp công nghệ số, đảm bảo tính đồng bộ, phù hợp.</w:t>
      </w:r>
    </w:p>
    <w:p w14:paraId="2C9333E6" w14:textId="4C3FD62E"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2.2.4. Hạn chế trong kiểm soát gian lận</w:t>
      </w:r>
    </w:p>
    <w:p w14:paraId="263AC3A4" w14:textId="39A726E1" w:rsidR="005D6FC8" w:rsidRPr="001E7AD6" w:rsidRDefault="001E7AD6" w:rsidP="001052D2">
      <w:pPr>
        <w:spacing w:before="120" w:after="120" w:line="240" w:lineRule="auto"/>
        <w:ind w:left="85" w:firstLine="720"/>
        <w:jc w:val="both"/>
        <w:rPr>
          <w:rFonts w:cs="Times New Roman"/>
          <w:noProof/>
          <w:szCs w:val="28"/>
        </w:rPr>
      </w:pPr>
      <w:r>
        <w:rPr>
          <w:rFonts w:cs="Times New Roman"/>
          <w:noProof/>
          <w:szCs w:val="28"/>
        </w:rPr>
        <w:t>Mặc dù tại Nghị định đã quy định tương đối đầy đủ về trách nhiệm kê khai, nộp thuế, quản lý nợ và cưỡng chế nợ thuế, song khung pháp lý về kiểm soát và phòng, chống gian lận thuế vẫn bộc lộ nhiều hạn chế khi đặt trong bối cảnh t</w:t>
      </w:r>
      <w:r w:rsidR="005D6FC8" w:rsidRPr="00B403DF">
        <w:rPr>
          <w:rFonts w:cs="Times New Roman"/>
          <w:noProof/>
          <w:szCs w:val="28"/>
          <w:lang w:val="vi-VN"/>
        </w:rPr>
        <w:t>hực trạng gian lận và trốn thuế đang diễn biến ngày càng tinh vi và phức tạp, đặc biệt trong bối cảnh hội nhập kinh tế quốc tế sâu rộng. Các hành vi vi phạm không chỉ dừng lại ở việc kê khai sai lệch, giấu doanh thu hay lập hóa đơn khống đơn thuần, mà đã phát triển thành các thủ đoạn có tổ chức với quy mô lớn, liên quan đến nhiều chủ thể và địa bàn khác nhau. Đặc biệt nghiêm trọng là tình trạng gian lận trong các giao dịch xuyên biên giới, nơi kẽ hở về cơ chế giám sát và sự khác biệt giữa các hệ thống thuế quốc gia tạo điều kiện cho hành vi trốn thuế. Các doanh nghiệp đa quốc gia thường lợi dụng việc chuyển giá, phân bổ lợi nhuận và các giao dịch phức tạp giữa các công ty liên kết để tối thiểu hóa nghĩa vụ thuế</w:t>
      </w:r>
      <w:r w:rsidR="00AA046B">
        <w:rPr>
          <w:rFonts w:cs="Times New Roman"/>
          <w:noProof/>
          <w:szCs w:val="28"/>
        </w:rPr>
        <w:t xml:space="preserve">. </w:t>
      </w:r>
      <w:r w:rsidR="005D6FC8" w:rsidRPr="00B403DF">
        <w:rPr>
          <w:rFonts w:cs="Times New Roman"/>
          <w:noProof/>
          <w:szCs w:val="28"/>
          <w:lang w:val="vi-VN"/>
        </w:rPr>
        <w:t xml:space="preserve">Trong khi đó, </w:t>
      </w:r>
      <w:r>
        <w:rPr>
          <w:rFonts w:cs="Times New Roman"/>
          <w:noProof/>
          <w:szCs w:val="28"/>
        </w:rPr>
        <w:t xml:space="preserve">các quy định tại Nghị định chủ yếu tập trung vào trình tự, thủ tục hành chính và nghĩa vụ tuân thủ của người nộp thuế </w:t>
      </w:r>
      <w:r w:rsidR="00AA046B">
        <w:rPr>
          <w:rFonts w:cs="Times New Roman"/>
          <w:noProof/>
          <w:szCs w:val="28"/>
        </w:rPr>
        <w:t xml:space="preserve">mà thiếu vắng các cơ chế nhận diện sớm rủi ro, phân tích dữ liệu và kiểm soát gian lận theo phương thức hiện đại. Bên cạnh đó, </w:t>
      </w:r>
      <w:r w:rsidR="005D6FC8" w:rsidRPr="00B403DF">
        <w:rPr>
          <w:rFonts w:cs="Times New Roman"/>
          <w:noProof/>
          <w:szCs w:val="28"/>
          <w:lang w:val="vi-VN"/>
        </w:rPr>
        <w:t xml:space="preserve">công cụ và năng lực giám sát của cơ quan thuế còn hạn chế, thiếu cơ chế trao đổi thông tin tự động với các nước, cũng như thiếu các giải pháp công nghệ hiện đại để phát hiện và ngăn chặn kịp thời các hành vi gian lận. Điều này </w:t>
      </w:r>
      <w:r w:rsidR="002E54FD">
        <w:rPr>
          <w:rFonts w:cs="Times New Roman"/>
          <w:noProof/>
          <w:szCs w:val="28"/>
        </w:rPr>
        <w:t>đặt ra yêu cầu</w:t>
      </w:r>
      <w:r w:rsidR="005D6FC8" w:rsidRPr="00B403DF">
        <w:rPr>
          <w:rFonts w:cs="Times New Roman"/>
          <w:noProof/>
          <w:szCs w:val="28"/>
          <w:lang w:val="vi-VN"/>
        </w:rPr>
        <w:t xml:space="preserve"> cần đổi mới toàn diện trong cả khung pháp lý và công cụ quản lý để tăng cường hiệu quả kiểm soát gian lận thuế.</w:t>
      </w:r>
    </w:p>
    <w:p w14:paraId="515B5563" w14:textId="04EDD432" w:rsidR="005D6FC8" w:rsidRPr="00B403DF" w:rsidRDefault="005D6FC8" w:rsidP="001052D2">
      <w:pPr>
        <w:spacing w:before="120" w:after="120" w:line="240" w:lineRule="auto"/>
        <w:ind w:left="85" w:firstLine="635"/>
        <w:jc w:val="both"/>
        <w:rPr>
          <w:rFonts w:cs="Times New Roman"/>
          <w:b/>
          <w:bCs/>
          <w:noProof/>
          <w:szCs w:val="28"/>
          <w:lang w:val="vi-VN"/>
        </w:rPr>
      </w:pPr>
      <w:r w:rsidRPr="00B403DF">
        <w:rPr>
          <w:rFonts w:cs="Times New Roman"/>
          <w:b/>
          <w:bCs/>
          <w:noProof/>
          <w:szCs w:val="28"/>
          <w:lang w:val="vi-VN"/>
        </w:rPr>
        <w:lastRenderedPageBreak/>
        <w:t xml:space="preserve">3. Nguyên nhân của các </w:t>
      </w:r>
      <w:r w:rsidR="00074796" w:rsidRPr="00B403DF">
        <w:rPr>
          <w:rFonts w:cs="Times New Roman"/>
          <w:b/>
          <w:bCs/>
          <w:noProof/>
          <w:szCs w:val="28"/>
        </w:rPr>
        <w:t>bất cập</w:t>
      </w:r>
      <w:r w:rsidRPr="00B403DF">
        <w:rPr>
          <w:rFonts w:cs="Times New Roman"/>
          <w:b/>
          <w:bCs/>
          <w:noProof/>
          <w:szCs w:val="28"/>
          <w:lang w:val="vi-VN"/>
        </w:rPr>
        <w:t>, hạn chế</w:t>
      </w:r>
    </w:p>
    <w:p w14:paraId="0EF16E49" w14:textId="1722B65C" w:rsidR="005D6FC8" w:rsidRPr="00B403DF" w:rsidRDefault="003A331A" w:rsidP="001052D2">
      <w:pPr>
        <w:spacing w:before="120" w:after="120" w:line="240" w:lineRule="auto"/>
        <w:ind w:left="85" w:firstLine="635"/>
        <w:jc w:val="both"/>
        <w:rPr>
          <w:rFonts w:cs="Times New Roman"/>
          <w:b/>
          <w:noProof/>
          <w:szCs w:val="28"/>
          <w:lang w:val="vi-VN"/>
        </w:rPr>
      </w:pPr>
      <w:r w:rsidRPr="00B403DF">
        <w:rPr>
          <w:rFonts w:cs="Times New Roman"/>
          <w:b/>
          <w:noProof/>
          <w:szCs w:val="28"/>
        </w:rPr>
        <w:t>3</w:t>
      </w:r>
      <w:r w:rsidR="005D6FC8" w:rsidRPr="00B403DF">
        <w:rPr>
          <w:rFonts w:cs="Times New Roman"/>
          <w:b/>
          <w:noProof/>
          <w:szCs w:val="28"/>
          <w:lang w:val="vi-VN"/>
        </w:rPr>
        <w:t>.1. Bối cảnh kinh tế và thương mại</w:t>
      </w:r>
    </w:p>
    <w:p w14:paraId="5F20AE60" w14:textId="2BF7B54C" w:rsidR="005D6FC8" w:rsidRPr="00B84795" w:rsidRDefault="00641839" w:rsidP="001052D2">
      <w:pPr>
        <w:spacing w:before="120" w:after="120" w:line="240" w:lineRule="auto"/>
        <w:ind w:left="85" w:firstLine="720"/>
        <w:jc w:val="both"/>
        <w:rPr>
          <w:rFonts w:cs="Times New Roman"/>
          <w:noProof/>
          <w:szCs w:val="28"/>
        </w:rPr>
      </w:pPr>
      <w:r>
        <w:rPr>
          <w:rFonts w:cs="Times New Roman"/>
          <w:noProof/>
          <w:szCs w:val="28"/>
        </w:rPr>
        <w:t>Tại thời điểm xây dựng và ban hành Nghị định</w:t>
      </w:r>
      <w:r w:rsidR="00B84795">
        <w:rPr>
          <w:rFonts w:cs="Times New Roman"/>
          <w:noProof/>
          <w:szCs w:val="28"/>
        </w:rPr>
        <w:t xml:space="preserve">, các mô hình kinh doanh truyền thống vẫn chiếm tỷ trọng chủ yếu, trong khi sự phát triển của thương mại điện tử, kinh tế số, giao dịch xuyên biên giới và chuỗi cung ứng toàn cầu chưa đạt quy mô và mức độ phức tạp như hiện nay. </w:t>
      </w:r>
      <w:r w:rsidR="005D6FC8" w:rsidRPr="00B403DF">
        <w:rPr>
          <w:rFonts w:cs="Times New Roman"/>
          <w:noProof/>
          <w:szCs w:val="28"/>
          <w:lang w:val="vi-VN"/>
        </w:rPr>
        <w:t xml:space="preserve">Sự suy giảm của nền kinh tế toàn cầu do tác động kép từ đại dịch Covid-19 và xung đột Nga-Ukraine đã ảnh hưởng sâu sắc đến </w:t>
      </w:r>
      <w:r w:rsidR="00B84795">
        <w:rPr>
          <w:rFonts w:cs="Times New Roman"/>
          <w:noProof/>
          <w:szCs w:val="28"/>
        </w:rPr>
        <w:t xml:space="preserve">toàn bộ nền kinh tế. Đặc biệt khủng hoảng về y tế đã thúc đẩy chuyển dịch hành vi người tiêu dùng sang giao dịch thương mại điện tử, làm tăng quy mô thị trường dẫn đến sự bùng nổ của thương mại điện tử sau đại dịch. </w:t>
      </w:r>
      <w:r w:rsidR="005D6FC8" w:rsidRPr="00B403DF">
        <w:rPr>
          <w:rFonts w:cs="Times New Roman"/>
          <w:noProof/>
          <w:szCs w:val="28"/>
          <w:lang w:val="vi-VN"/>
        </w:rPr>
        <w:t xml:space="preserve">Đồng thời, xu hướng toàn cầu hóa ngày càng sâu rộng cùng với sự phát triển của công nghệ số đã làm thay đổi căn bản cấu trúc hoạt động của các doanh nghiệp. Các mô hình kinh doanh mới liên tục xuất hiện, đặc biệt là hoạt động thương mại điện tử xuyên biên giới và các giao dịch chuyển giá trong tập đoàn đa quốc gia. Những thay đổi này tạo ra những thách thức chưa có tiền lệ trong công tác quản lý thuế, không chỉ ở Việt Nam mà còn ở hầu hết các quốc gia trên thế giới. Trong khi đó, </w:t>
      </w:r>
      <w:r w:rsidR="00B84795">
        <w:rPr>
          <w:rFonts w:cs="Times New Roman"/>
          <w:noProof/>
          <w:szCs w:val="28"/>
        </w:rPr>
        <w:t xml:space="preserve">các quy định tại Nghị định chưa được cập nhật kịp thời để phản ánh đầy đủ những thay đổi này, dẫn đến một số quy định không còn </w:t>
      </w:r>
      <w:r w:rsidR="00217E2F">
        <w:rPr>
          <w:rFonts w:cs="Times New Roman"/>
          <w:noProof/>
          <w:szCs w:val="28"/>
        </w:rPr>
        <w:t>phù hợp với thực tiễn kinh tế - thương mại, làm giảm tính khả thi và hiệu quả trong quá trình tổ chức thực hiện</w:t>
      </w:r>
      <w:r w:rsidR="005D6FC8" w:rsidRPr="00B403DF">
        <w:rPr>
          <w:rFonts w:cs="Times New Roman"/>
          <w:noProof/>
          <w:szCs w:val="28"/>
          <w:lang w:val="vi-VN"/>
        </w:rPr>
        <w:t>.</w:t>
      </w:r>
    </w:p>
    <w:p w14:paraId="03CE7A23" w14:textId="76A17D8D"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3.2. Hệ thống pháp lý và thực thi</w:t>
      </w:r>
    </w:p>
    <w:p w14:paraId="23303B5A" w14:textId="7CBC8BDD" w:rsidR="005D6FC8" w:rsidRPr="00E12D15" w:rsidRDefault="00C429F9" w:rsidP="001052D2">
      <w:pPr>
        <w:widowControl w:val="0"/>
        <w:spacing w:before="120" w:after="120" w:line="240" w:lineRule="auto"/>
        <w:ind w:left="86" w:firstLine="720"/>
        <w:jc w:val="both"/>
        <w:rPr>
          <w:rFonts w:cs="Times New Roman"/>
          <w:noProof/>
          <w:szCs w:val="28"/>
        </w:rPr>
      </w:pPr>
      <w:r>
        <w:rPr>
          <w:rFonts w:cs="Times New Roman"/>
          <w:noProof/>
          <w:szCs w:val="28"/>
        </w:rPr>
        <w:t xml:space="preserve">Qua quá trình thực hiện, hệ thống pháp lý </w:t>
      </w:r>
      <w:r w:rsidR="006216C0">
        <w:rPr>
          <w:rFonts w:cs="Times New Roman"/>
          <w:noProof/>
          <w:szCs w:val="28"/>
        </w:rPr>
        <w:t xml:space="preserve">và thực thi trong quản lý thuế </w:t>
      </w:r>
      <w:r>
        <w:rPr>
          <w:rFonts w:cs="Times New Roman"/>
          <w:noProof/>
          <w:szCs w:val="28"/>
        </w:rPr>
        <w:t xml:space="preserve">đang dần bộc lộ những hạn chế </w:t>
      </w:r>
      <w:r w:rsidR="006216C0">
        <w:rPr>
          <w:rFonts w:cs="Times New Roman"/>
          <w:noProof/>
          <w:szCs w:val="28"/>
        </w:rPr>
        <w:t xml:space="preserve">cần khắc phục. Một số quy định tại Nghị định còn mang tính nguyên tắc, chưa được cụ thể hóa đầy đủ, dẫn đến cách hiểu và áp dụng khác nhau trong thực tiễn, đặc biệt đối với các nội dung liên quan đến khai thuế, hoàn thuế, khấu trừ và nộp thuế thay. Bên cạnh đó, sự thiếu đồng bộ giữa Nghị định với một số Luật Thuế chuyên ngành và các văn bản pháp luật có liên quan đã làm phát sinh chồng chéo, mâu thuẫn hoặc tạo ra những khoảng trống pháp lý như một số nội dung tại Nghị định không phù hợp với nguyên tắc thu nhập của thuế thu nhập cá nhân và cơ chế vận hành thị trường chứng khoán, dẫn đến mâu thuẫn khi áp dụng cho thu nhập từ cổ tức bằng chứng khoán hoặc chuyển nhượng vốn. Ngoài ra, thiếu đống bộ với Luật Doanh nghiệp, Luật Đầu tư và các hiệp định thương mại quốc tế (như CPTPP, EVFTA), gây khó khăn trong quản lý thuế </w:t>
      </w:r>
      <w:r w:rsidR="00E12D15">
        <w:rPr>
          <w:rFonts w:cs="Times New Roman"/>
          <w:noProof/>
          <w:szCs w:val="28"/>
        </w:rPr>
        <w:t xml:space="preserve">đối với dịch vụ xuyên biên giới và chống chuyển giá. Hệ thống pháp lý về quản lý thuế thương mại điện tử chưa kịp thời, thiếu quy định về dữ liệu số, dẫn đến lỗ hổng trong kiểm soát gian lận và thu thuế từ nền tảng nước ngoài. </w:t>
      </w:r>
      <w:r w:rsidR="005D6FC8" w:rsidRPr="00B403DF">
        <w:rPr>
          <w:rFonts w:cs="Times New Roman"/>
          <w:noProof/>
          <w:szCs w:val="28"/>
          <w:lang w:val="vi-VN"/>
        </w:rPr>
        <w:t>Điều này xuất phát từ việc phải liên tục điều chỉnh các quy định để theo kịp bối cảnh kinh tế mới, dẫn đến sự chồng chéo và thiếu nhất quán trong thực thi.</w:t>
      </w:r>
    </w:p>
    <w:p w14:paraId="1A2C7540" w14:textId="69CE79B1" w:rsidR="005D6FC8" w:rsidRPr="002E6FBA" w:rsidRDefault="00C628FA" w:rsidP="001052D2">
      <w:pPr>
        <w:spacing w:before="120" w:after="120" w:line="240" w:lineRule="auto"/>
        <w:ind w:left="85" w:firstLine="720"/>
        <w:jc w:val="both"/>
        <w:rPr>
          <w:rFonts w:cs="Times New Roman"/>
          <w:noProof/>
          <w:szCs w:val="28"/>
        </w:rPr>
      </w:pPr>
      <w:r>
        <w:rPr>
          <w:rFonts w:cs="Times New Roman"/>
          <w:noProof/>
          <w:szCs w:val="28"/>
        </w:rPr>
        <w:t xml:space="preserve">Bên cạnh đó, quá trình thực thi Nghị định cũng gặp nhiều thách thức, quy định tại một số văn bản hướng dẫn chi tiết chưa bao quát hết các tình huống thực tế dẫn đến cách hiểu và áp dụng thiếu tính thống nhất giữa các địa phương, năng lực tiếp cận, áp dụng chính sách của một bộ phận cán bộ thực thi và người nộp </w:t>
      </w:r>
      <w:r>
        <w:rPr>
          <w:rFonts w:cs="Times New Roman"/>
          <w:noProof/>
          <w:szCs w:val="28"/>
        </w:rPr>
        <w:lastRenderedPageBreak/>
        <w:t>thuế còn hạn chế, trong khi hạ tầng công nghệ thông tin và cơ chế phối hợp</w:t>
      </w:r>
      <w:r w:rsidR="002E6FBA">
        <w:rPr>
          <w:rFonts w:cs="Times New Roman"/>
          <w:noProof/>
          <w:szCs w:val="28"/>
        </w:rPr>
        <w:t xml:space="preserve"> liên ngành</w:t>
      </w:r>
      <w:r>
        <w:rPr>
          <w:rFonts w:cs="Times New Roman"/>
          <w:noProof/>
          <w:szCs w:val="28"/>
        </w:rPr>
        <w:t xml:space="preserve">, chia sẻ dữ liệu giữa các cơ quan liên quan chưa thực sự đạt hiệu quả </w:t>
      </w:r>
      <w:r w:rsidR="002E6FBA">
        <w:rPr>
          <w:rFonts w:cs="Times New Roman"/>
          <w:noProof/>
          <w:szCs w:val="28"/>
        </w:rPr>
        <w:t xml:space="preserve">như </w:t>
      </w:r>
      <w:r>
        <w:rPr>
          <w:rFonts w:cs="Times New Roman"/>
          <w:noProof/>
          <w:szCs w:val="28"/>
        </w:rPr>
        <w:t>mong muốn.</w:t>
      </w:r>
      <w:r w:rsidR="002E6FBA">
        <w:rPr>
          <w:rFonts w:cs="Times New Roman"/>
          <w:noProof/>
          <w:szCs w:val="28"/>
        </w:rPr>
        <w:t xml:space="preserve"> Những yếu tố này đã làm giảm tính khả thi, hiệu lực, hiệu quả của Nghị định trong thực tễn triển khai.</w:t>
      </w:r>
    </w:p>
    <w:p w14:paraId="369AE0A2" w14:textId="280A4E85"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3.3. Năng lực quản lý và nguồn lực</w:t>
      </w:r>
    </w:p>
    <w:p w14:paraId="71A77322" w14:textId="32E5C147" w:rsidR="003A331A" w:rsidRPr="00FF49EC" w:rsidRDefault="00FF49EC" w:rsidP="001052D2">
      <w:pPr>
        <w:spacing w:before="120" w:after="120" w:line="240" w:lineRule="auto"/>
        <w:ind w:left="85" w:firstLine="720"/>
        <w:jc w:val="both"/>
        <w:rPr>
          <w:rFonts w:cs="Times New Roman"/>
          <w:noProof/>
          <w:szCs w:val="28"/>
        </w:rPr>
      </w:pPr>
      <w:r>
        <w:rPr>
          <w:rFonts w:cs="Times New Roman"/>
          <w:noProof/>
          <w:szCs w:val="28"/>
        </w:rPr>
        <w:t>Một trong số những nguyên nhân quan trọng dẫn đến các bất cập, hạn chế trong quá trình triển khai thực hiện Nghị định số 126/2020/NĐ-CP xuất phát từ năng lực quản lý và nguồn lực của các cơ quan, tổ chức liên quan. Trong bối cảnh phạm vi và mức độ phức tạp của công tác quản lý thuế ngày càng gia tăng, đặc biệt đối với các hoạt động kinh tế số, thương mại điện tử và giao dịch xuyên biên giới, năng lực chuyên môn, kỹ năng phân tích và ứng dụng công nghệ của một bộ phận cán bộ quản lý thế chưa theo kịp yêu cầu thực tiễn.</w:t>
      </w:r>
      <w:r w:rsidR="005D6FC8" w:rsidRPr="00B403DF">
        <w:rPr>
          <w:rFonts w:cs="Times New Roman"/>
          <w:noProof/>
          <w:szCs w:val="28"/>
          <w:lang w:val="vi-VN"/>
        </w:rPr>
        <w:t xml:space="preserve"> Đặc biệt nghiêm trọng là tình trạng thiếu hụt nguồn nhân lực chất lượng cao - những người có khả năng thành thạo ngoại ngữ và am hiểu sâu về các vấn đề thuế quốc tế phức tạp như chuyển giá, thương mại điện tử. </w:t>
      </w:r>
      <w:r>
        <w:rPr>
          <w:rFonts w:cs="Times New Roman"/>
          <w:noProof/>
          <w:szCs w:val="28"/>
        </w:rPr>
        <w:t>Bên cạnh đó, nguồn lực về tài chính, nhân sự và hạ tầng công nghệ thông tin còn hạn chế, chưa được phân bổ tương xứng với khối lượng công việc và yêu cầu quản lý hiện đại, dẫn đến việc triển khai một số quy định tại Nghị định chưa đồng bộ, hiệu quả. Việc thiếu các công cụ quản lý dựa trên phân tích rủi ro, khai thác dữ liệu và kết nối thông tin liên ngành cũng làm giảm khả năng giám sát</w:t>
      </w:r>
      <w:r w:rsidR="004640C5">
        <w:rPr>
          <w:rFonts w:cs="Times New Roman"/>
          <w:noProof/>
          <w:szCs w:val="28"/>
        </w:rPr>
        <w:t>, phát hiện và xử lý kịp thời các hành vi vi phạm, ảnh hưởng đến hiệu lực, hiệu quả thực thi Nghị định trong thực tế.</w:t>
      </w:r>
      <w:r w:rsidR="005D6FC8" w:rsidRPr="00B403DF">
        <w:rPr>
          <w:rFonts w:cs="Times New Roman"/>
          <w:noProof/>
          <w:szCs w:val="28"/>
          <w:lang w:val="vi-VN"/>
        </w:rPr>
        <w:t xml:space="preserve"> Bên cạnh đó, việc thiếu các cơ chế đãi ngộ, khuyến khích và đào tạo phù hợp cũng góp phần làm trầm trọng thêm vấn đề thiếu hụt nhân sự chất lượng cao trong ngành thuế. Cuối cùng, ý thức tuân thủ pháp luật thuế của một bộ phận không nhỏ người nộp thuế còn yếu kém, phản ánh sự thiếu hiệu quả trong công tác tuyên truyền, phổ biến chính sách thuế cũng như việc thực thi các biện pháp răn đe, xử phạt vi phạm.</w:t>
      </w:r>
    </w:p>
    <w:p w14:paraId="5FCFC2E7" w14:textId="63B0AE63" w:rsidR="004A72CA" w:rsidRPr="00B403DF" w:rsidRDefault="004A72CA" w:rsidP="001052D2">
      <w:pPr>
        <w:spacing w:before="120" w:after="120" w:line="240" w:lineRule="auto"/>
        <w:ind w:left="85" w:firstLine="720"/>
        <w:jc w:val="both"/>
        <w:rPr>
          <w:rFonts w:cs="Times New Roman"/>
          <w:b/>
          <w:bCs/>
          <w:noProof/>
          <w:szCs w:val="28"/>
        </w:rPr>
      </w:pPr>
      <w:r w:rsidRPr="00B403DF">
        <w:rPr>
          <w:rFonts w:cs="Times New Roman"/>
          <w:b/>
          <w:bCs/>
          <w:noProof/>
          <w:szCs w:val="28"/>
        </w:rPr>
        <w:t>4. Những vấn đề mới phát sinh trong thực tiễn</w:t>
      </w:r>
    </w:p>
    <w:p w14:paraId="111254DD" w14:textId="7EB6A15E"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bCs/>
          <w:i/>
          <w:iCs/>
          <w:noProof/>
          <w:szCs w:val="28"/>
          <w:lang w:val="vi-VN"/>
        </w:rPr>
        <w:t>Thứ nhất</w:t>
      </w:r>
      <w:r w:rsidRPr="00B403DF">
        <w:rPr>
          <w:rFonts w:cs="Times New Roman"/>
          <w:bCs/>
          <w:iCs/>
          <w:noProof/>
          <w:szCs w:val="28"/>
          <w:lang w:val="vi-VN"/>
        </w:rPr>
        <w:t>,</w:t>
      </w:r>
      <w:r w:rsidRPr="00B403DF">
        <w:rPr>
          <w:rFonts w:cs="Times New Roman"/>
          <w:iCs/>
          <w:noProof/>
          <w:szCs w:val="28"/>
          <w:lang w:val="vi-VN"/>
        </w:rPr>
        <w:t xml:space="preserve"> kể từ khi </w:t>
      </w:r>
      <w:r w:rsidR="004D4094" w:rsidRPr="004D4094">
        <w:rPr>
          <w:rFonts w:cs="Times New Roman"/>
          <w:iCs/>
          <w:noProof/>
          <w:szCs w:val="28"/>
          <w:lang w:val="vi-VN"/>
        </w:rPr>
        <w:t>Nghị định số 126/2020/NĐ-CP</w:t>
      </w:r>
      <w:r w:rsidR="004D4094">
        <w:rPr>
          <w:rFonts w:cs="Times New Roman"/>
          <w:iCs/>
          <w:noProof/>
          <w:szCs w:val="28"/>
        </w:rPr>
        <w:t xml:space="preserve"> </w:t>
      </w:r>
      <w:r w:rsidRPr="00B403DF">
        <w:rPr>
          <w:rFonts w:cs="Times New Roman"/>
          <w:iCs/>
          <w:noProof/>
          <w:szCs w:val="28"/>
          <w:lang w:val="vi-VN"/>
        </w:rPr>
        <w:t xml:space="preserve">được ban hành năm 2019, Bộ Chính trị, Quốc hội đã ban hành một số Kết luận, Nghị quyết, Luật liên quan có ảnh hưởng đến sự chưa đồng bộ pháp luật tại một số quy định của </w:t>
      </w:r>
      <w:r w:rsidR="004D4094" w:rsidRPr="004D4094">
        <w:rPr>
          <w:rFonts w:cs="Times New Roman"/>
          <w:iCs/>
          <w:noProof/>
          <w:szCs w:val="28"/>
          <w:lang w:val="vi-VN"/>
        </w:rPr>
        <w:t>Nghị định số 126/2020/NĐ-CP</w:t>
      </w:r>
      <w:r w:rsidRPr="00B403DF">
        <w:rPr>
          <w:rFonts w:cs="Times New Roman"/>
          <w:iCs/>
          <w:noProof/>
          <w:szCs w:val="28"/>
          <w:lang w:val="vi-VN"/>
        </w:rPr>
        <w:t xml:space="preserve"> như:</w:t>
      </w:r>
    </w:p>
    <w:p w14:paraId="074E6F17" w14:textId="2EC04ECD"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xml:space="preserve">- Tại Kết luận số 134-KL/TW ngày 28/3/2025 của Bộ Chính trị, Ban bí thư về </w:t>
      </w:r>
      <w:r w:rsidRPr="00B403DF">
        <w:rPr>
          <w:rFonts w:cs="Times New Roman"/>
          <w:noProof/>
          <w:szCs w:val="28"/>
          <w:lang w:val="vi-VN"/>
        </w:rPr>
        <w:t xml:space="preserve">Đề án sắp xếp hệ thống cơ quan thanh tra tinh, gọn, mạnh, hiệu năng, hiệu lực, hiệu quả nêu: </w:t>
      </w:r>
      <w:r w:rsidRPr="00B403DF">
        <w:rPr>
          <w:rFonts w:cs="Times New Roman"/>
          <w:i/>
          <w:iCs/>
          <w:noProof/>
          <w:szCs w:val="28"/>
          <w:lang w:val="vi-VN"/>
        </w:rPr>
        <w:t xml:space="preserve">Kết thúc hoạt động của Thanh tra các bộ để sắp xếp, tổ chức lại thành các cục thanh tra, giải quyết khiếu nại, tố cáo, phòng, chống tham nhũng, lãng phí, tiêu cực theo lĩnh vực thuộc Thanh tra Chính phủ. </w:t>
      </w:r>
      <w:r w:rsidRPr="00B403DF">
        <w:rPr>
          <w:rFonts w:cs="Times New Roman"/>
          <w:iCs/>
          <w:noProof/>
          <w:szCs w:val="28"/>
          <w:lang w:val="vi-VN"/>
        </w:rPr>
        <w:t xml:space="preserve">Do đó, các quy định về </w:t>
      </w:r>
      <w:r w:rsidR="004D4094">
        <w:rPr>
          <w:rFonts w:cs="Times New Roman"/>
          <w:iCs/>
          <w:noProof/>
          <w:szCs w:val="28"/>
        </w:rPr>
        <w:t>hoạt động thanh tra thuế tại</w:t>
      </w:r>
      <w:r w:rsidRPr="00B403DF">
        <w:rPr>
          <w:rFonts w:cs="Times New Roman"/>
          <w:iCs/>
          <w:noProof/>
          <w:szCs w:val="28"/>
          <w:lang w:val="vi-VN"/>
        </w:rPr>
        <w:t xml:space="preserve"> </w:t>
      </w:r>
      <w:r w:rsidR="004D4094" w:rsidRPr="004D4094">
        <w:rPr>
          <w:rFonts w:cs="Times New Roman"/>
          <w:iCs/>
          <w:noProof/>
          <w:szCs w:val="28"/>
          <w:lang w:val="vi-VN"/>
        </w:rPr>
        <w:t xml:space="preserve">Nghị định số 126/2020/NĐ-CP </w:t>
      </w:r>
      <w:r w:rsidRPr="00B403DF">
        <w:rPr>
          <w:rFonts w:cs="Times New Roman"/>
          <w:iCs/>
          <w:noProof/>
          <w:szCs w:val="28"/>
          <w:lang w:val="vi-VN"/>
        </w:rPr>
        <w:t>không còn phù hợp với chức năng, nhiệm vụ của cơ quan thuế sau khi sắp xếp lại tổ chức bộ máy.</w:t>
      </w:r>
    </w:p>
    <w:p w14:paraId="577989D4" w14:textId="77777777" w:rsidR="004D4094"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xml:space="preserve">- Nghị quyết số 107/2023/QH15 ngày 29/11/2023 về thuế thu nhập bổ sung chống xói mòn cơ sở thuế toàn cầu theo các quy định của OECD nhằm đảm bảo </w:t>
      </w:r>
      <w:r w:rsidRPr="00B403DF">
        <w:rPr>
          <w:rFonts w:cs="Times New Roman"/>
          <w:iCs/>
          <w:noProof/>
          <w:szCs w:val="28"/>
          <w:lang w:val="vi-VN"/>
        </w:rPr>
        <w:lastRenderedPageBreak/>
        <w:t xml:space="preserve">Việt Nam tuân thủ các quy định quốc tế về chống xói mòn cơ sở thuế. Theo đó, một số quy định về kê khai, nộp thuế tại Nghị quyết chưa được quy định tại </w:t>
      </w:r>
      <w:r w:rsidR="004D4094" w:rsidRPr="004D4094">
        <w:rPr>
          <w:rFonts w:cs="Times New Roman"/>
          <w:iCs/>
          <w:noProof/>
          <w:szCs w:val="28"/>
          <w:lang w:val="vi-VN"/>
        </w:rPr>
        <w:t>Nghị định số</w:t>
      </w:r>
      <w:r w:rsidR="004D4094">
        <w:rPr>
          <w:rFonts w:cs="Times New Roman"/>
          <w:iCs/>
          <w:noProof/>
          <w:szCs w:val="28"/>
          <w:lang w:val="vi-VN"/>
        </w:rPr>
        <w:t xml:space="preserve"> 126/2020/NĐ-CP</w:t>
      </w:r>
      <w:r w:rsidRPr="00B403DF">
        <w:rPr>
          <w:rFonts w:cs="Times New Roman"/>
          <w:iCs/>
          <w:noProof/>
          <w:szCs w:val="28"/>
          <w:lang w:val="vi-VN"/>
        </w:rPr>
        <w:t>.</w:t>
      </w:r>
    </w:p>
    <w:p w14:paraId="3E06229E" w14:textId="1682F117"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Trong thời gian qua, các Luật thuế đã được ban hành (Luật Thuế Giá trị gia tăng số 48/2024/QH15 ngày 19/11/2024; Luật số 56/2024/QH15 ngày 29/11/2024 sửa đổi, bổ sung một số điều của Luật chứng khoán</w:t>
      </w:r>
      <w:r w:rsidRPr="00B403DF">
        <w:rPr>
          <w:rFonts w:cs="Times New Roman"/>
          <w:iCs/>
          <w:noProof/>
          <w:szCs w:val="28"/>
        </w:rPr>
        <w:t>,</w:t>
      </w:r>
      <w:r w:rsidRPr="00B403DF">
        <w:rPr>
          <w:rFonts w:cs="Times New Roman"/>
          <w:iCs/>
          <w:noProof/>
          <w:szCs w:val="28"/>
          <w:lang w:val="vi-VN"/>
        </w:rPr>
        <w:t xml:space="preserve"> Luật kế toán</w:t>
      </w:r>
      <w:r w:rsidRPr="00B403DF">
        <w:rPr>
          <w:rFonts w:cs="Times New Roman"/>
          <w:iCs/>
          <w:noProof/>
          <w:szCs w:val="28"/>
        </w:rPr>
        <w:t>,</w:t>
      </w:r>
      <w:r w:rsidRPr="00B403DF">
        <w:rPr>
          <w:rFonts w:cs="Times New Roman"/>
          <w:iCs/>
          <w:noProof/>
          <w:szCs w:val="28"/>
          <w:lang w:val="vi-VN"/>
        </w:rPr>
        <w:t xml:space="preserve"> Luật Kiểm toán độc lập</w:t>
      </w:r>
      <w:r w:rsidRPr="00B403DF">
        <w:rPr>
          <w:rFonts w:cs="Times New Roman"/>
          <w:iCs/>
          <w:noProof/>
          <w:szCs w:val="28"/>
        </w:rPr>
        <w:t>,</w:t>
      </w:r>
      <w:r w:rsidRPr="00B403DF">
        <w:rPr>
          <w:rFonts w:cs="Times New Roman"/>
          <w:iCs/>
          <w:noProof/>
          <w:szCs w:val="28"/>
          <w:lang w:val="vi-VN"/>
        </w:rPr>
        <w:t xml:space="preserve"> Luật ngân sách nhà nước</w:t>
      </w:r>
      <w:r w:rsidRPr="00B403DF">
        <w:rPr>
          <w:rFonts w:cs="Times New Roman"/>
          <w:iCs/>
          <w:noProof/>
          <w:szCs w:val="28"/>
        </w:rPr>
        <w:t>,</w:t>
      </w:r>
      <w:r w:rsidRPr="00B403DF">
        <w:rPr>
          <w:rFonts w:cs="Times New Roman"/>
          <w:iCs/>
          <w:noProof/>
          <w:szCs w:val="28"/>
          <w:lang w:val="vi-VN"/>
        </w:rPr>
        <w:t xml:space="preserve"> Luật quản lý, sử dụng tài sản công; Luật Quản lý thuế</w:t>
      </w:r>
      <w:r w:rsidRPr="00B403DF">
        <w:rPr>
          <w:rFonts w:cs="Times New Roman"/>
          <w:iCs/>
          <w:noProof/>
          <w:szCs w:val="28"/>
        </w:rPr>
        <w:t>,</w:t>
      </w:r>
      <w:r w:rsidRPr="00B403DF">
        <w:rPr>
          <w:rFonts w:cs="Times New Roman"/>
          <w:iCs/>
          <w:noProof/>
          <w:szCs w:val="28"/>
          <w:lang w:val="vi-VN"/>
        </w:rPr>
        <w:t xml:space="preserve"> Luật Thuế thu nhập cá nhân</w:t>
      </w:r>
      <w:r w:rsidRPr="00B403DF">
        <w:rPr>
          <w:rFonts w:cs="Times New Roman"/>
          <w:iCs/>
          <w:noProof/>
          <w:szCs w:val="28"/>
        </w:rPr>
        <w:t>,</w:t>
      </w:r>
      <w:r w:rsidR="004D4094">
        <w:rPr>
          <w:rFonts w:cs="Times New Roman"/>
          <w:iCs/>
          <w:noProof/>
          <w:szCs w:val="28"/>
        </w:rPr>
        <w:t xml:space="preserve"> Luật </w:t>
      </w:r>
      <w:r w:rsidRPr="00B403DF">
        <w:rPr>
          <w:rFonts w:cs="Times New Roman"/>
          <w:iCs/>
          <w:noProof/>
          <w:szCs w:val="28"/>
          <w:lang w:val="vi-VN"/>
        </w:rPr>
        <w:t xml:space="preserve"> Luật dự trữ quốc gia</w:t>
      </w:r>
      <w:r w:rsidRPr="00B403DF">
        <w:rPr>
          <w:rFonts w:cs="Times New Roman"/>
          <w:iCs/>
          <w:noProof/>
          <w:szCs w:val="28"/>
        </w:rPr>
        <w:t>,</w:t>
      </w:r>
      <w:r w:rsidRPr="00B403DF">
        <w:rPr>
          <w:rFonts w:cs="Times New Roman"/>
          <w:iCs/>
          <w:noProof/>
          <w:szCs w:val="28"/>
          <w:lang w:val="vi-VN"/>
        </w:rPr>
        <w:t xml:space="preserve"> Luật xử lý vi phạm hành chính</w:t>
      </w:r>
      <w:r w:rsidRPr="00B403DF">
        <w:rPr>
          <w:rFonts w:cs="Times New Roman"/>
          <w:iCs/>
          <w:noProof/>
          <w:szCs w:val="28"/>
        </w:rPr>
        <w:t xml:space="preserve">; Luật Thuế thu nhập doanh nghiệp số 67/2025/QH15 ngày 14/6/2025; </w:t>
      </w:r>
      <w:r w:rsidR="004D4094" w:rsidRPr="004D4094">
        <w:rPr>
          <w:rFonts w:cs="Times New Roman"/>
          <w:iCs/>
          <w:noProof/>
          <w:szCs w:val="28"/>
        </w:rPr>
        <w:t>Luật Thuế thu nhập cá nhân</w:t>
      </w:r>
      <w:r w:rsidR="004D4094">
        <w:rPr>
          <w:rFonts w:cs="Times New Roman"/>
          <w:iCs/>
          <w:noProof/>
          <w:szCs w:val="28"/>
        </w:rPr>
        <w:t xml:space="preserve"> số 109/2025/QH</w:t>
      </w:r>
      <w:r w:rsidR="00647C7C">
        <w:rPr>
          <w:rFonts w:cs="Times New Roman"/>
          <w:iCs/>
          <w:noProof/>
          <w:szCs w:val="28"/>
        </w:rPr>
        <w:t xml:space="preserve">15 ngày 10/12/2025; </w:t>
      </w:r>
      <w:r w:rsidRPr="00B403DF">
        <w:rPr>
          <w:rFonts w:cs="Times New Roman"/>
          <w:iCs/>
          <w:noProof/>
          <w:szCs w:val="28"/>
        </w:rPr>
        <w:t>Luật Thuế tiêu thụ đặc biệt số 66/2025/QH15 ngày 14/6/2025</w:t>
      </w:r>
      <w:r w:rsidRPr="00B403DF">
        <w:rPr>
          <w:rFonts w:cs="Times New Roman"/>
          <w:iCs/>
          <w:noProof/>
          <w:szCs w:val="28"/>
          <w:lang w:val="vi-VN"/>
        </w:rPr>
        <w:t>) và các Luật đã được đưa vào chương trình xây dựng luật, pháp lệnh của Quốc hội năm 2025 và kế hoạch giai đoạn 2025-2027</w:t>
      </w:r>
      <w:r w:rsidRPr="00B403DF">
        <w:rPr>
          <w:rFonts w:cs="Times New Roman"/>
          <w:iCs/>
          <w:noProof/>
          <w:szCs w:val="28"/>
        </w:rPr>
        <w:t xml:space="preserve"> </w:t>
      </w:r>
      <w:r w:rsidRPr="00B403DF">
        <w:rPr>
          <w:rFonts w:cs="Times New Roman"/>
          <w:iCs/>
          <w:noProof/>
          <w:szCs w:val="28"/>
          <w:lang w:val="vi-VN"/>
        </w:rPr>
        <w:t>(Luật thuế tài sản, Luật thuế Tài nguyên...) đã có những thay đổi nhất định cũng đặt ra yêu cầu phải thay đổi công tác quản lý thuế</w:t>
      </w:r>
      <w:r w:rsidRPr="00B403DF">
        <w:rPr>
          <w:rFonts w:cs="Times New Roman"/>
          <w:iCs/>
          <w:noProof/>
          <w:szCs w:val="28"/>
        </w:rPr>
        <w:t xml:space="preserve"> </w:t>
      </w:r>
      <w:r w:rsidRPr="00B403DF">
        <w:rPr>
          <w:rFonts w:cs="Times New Roman"/>
          <w:iCs/>
          <w:noProof/>
          <w:szCs w:val="28"/>
          <w:lang w:val="vi-VN"/>
        </w:rPr>
        <w:t>để đảm bảo tính đồng bộ của hệ thống pháp luật.</w:t>
      </w:r>
    </w:p>
    <w:p w14:paraId="0C6AE4EA" w14:textId="211DE2EE"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xml:space="preserve">- </w:t>
      </w:r>
      <w:r w:rsidRPr="00B403DF">
        <w:rPr>
          <w:rFonts w:cs="Times New Roman"/>
          <w:i/>
          <w:iCs/>
          <w:noProof/>
          <w:szCs w:val="28"/>
          <w:lang w:val="vi-VN"/>
        </w:rPr>
        <w:t>Thứ hai,</w:t>
      </w:r>
      <w:r w:rsidRPr="00B403DF">
        <w:rPr>
          <w:rFonts w:cs="Times New Roman"/>
          <w:iCs/>
          <w:noProof/>
          <w:szCs w:val="28"/>
          <w:lang w:val="vi-VN"/>
        </w:rPr>
        <w:t xml:space="preserve"> thực tiễn thi hành pháp luật về quản lý thuế cho thấy một số quy định tại </w:t>
      </w:r>
      <w:r w:rsidR="00647C7C">
        <w:rPr>
          <w:rFonts w:cs="Times New Roman"/>
          <w:iCs/>
          <w:noProof/>
          <w:szCs w:val="28"/>
        </w:rPr>
        <w:t>Nghị định số 126/2020/NĐ-CP</w:t>
      </w:r>
      <w:r w:rsidRPr="00B403DF">
        <w:rPr>
          <w:rFonts w:cs="Times New Roman"/>
          <w:iCs/>
          <w:noProof/>
          <w:szCs w:val="28"/>
          <w:lang w:val="vi-VN"/>
        </w:rPr>
        <w:t xml:space="preserve"> chưa phù hợp với yêu cầu, đòi hỏi từ thực tiễn phát triển kinh tế - xã hội và quy định của Luật chuyên ngành như: </w:t>
      </w:r>
    </w:p>
    <w:p w14:paraId="7BDC8C7E" w14:textId="77777777"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i/>
          <w:noProof/>
          <w:szCs w:val="28"/>
          <w:lang w:val="vi-VN"/>
        </w:rPr>
        <w:t>+ Về quy định liên quan đến nghiệp vụ quản lý thuế</w:t>
      </w:r>
      <w:r w:rsidRPr="00B403DF">
        <w:rPr>
          <w:rFonts w:cs="Times New Roman"/>
          <w:noProof/>
          <w:szCs w:val="28"/>
          <w:lang w:val="vi-VN"/>
        </w:rPr>
        <w:t xml:space="preserve">: </w:t>
      </w:r>
    </w:p>
    <w:p w14:paraId="0F9B7725" w14:textId="2CA2B9F8" w:rsidR="00647C7C" w:rsidRPr="00647C7C" w:rsidRDefault="00647C7C" w:rsidP="001052D2">
      <w:pPr>
        <w:spacing w:before="120" w:after="120" w:line="240" w:lineRule="auto"/>
        <w:ind w:left="85" w:firstLine="720"/>
        <w:jc w:val="both"/>
        <w:rPr>
          <w:rFonts w:cs="Times New Roman"/>
          <w:noProof/>
          <w:szCs w:val="28"/>
        </w:rPr>
      </w:pPr>
      <w:r>
        <w:rPr>
          <w:rFonts w:cs="Times New Roman"/>
          <w:noProof/>
          <w:szCs w:val="28"/>
        </w:rPr>
        <w:t xml:space="preserve">Trong lĩnh vực thuế thu nhập cá nhân, trả cổ tức bằng cổ phiếu hoặc thưởng chứng khoán </w:t>
      </w:r>
    </w:p>
    <w:p w14:paraId="371DA3E1" w14:textId="757B2085"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 </w:t>
      </w:r>
      <w:r w:rsidRPr="00B403DF">
        <w:rPr>
          <w:rFonts w:cs="Times New Roman"/>
          <w:i/>
          <w:noProof/>
          <w:szCs w:val="28"/>
          <w:lang w:val="vi-VN"/>
        </w:rPr>
        <w:t>Quy định về quản lý thuế chưa theo kịp sự phát triển của nền kinh tế số</w:t>
      </w:r>
      <w:r w:rsidRPr="00B403DF">
        <w:rPr>
          <w:rFonts w:cs="Times New Roman"/>
          <w:noProof/>
          <w:szCs w:val="28"/>
          <w:lang w:val="vi-VN"/>
        </w:rPr>
        <w:t>: trong bối cảnh thương mại điện tử xuyên biên giới bùng nổ nhưng chưa có các công cụ pháp lý phù hợp để quản lý doanh thu và thu thuế từ các nền tảng số, sàn giao dịch trực tuyến, của các doanh nghiệp công nghệ nước ngoài không có hiện diện thương mại tại Việt Nam nhưng vẫn thu được lợi nhuận đáng kể từ thị trường nội địa. Doanh thu từ hoạt động kinh doanh trên nền tảng số, thương mại điện tử ngày càng lớn nhưng số thu thuế lại rất nhỏ, không tương xứng với quy mô của loại hình kinh doanh này.</w:t>
      </w:r>
    </w:p>
    <w:p w14:paraId="0724B553" w14:textId="77777777"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 </w:t>
      </w:r>
      <w:r w:rsidRPr="00B403DF">
        <w:rPr>
          <w:rFonts w:cs="Times New Roman"/>
          <w:i/>
          <w:noProof/>
          <w:szCs w:val="28"/>
          <w:lang w:val="vi-VN"/>
        </w:rPr>
        <w:t xml:space="preserve">Hạn chế trong ứng dụng công nghệ và chuyển đổi số: </w:t>
      </w:r>
      <w:r w:rsidRPr="00B403DF">
        <w:rPr>
          <w:rFonts w:cs="Times New Roman"/>
          <w:noProof/>
          <w:szCs w:val="28"/>
          <w:lang w:val="vi-VN"/>
        </w:rPr>
        <w:t xml:space="preserve">chưa tạo hành lang đầy đủ cho việc ứng dụng các công nghệ tiên tiến như dữ liệu lớn (big data) và trí tuệ nhân tạo (AI) trong phân tích, đánh giá và quản lý rủi ro thuế. Khung pháp lý cho quản lý thuế điện tử </w:t>
      </w:r>
      <w:r w:rsidRPr="00B403DF">
        <w:rPr>
          <w:rFonts w:cs="Times New Roman"/>
          <w:noProof/>
          <w:szCs w:val="28"/>
        </w:rPr>
        <w:t xml:space="preserve">tiến tới quản lý thuế số </w:t>
      </w:r>
      <w:r w:rsidRPr="00B403DF">
        <w:rPr>
          <w:rFonts w:cs="Times New Roman"/>
          <w:noProof/>
          <w:szCs w:val="28"/>
          <w:lang w:val="vi-VN"/>
        </w:rPr>
        <w:t xml:space="preserve">còn thiếu và chưa đồng bộ. </w:t>
      </w:r>
      <w:r w:rsidRPr="00B403DF">
        <w:rPr>
          <w:rFonts w:cs="Times New Roman"/>
          <w:noProof/>
          <w:szCs w:val="28"/>
        </w:rPr>
        <w:t xml:space="preserve">Hệ thống ứng dụng phục vụ nghiệp vụ quản lý thuế lõi hiện chưa được tập trung, đồng bộ đầy đủ các chức năng. </w:t>
      </w:r>
      <w:r w:rsidRPr="00B403DF">
        <w:rPr>
          <w:rFonts w:cs="Times New Roman"/>
          <w:noProof/>
          <w:szCs w:val="28"/>
          <w:lang w:val="vi-VN"/>
        </w:rPr>
        <w:t xml:space="preserve">Tốc độ chuyển đổi số trong quản lý thuế chưa theo kịp xu thế chung của thế giới là đẩy mạnh xây dựng hệ thống thuế thông minh với khả năng tự động hóa cao, tích hợp đa nền tảng và thân thiện với người dùng. </w:t>
      </w:r>
    </w:p>
    <w:p w14:paraId="264CE8AD" w14:textId="77777777"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w:t>
      </w:r>
      <w:r w:rsidRPr="00B403DF">
        <w:rPr>
          <w:rFonts w:cs="Times New Roman"/>
          <w:i/>
          <w:noProof/>
          <w:szCs w:val="28"/>
          <w:lang w:val="vi-VN"/>
        </w:rPr>
        <w:t xml:space="preserve"> Hạn chế trong kiểm soát gian lận: </w:t>
      </w:r>
      <w:r w:rsidRPr="00B403DF">
        <w:rPr>
          <w:rFonts w:cs="Times New Roman"/>
          <w:noProof/>
          <w:szCs w:val="28"/>
          <w:lang w:val="vi-VN"/>
        </w:rPr>
        <w:t xml:space="preserve">Thực trạng gian lận và trốn thuế đang diễn biến ngày càng tinh vi và phức tạp. Các hành vi vi phạm không chỉ dừng lại </w:t>
      </w:r>
      <w:r w:rsidRPr="00B403DF">
        <w:rPr>
          <w:rFonts w:cs="Times New Roman"/>
          <w:noProof/>
          <w:szCs w:val="28"/>
          <w:lang w:val="vi-VN"/>
        </w:rPr>
        <w:lastRenderedPageBreak/>
        <w:t>ở việc kê khai sai lệch, giấu doanh thu hay lập hóa đơn khống đơn thuần, mà đã phát triển thành các thủ đoạn có tổ chức với quy mô lớn, liên quan đến nhiều chủ thể và địa bàn khác nhau. Đặc biệt nghiêm trọng là tình trạng gian lận trong các giao dịch xuyên biên giới, nơi kẽ hở về cơ chế giám sát và sự khác biệt giữa các hệ thống thuế quốc gia tạo điều kiện cho hành vi trốn thuế. Các doanh nghiệp đa quốc gia thường lợi dụng việc chuyển giá, phân bổ lợi nhuận và các giao dịch phức tạp giữa các công ty liên kết để tối thiểu hóa nghĩa vụ thuế. Trong khi đó, công cụ và năng lực giám sát của cơ quan thuế còn hạn chế, thiếu cơ chế trao đổi thông tin tự động với các nước, cũng như thiếu các giải pháp công nghệ hiện đại để phát hiện và ngăn chặn kịp thời các hành vi gian lận. Điều này đòi hỏi cần có sự đổi mới toàn diện trong cả khung pháp lý và công cụ quản lý để tăng cường hiệu quả kiểm soát gian lận thuế.</w:t>
      </w:r>
    </w:p>
    <w:p w14:paraId="6F86FF2D" w14:textId="77777777" w:rsidR="004A72CA" w:rsidRPr="00B403DF" w:rsidRDefault="004A72CA" w:rsidP="001052D2">
      <w:pPr>
        <w:spacing w:before="120" w:after="120" w:line="240" w:lineRule="auto"/>
        <w:ind w:left="85" w:firstLine="720"/>
        <w:jc w:val="both"/>
        <w:rPr>
          <w:rFonts w:cs="Times New Roman"/>
          <w:iCs/>
          <w:noProof/>
          <w:szCs w:val="28"/>
        </w:rPr>
      </w:pPr>
      <w:r w:rsidRPr="00B403DF">
        <w:rPr>
          <w:rFonts w:cs="Times New Roman"/>
          <w:b/>
          <w:bCs/>
          <w:iCs/>
          <w:noProof/>
          <w:szCs w:val="28"/>
        </w:rPr>
        <w:t xml:space="preserve">- </w:t>
      </w:r>
      <w:r w:rsidRPr="00B403DF">
        <w:rPr>
          <w:rFonts w:cs="Times New Roman"/>
          <w:bCs/>
          <w:i/>
          <w:iCs/>
          <w:noProof/>
          <w:szCs w:val="28"/>
        </w:rPr>
        <w:t>Thứ ba</w:t>
      </w:r>
      <w:r w:rsidRPr="00B403DF">
        <w:rPr>
          <w:rFonts w:cs="Times New Roman"/>
          <w:i/>
          <w:iCs/>
          <w:noProof/>
          <w:szCs w:val="28"/>
        </w:rPr>
        <w:t>,</w:t>
      </w:r>
      <w:r w:rsidRPr="00B403DF">
        <w:rPr>
          <w:rFonts w:cs="Times New Roman"/>
          <w:iCs/>
          <w:noProof/>
          <w:szCs w:val="28"/>
        </w:rPr>
        <w:t xml:space="preserve"> xu hướng cải cách thuế hiện nay tập trung vào việc hiện đại hóa toàn diện hệ thống quản lý thuế thông qua chuyển đổi số và ứng dụng công nghệ số tiên tiến. Các nước đang đẩy mạnh xây dựng hệ thống thuế thông minh với khả năng tự động hóa cao, tích hợp đa nền tảng và thân thiện với người dùng. Họ chú trọng phát triển các giải pháp công nghệ như trí tuệ nhân tạo (AI) và dữ liệu lớn (Big Data) trong phân tích rủi ro và quản lý thuế, đặc biệt là đối với các hoạt động thương mại điện tử xuyên biên giới và kinh tế số. Song song với đó là việc tăng cường hợp tác quốc tế trong trao đổi thông tin thuế, chống chuyển giá và trốn thuế, cũng như đơn giản hóa thủ tục hành chính để nâng cao tính tuân thủ tự nguyện của người nộp thuế. Các nước cũng tập trung xây dựng đội ngũ cán bộ thuế chuyên nghiệp, am hiểu công nghệ và có khả năng thích ứng với môi trường quản lý thuế hiện đại.</w:t>
      </w:r>
    </w:p>
    <w:p w14:paraId="0C1EEFB3" w14:textId="6D0EED61" w:rsidR="004A72CA" w:rsidRPr="00B403DF" w:rsidRDefault="004A72CA" w:rsidP="001052D2">
      <w:pPr>
        <w:spacing w:before="120" w:after="120" w:line="240" w:lineRule="auto"/>
        <w:ind w:left="85" w:firstLine="720"/>
        <w:jc w:val="both"/>
        <w:rPr>
          <w:rFonts w:cs="Times New Roman"/>
          <w:noProof/>
          <w:szCs w:val="28"/>
          <w:lang w:val="en-AU"/>
        </w:rPr>
      </w:pPr>
      <w:r w:rsidRPr="00B403DF">
        <w:rPr>
          <w:rFonts w:cs="Times New Roman"/>
          <w:noProof/>
          <w:szCs w:val="28"/>
          <w:lang w:val="en-AU"/>
        </w:rPr>
        <w:t xml:space="preserve">- </w:t>
      </w:r>
      <w:r w:rsidRPr="00B403DF">
        <w:rPr>
          <w:rFonts w:cs="Times New Roman"/>
          <w:i/>
          <w:iCs/>
          <w:noProof/>
          <w:szCs w:val="28"/>
          <w:lang w:val="en-AU"/>
        </w:rPr>
        <w:t xml:space="preserve">Thứ tư, </w:t>
      </w:r>
      <w:r w:rsidRPr="00B403DF">
        <w:rPr>
          <w:rFonts w:cs="Times New Roman"/>
          <w:noProof/>
          <w:szCs w:val="28"/>
          <w:lang w:val="en-AU"/>
        </w:rPr>
        <w:t>chủ trương xóa bỏ việc khoán thuế đối với hộ kinh doanh, cá nhân kinh doanh theo Nghị quyết số 68-NQ/TW ngày 4/5/2025 của Bộ Chính trị đòi hỏi phải thay đổi cơ chế quản lý thuế đ</w:t>
      </w:r>
      <w:r w:rsidRPr="00B403DF">
        <w:rPr>
          <w:rFonts w:cs="Times New Roman"/>
          <w:noProof/>
          <w:szCs w:val="28"/>
        </w:rPr>
        <w:t>ối với hộ kinh doanh, cá nhân kinh doanh</w:t>
      </w:r>
      <w:r w:rsidRPr="00B403DF">
        <w:rPr>
          <w:rFonts w:cs="Times New Roman"/>
          <w:noProof/>
          <w:szCs w:val="28"/>
          <w:lang w:val="en-AU"/>
        </w:rPr>
        <w:t xml:space="preserve"> theo hướng tấ</w:t>
      </w:r>
      <w:r w:rsidRPr="00B403DF">
        <w:rPr>
          <w:rFonts w:cs="Times New Roman"/>
          <w:noProof/>
          <w:szCs w:val="28"/>
        </w:rPr>
        <w:t>t cả các hộ kinh doanh sẽ phải thực hiện chế độ tự khai, tự nộp thuế và thực hiện sổ sách hóa đơn, chứng từ</w:t>
      </w:r>
      <w:r w:rsidRPr="00B403DF">
        <w:rPr>
          <w:rFonts w:cs="Times New Roman"/>
          <w:noProof/>
          <w:szCs w:val="28"/>
          <w:lang w:val="en-AU"/>
        </w:rPr>
        <w:t>.</w:t>
      </w:r>
      <w:r w:rsidRPr="00B403DF">
        <w:rPr>
          <w:rFonts w:cs="Times New Roman"/>
          <w:noProof/>
          <w:szCs w:val="28"/>
        </w:rPr>
        <w:t xml:space="preserve"> </w:t>
      </w:r>
    </w:p>
    <w:p w14:paraId="3E3F2542" w14:textId="276B3333" w:rsidR="005C7D44" w:rsidRPr="00B403DF" w:rsidRDefault="005C7D44" w:rsidP="001052D2">
      <w:pPr>
        <w:spacing w:before="120" w:after="120" w:line="240" w:lineRule="auto"/>
        <w:ind w:left="85" w:firstLine="720"/>
        <w:jc w:val="both"/>
        <w:rPr>
          <w:rFonts w:cs="Times New Roman"/>
          <w:b/>
          <w:bCs/>
          <w:noProof/>
          <w:szCs w:val="28"/>
          <w:lang w:val="vi-VN"/>
        </w:rPr>
      </w:pPr>
      <w:r w:rsidRPr="00B403DF">
        <w:rPr>
          <w:rFonts w:cs="Times New Roman"/>
          <w:b/>
          <w:bCs/>
          <w:noProof/>
          <w:szCs w:val="28"/>
          <w:lang w:val="vi-VN"/>
        </w:rPr>
        <w:t>III. ĐỀ XUẤT, KIẾN NGHỊ</w:t>
      </w:r>
    </w:p>
    <w:p w14:paraId="4DE92919" w14:textId="43672ECD" w:rsidR="004905BD" w:rsidRPr="00B403DF" w:rsidRDefault="004905BD" w:rsidP="001052D2">
      <w:pPr>
        <w:spacing w:before="120" w:after="120" w:line="240" w:lineRule="auto"/>
        <w:ind w:left="85" w:firstLine="720"/>
        <w:jc w:val="both"/>
        <w:rPr>
          <w:rFonts w:cs="Times New Roman"/>
          <w:szCs w:val="28"/>
          <w:lang w:val="vi-VN"/>
        </w:rPr>
      </w:pPr>
      <w:r w:rsidRPr="00B403DF">
        <w:rPr>
          <w:rFonts w:cs="Times New Roman"/>
          <w:szCs w:val="28"/>
          <w:lang w:val="vi-VN"/>
        </w:rPr>
        <w:t xml:space="preserve">Trên cơ sở tổng kết đánh giá công tác quản lý thuế, Bộ Tài chính đã tiến hành tổng kết, đánh giá toàn bộ nội dung của </w:t>
      </w:r>
      <w:r w:rsidR="00426B2A" w:rsidRPr="00426B2A">
        <w:rPr>
          <w:rFonts w:cs="Times New Roman"/>
          <w:szCs w:val="28"/>
          <w:lang w:val="vi-VN"/>
        </w:rPr>
        <w:t>Nghị định số 126/2020/NĐ-CP</w:t>
      </w:r>
      <w:r w:rsidRPr="00B403DF">
        <w:rPr>
          <w:rFonts w:cs="Times New Roman"/>
          <w:szCs w:val="28"/>
          <w:lang w:val="vi-VN"/>
        </w:rPr>
        <w:t xml:space="preserve">. </w:t>
      </w:r>
    </w:p>
    <w:p w14:paraId="04DA7DDA" w14:textId="68A1525A" w:rsidR="004905BD" w:rsidRDefault="004905BD" w:rsidP="001052D2">
      <w:pPr>
        <w:spacing w:before="120" w:after="120" w:line="240" w:lineRule="auto"/>
        <w:ind w:left="85" w:firstLine="680"/>
        <w:jc w:val="both"/>
        <w:rPr>
          <w:rFonts w:cs="Times New Roman"/>
          <w:szCs w:val="28"/>
          <w:lang w:val="nl-NL"/>
        </w:rPr>
      </w:pPr>
      <w:r w:rsidRPr="00B403DF">
        <w:rPr>
          <w:rFonts w:cs="Times New Roman"/>
          <w:szCs w:val="28"/>
          <w:lang w:val="nl-NL"/>
        </w:rPr>
        <w:t>Xuất phát từ những tồn tại, hạn chế đã nêu trên, bám sát định hướng, quan điểm chỉ đạo của Đảng và Nhà nướ</w:t>
      </w:r>
      <w:r w:rsidR="0041265C">
        <w:rPr>
          <w:rFonts w:cs="Times New Roman"/>
          <w:szCs w:val="28"/>
          <w:lang w:val="nl-NL"/>
        </w:rPr>
        <w:t xml:space="preserve">c, </w:t>
      </w:r>
      <w:r w:rsidRPr="00B403DF">
        <w:rPr>
          <w:rFonts w:cs="Times New Roman"/>
          <w:szCs w:val="28"/>
          <w:lang w:val="nl-NL"/>
        </w:rPr>
        <w:t xml:space="preserve">để đảm bảo phục vụ tốt nhất cho mục tiêu cải cách </w:t>
      </w:r>
      <w:r w:rsidR="008F0107" w:rsidRPr="00B403DF">
        <w:rPr>
          <w:rFonts w:cs="Times New Roman"/>
          <w:szCs w:val="28"/>
          <w:lang w:val="nl-NL"/>
        </w:rPr>
        <w:t>thủ tục hành chính (</w:t>
      </w:r>
      <w:r w:rsidRPr="00B403DF">
        <w:rPr>
          <w:rFonts w:cs="Times New Roman"/>
          <w:szCs w:val="28"/>
          <w:lang w:val="nl-NL"/>
        </w:rPr>
        <w:t>TTHC</w:t>
      </w:r>
      <w:r w:rsidR="008F0107" w:rsidRPr="00B403DF">
        <w:rPr>
          <w:rFonts w:cs="Times New Roman"/>
          <w:szCs w:val="28"/>
          <w:lang w:val="nl-NL"/>
        </w:rPr>
        <w:t>)</w:t>
      </w:r>
      <w:r w:rsidRPr="00B403DF">
        <w:rPr>
          <w:rFonts w:cs="Times New Roman"/>
          <w:szCs w:val="28"/>
          <w:lang w:val="nl-NL"/>
        </w:rPr>
        <w:t xml:space="preserve">, vừa tạo điều kiện thuận lợi cho người nộp thuế, vừa đảm bảo yêu cầu quản lý thuế, việc xây dựng </w:t>
      </w:r>
      <w:r w:rsidR="00426B2A" w:rsidRPr="00426B2A">
        <w:rPr>
          <w:rFonts w:cs="Times New Roman"/>
          <w:szCs w:val="28"/>
          <w:lang w:val="nl-NL"/>
        </w:rPr>
        <w:t xml:space="preserve">Nghị định </w:t>
      </w:r>
      <w:r w:rsidR="00426B2A">
        <w:rPr>
          <w:rFonts w:cs="Times New Roman"/>
          <w:szCs w:val="28"/>
          <w:lang w:val="nl-NL"/>
        </w:rPr>
        <w:t>về quản lý thuế</w:t>
      </w:r>
      <w:r w:rsidR="00426B2A" w:rsidRPr="00426B2A">
        <w:rPr>
          <w:rFonts w:cs="Times New Roman"/>
          <w:szCs w:val="28"/>
          <w:lang w:val="nl-NL"/>
        </w:rPr>
        <w:t xml:space="preserve"> </w:t>
      </w:r>
      <w:r w:rsidRPr="00B403DF">
        <w:rPr>
          <w:rFonts w:cs="Times New Roman"/>
          <w:szCs w:val="28"/>
          <w:lang w:val="nl-NL"/>
        </w:rPr>
        <w:t>cần tập trung</w:t>
      </w:r>
      <w:r w:rsidR="00141DA2">
        <w:rPr>
          <w:rFonts w:cs="Times New Roman"/>
          <w:szCs w:val="28"/>
          <w:lang w:val="nl-NL"/>
        </w:rPr>
        <w:t xml:space="preserve"> xem xét, nghiên cứu các nội dung chính</w:t>
      </w:r>
      <w:r w:rsidRPr="00B403DF">
        <w:rPr>
          <w:rFonts w:cs="Times New Roman"/>
          <w:szCs w:val="28"/>
          <w:lang w:val="nl-NL"/>
        </w:rPr>
        <w:t xml:space="preserve"> như sau:</w:t>
      </w:r>
    </w:p>
    <w:p w14:paraId="1EFF1A2C" w14:textId="1B2E283A" w:rsidR="0041265C" w:rsidRPr="00FF6F05" w:rsidRDefault="00AB2DB9" w:rsidP="001052D2">
      <w:pPr>
        <w:spacing w:before="120" w:after="120" w:line="240" w:lineRule="auto"/>
        <w:ind w:firstLine="720"/>
        <w:jc w:val="both"/>
        <w:rPr>
          <w:b/>
          <w:szCs w:val="28"/>
          <w:lang w:val="nl-NL"/>
        </w:rPr>
      </w:pPr>
      <w:r>
        <w:rPr>
          <w:b/>
          <w:szCs w:val="28"/>
          <w:lang w:val="nl-NL"/>
        </w:rPr>
        <w:t>1</w:t>
      </w:r>
      <w:r w:rsidR="0041265C">
        <w:rPr>
          <w:b/>
          <w:szCs w:val="28"/>
          <w:lang w:val="nl-NL"/>
        </w:rPr>
        <w:t xml:space="preserve">. </w:t>
      </w:r>
      <w:r w:rsidR="0041265C" w:rsidRPr="00FF6F05">
        <w:rPr>
          <w:b/>
          <w:szCs w:val="28"/>
          <w:lang w:val="nl-NL"/>
        </w:rPr>
        <w:t xml:space="preserve">Nội dung sửa đổi, </w:t>
      </w:r>
      <w:r w:rsidR="0041265C">
        <w:rPr>
          <w:b/>
          <w:szCs w:val="28"/>
          <w:lang w:val="nl-NL"/>
        </w:rPr>
        <w:t xml:space="preserve">bổ sung </w:t>
      </w:r>
      <w:r w:rsidR="00ED0B58">
        <w:rPr>
          <w:b/>
          <w:szCs w:val="28"/>
          <w:lang w:val="nl-NL"/>
        </w:rPr>
        <w:t>(54</w:t>
      </w:r>
      <w:r w:rsidR="0041265C" w:rsidRPr="00B91C8D">
        <w:rPr>
          <w:b/>
          <w:szCs w:val="28"/>
          <w:lang w:val="nl-NL"/>
        </w:rPr>
        <w:t xml:space="preserve"> Điều)</w:t>
      </w:r>
    </w:p>
    <w:p w14:paraId="32628E6E" w14:textId="7C0C4CEA" w:rsidR="00ED0B58" w:rsidRPr="00EC3B6C" w:rsidRDefault="00ED0B58" w:rsidP="00ED0B58">
      <w:pPr>
        <w:spacing w:before="120" w:after="120" w:line="276" w:lineRule="auto"/>
        <w:ind w:firstLine="720"/>
        <w:jc w:val="both"/>
        <w:rPr>
          <w:bCs/>
          <w:szCs w:val="28"/>
          <w:lang w:val="vi-VN"/>
        </w:rPr>
      </w:pPr>
      <w:r w:rsidRPr="00EC3B6C">
        <w:rPr>
          <w:b/>
          <w:bCs/>
          <w:szCs w:val="28"/>
          <w:lang w:val="vi-VN"/>
        </w:rPr>
        <w:lastRenderedPageBreak/>
        <w:t>1.1. Giải thích từ ngữ</w:t>
      </w:r>
      <w:r w:rsidRPr="00EC3B6C">
        <w:rPr>
          <w:bCs/>
          <w:szCs w:val="28"/>
          <w:lang w:val="vi-VN"/>
        </w:rPr>
        <w:t xml:space="preserve"> </w:t>
      </w:r>
      <w:r w:rsidRPr="00F43D01">
        <w:rPr>
          <w:b/>
          <w:szCs w:val="28"/>
          <w:lang w:val="vi-VN"/>
        </w:rPr>
        <w:t>(tại Điều 3):</w:t>
      </w:r>
      <w:r w:rsidRPr="00EC3B6C">
        <w:rPr>
          <w:bCs/>
          <w:szCs w:val="28"/>
          <w:lang w:val="vi-VN"/>
        </w:rPr>
        <w:t xml:space="preserve"> quy định, làm rõ một số thuật ngữ chuyên môn nhằm bảo đảm thống nhất cách hiểu và tổ chức thực hiện, gồm 6 khoản trong đó: </w:t>
      </w:r>
    </w:p>
    <w:p w14:paraId="09FED76C"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xml:space="preserve">- Nội dung bổ sung mới: </w:t>
      </w:r>
      <w:r w:rsidRPr="00A76882">
        <w:rPr>
          <w:bCs/>
          <w:szCs w:val="28"/>
          <w:lang w:val="vi-VN"/>
        </w:rPr>
        <w:t>(1)</w:t>
      </w:r>
      <w:r w:rsidRPr="00EC3B6C">
        <w:rPr>
          <w:bCs/>
          <w:szCs w:val="28"/>
          <w:lang w:val="vi-VN"/>
        </w:rPr>
        <w:t xml:space="preserve"> về Hệ thống thông tin quản lý thuế; </w:t>
      </w:r>
      <w:r w:rsidRPr="00A76882">
        <w:rPr>
          <w:bCs/>
          <w:szCs w:val="28"/>
          <w:lang w:val="vi-VN"/>
        </w:rPr>
        <w:t>(2)</w:t>
      </w:r>
      <w:r w:rsidRPr="00EC3B6C">
        <w:rPr>
          <w:bCs/>
          <w:szCs w:val="28"/>
          <w:lang w:val="vi-VN"/>
        </w:rPr>
        <w:t xml:space="preserve"> bổ sung mới quy định về Giao dịch điện tử trong quản lý thuế.</w:t>
      </w:r>
    </w:p>
    <w:p w14:paraId="109B0C53"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xml:space="preserve">- Nội dung kế thừa: </w:t>
      </w:r>
      <w:r w:rsidRPr="00D263B0">
        <w:rPr>
          <w:bCs/>
          <w:color w:val="EE0000"/>
          <w:szCs w:val="28"/>
          <w:lang w:val="vi-VN"/>
        </w:rPr>
        <w:t>(1)</w:t>
      </w:r>
      <w:r w:rsidRPr="00D263B0">
        <w:rPr>
          <w:bCs/>
          <w:color w:val="EE0000"/>
          <w:szCs w:val="28"/>
        </w:rPr>
        <w:t xml:space="preserve"> Trường hợp bất khả kháng; (2)</w:t>
      </w:r>
      <w:r w:rsidRPr="00D263B0">
        <w:rPr>
          <w:bCs/>
          <w:color w:val="EE0000"/>
          <w:szCs w:val="28"/>
          <w:lang w:val="vi-VN"/>
        </w:rPr>
        <w:t xml:space="preserve"> Tổ chức cung cấp dịch vụ giá trị gia tăng về giao dịch điện tử trong quản lý thuế; (</w:t>
      </w:r>
      <w:r w:rsidRPr="00D263B0">
        <w:rPr>
          <w:bCs/>
          <w:color w:val="EE0000"/>
          <w:szCs w:val="28"/>
        </w:rPr>
        <w:t>3</w:t>
      </w:r>
      <w:r w:rsidRPr="00D263B0">
        <w:rPr>
          <w:bCs/>
          <w:color w:val="EE0000"/>
          <w:szCs w:val="28"/>
          <w:lang w:val="vi-VN"/>
        </w:rPr>
        <w:t>) Nền tảng thương mại điện tử, nền tảng số có chức năng thanh toán;</w:t>
      </w:r>
      <w:r w:rsidRPr="00D263B0">
        <w:rPr>
          <w:bCs/>
          <w:color w:val="EE0000"/>
          <w:szCs w:val="28"/>
        </w:rPr>
        <w:t xml:space="preserve"> </w:t>
      </w:r>
      <w:r>
        <w:rPr>
          <w:bCs/>
          <w:szCs w:val="28"/>
        </w:rPr>
        <w:t xml:space="preserve">(4) </w:t>
      </w:r>
      <w:r w:rsidRPr="00EC3B6C">
        <w:rPr>
          <w:bCs/>
          <w:szCs w:val="28"/>
          <w:lang w:val="vi-VN"/>
        </w:rPr>
        <w:t>Ngày kết thúc thời hạn nộp hồ sơ khai thuế, thời hạn nộp thuế, thời hạn cơ quan quản lý thuế giải quyết hồ sơ.</w:t>
      </w:r>
    </w:p>
    <w:p w14:paraId="27348793" w14:textId="51AF6DAB" w:rsidR="00ED0B58" w:rsidRPr="00EC3B6C" w:rsidRDefault="00ED0B58" w:rsidP="00ED0B58">
      <w:pPr>
        <w:spacing w:before="120" w:after="120" w:line="276" w:lineRule="auto"/>
        <w:ind w:firstLine="720"/>
        <w:jc w:val="both"/>
        <w:rPr>
          <w:bCs/>
          <w:szCs w:val="28"/>
          <w:lang w:val="vi-VN"/>
        </w:rPr>
      </w:pPr>
      <w:r>
        <w:rPr>
          <w:b/>
          <w:bCs/>
          <w:szCs w:val="28"/>
          <w:lang w:val="vi-VN"/>
        </w:rPr>
        <w:t>1</w:t>
      </w:r>
      <w:r w:rsidRPr="00EC3B6C">
        <w:rPr>
          <w:b/>
          <w:bCs/>
          <w:szCs w:val="28"/>
          <w:lang w:val="vi-VN"/>
        </w:rPr>
        <w:t>.2. Công khai thông tin NNT</w:t>
      </w:r>
      <w:r w:rsidRPr="00EC3B6C">
        <w:rPr>
          <w:bCs/>
          <w:szCs w:val="28"/>
          <w:lang w:val="vi-VN"/>
        </w:rPr>
        <w:t xml:space="preserve"> </w:t>
      </w:r>
      <w:r w:rsidRPr="00F43D01">
        <w:rPr>
          <w:b/>
          <w:szCs w:val="28"/>
          <w:lang w:val="vi-VN"/>
        </w:rPr>
        <w:t>(tại Điều 4):</w:t>
      </w:r>
      <w:r w:rsidRPr="00EC3B6C">
        <w:rPr>
          <w:bCs/>
          <w:szCs w:val="28"/>
          <w:lang w:val="vi-VN"/>
        </w:rPr>
        <w:t xml:space="preserve"> gồm 5 khoản cơ bản kế thừa quy định của Điều 29 Nghị định số 126/2020/NĐ-CP trong đó:</w:t>
      </w:r>
    </w:p>
    <w:p w14:paraId="2541C774"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bổ sung mới: (1) Công khai thông tin chủ sở hữu doanh nghiệp tư nhân, chủ sở hữu công ty TNHH MTV, thành viên hợp danh, người đại diện theo pháp luật của doanh nghiệp, cá nhân kinh doanh, chủ hộ kinh doanh trong trường hợp NNT không hoạt động tại địa chỉ kinh doanh; (2) Bổ sung quy định rõ việc công khai một phần mã số thuế là số định danh cá nhân; Áp dụng biện pháp kỹ thuật che, ẩn thông tin để bảo đảm tuân thủ pháp luật về bảo vệ dữ liệu cá nhân; (3) bổ sung hình thức công khai thông tin: gửi thông tin cảnh báo cho người mua trên hóa đơn điện tử của người nộp thuế thuộc diện cảnh báo sử dụng hóa đơn điện tử; (4) bổ sung quy định về trình tự thực hiện công khai thông tin; (5) bổ sung quy định về Chấm dứt công khai thông tin.</w:t>
      </w:r>
    </w:p>
    <w:p w14:paraId="678D77B1"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sửa đổi quy định hiện hành: sửa đổi nội dung thông tin công khai phải bảo đảm đúng mục đích quản lý thuế và tuân thủ quy định pháp luật về bảo vệ dữ liệu cá nhân.</w:t>
      </w:r>
    </w:p>
    <w:p w14:paraId="3935B73D"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kế thừa: các trường hợp cơ quan quản lý thuế được công khai thông tin; Hình thức công khai thông tin, thẩm quyền công khai thông tin.</w:t>
      </w:r>
    </w:p>
    <w:p w14:paraId="5CC37540" w14:textId="2829F4FF" w:rsidR="00ED0B58" w:rsidRPr="00EC3B6C" w:rsidRDefault="00ED0B58" w:rsidP="00ED0B58">
      <w:pPr>
        <w:spacing w:before="120" w:after="120" w:line="276" w:lineRule="auto"/>
        <w:ind w:firstLine="720"/>
        <w:jc w:val="both"/>
        <w:rPr>
          <w:bCs/>
          <w:szCs w:val="28"/>
          <w:lang w:val="vi-VN"/>
        </w:rPr>
      </w:pPr>
      <w:r w:rsidRPr="00EC3B6C">
        <w:rPr>
          <w:b/>
          <w:bCs/>
          <w:szCs w:val="28"/>
          <w:lang w:val="vi-VN"/>
        </w:rPr>
        <w:t>1.3. Thời hạn đăng ký thuế</w:t>
      </w:r>
      <w:r w:rsidRPr="00EC3B6C">
        <w:rPr>
          <w:bCs/>
          <w:szCs w:val="28"/>
          <w:lang w:val="vi-VN"/>
        </w:rPr>
        <w:t xml:space="preserve"> </w:t>
      </w:r>
      <w:r w:rsidRPr="00F43D01">
        <w:rPr>
          <w:b/>
          <w:szCs w:val="28"/>
          <w:lang w:val="vi-VN"/>
        </w:rPr>
        <w:t>(tại Điều 6):</w:t>
      </w:r>
      <w:r w:rsidRPr="00EC3B6C">
        <w:rPr>
          <w:bCs/>
          <w:szCs w:val="28"/>
          <w:lang w:val="vi-VN"/>
        </w:rPr>
        <w:t xml:space="preserve"> gồm 02 khoản được cơ bản kế thừa quy định về thời hạn đăng ký thuế tại Điều 33, Điều 36, Điều 37 và khoản 6 Điều 39 Luật Quản lý thuế số 38/2019/QH14; khoản 2 Điều 6 Nghị định số 126/2020/NĐ-CP trong đó:</w:t>
      </w:r>
    </w:p>
    <w:p w14:paraId="51760D23" w14:textId="77777777" w:rsidR="00ED0B58" w:rsidRPr="00EC3B6C" w:rsidRDefault="00ED0B58" w:rsidP="00ED0B58">
      <w:pPr>
        <w:spacing w:before="120" w:after="120" w:line="276" w:lineRule="auto"/>
        <w:ind w:firstLine="720"/>
        <w:jc w:val="both"/>
        <w:rPr>
          <w:bCs/>
          <w:szCs w:val="28"/>
          <w:lang w:val="vi-VN"/>
        </w:rPr>
      </w:pPr>
      <w:r w:rsidRPr="00EC3B6C">
        <w:rPr>
          <w:bCs/>
          <w:spacing w:val="-4"/>
          <w:szCs w:val="28"/>
          <w:lang w:val="vi-VN"/>
        </w:rPr>
        <w:t>- Nội dung bổ sung mới: (1) Bổ sung quy định thời hạn đăng ký thuế lần đầu đối với trường hợp tổ chức tín dụng thành lập chi nhánh, văn phòng giao dịch. (2) bổ sung quy định người nộp thuế không phải thực hiện thủ tục thay đổi thông tin với cơ quan thuế trong trường hợp cơ sở dữ liệu quốc gia về dân cư đã kết nối, chia sẻ dữ liệu với cơ sở dữ liệu thuế và tự động đồng bộ khi thông tin của cá nhân có thay đổi</w:t>
      </w:r>
      <w:r w:rsidRPr="00EC3B6C">
        <w:rPr>
          <w:bCs/>
          <w:szCs w:val="28"/>
          <w:lang w:val="vi-VN"/>
        </w:rPr>
        <w:t>.</w:t>
      </w:r>
    </w:p>
    <w:p w14:paraId="38E2DF57"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lastRenderedPageBreak/>
        <w:t>- Nội dung sửa đổi quy định hiện hành: (1) sửa đổi quy định trường hợp người nộp thuế thực hiện đăng ký thuế lần đầu qua hồ sơ khai thuế thì thời hạn đăng ký thuế cùng với thời hạn nộp hồ sơ khai thuế của kỳ tính thuế đầu tiên</w:t>
      </w:r>
      <w:r w:rsidRPr="00EC3B6C">
        <w:rPr>
          <w:b/>
          <w:bCs/>
          <w:i/>
          <w:iCs/>
          <w:szCs w:val="28"/>
          <w:lang w:val="vi-VN"/>
        </w:rPr>
        <w:t>; (</w:t>
      </w:r>
      <w:r w:rsidRPr="00EC3B6C">
        <w:rPr>
          <w:bCs/>
          <w:szCs w:val="28"/>
          <w:lang w:val="vi-VN"/>
        </w:rPr>
        <w:t>2) sửa đổi, bổ sung thời hạn đăng ký trực tiếp để xử lý vướng mắc thực tế; bổ sung quy định thời hạn thay đổi thông tin đăng ký thuế trường hợp đã có thông tin của NNT trên cơ sở dữ liệu quốc gia.</w:t>
      </w:r>
    </w:p>
    <w:p w14:paraId="729EEE76"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kế thừa: (1) thời hạn đăng ký thuế của đối tượng đăng ký thuế theo cơ chế một cửa liên thông; (2) thời hạn đăng ký thuế của đối tượng đăng ký thuế trực tiếp với cơ quan thuế (</w:t>
      </w:r>
      <w:r w:rsidRPr="00EC3B6C">
        <w:rPr>
          <w:bCs/>
          <w:i/>
          <w:iCs/>
          <w:szCs w:val="28"/>
          <w:lang w:val="vi-VN"/>
        </w:rPr>
        <w:t>gồm các nội dung: thời hạn đăng ký thuế lần đầu; thời hạn đăng ký thuế của tổ chức, cá nhân chi trả thu nhập có trách nhiệm đăng ký thuế lần đầu thay cho cá nhân có thu nhập; thời hạn thay đổi thông tin đăng ký thuế; thời hạn thông báo tạm ngừng kinh doanh,Thời hạn nộp hồ sơ chấm dứt hiệu lực mã số thuế)</w:t>
      </w:r>
    </w:p>
    <w:p w14:paraId="562F073F" w14:textId="088F84AF" w:rsidR="00ED0B58" w:rsidRPr="00EC3B6C" w:rsidRDefault="00ED0B58" w:rsidP="00ED0B58">
      <w:pPr>
        <w:spacing w:before="120" w:after="120" w:line="276" w:lineRule="auto"/>
        <w:ind w:firstLine="720"/>
        <w:jc w:val="both"/>
        <w:rPr>
          <w:bCs/>
          <w:szCs w:val="28"/>
          <w:lang w:val="vi-VN"/>
        </w:rPr>
      </w:pPr>
      <w:r w:rsidRPr="00EC3B6C">
        <w:rPr>
          <w:b/>
          <w:bCs/>
          <w:szCs w:val="28"/>
          <w:lang w:val="vi-VN"/>
        </w:rPr>
        <w:t>1.4. Trách nhiệm của người nộp thuế, cơ quan quản lý thuế, cơ quan nhà nước, tổ chức, cá nhân có liên quan đến đăng ký thuế</w:t>
      </w:r>
      <w:r w:rsidRPr="00EC3B6C">
        <w:rPr>
          <w:bCs/>
          <w:szCs w:val="28"/>
          <w:lang w:val="vi-VN"/>
        </w:rPr>
        <w:t xml:space="preserve"> </w:t>
      </w:r>
      <w:r w:rsidRPr="00F43D01">
        <w:rPr>
          <w:b/>
          <w:szCs w:val="28"/>
          <w:lang w:val="vi-VN"/>
        </w:rPr>
        <w:t>(</w:t>
      </w:r>
      <w:r w:rsidRPr="00F43D01">
        <w:rPr>
          <w:b/>
          <w:szCs w:val="28"/>
        </w:rPr>
        <w:t xml:space="preserve">tại </w:t>
      </w:r>
      <w:r w:rsidRPr="00F43D01">
        <w:rPr>
          <w:b/>
          <w:szCs w:val="28"/>
          <w:lang w:val="vi-VN"/>
        </w:rPr>
        <w:t>Điều 7):</w:t>
      </w:r>
      <w:r w:rsidRPr="00EC3B6C">
        <w:rPr>
          <w:bCs/>
          <w:szCs w:val="28"/>
          <w:lang w:val="vi-VN"/>
        </w:rPr>
        <w:t xml:space="preserve"> gồm 05 khoản cơ bản kế thừa từ quy định của Luật Quản lý thuế số 38/2019/QH14 tại Điều 36 (Thông báo thay đổi thông tin đăng ký thuế), Điều 37 (Thông báo khi tạm ngừng hoạt động, kinh doanh), Điều 39 (Chấm dứt hiệu lực mã số thuế), Điều 41 (Trách nhiệm của Bộ trưởng Bộ Tài chính, cơ quan thuế trong việc đăng ký thuế); Điều 4, khoản 3 và khoản 4 Điều 6 Nghị định 126/2020/NĐ-CP trong đó:</w:t>
      </w:r>
    </w:p>
    <w:p w14:paraId="6535E8C1"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xml:space="preserve">- Nội dung bổ sung mới: (1) bổ sung trách nhiệm của NNT đối với trường hợp người nộp thuế thực hiện nộp thuế theo phương pháp khấu trừ chấm dứt hoạt động, giải thể, phá sản, việc xử lý số thuế giá trị gia tăng nộp thừa hoặc số thuế giá trị gia tăng đầu vào chưa được khấu trừ hết thực hiện theo quy định về hoàn thuế và điều kiện hoàn thuế của pháp luật thuế giá trị gia tăng; trường hợp có đơn vị kế thừa nghĩa vụ thuế thì đơn vị kế thừa tiếp tục khấu trừ, hoàn thuế theo quy định của pháp luật thuế giá trị gia tăng; (2) bổ sung quy định người nộp thuế phải chịu trách nhiệm về các nghĩa vụ thuế trong thời gian bị cơ quan thuế thông báo người nộp thuế không hoạt động tại địa chỉ đã đăng ký, chấp hành các thông báo, quyết định của cơ quan quản lý thuế và cơ quan nhà nước có thẩm quyền theo quy định của pháp luật; (3) bổ sung quy định người nộp thuế tạm ngừng kinh doanh thì trước thời hạn tạm ngừng, cơ quan đăng ký kinh doanh có trách nhiệm đăng tải thông tin về: tên người nộp thuế; mã số thuế; địa chỉ trụ sở; thời hạn tạm ngừng hoạt động, kinh doanh hoặc thời gian tiếp tục hoạt động, kinh doanh trở lại trên Cổng thông tin quốc gia về đăng ký doanh nghiệp; (4) bổ sung trách nhiệm của cơ quan quản lý cơ sở dữ liệu quốc gia về dân cư trong việc cung cấp, chia sẻ </w:t>
      </w:r>
      <w:r w:rsidRPr="00EC3B6C">
        <w:rPr>
          <w:bCs/>
          <w:szCs w:val="28"/>
          <w:lang w:val="vi-VN"/>
        </w:rPr>
        <w:lastRenderedPageBreak/>
        <w:t>thông tin định danh cá nhân cho cơ quan thuế để cấp mã số thuế cho người nộp thuế theo số định danh cá nhân; (5) trách nhiệm của cơ quan cấp giấy phép thành lập, hoạt động cho tổ chức trong việc cung cấp, chia sẻ thông tin cho cơ quan thuế phục vụ công tác quản lý thuế.</w:t>
      </w:r>
    </w:p>
    <w:p w14:paraId="602F3164"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kế thừa: (1) trách nhiệm của người nộp thuế khi thay đổi địa chỉ trụ sở, khi tạm ngừng kinh doanh, khi chấm dứt hiệu lực mã số thuế; (2) trách nhiệm của cơ quan thuế trong giải quyết hồ sơ đăng ký thuế; (3) trách nhiệm của cơ quan đăng ký kinh doanh theo cơ chế một cửa liên thông.</w:t>
      </w:r>
    </w:p>
    <w:p w14:paraId="0D86BE25" w14:textId="1508C968" w:rsidR="00ED0B58" w:rsidRPr="00EC3B6C" w:rsidRDefault="00ED0B58" w:rsidP="00ED0B58">
      <w:pPr>
        <w:spacing w:before="120" w:after="120" w:line="276" w:lineRule="auto"/>
        <w:ind w:firstLine="720"/>
        <w:jc w:val="both"/>
        <w:rPr>
          <w:bCs/>
          <w:szCs w:val="28"/>
          <w:lang w:val="vi-VN"/>
        </w:rPr>
      </w:pPr>
      <w:r w:rsidRPr="00EC3B6C">
        <w:rPr>
          <w:b/>
          <w:bCs/>
          <w:szCs w:val="28"/>
          <w:lang w:val="vi-VN"/>
        </w:rPr>
        <w:t xml:space="preserve">1.5. Sử dụng mã số thuế </w:t>
      </w:r>
      <w:r w:rsidRPr="00F43D01">
        <w:rPr>
          <w:b/>
          <w:bCs/>
          <w:szCs w:val="28"/>
          <w:lang w:val="vi-VN"/>
        </w:rPr>
        <w:t>(</w:t>
      </w:r>
      <w:r w:rsidRPr="00F43D01">
        <w:rPr>
          <w:b/>
          <w:bCs/>
          <w:szCs w:val="28"/>
        </w:rPr>
        <w:t xml:space="preserve">tại </w:t>
      </w:r>
      <w:r w:rsidRPr="00F43D01">
        <w:rPr>
          <w:b/>
          <w:bCs/>
          <w:szCs w:val="28"/>
          <w:lang w:val="vi-VN"/>
        </w:rPr>
        <w:t>Điều 8)</w:t>
      </w:r>
      <w:r w:rsidRPr="00F43D01">
        <w:rPr>
          <w:b/>
          <w:bCs/>
          <w:szCs w:val="28"/>
        </w:rPr>
        <w:t>:</w:t>
      </w:r>
      <w:r w:rsidRPr="00EC3B6C">
        <w:rPr>
          <w:b/>
          <w:bCs/>
          <w:szCs w:val="28"/>
          <w:lang w:val="vi-VN"/>
        </w:rPr>
        <w:t xml:space="preserve"> </w:t>
      </w:r>
      <w:r w:rsidRPr="00EC3B6C">
        <w:rPr>
          <w:bCs/>
          <w:szCs w:val="28"/>
          <w:lang w:val="vi-VN"/>
        </w:rPr>
        <w:t>gồm 05 khoản cơ bản kế thừa từ quy định của Luật Quản lý thuế số 38/2019/QH14 tại Điều 35 (Sử dụng mã số thuế), khoản 1 và khoản 2 Điều 39 (Chấm dứt hiệu lực mã số thuế), khoản 1 và khoản 2 Điều 40 (Khôi phục mã số thuế) trong đó:</w:t>
      </w:r>
    </w:p>
    <w:p w14:paraId="05394BBD"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bổ sung mới: bổ sung quy định Mã số thuế không được sử dụng trong các giao dịch kinh tế sau khi đã bị cơ quan thuế chấm dứt hiệu lực, thông báo về việc người nộp thuế không hoạt động tại địa chỉ đã đăng ký và chỉ được tiếp tục sử dụng sau khi được khôi phục. </w:t>
      </w:r>
    </w:p>
    <w:p w14:paraId="021B5147"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sửa đổi quy định hiện hành: Sửa đổi cụm từ </w:t>
      </w:r>
      <w:r w:rsidRPr="006B73A6">
        <w:rPr>
          <w:bCs/>
          <w:i/>
          <w:iCs/>
          <w:szCs w:val="28"/>
        </w:rPr>
        <w:t xml:space="preserve">“ngân hàng thương mại, tổ chức tín dụng khác” </w:t>
      </w:r>
      <w:r w:rsidRPr="006B73A6">
        <w:rPr>
          <w:bCs/>
          <w:szCs w:val="28"/>
        </w:rPr>
        <w:t xml:space="preserve">thành </w:t>
      </w:r>
      <w:r w:rsidRPr="006B73A6">
        <w:rPr>
          <w:bCs/>
          <w:i/>
          <w:iCs/>
          <w:szCs w:val="28"/>
        </w:rPr>
        <w:t>“chi nhánh ngân hàng nước ngoài, tổ chức cung ứng dịch vụ thanh toán, tổ chức cung ứng dịch vụ trung gian thanh toán”; </w:t>
      </w:r>
    </w:p>
    <w:p w14:paraId="6D09CC6F"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việc ghi mã số thuế của người nộp thuế, cơ quan quản lý thuế, Kho bạc Nhà nước, tổ chức tín dụng, chi nhánh ngân hàng nước ngoài, tổ chức cung ứng dịch vụ thanh toán; trách nhiệm của NNT trong việc cung cấp đầy đủ mã số thuế.</w:t>
      </w:r>
    </w:p>
    <w:p w14:paraId="2BF4AEA5" w14:textId="5B9FBD1D" w:rsidR="00ED0B58" w:rsidRPr="006B73A6" w:rsidRDefault="00ED0B58" w:rsidP="00ED0B58">
      <w:pPr>
        <w:spacing w:before="120" w:after="120" w:line="276" w:lineRule="auto"/>
        <w:ind w:firstLine="720"/>
        <w:jc w:val="both"/>
        <w:rPr>
          <w:bCs/>
          <w:szCs w:val="28"/>
        </w:rPr>
      </w:pPr>
      <w:r w:rsidRPr="006B73A6">
        <w:rPr>
          <w:b/>
          <w:bCs/>
          <w:szCs w:val="28"/>
        </w:rPr>
        <w:t xml:space="preserve">1.6. Kỳ tính thuế </w:t>
      </w:r>
      <w:r w:rsidRPr="00F43D01">
        <w:rPr>
          <w:b/>
          <w:bCs/>
          <w:szCs w:val="28"/>
        </w:rPr>
        <w:t xml:space="preserve">(tại Điều 9): </w:t>
      </w:r>
      <w:r w:rsidRPr="006B73A6">
        <w:rPr>
          <w:bCs/>
          <w:szCs w:val="28"/>
        </w:rPr>
        <w:t>gồm 02 khoản cơ bản kế thừa quy định hiện hành trong đó:</w:t>
      </w:r>
    </w:p>
    <w:p w14:paraId="64DCC522" w14:textId="77777777" w:rsidR="00ED0B58" w:rsidRPr="006B73A6" w:rsidRDefault="00ED0B58" w:rsidP="00ED0B58">
      <w:pPr>
        <w:spacing w:before="120" w:after="120" w:line="276" w:lineRule="auto"/>
        <w:ind w:firstLine="720"/>
        <w:jc w:val="both"/>
        <w:rPr>
          <w:bCs/>
          <w:szCs w:val="28"/>
        </w:rPr>
      </w:pPr>
      <w:r w:rsidRPr="006B73A6">
        <w:rPr>
          <w:bCs/>
          <w:szCs w:val="28"/>
        </w:rPr>
        <w:t> </w:t>
      </w:r>
      <w:r w:rsidRPr="00550D5C">
        <w:rPr>
          <w:bCs/>
          <w:color w:val="EE0000"/>
          <w:szCs w:val="28"/>
        </w:rPr>
        <w:t xml:space="preserve">- Nội dung bổ sung mới: Bổ sung quy định </w:t>
      </w:r>
      <w:r w:rsidRPr="00550D5C">
        <w:rPr>
          <w:color w:val="EE0000"/>
          <w:szCs w:val="28"/>
        </w:rPr>
        <w:t>kỳ quyết toán thuế thực hiện theo năm dương lịch hoặc năm tài chính hoặc kỳ kế toán năm theo quy định của Luật Kế toán. Đối với thuế thu nhập cá nhân kỳ quyết toán thuế thu nhập cá nhân theo năm dương lịch, trừ trường hợp trong 01 năm dương lịch, cá nhân có mặt tại Việt Nam dưới 183 ngày nhưng tính tổng 12 tháng liên tục kể từ ngày đầu tiên có mặt tại Việt Nam là từ 183 ngày trở lên thì kỳ quyết toán thuế thu nhập cá nhân của năm đầu tiên được xác định là 12 tháng liên tục (kể từ ngày đầu tiên có mặt tại Việt Nam)</w:t>
      </w:r>
      <w:r w:rsidRPr="00550D5C">
        <w:rPr>
          <w:i/>
          <w:iCs/>
          <w:color w:val="EE0000"/>
          <w:szCs w:val="28"/>
        </w:rPr>
        <w:t>.</w:t>
      </w:r>
    </w:p>
    <w:p w14:paraId="0483975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kỳ tính thuế; (2) việc xác định kỳ tính thuế</w:t>
      </w:r>
    </w:p>
    <w:p w14:paraId="4751FDAF" w14:textId="0A516E72" w:rsidR="00ED0B58" w:rsidRPr="006B73A6" w:rsidRDefault="00CE5CC4" w:rsidP="00ED0B58">
      <w:pPr>
        <w:spacing w:before="120" w:after="120" w:line="276" w:lineRule="auto"/>
        <w:ind w:firstLine="720"/>
        <w:jc w:val="both"/>
        <w:rPr>
          <w:bCs/>
          <w:szCs w:val="28"/>
        </w:rPr>
      </w:pPr>
      <w:r>
        <w:rPr>
          <w:b/>
          <w:bCs/>
          <w:szCs w:val="28"/>
        </w:rPr>
        <w:lastRenderedPageBreak/>
        <w:t>1</w:t>
      </w:r>
      <w:r w:rsidR="00ED0B58" w:rsidRPr="006B73A6">
        <w:rPr>
          <w:b/>
          <w:bCs/>
          <w:szCs w:val="28"/>
        </w:rPr>
        <w:t xml:space="preserve">.7. Thời hạn nộp hồ sơ khai thuế </w:t>
      </w:r>
      <w:r w:rsidR="00ED0B58" w:rsidRPr="00F43D01">
        <w:rPr>
          <w:b/>
          <w:bCs/>
          <w:szCs w:val="28"/>
        </w:rPr>
        <w:t>(tại Điều 10):</w:t>
      </w:r>
      <w:r w:rsidR="00ED0B58" w:rsidRPr="006B73A6">
        <w:rPr>
          <w:bCs/>
          <w:szCs w:val="28"/>
        </w:rPr>
        <w:t xml:space="preserve"> gồm 9 khoản cơ bản kế thừa quy định tại Điều 44 và khoản 1 Điều 55 Luật Quản lý thuế số 38/2019/QH14, trong đó:</w:t>
      </w:r>
    </w:p>
    <w:p w14:paraId="2F7DFFF0" w14:textId="77777777" w:rsidR="00ED0B58" w:rsidRPr="006B73A6" w:rsidRDefault="00ED0B58" w:rsidP="00ED0B58">
      <w:pPr>
        <w:spacing w:before="120" w:after="120" w:line="276" w:lineRule="auto"/>
        <w:ind w:firstLine="720"/>
        <w:jc w:val="both"/>
        <w:rPr>
          <w:bCs/>
          <w:szCs w:val="28"/>
        </w:rPr>
      </w:pPr>
      <w:r w:rsidRPr="006B73A6">
        <w:rPr>
          <w:bCs/>
          <w:szCs w:val="28"/>
        </w:rPr>
        <w:t> - Nội dung bổ sung mới:</w:t>
      </w:r>
      <w:r>
        <w:rPr>
          <w:bCs/>
          <w:szCs w:val="28"/>
        </w:rPr>
        <w:t xml:space="preserve"> </w:t>
      </w:r>
      <w:r w:rsidRPr="006B73A6">
        <w:rPr>
          <w:bCs/>
          <w:szCs w:val="28"/>
        </w:rPr>
        <w:t xml:space="preserve">bổ sung quy định thời hạn nộp hồ sơ khai thuế  trong </w:t>
      </w:r>
      <w:r w:rsidRPr="006B73A6">
        <w:rPr>
          <w:b/>
          <w:bCs/>
          <w:szCs w:val="28"/>
        </w:rPr>
        <w:t>t</w:t>
      </w:r>
      <w:r w:rsidRPr="006B73A6">
        <w:rPr>
          <w:bCs/>
          <w:szCs w:val="28"/>
        </w:rPr>
        <w:t>rường hợp trong 01 năm dương lịch, cá nhân có mặt tại Việt Nam dưới 183 ngày nhưng tính trong 12 tháng liên tục kể từ ngày đầu tiên có mặt tại Việt Nam là từ 183 ngày trở lên thì thời hạn nộp hồ sơ quyết toán thuế thu nhập cá nhân của năm đầu tiên chậm nhất là ngày cuối cùng của tháng thứ 4 kể từ ngày cuối cùng của tháng tính đủ 12 tháng liên tục</w:t>
      </w:r>
      <w:r>
        <w:rPr>
          <w:bCs/>
          <w:szCs w:val="28"/>
        </w:rPr>
        <w:t>.</w:t>
      </w:r>
    </w:p>
    <w:p w14:paraId="0FD05A1B"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sửa đổi quy định hiện hành: (1) sửa đổi thời hạn nộp hồ sơ khai thuế chậm nhất là ngày thứ mười (10) </w:t>
      </w:r>
      <w:r w:rsidRPr="006B73A6">
        <w:rPr>
          <w:bCs/>
          <w:i/>
          <w:iCs/>
          <w:szCs w:val="28"/>
        </w:rPr>
        <w:t>kể từ ngày tiếp theo</w:t>
      </w:r>
      <w:r w:rsidRPr="006B73A6">
        <w:rPr>
          <w:bCs/>
          <w:szCs w:val="28"/>
        </w:rPr>
        <w:t xml:space="preserve"> ngày phát sinh nghĩa vụ thuế đối với loại thuế khai theo từng lần phát sinh; (2) sửa đổi quy định về </w:t>
      </w:r>
      <w:r w:rsidRPr="00630D29">
        <w:rPr>
          <w:szCs w:val="28"/>
        </w:rPr>
        <w:t>t</w:t>
      </w:r>
      <w:r w:rsidRPr="006B73A6">
        <w:rPr>
          <w:bCs/>
          <w:szCs w:val="28"/>
        </w:rPr>
        <w:t>hời hạn nộp hồ sơ khai thuế thu nhập cá nhân từ hoạt động chuyển nhượng, nhận thừa kế, quà tặng là bất động sản thực hiện như sau: Trường hợp chuyển nhượng, nhận thừa kế quà tặng là bất động sản đã được cấp Giấy chứng nhận quyền sử dụng đất, quyền sở hữu tài sản gắn liền với đất (bao gồm cả trường hợp hợp đồng chuyển nhượng có thỏa thuận bên mua là người nộp thuế thay cho bên bán và trường hợp bên thứ ba có liên quan được phép bán tài sản của cá nhân theo quy định của pháp luật) thì thời hạn nộp hồ sơ khai thuế chậm nhất là ngày cuối cùng của thời hạn phải đăng ký biến động tại cơ quan có thẩm quyền theo quy định của pháp luật về đất đai;</w:t>
      </w:r>
    </w:p>
    <w:p w14:paraId="471D6EF6"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thời hạn nộp hồ sơ khai thuế đối với: loại thuế khai theo tháng, quý, năm và quyết toán; đối với hoạt động khai thác, xuất bán dầu thô theo từng lần xuất bán; nộp báo cáo lợi nhuận liên quốc gia; đối với hàng hóa xuất khẩu, nhập khẩu;</w:t>
      </w:r>
    </w:p>
    <w:p w14:paraId="4F36B333" w14:textId="407F9D4E" w:rsidR="00ED0B58" w:rsidRPr="006B73A6" w:rsidRDefault="00ED0B58" w:rsidP="00ED0B58">
      <w:pPr>
        <w:spacing w:before="120" w:after="120" w:line="276" w:lineRule="auto"/>
        <w:ind w:firstLine="720"/>
        <w:jc w:val="both"/>
        <w:rPr>
          <w:bCs/>
          <w:szCs w:val="28"/>
        </w:rPr>
      </w:pPr>
      <w:r w:rsidRPr="006B73A6">
        <w:rPr>
          <w:b/>
          <w:bCs/>
          <w:szCs w:val="28"/>
        </w:rPr>
        <w:t xml:space="preserve">1.8. Trường hợp không phải nộp hồ sơ khai thuế </w:t>
      </w:r>
      <w:r w:rsidRPr="00F43D01">
        <w:rPr>
          <w:b/>
          <w:bCs/>
          <w:szCs w:val="28"/>
        </w:rPr>
        <w:t>(tại Điều 11):</w:t>
      </w:r>
      <w:r w:rsidRPr="006B73A6">
        <w:rPr>
          <w:b/>
          <w:bCs/>
          <w:szCs w:val="28"/>
        </w:rPr>
        <w:t xml:space="preserve"> </w:t>
      </w:r>
      <w:r w:rsidRPr="006B73A6">
        <w:rPr>
          <w:bCs/>
          <w:szCs w:val="28"/>
        </w:rPr>
        <w:t xml:space="preserve">gồm </w:t>
      </w:r>
      <w:r w:rsidRPr="00D36F96">
        <w:rPr>
          <w:bCs/>
          <w:color w:val="EE0000"/>
          <w:szCs w:val="28"/>
        </w:rPr>
        <w:t>1</w:t>
      </w:r>
      <w:r>
        <w:rPr>
          <w:bCs/>
          <w:color w:val="EE0000"/>
          <w:szCs w:val="28"/>
        </w:rPr>
        <w:t>1</w:t>
      </w:r>
      <w:r w:rsidRPr="00D36F96">
        <w:rPr>
          <w:bCs/>
          <w:color w:val="EE0000"/>
          <w:szCs w:val="28"/>
        </w:rPr>
        <w:t xml:space="preserve"> khoản </w:t>
      </w:r>
      <w:r w:rsidRPr="006B73A6">
        <w:rPr>
          <w:bCs/>
          <w:szCs w:val="28"/>
        </w:rPr>
        <w:t>kế thừa khoản 3 Điều 7 Nghị định số 126/2020/NĐ-CP (đã được sửa đổi, bổ sung theo Nghị định số 91/2022/NĐ-CP), trong đó:</w:t>
      </w:r>
    </w:p>
    <w:p w14:paraId="00859195" w14:textId="77777777" w:rsidR="00ED0B58" w:rsidRPr="001924C9" w:rsidRDefault="00ED0B58" w:rsidP="00ED0B58">
      <w:pPr>
        <w:spacing w:line="276" w:lineRule="auto"/>
        <w:jc w:val="both"/>
        <w:rPr>
          <w:color w:val="EE0000"/>
          <w:szCs w:val="28"/>
        </w:rPr>
      </w:pPr>
      <w:r w:rsidRPr="006B73A6">
        <w:rPr>
          <w:bCs/>
          <w:szCs w:val="28"/>
        </w:rPr>
        <w:t> </w:t>
      </w:r>
      <w:r>
        <w:rPr>
          <w:bCs/>
          <w:szCs w:val="28"/>
        </w:rPr>
        <w:tab/>
      </w:r>
      <w:r w:rsidRPr="006B73A6">
        <w:rPr>
          <w:bCs/>
          <w:szCs w:val="28"/>
        </w:rPr>
        <w:t xml:space="preserve">- Nội dung bổ sung mới: (1) bổ sung quy định hộ kinh doanh, cá nhân kinh doanh hàng hóa, dịch vụ có mức doanh thu hàng năm thuộc đối tượng không chịu thuế giá trị gia tăng và thuộc đối tượng không phải nộp thuế thu nhập cá nhân thực hiện theo quy định tại Nghị định của Chính phủ quy định chính sách thuế, quản lý thuế đối với hộ kinh doanh, cá nhân kinh doanh phải nộp hồ sơ khai thuế; (2) bổ sung quy định NNT phải hồ sơ khai thuế đối với nghĩa vụ thuế phát sinh sau thời điểm nộp hồ sơ chấm dứt hiệu lực mã số thuế; (3) bổ sung quy định người khai thuế thu nhập cá nhân phải nộp hồ sơ khai thuế trong trường hợp tháng, quý </w:t>
      </w:r>
      <w:r w:rsidRPr="006B73A6">
        <w:rPr>
          <w:bCs/>
          <w:szCs w:val="28"/>
        </w:rPr>
        <w:lastRenderedPageBreak/>
        <w:t>cuối cùng trong năm hoặc tháng, quý phát sinh việc chia, tách, hợp nhất, sáp nhập, giải thể, phá sản, chấm dứt hoạt động không phát sinh việc khấu trừ thuế và thuộc trường hợp không phải quyết toán thuế thu nhập cá nhân theo hướng dẫn của Bộ Tài chính thì tổ chức, cá nhân trả thu nhập vẫn phải nộp hồ sơ khai thuế thu nhập cá nhân của tháng, quý cuối cùng trong năm hoặc tháng, quý phát sinh việc chia, tách, hợp nhất, sáp nhập, giải thể, phá sản, chấm dứt hoạt động; (4) bổ sung trường hợp không phải nộp hồ sơ khai thuế đối với tổ chức, cá nhân là bên Việt Nam khấu trừ, nộp thay thuế giá trị gia tăng, thuế thu nhập doanh nghiệp của nhà thầu nước ngoài theo quy định của pháp luật thuế và thực hiện khai thuế theo tháng mà trong tháng đó không phát sinh việc khấu trừ thuế; (5) bổ sung quy định người nộp thuế thuộc diện được hoàn thuế theo quy định của pháp luật về thuế giá trị gia tăng không phải nộp hồ sơ khai thuế giá trị gia tăng trong trường hợp là tổ chức, cá nhân được hưởng quyền ưu đãi miễn trừ ngoại giao theo quy định của pháp luật về ngoại giao mua hàng hóa, dịch vụ tại Việt Nam</w:t>
      </w:r>
      <w:r>
        <w:rPr>
          <w:bCs/>
          <w:szCs w:val="28"/>
        </w:rPr>
        <w:t xml:space="preserve">; </w:t>
      </w:r>
      <w:r w:rsidRPr="00C55664">
        <w:rPr>
          <w:bCs/>
          <w:color w:val="EE0000"/>
          <w:szCs w:val="28"/>
        </w:rPr>
        <w:t xml:space="preserve">(6) bổ sung quy định người nộp thuế không phải nộp hồ sơ khai thuế </w:t>
      </w:r>
      <w:r w:rsidRPr="00C55664">
        <w:rPr>
          <w:color w:val="EE0000"/>
          <w:szCs w:val="28"/>
        </w:rPr>
        <w:t>trường hợp việc tính thuế, khoản thu khác, thông báo thuế, khoản thu khác do cơ quan quản lý thuế thực hiện mà cơ quan thuế đã kết nối, sử dụng được thông tin có trong các cơ sở dữ liệu quốc gia, cơ sở dữ liệu cơ quan nhà nước có thẩm quyền và hệ thống thông tin quản lý thuế hoặc hồ sơ xác định nghĩa vụ tài chính, phiếu chuyển thông tin do cơ quan có thẩm quyền chuyển đến đảm bảo đủ căn cứ để tính thuế, khoản thu khác</w:t>
      </w:r>
      <w:r>
        <w:rPr>
          <w:color w:val="EE0000"/>
          <w:szCs w:val="28"/>
        </w:rPr>
        <w:t xml:space="preserve">; (7) </w:t>
      </w:r>
      <w:r w:rsidRPr="008C0AAA">
        <w:rPr>
          <w:color w:val="EE0000"/>
          <w:szCs w:val="28"/>
        </w:rPr>
        <w:t>Bên Việt Nam phát sinh việc trả thu nhập cho tổ chức, cá nhân nước ngoài từ đầu tư trái phiếu quốc tế của Chính phủ Việt Nam, từ các khoản cho vay đối với Nhà nước, Chính phủ Việt Nam thuộc trường hợp không chịu thuế giá trị gia tăng và miễn thuế thu nhập doanh nghiệp theo quy định của pháp luật thuế thì không phải nộp hồ sơ khai thuế</w:t>
      </w:r>
      <w:r w:rsidRPr="001924C9">
        <w:rPr>
          <w:color w:val="EE0000"/>
          <w:szCs w:val="28"/>
        </w:rPr>
        <w:t>; (8) Bên cho vay nước ngoài không phải nộp hồ sơ khai thuế đối với thu nhập từ các khoản cho vay đối với Nhà nước, Chính phủ Việt Nam</w:t>
      </w:r>
      <w:r>
        <w:rPr>
          <w:color w:val="EE0000"/>
          <w:szCs w:val="28"/>
        </w:rPr>
        <w:t>.</w:t>
      </w:r>
    </w:p>
    <w:p w14:paraId="1F2EC3BE"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sửa đổi quy định cá nhân có thu nhập được miễn thuế theo quy định của pháp luật về thuế thu nhập cá nhân không phải nộp hồ sơ khai thuế trừ trường hợp phải nộp hồ sơ khai thuế theo quy định của Bộ Tài chính; </w:t>
      </w:r>
    </w:p>
    <w:p w14:paraId="601815DB"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kế thừa: quy định không phải nộp hồ sơ khai thuế đối với: người nộp thuế chỉ có hoạt động, kinh doanh thuộc đối tượng không chịu thuế theo quy định của pháp luật về thuế; Doanh nghiệp chế xuất chỉ có hoạt động xuất khẩu, Người nộp thuế tạm ngừng hoạt động, kinh doanh; người nộp thuế đã nộp hồ sơ chấm dứt hiệu lực mã số thuế; người khai thuế thu nhập cá nhân là tổ chức, cá nhân trả thu nhập thuộc trường hợp khai thuế thu nhập cá nhân theo tháng, quý; tổ chức, cá nhân không phát sinh trả thu nhập từ tiền lương, tiền công; người nộp </w:t>
      </w:r>
      <w:r w:rsidRPr="006B73A6">
        <w:rPr>
          <w:bCs/>
          <w:szCs w:val="28"/>
        </w:rPr>
        <w:lastRenderedPageBreak/>
        <w:t>thuế thuộc diện được hoàn thuế theo quy định của pháp luật về thuế giá trị gia tăng; </w:t>
      </w:r>
    </w:p>
    <w:p w14:paraId="170B62FE" w14:textId="0130DC66" w:rsidR="00ED0B58" w:rsidRPr="006B73A6" w:rsidRDefault="00ED0B58" w:rsidP="00ED0B58">
      <w:pPr>
        <w:spacing w:before="120" w:after="120" w:line="276" w:lineRule="auto"/>
        <w:ind w:firstLine="720"/>
        <w:jc w:val="both"/>
        <w:rPr>
          <w:bCs/>
          <w:szCs w:val="28"/>
        </w:rPr>
      </w:pPr>
      <w:r w:rsidRPr="006B73A6">
        <w:rPr>
          <w:b/>
          <w:bCs/>
          <w:szCs w:val="28"/>
        </w:rPr>
        <w:t xml:space="preserve">1.9. Khai bổ sung hồ sơ khai thuế </w:t>
      </w:r>
      <w:r w:rsidRPr="00F43D01">
        <w:rPr>
          <w:b/>
          <w:bCs/>
          <w:szCs w:val="28"/>
        </w:rPr>
        <w:t>(tại Điều 12)</w:t>
      </w:r>
      <w:r w:rsidRPr="006B73A6">
        <w:rPr>
          <w:b/>
          <w:bCs/>
          <w:szCs w:val="28"/>
        </w:rPr>
        <w:t xml:space="preserve"> </w:t>
      </w:r>
      <w:r w:rsidRPr="006B73A6">
        <w:rPr>
          <w:bCs/>
          <w:szCs w:val="28"/>
        </w:rPr>
        <w:t>gồm 10 khoản trong đó:</w:t>
      </w:r>
    </w:p>
    <w:p w14:paraId="2AE15FC6"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trường hợp khai bổ sung quy định tại điểm c khoản 5 Điều 12 Luật Quản lý thuế; (2) Cơ quan điều tra được yêu cầu người nộp thuế không khai bổ sung hồ sơ khai thuế trong trường hợp người nộp thuế bị điều tra theo quy định của pháp luật về tố tụng do có dấu hiệu vi phạm pháp luật liên quan đến việc xác định nghĩa vụ thuế hoặc do đã có quyết định khởi tố vụ án hình sự; (3) Đối với trường hợp điều chỉnh hồ sơ khai thuế quy định tại điểm d khoản 5 Điều 12 Luật Quản lý thuế; (4) Đối với trường hợp khai bổ sung quy định tại điểm đ khoản 5 Điều 12 Luật Quản lý thuế; (5) Người nộp thuế phát hiện hồ sơ khai thuế đã nộp có sai, sót làm tăng số thuế phải nộp hoặc giảm số thuế đã được miễn, giảm, hoàn hoặc giảm số thuế giá trị gia tăng được khấu trừ chuyển kỳ sau nhưng hồ sơ khai thuế đã quá thời hạn 05 năm kể từ ngày hết thời hạn nộp hồ sơ khai thuế thì người nộp thuế không được khai bổ sung hồ sơ khai thuế nhưng được bổ sung hồ sơ giải trình với cơ quan thuế. Cơ quan thuế có trách nhiệm rà soát hồ sơ giải trình của người nộp thuế và ban hành quyết định xử lý về quản lý thuế theo quy định.</w:t>
      </w:r>
    </w:p>
    <w:p w14:paraId="2323FCEF"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(1) sửa đổi quy định về kỳ khai bổ sung đối với trường hợp người nộp thuế phát hiện số thuế giá trị gia tăng đầu vào khi kê khai, khấu trừ bị sai, sót thì thực hiện kê khai theo quy định của pháp luật thuế giá trị gia tăng; (2) sửa đổi quy định người nộp thuế khai bổ sung làm tăng số thuế phải nộp hoặc giảm số thuế đã được miễn, giảm, hoàn thì bị xử phạt vi phạm hành chính về thuế.</w:t>
      </w:r>
    </w:p>
    <w:p w14:paraId="36AB13AC"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quy định về kỳ khai bổ sung đối với các trường hợp quy định tại tại điểm a, b, c khoản 5 Điều 12 Luật Quản lý thuế; (2) việc khai bổ sung hồ sơ khai thuế đối với hàng hóa xuất khẩu nhập khẩu thực hiện theo pháp luật về hải quan.</w:t>
      </w:r>
    </w:p>
    <w:p w14:paraId="5C1E85D3" w14:textId="6E0E67A5" w:rsidR="00ED0B58" w:rsidRPr="006B73A6" w:rsidRDefault="00ED0B58" w:rsidP="00ED0B58">
      <w:pPr>
        <w:spacing w:before="120" w:after="120" w:line="276" w:lineRule="auto"/>
        <w:ind w:firstLine="720"/>
        <w:jc w:val="both"/>
        <w:rPr>
          <w:bCs/>
          <w:szCs w:val="28"/>
        </w:rPr>
      </w:pPr>
      <w:r w:rsidRPr="006B73A6">
        <w:rPr>
          <w:b/>
          <w:bCs/>
          <w:szCs w:val="28"/>
        </w:rPr>
        <w:t>1.10. Khai thuế, khoản thu khác đối với hoạt động dầu khí và bán dầu khí</w:t>
      </w:r>
      <w:r w:rsidRPr="006B73A6">
        <w:rPr>
          <w:bCs/>
          <w:szCs w:val="28"/>
        </w:rPr>
        <w:t xml:space="preserve"> </w:t>
      </w:r>
      <w:r w:rsidRPr="00F43D01">
        <w:rPr>
          <w:b/>
          <w:bCs/>
          <w:szCs w:val="28"/>
        </w:rPr>
        <w:t xml:space="preserve">(tại Điều 13): </w:t>
      </w:r>
      <w:r w:rsidRPr="006B73A6">
        <w:rPr>
          <w:bCs/>
          <w:szCs w:val="28"/>
        </w:rPr>
        <w:t>gồm 05 khoản cơ bản kế thừa quy định tại Điều 8 Nghị định số 126/2020/NĐ-CP trong đó:</w:t>
      </w:r>
    </w:p>
    <w:p w14:paraId="1A00CF6A"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bổ sung loại thuế, khoản thu khác thuộc trường hợp khai theo từng lần phát sinh gồm: (1) tiền đền bù do không thực hiện đầy đủ cam kết tối thiểu của nhà thầu trong hợp đồng dầu khí; phí nghiên cứu của nước chủ nhà trong hợp đồng dầu khí và các khoản thu khác phù hợp với Thỏa thuận </w:t>
      </w:r>
      <w:r w:rsidRPr="006B73A6">
        <w:rPr>
          <w:bCs/>
          <w:szCs w:val="28"/>
        </w:rPr>
        <w:lastRenderedPageBreak/>
        <w:t xml:space="preserve">bằng văn bản được ký kết nhân danh Nhà nước hoặc Chính phủ nước Cộng hòa xã hội chủ nghĩa Việt Nam với bên ký kết nước ngoài; (2) Thuế xuất khẩu </w:t>
      </w:r>
      <w:r>
        <w:rPr>
          <w:bCs/>
          <w:szCs w:val="28"/>
        </w:rPr>
        <w:t xml:space="preserve">đối với </w:t>
      </w:r>
      <w:r w:rsidRPr="006B73A6">
        <w:rPr>
          <w:bCs/>
          <w:szCs w:val="28"/>
        </w:rPr>
        <w:t>dầu khí. Trường hợp dầu khí chưa có giá chính thức tại thời điểm đăng ký tờ khai hải quan, người nộp thuế được tạm nộp thuế trước khi thông quan hoặc giải phóng hàng, sau khi có giá chính thức thì người nộp thuế kê khai điều chỉnh chênh lệch (nếu có). </w:t>
      </w:r>
    </w:p>
    <w:p w14:paraId="2C21CE3B"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Các loại thuế, khoản thu khác đối với hoạt động dầu khí</w:t>
      </w:r>
      <w:r w:rsidRPr="006B73A6">
        <w:rPr>
          <w:b/>
          <w:bCs/>
          <w:szCs w:val="28"/>
        </w:rPr>
        <w:t xml:space="preserve"> </w:t>
      </w:r>
      <w:r w:rsidRPr="006B73A6">
        <w:rPr>
          <w:bCs/>
          <w:szCs w:val="28"/>
        </w:rPr>
        <w:t>(bao gồm thuế đặc biệt theo Hiệp định giữa Chính phủ Cộng hoà xã hội chủ nghĩa Việt Nam và Chính phủ Liên bang Nga) khai theo tháng, khai theo quý, khai theo từng lần phát sinh nghĩa vụ thuế và khai quyết toán thuế</w:t>
      </w:r>
    </w:p>
    <w:p w14:paraId="27F1742B" w14:textId="7ABD9639" w:rsidR="00ED0B58" w:rsidRPr="006B73A6" w:rsidRDefault="00ED0B58" w:rsidP="00ED0B58">
      <w:pPr>
        <w:spacing w:before="120" w:after="120" w:line="276" w:lineRule="auto"/>
        <w:ind w:firstLine="720"/>
        <w:jc w:val="both"/>
        <w:rPr>
          <w:bCs/>
          <w:szCs w:val="28"/>
        </w:rPr>
      </w:pPr>
      <w:r w:rsidRPr="006B73A6">
        <w:rPr>
          <w:b/>
          <w:bCs/>
          <w:szCs w:val="28"/>
        </w:rPr>
        <w:t xml:space="preserve">1.11. Đồng tiền khai thuế, khoản thu khác; nộp thuế, khoản thu khác đối với hoạt động dầu khí và bán dầu khí; tỷ giá khai thuế, khoản thu khác quy đổi; tỷ giá tính thuế đối với hàng hóa xuất khẩu, nhập khẩu </w:t>
      </w:r>
      <w:r w:rsidRPr="00F43D01">
        <w:rPr>
          <w:b/>
          <w:bCs/>
          <w:szCs w:val="28"/>
        </w:rPr>
        <w:t>(tại Điều 14):</w:t>
      </w:r>
      <w:r w:rsidRPr="006B73A6">
        <w:rPr>
          <w:bCs/>
          <w:szCs w:val="28"/>
        </w:rPr>
        <w:t xml:space="preserve"> gồm </w:t>
      </w:r>
      <w:r>
        <w:rPr>
          <w:bCs/>
          <w:szCs w:val="28"/>
        </w:rPr>
        <w:t>0</w:t>
      </w:r>
      <w:r w:rsidRPr="006B73A6">
        <w:rPr>
          <w:bCs/>
          <w:szCs w:val="28"/>
        </w:rPr>
        <w:t>4 khoản cơ bản kế thừa Điều 4 Thông tư số 80/2021/TT-BTC và quy định Nghị định về áp dụng thuế thu nhập doanh nghiệp bổ sung theo quy định chống xói mòn cơ sở thuế toàn cầu, trong đó:</w:t>
      </w:r>
    </w:p>
    <w:p w14:paraId="75025B14"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bổ sung quy định về tỷ giá khai thuế quy đổi </w:t>
      </w:r>
      <w:r w:rsidRPr="00F43A0D">
        <w:rPr>
          <w:szCs w:val="28"/>
        </w:rPr>
        <w:t>đố</w:t>
      </w:r>
      <w:r w:rsidRPr="006B73A6">
        <w:rPr>
          <w:bCs/>
          <w:szCs w:val="28"/>
        </w:rPr>
        <w:t>i với trường hợp người nộp thuế khai bổ sung hồ sơ khai thuế theo quy định của pháp luật quản lý thuế, người nộp thuế thực hiện điều chỉnh nghĩa vụ thuế theo kết luận, quyết định của cơ quan có thẩm quyền thì áp dụng tỷ giá tại hồ sơ khai thuế lần đầu đã được cơ quan thuế chấp nhận</w:t>
      </w:r>
      <w:r>
        <w:rPr>
          <w:bCs/>
          <w:szCs w:val="28"/>
        </w:rPr>
        <w:t>.</w:t>
      </w:r>
    </w:p>
    <w:p w14:paraId="766CF6B6"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(1) sửa đổi quy định về đồng tiền khai thuế đối với</w:t>
      </w:r>
      <w:r w:rsidRPr="006B73A6">
        <w:rPr>
          <w:b/>
          <w:bCs/>
          <w:i/>
          <w:iCs/>
          <w:szCs w:val="28"/>
        </w:rPr>
        <w:t xml:space="preserve"> </w:t>
      </w:r>
      <w:r w:rsidRPr="006B73A6">
        <w:rPr>
          <w:bCs/>
          <w:szCs w:val="28"/>
        </w:rPr>
        <w:t>hoạt động dầu khí và bán dầu khí; (2) sửa đổi quy đinh về đồng tiền nộp thuế, khoản thu khác đối với hoạt động dầu khí và bán dầu khí; (3) sửa đổi quy định về tỷ giá khai thuế quy đổi đối với hoạt động dầu khí và bán dầu khí</w:t>
      </w:r>
      <w:r>
        <w:rPr>
          <w:bCs/>
          <w:szCs w:val="28"/>
        </w:rPr>
        <w:t>.</w:t>
      </w:r>
    </w:p>
    <w:p w14:paraId="4D41AC69"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Đồng tiền khai thuế, khoản thu khác là Đồng Việt Nam trừ một số trường hợp khai thuế bằng ngoại tệ; Tỷ giá khai thuế quy đổi đối với thuế thu nhập doanh nghiệp bổ sung; đối với hàng hoá xuất khẩu, nhập khẩu.</w:t>
      </w:r>
    </w:p>
    <w:p w14:paraId="6B802191" w14:textId="5B0929F6" w:rsidR="00ED0B58" w:rsidRPr="006B73A6" w:rsidRDefault="00ED0B58" w:rsidP="00ED0B58">
      <w:pPr>
        <w:spacing w:before="120" w:after="120" w:line="276" w:lineRule="auto"/>
        <w:ind w:firstLine="720"/>
        <w:jc w:val="both"/>
        <w:rPr>
          <w:bCs/>
          <w:szCs w:val="28"/>
        </w:rPr>
      </w:pPr>
      <w:r w:rsidRPr="006B73A6">
        <w:rPr>
          <w:b/>
          <w:bCs/>
          <w:szCs w:val="28"/>
        </w:rPr>
        <w:t xml:space="preserve">1.12. Phân bổ nghĩa vụ thuế, khoản thu khác </w:t>
      </w:r>
      <w:r w:rsidRPr="00F43D01">
        <w:rPr>
          <w:b/>
          <w:bCs/>
          <w:szCs w:val="28"/>
        </w:rPr>
        <w:t>(tại Điều 15):</w:t>
      </w:r>
      <w:r w:rsidRPr="009C1B86">
        <w:rPr>
          <w:bCs/>
          <w:szCs w:val="28"/>
        </w:rPr>
        <w:t xml:space="preserve"> </w:t>
      </w:r>
      <w:r w:rsidRPr="006B73A6">
        <w:rPr>
          <w:bCs/>
          <w:szCs w:val="28"/>
        </w:rPr>
        <w:t xml:space="preserve">gồm </w:t>
      </w:r>
      <w:r>
        <w:rPr>
          <w:bCs/>
          <w:szCs w:val="28"/>
        </w:rPr>
        <w:t>0</w:t>
      </w:r>
      <w:r w:rsidRPr="006B73A6">
        <w:rPr>
          <w:bCs/>
          <w:szCs w:val="28"/>
        </w:rPr>
        <w:t>3 khoản kế thừa quy định tại khoản 3 Điều 42 và khoản 1, 4 Điều 45 Luật QLT số 38/2019/QH14, khoản 1 Điều 11 Nghị định số 126/2020/NĐ-CP về nguyên tắc phân bổ thuế và quy định tại khoản 2 các Điều từ Điều 12 đến Điều 19 Thông tư số 80/2021/TT-BTC về các trường hợp phải phân bổ thuế đối với NNT có hoạt động kinh doanh, đơn vị phụ thuộc, địa điểm kinh doanh khác tỉnh, thành phố với trụ sở chính, trong đó:</w:t>
      </w:r>
    </w:p>
    <w:p w14:paraId="2D94A752" w14:textId="77777777" w:rsidR="00ED0B58" w:rsidRPr="009C1B86" w:rsidRDefault="00ED0B58" w:rsidP="00ED0B58">
      <w:pPr>
        <w:spacing w:before="120" w:after="120" w:line="276" w:lineRule="auto"/>
        <w:ind w:firstLine="720"/>
        <w:jc w:val="both"/>
        <w:rPr>
          <w:szCs w:val="28"/>
        </w:rPr>
      </w:pPr>
      <w:r w:rsidRPr="006B73A6">
        <w:rPr>
          <w:b/>
          <w:bCs/>
          <w:szCs w:val="28"/>
        </w:rPr>
        <w:lastRenderedPageBreak/>
        <w:t xml:space="preserve">- </w:t>
      </w:r>
      <w:r w:rsidRPr="006B73A6">
        <w:rPr>
          <w:bCs/>
          <w:szCs w:val="28"/>
        </w:rPr>
        <w:t xml:space="preserve"> Nội dung sửa đổi quy định hiện hành: (1) sửa đổi quy định người nộp thuế không phải thực hiện phân bổ thuế giá trị gia tăng đối với hoạt động xây dựng trong khu phi thuế quan, tư vấn, khảo sát, thiết kế, kế toán, bảo hiểm; (2) sửa đổi quy định người nộp thuế thực hiện phân bổ trong trường hợp đơn vị phụ thuộc, địa điểm kinh doanh là cơ sở sản xuất và hoạt động kinh doanh khác phát sinh hoạt động bán hàng, phát sinh doanh thu trên địa bàn nhận phân bổ; (3) sửa đổi quy định về cơ sở sản xuất quy định tại điểm này là cơ sở </w:t>
      </w:r>
      <w:r w:rsidRPr="009C1B86">
        <w:rPr>
          <w:szCs w:val="28"/>
        </w:rPr>
        <w:t>có nhà máy sản xuất ra sản phẩm bao gồm cả sản phẩm gia công, lắp ráp; sản xuất điện mặt trời mái nhà</w:t>
      </w:r>
      <w:r>
        <w:rPr>
          <w:szCs w:val="28"/>
        </w:rPr>
        <w:t>.</w:t>
      </w:r>
      <w:r w:rsidRPr="009C1B86">
        <w:rPr>
          <w:szCs w:val="28"/>
        </w:rPr>
        <w:t> </w:t>
      </w:r>
    </w:p>
    <w:p w14:paraId="3AE3C124"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Người nộp thuế thực hiện khai, tính thuế tại cơ quan thuế quản lý trực tiếp hoặc cơ quan thuế quản lý khoản thu. Trường hợp người nộp thuế hạch toán tập trung tại trụ sở chính nhưng có hoạt động kinh doanh, đơn vị phụ thuộc hoặc địa điểm kinh doanh tại tỉnh khác và thuộc diện phải phân bổ thuế, thì thực hiện khai thuế tại cơ quan thuế quản lý trụ sở chính (hoặc cơ quan thuế quản lý khoản thu) và thực hiện phân bổ số thuế phải nộp theo từng địa phương được hưởng nguồn thu ngân sách nhà nước; (2) Các trường hợp phải phân bổ thuế</w:t>
      </w:r>
    </w:p>
    <w:p w14:paraId="4E755F70" w14:textId="39B2CEE2" w:rsidR="00ED0B58" w:rsidRPr="006B73A6" w:rsidRDefault="00ED0B58" w:rsidP="00ED0B58">
      <w:pPr>
        <w:spacing w:before="120" w:after="120" w:line="276" w:lineRule="auto"/>
        <w:ind w:firstLine="720"/>
        <w:jc w:val="both"/>
        <w:rPr>
          <w:bCs/>
          <w:szCs w:val="28"/>
        </w:rPr>
      </w:pPr>
      <w:r w:rsidRPr="006B73A6">
        <w:rPr>
          <w:b/>
          <w:bCs/>
          <w:szCs w:val="28"/>
        </w:rPr>
        <w:t xml:space="preserve">1.13. Các trường hợp cơ quan quản lý thuế tính thuế, khoản thu khác và thông báo nộp thuế, khoản thu khác theo hồ sơ khai thuế, khoản thu khác của người nộp thuế </w:t>
      </w:r>
      <w:r w:rsidRPr="00F43D01">
        <w:rPr>
          <w:b/>
          <w:bCs/>
          <w:szCs w:val="28"/>
        </w:rPr>
        <w:t>(tại Điều 16):</w:t>
      </w:r>
      <w:r w:rsidRPr="009C1B86">
        <w:rPr>
          <w:bCs/>
          <w:szCs w:val="28"/>
        </w:rPr>
        <w:t xml:space="preserve"> </w:t>
      </w:r>
      <w:r w:rsidRPr="006B73A6">
        <w:rPr>
          <w:bCs/>
          <w:szCs w:val="28"/>
        </w:rPr>
        <w:t>gồm 02 khoản cơ bản giữ như hiện hành trong đó:</w:t>
      </w:r>
    </w:p>
    <w:p w14:paraId="07DB31F8"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quy định thời hạn cơ quan thuế ban hành thông báo nộp thuế, khoản thu khác đối với trường hợp chưa có giá tính lệ phí trước bạ thì thời hạn chậm nhất là 05 ngày làm việc; (2) đối với các trường hợp quy định tại khoản 10 Điều 11 Nghị định này, cơ quan thuế tính thuế, khoản thu khác và thông báo nộp thuế, khoản thu khác theo thời hạn quy định tại điểm b khoản này, thời điểm bắt đầu tính thời hạn là ngày cơ quan thuế đã kết nối, sử dụng được đủ thông tin để tính thuế trong các cơ sở dữ liệu quốc gia, cơ sở dữ liệu cơ quan nhà nước có thẩm quyền và hệ thống thông tin quản lý thuế.</w:t>
      </w:r>
    </w:p>
    <w:p w14:paraId="7F18A83E"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đinh hiện hành: sửa cụm từ “thuế” thành “thuế và khoản thu khác”</w:t>
      </w:r>
    </w:p>
    <w:p w14:paraId="6FFB58B8"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các trường hợp cơ quan thuế tính và thông báo; (2) Trình tự, thủ tục, tiếp nhận và xử lý hồ sơ</w:t>
      </w:r>
      <w:r>
        <w:rPr>
          <w:bCs/>
          <w:szCs w:val="28"/>
        </w:rPr>
        <w:t>.</w:t>
      </w:r>
    </w:p>
    <w:p w14:paraId="188770F9" w14:textId="42500E35" w:rsidR="00ED0B58" w:rsidRPr="006B73A6" w:rsidRDefault="00ED0B58" w:rsidP="00ED0B58">
      <w:pPr>
        <w:spacing w:before="120" w:after="120" w:line="276" w:lineRule="auto"/>
        <w:ind w:firstLine="720"/>
        <w:jc w:val="both"/>
        <w:rPr>
          <w:bCs/>
          <w:szCs w:val="28"/>
        </w:rPr>
      </w:pPr>
      <w:r w:rsidRPr="006B73A6">
        <w:rPr>
          <w:b/>
          <w:bCs/>
          <w:szCs w:val="28"/>
        </w:rPr>
        <w:t xml:space="preserve">1.14. Các trường hợp cơ quan quản lý thuế tính thuế, thông báo nộp thuế theo hồ sơ xác định nghĩa vụ tài chính do cơ quan quản lý nhà nước có </w:t>
      </w:r>
      <w:r w:rsidRPr="006B73A6">
        <w:rPr>
          <w:b/>
          <w:bCs/>
          <w:szCs w:val="28"/>
        </w:rPr>
        <w:lastRenderedPageBreak/>
        <w:t xml:space="preserve">thẩm quyền chuyển đến </w:t>
      </w:r>
      <w:r w:rsidRPr="00F43D01">
        <w:rPr>
          <w:b/>
          <w:bCs/>
          <w:szCs w:val="28"/>
        </w:rPr>
        <w:t xml:space="preserve">(tại Điều 17): </w:t>
      </w:r>
      <w:r w:rsidRPr="006B73A6">
        <w:rPr>
          <w:bCs/>
          <w:szCs w:val="28"/>
        </w:rPr>
        <w:t>gồm 03 khoản, cơ bản kế thừa quy định tại Điều 13 Nghị định số 126/2020/NĐ-CP, trong đó:</w:t>
      </w:r>
    </w:p>
    <w:p w14:paraId="1F05CA1D"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bổ sung trường </w:t>
      </w:r>
      <w:r w:rsidRPr="00F20DC7">
        <w:rPr>
          <w:bCs/>
          <w:color w:val="EE0000"/>
          <w:szCs w:val="28"/>
        </w:rPr>
        <w:t xml:space="preserve">thuế sử dụng đất phi nông nghiệp </w:t>
      </w:r>
      <w:r w:rsidRPr="00F20DC7">
        <w:rPr>
          <w:color w:val="EE0000"/>
          <w:szCs w:val="28"/>
        </w:rPr>
        <w:t>trường hợp hồ sơ xác định nghĩa vụ tài chính, phiếu chuyển thông tin do cơ quan có thẩm quyền chuyển đến đảm bảo đủ căn cứ để tính thuế quy định tại khoản 10 Điều 11 Nghị định này</w:t>
      </w:r>
      <w:r w:rsidRPr="00F20DC7">
        <w:rPr>
          <w:szCs w:val="28"/>
        </w:rPr>
        <w:t>;</w:t>
      </w:r>
      <w:r>
        <w:rPr>
          <w:b/>
          <w:bCs/>
          <w:szCs w:val="28"/>
        </w:rPr>
        <w:t xml:space="preserve"> </w:t>
      </w:r>
      <w:r w:rsidRPr="006B73A6">
        <w:rPr>
          <w:bCs/>
          <w:szCs w:val="28"/>
        </w:rPr>
        <w:t>khoản tiền tương đương tiền chậm nộp tiền sử dụng đất, tiền thuê đất theo quy định của pháp luật về tiền sử dụng đất, tiền thuê đất; (2) Trong các văn bản đề nghị của người nộp thuế, phiếu chuyển thông tin theo quy trình luân chuyển hồ sơ xác định nghĩa vụ tài chính về đất đai do Ủy ban nhân dân cấp tỉnh quy định phải có đủ thông tin làm cơ sở để cơ quan thuế tính và thông báo số tiền thuế, khoản thu khác phải nộp quy định tại khoản 1 Điều này, người nộp thuế không phải nộp hồ sơ khai thuế. </w:t>
      </w:r>
    </w:p>
    <w:p w14:paraId="3C278337"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sửa đổi trình tự tiếp nhận đối với</w:t>
      </w:r>
      <w:r w:rsidRPr="006B73A6">
        <w:rPr>
          <w:b/>
          <w:bCs/>
          <w:i/>
          <w:iCs/>
          <w:szCs w:val="28"/>
        </w:rPr>
        <w:t xml:space="preserve"> </w:t>
      </w:r>
      <w:r w:rsidRPr="006B73A6">
        <w:rPr>
          <w:bCs/>
          <w:szCs w:val="28"/>
        </w:rPr>
        <w:t>cơ quan tiếp nhận và xử lý hồ sơ</w:t>
      </w:r>
      <w:r>
        <w:rPr>
          <w:bCs/>
          <w:szCs w:val="28"/>
        </w:rPr>
        <w:t>.</w:t>
      </w:r>
    </w:p>
    <w:p w14:paraId="52E1B629"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Trường hợp cơ quan thuế tính thuế, khoản thu khác và thông báo số tiền thuế, khoản thu khác phải nộp theo hồ sơ xác định nghĩa vụ tài chính do cơ quan quản lý nhà nước có thẩm quyền chuyển đến; Thời hạn cơ quan thuế ban hành thông báo nộp thuế, khoản thu khác</w:t>
      </w:r>
      <w:r>
        <w:rPr>
          <w:bCs/>
          <w:szCs w:val="28"/>
        </w:rPr>
        <w:t>.</w:t>
      </w:r>
    </w:p>
    <w:p w14:paraId="3816334A" w14:textId="78C625CE" w:rsidR="00ED0B58" w:rsidRPr="006B73A6" w:rsidRDefault="00ED0B58" w:rsidP="00ED0B58">
      <w:pPr>
        <w:spacing w:before="120" w:after="120" w:line="276" w:lineRule="auto"/>
        <w:ind w:firstLine="720"/>
        <w:jc w:val="both"/>
        <w:rPr>
          <w:bCs/>
          <w:szCs w:val="28"/>
        </w:rPr>
      </w:pPr>
      <w:r w:rsidRPr="006B73A6">
        <w:rPr>
          <w:b/>
          <w:bCs/>
          <w:szCs w:val="28"/>
        </w:rPr>
        <w:t>1.15. C</w:t>
      </w:r>
      <w:r>
        <w:rPr>
          <w:b/>
          <w:bCs/>
          <w:szCs w:val="28"/>
        </w:rPr>
        <w:t>ơ quan thuế</w:t>
      </w:r>
      <w:r w:rsidRPr="006B73A6">
        <w:rPr>
          <w:b/>
          <w:bCs/>
          <w:szCs w:val="28"/>
        </w:rPr>
        <w:t xml:space="preserve"> </w:t>
      </w:r>
      <w:r>
        <w:rPr>
          <w:b/>
          <w:bCs/>
          <w:szCs w:val="28"/>
        </w:rPr>
        <w:t>thông báo số tiền thuế, khoản thu khác phải nộp</w:t>
      </w:r>
      <w:r w:rsidRPr="006B73A6">
        <w:rPr>
          <w:b/>
          <w:bCs/>
          <w:szCs w:val="28"/>
        </w:rPr>
        <w:t xml:space="preserve"> theo hồ sơ nghĩa vụ tài chính do cơ quan khác chuyển </w:t>
      </w:r>
      <w:r w:rsidRPr="00F43D01">
        <w:rPr>
          <w:b/>
          <w:bCs/>
          <w:szCs w:val="28"/>
        </w:rPr>
        <w:t>đến (Điều 18):</w:t>
      </w:r>
      <w:r w:rsidRPr="006B73A6">
        <w:rPr>
          <w:b/>
          <w:bCs/>
          <w:szCs w:val="28"/>
        </w:rPr>
        <w:t xml:space="preserve"> </w:t>
      </w:r>
      <w:r w:rsidRPr="006B73A6">
        <w:rPr>
          <w:bCs/>
          <w:szCs w:val="28"/>
        </w:rPr>
        <w:t>gồm 02 khoản cơ bản kế thừa khoản 3 Điều 13 Nghị định số 126/2020/NĐ-CP, trong đó:</w:t>
      </w:r>
    </w:p>
    <w:p w14:paraId="46BA630B"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bổ sung trường hợp là các khoản thu khác thuộc ngân sách nhà nước theo quy định pháp luật.</w:t>
      </w:r>
    </w:p>
    <w:p w14:paraId="77766992"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Trường hợp cơ quan thuế thông báo số tiền thuế, khoản thu khác phải nộp theo văn bản tính thuế, khoản thu khác của cơ quan quản lý nhà nước có thẩm quyền chuyển đến; Trình tự, thủ tục, thời hạn cơ quan thuế ban hành thông báo nộp thuế, khoản thu khác.</w:t>
      </w:r>
    </w:p>
    <w:p w14:paraId="14BCF84F" w14:textId="5E84D78F" w:rsidR="00ED0B58" w:rsidRPr="006B73A6" w:rsidRDefault="00ED0B58" w:rsidP="00ED0B58">
      <w:pPr>
        <w:spacing w:before="120" w:after="120" w:line="276" w:lineRule="auto"/>
        <w:ind w:firstLine="720"/>
        <w:jc w:val="both"/>
        <w:rPr>
          <w:bCs/>
          <w:szCs w:val="28"/>
        </w:rPr>
      </w:pPr>
      <w:r w:rsidRPr="006B73A6">
        <w:rPr>
          <w:b/>
          <w:bCs/>
          <w:szCs w:val="28"/>
        </w:rPr>
        <w:t>1.16. Trách nhiệm của người nộp thuế, cơ quan quản lý thuế, cơ quan có thẩm quyền trong trường hợp cơ quan quản lý thuế tính thuế, khoản thu khác, thông báo nộp thuế, khoản thu khác</w:t>
      </w:r>
      <w:r w:rsidRPr="006B73A6">
        <w:rPr>
          <w:bCs/>
          <w:szCs w:val="28"/>
        </w:rPr>
        <w:t xml:space="preserve"> </w:t>
      </w:r>
      <w:r w:rsidRPr="00F43D01">
        <w:rPr>
          <w:b/>
          <w:szCs w:val="28"/>
        </w:rPr>
        <w:t>(tại Điều 20):</w:t>
      </w:r>
      <w:r w:rsidRPr="006B73A6">
        <w:rPr>
          <w:bCs/>
          <w:szCs w:val="28"/>
        </w:rPr>
        <w:t xml:space="preserve"> gồm </w:t>
      </w:r>
      <w:r>
        <w:rPr>
          <w:bCs/>
          <w:szCs w:val="28"/>
        </w:rPr>
        <w:t>0</w:t>
      </w:r>
      <w:r w:rsidRPr="006B73A6">
        <w:rPr>
          <w:bCs/>
          <w:szCs w:val="28"/>
        </w:rPr>
        <w:t>2 khoản, cơ bản kế thừa quy định tại khoản 11 Điều 13 Nghị định số 126/2020/NĐ-CP trong đó:</w:t>
      </w:r>
    </w:p>
    <w:p w14:paraId="308EA253"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cơ quan thuế thực hiện điều chỉnh hoặc thu hồi Thông báo nộp thuế, khoản thu khác khi nhận được thông tin điều chỉnh từ cơ quan, người có thẩm quyền về việc điều chỉnh, bổ sung, thay thế, thu hồi hồ sơ xác định nghĩa vụ tài chính; (2) Công chức quản lý thuế chỉ chịu trách nhiệm về </w:t>
      </w:r>
      <w:r w:rsidRPr="006B73A6">
        <w:rPr>
          <w:bCs/>
          <w:szCs w:val="28"/>
        </w:rPr>
        <w:lastRenderedPageBreak/>
        <w:t>kết quả tính thuế, khoản thu khác, thông báo thuế, khoản thu khác trong phạm vi hồ sơ, tài liệu, thông tin của người nộp thuế cung cấp, thông tin của cơ quan nhà nước có thẩm quyền cung cấp và trong phạm vi cơ sở dữ liệu cơ quan thuế khai thác được tại thời điểm tính thuế, khoản thu khác; (3) trách nhiệm đối với cơ quan nhà nước có thẩm quyền trong việc</w:t>
      </w:r>
      <w:r w:rsidRPr="00107BCC">
        <w:rPr>
          <w:bCs/>
          <w:szCs w:val="28"/>
        </w:rPr>
        <w:t xml:space="preserve"> tiếp</w:t>
      </w:r>
      <w:r w:rsidRPr="006B73A6">
        <w:rPr>
          <w:bCs/>
          <w:szCs w:val="28"/>
        </w:rPr>
        <w:t xml:space="preserve"> nhận hồ sơ, thông tin khai thuế của người nộp thuế và chuyển đầy đủ, kịp thời thông tin xác định nghĩa vụ tài chính hoặc văn bản xác định nghĩa vụ phải nộp cho cơ quan quản lý thuế;</w:t>
      </w:r>
    </w:p>
    <w:p w14:paraId="6AF629C2"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trách nhiệm của người nộp thuế, cơ quan thuế và cơ quan nhà nước có thẩm quyền.</w:t>
      </w:r>
    </w:p>
    <w:p w14:paraId="00ACEEFE" w14:textId="23022C10" w:rsidR="00ED0B58" w:rsidRPr="006B73A6" w:rsidRDefault="00ED0B58" w:rsidP="00ED0B58">
      <w:pPr>
        <w:spacing w:before="120" w:after="120" w:line="276" w:lineRule="auto"/>
        <w:ind w:firstLine="720"/>
        <w:jc w:val="both"/>
        <w:rPr>
          <w:bCs/>
          <w:szCs w:val="28"/>
        </w:rPr>
      </w:pPr>
      <w:r w:rsidRPr="006B73A6">
        <w:rPr>
          <w:b/>
          <w:bCs/>
          <w:szCs w:val="28"/>
        </w:rPr>
        <w:t>1.17. Thời hạn nộp tiền đối với trường hợp cơ quan quản lý thuế tính thuế, khoản thu khác, thông báo nộp thuế, khoản thu khác</w:t>
      </w:r>
      <w:r>
        <w:rPr>
          <w:b/>
          <w:bCs/>
          <w:szCs w:val="28"/>
        </w:rPr>
        <w:t xml:space="preserve"> </w:t>
      </w:r>
      <w:r w:rsidRPr="00F43D01">
        <w:rPr>
          <w:b/>
          <w:bCs/>
          <w:szCs w:val="28"/>
        </w:rPr>
        <w:t>(tại Điều 21)</w:t>
      </w:r>
      <w:r w:rsidRPr="006B73A6">
        <w:rPr>
          <w:b/>
          <w:bCs/>
          <w:szCs w:val="28"/>
        </w:rPr>
        <w:t xml:space="preserve"> </w:t>
      </w:r>
      <w:r w:rsidRPr="006B73A6">
        <w:rPr>
          <w:bCs/>
          <w:szCs w:val="28"/>
        </w:rPr>
        <w:t>gồm </w:t>
      </w:r>
      <w:r>
        <w:rPr>
          <w:bCs/>
          <w:szCs w:val="28"/>
        </w:rPr>
        <w:t xml:space="preserve">07 </w:t>
      </w:r>
      <w:r w:rsidRPr="006B73A6">
        <w:rPr>
          <w:bCs/>
          <w:szCs w:val="28"/>
        </w:rPr>
        <w:t>khoản cơ bản kế thừa Điều 18 Nghị định số 126/2020/NĐ-CP trong đó:</w:t>
      </w:r>
    </w:p>
    <w:p w14:paraId="05592EF7"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w:t>
      </w:r>
      <w:r>
        <w:rPr>
          <w:bCs/>
          <w:szCs w:val="28"/>
        </w:rPr>
        <w:t xml:space="preserve"> </w:t>
      </w:r>
      <w:r w:rsidRPr="006B73A6">
        <w:rPr>
          <w:bCs/>
          <w:szCs w:val="28"/>
        </w:rPr>
        <w:t>(1) Trường hợp người sử dụng đất thuộc diện phải thuê đất theo quy định nhưng chưa có quyết định, hợp đồng thuê đất và chậm nộp hồ sơ khai tiền thuê đất, thì cơ quan thuế ban hành thông báo nộp tiền thuê đất cho toàn bộ thời gian đã sử dụng đất. Thời hạn nộp tiền thuê đất năm đầu tiên là 30 ngày kể từ ngày bắt đầu sử dụng đất; từ năm thứ hai trở đi thực hiện theo thời hạn nộp tiền thuê đất hằng năm theo quy định chung; (2) bổ sung quy định về thời hạn nộp tiền sử dụng đất và khoản tiền người sử dụng đất phải nộp bổ sung: Chậm nhất là 30 ngày kể từ ngày ban hành Thông báo nộp tiền sử dụng đất điều chỉnh, bổ sung, người sử dụng đất phải nộp 100% số tiền phải nộp chênh lệch tăng theo thông báo điều chỉnh, bổ sung và Trường hợp giao đất thông qua đấu giá quyền sử dụng đất, thời hạn nộp tiền là thời hạn trên Quyết định phê duyệt kết quả trúng đấu giá của cơ quan Nhà nước có thẩm quyền; (3) thời hạn nộp tiền cấp quyền khai thác tài nguyên nước:Trường hợp người nộp thuế chọn phương thức nộp tiền một lần cho cả thời gian được phê duyệt và được quy định trong quyết định phê duyệt tiền cấp quyền của cơ quan nhà nước có thẩm quyền thì chậm nhất là 90 ngày, kể từ ngày ban hành thông báo của cơ quan thuế.</w:t>
      </w:r>
    </w:p>
    <w:p w14:paraId="496B5F0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(1) Thời hạn nộp tiền thuê đất đối với Thông báo điều chỉnh, bổ sung: Trường hợp Thông báo điều chỉnh, bổ sung theo hồ sơ khai điều chỉnh của người nộp thuế thì thời hạn nộp tiền thuê đất theo thời hạn nộp của Thông báo lần đầu. Trường hợp Thông báo điều chỉnh, bổ sung theo văn bản của cơ quan nhà nước có thẩm quyền thì thời hạn nộp tiền thuê đất chênh lệch tăng chậm nhất là 30 ngày, kể từ ngày ban hành thông báo điều chỉnh, bổ sung; (2) Tiền cấp quyền khai thác khoáng sản, tiền sử dụng khu vực biển thực hiện theo quy định của pháp luật chuyên ngành; </w:t>
      </w:r>
    </w:p>
    <w:p w14:paraId="372A1FDE"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kế thừa: Thời hạn nộp đối với thuế sử dụng đất phi nông nghiệp, Thuế sử dụng đất nông nghiệp, Tiền thuê đất và khoản tiền người sử dụng đất phải nộp bổ sung; Tiền sử dụng đất và khoản tiền người sử dụng đất phải nộp bổ sung; Tiền cấp quyền khai thác tài nguyên nước;</w:t>
      </w:r>
      <w:r>
        <w:rPr>
          <w:bCs/>
          <w:szCs w:val="28"/>
        </w:rPr>
        <w:t xml:space="preserve"> </w:t>
      </w:r>
      <w:r w:rsidRPr="006B73A6">
        <w:rPr>
          <w:bCs/>
          <w:szCs w:val="28"/>
        </w:rPr>
        <w:t>Lệ phí trước bạ.</w:t>
      </w:r>
    </w:p>
    <w:p w14:paraId="66154D54" w14:textId="403C5DEF" w:rsidR="00ED0B58" w:rsidRPr="006B73A6" w:rsidRDefault="00ED0B58" w:rsidP="00ED0B58">
      <w:pPr>
        <w:spacing w:before="120" w:after="120" w:line="276" w:lineRule="auto"/>
        <w:ind w:firstLine="720"/>
        <w:jc w:val="both"/>
        <w:rPr>
          <w:bCs/>
          <w:szCs w:val="28"/>
        </w:rPr>
      </w:pPr>
      <w:r w:rsidRPr="006B73A6">
        <w:rPr>
          <w:b/>
          <w:bCs/>
          <w:szCs w:val="28"/>
        </w:rPr>
        <w:t xml:space="preserve">1.18. Các trường hợp khấu trừ, khai thuế thay, nộp thuế thay </w:t>
      </w:r>
      <w:r w:rsidRPr="00F43D01">
        <w:rPr>
          <w:b/>
          <w:bCs/>
          <w:szCs w:val="28"/>
        </w:rPr>
        <w:t xml:space="preserve">(Điều 22) </w:t>
      </w:r>
      <w:r w:rsidRPr="006B73A6">
        <w:rPr>
          <w:bCs/>
          <w:szCs w:val="28"/>
        </w:rPr>
        <w:t>gồm 02 khoản cơ bản kế thừa quy định tại khoản 4a Điều 42 Luật QLT số 38/2019/QH14 (đã được sửa đổi, bổ sung bởi Luật số 56/2024/QH15)</w:t>
      </w:r>
      <w:r w:rsidRPr="006B73A6">
        <w:rPr>
          <w:b/>
          <w:bCs/>
          <w:szCs w:val="28"/>
        </w:rPr>
        <w:t xml:space="preserve"> </w:t>
      </w:r>
      <w:r w:rsidRPr="006B73A6">
        <w:rPr>
          <w:bCs/>
          <w:szCs w:val="28"/>
        </w:rPr>
        <w:t>được sửa đổi, bổ sung theo hướng kế thừa Điều 7 Nghị định số 126/2020/NĐ-CP, trong đó:</w:t>
      </w:r>
    </w:p>
    <w:p w14:paraId="5A448CDF"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Bên nhận bảo đảm hoặc người mua tài sản bảo đảm theo thỏa thuận của pháp luật về dân sự quy định tại điểm g khoản 2 Điều 40 Luật Quản lý thuế, (2) Tổ chức bán đấu giá có trách nhiệm khấu trừ, nộp thay quy định tại điểm l khoản 3 Điều 40 Luật Quản lý thuế; (3) Các trường hợp phải hoàn thành nghĩa vụ thuế theo quy định tại Điều 27 Nghị định này, (4) Tổ chức tín dụng trong các trường hợp hàng hóa nhập khẩu thuộc đối tượng miễn thuế, không chịu thuế, người nộp thuế thế chấp để làm tài sản bảo đảm các khoản vay nhưng chưa kê khai, nộp thuế cho cơ quan hải quan, đến nay tổ chức tín dụng phải xử lý tài sản thế chấp để thu hồi nợ.</w:t>
      </w:r>
    </w:p>
    <w:p w14:paraId="12DD1C6F"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tổ chức là chủ quản nền tảng thương mại điện tử, nền tảng số nước ngoài, tổ chức kinh doanh tại Việt Nam áp dụng phương pháp tính thuế giá trị gia tăng theo phương pháp khấu trừ thuế mua dịch vụ của tổ chức nước ngoài thông qua nền tảng thương mại điện tử, nền tảng số phù hợp quy định của Luật thuế GTGT.</w:t>
      </w:r>
    </w:p>
    <w:p w14:paraId="4798847F"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về các trường hợp khai thuế thay, nộp thuế thay theo quy định tại Khoản 5 Điều 7 Nghị định số 126/2020/NĐ-CP.</w:t>
      </w:r>
    </w:p>
    <w:p w14:paraId="411FE27D" w14:textId="18E2F592" w:rsidR="00ED0B58" w:rsidRPr="006B73A6" w:rsidRDefault="00ED0B58" w:rsidP="00ED0B58">
      <w:pPr>
        <w:spacing w:before="120" w:after="120" w:line="276" w:lineRule="auto"/>
        <w:ind w:firstLine="720"/>
        <w:jc w:val="both"/>
        <w:rPr>
          <w:bCs/>
          <w:szCs w:val="28"/>
        </w:rPr>
      </w:pPr>
      <w:r w:rsidRPr="006B73A6">
        <w:rPr>
          <w:b/>
          <w:bCs/>
          <w:szCs w:val="28"/>
        </w:rPr>
        <w:t xml:space="preserve">1.19. Thời hạn nộp thuế, gia hạn nộp thuế, khoản thu khác, tiền chậm nộp, tiền phạt và gia hạn nộp thuế, khoản thu khác trong trường hợp đặc </w:t>
      </w:r>
      <w:r w:rsidRPr="00F43D01">
        <w:rPr>
          <w:b/>
          <w:bCs/>
          <w:szCs w:val="28"/>
        </w:rPr>
        <w:t>biệt (tại Điều 25)</w:t>
      </w:r>
      <w:r w:rsidRPr="006B73A6">
        <w:rPr>
          <w:b/>
          <w:bCs/>
          <w:szCs w:val="28"/>
        </w:rPr>
        <w:t xml:space="preserve"> </w:t>
      </w:r>
      <w:r w:rsidRPr="006B73A6">
        <w:rPr>
          <w:bCs/>
          <w:szCs w:val="28"/>
        </w:rPr>
        <w:t xml:space="preserve">gồm </w:t>
      </w:r>
      <w:r>
        <w:rPr>
          <w:bCs/>
          <w:szCs w:val="28"/>
        </w:rPr>
        <w:t xml:space="preserve">04 khoản </w:t>
      </w:r>
      <w:r w:rsidRPr="006B73A6">
        <w:rPr>
          <w:bCs/>
          <w:szCs w:val="28"/>
        </w:rPr>
        <w:t>được kế thừa các quy định tại Nghị định số 126/2020/NĐ-CP và nghị định hóa từ Thông tư số 80/2021/TT-BTC, trong đó: </w:t>
      </w:r>
    </w:p>
    <w:p w14:paraId="7F40B3E4"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Thời hạn nộp tiền thuế, khoản thu khác, tiền chậm nộp, tiền phạt đối với trường hợp người nộp thuế nộp tiền trực tiếp tại tổ chức được cơ quan quản lý thuế ủy nhiệm thu chậm nhất là 1 ngày làm việc.</w:t>
      </w:r>
    </w:p>
    <w:p w14:paraId="704233E7"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Thời hạn nộp thuế, (2) Thời hạn gia hạn nộp thuế, khoản thu khác, tiền chậm nộp, tiền phạt, (3) Gia hạn nộp thuế, khoản thu khác trong trường hợp đặc biệt </w:t>
      </w:r>
    </w:p>
    <w:p w14:paraId="36CE0B59" w14:textId="02AB19AD" w:rsidR="00ED0B58" w:rsidRPr="00AC1B81" w:rsidRDefault="00ED0B58" w:rsidP="00ED0B58">
      <w:pPr>
        <w:spacing w:before="120" w:after="120" w:line="276" w:lineRule="auto"/>
        <w:ind w:firstLine="720"/>
        <w:jc w:val="both"/>
        <w:rPr>
          <w:szCs w:val="28"/>
        </w:rPr>
      </w:pPr>
      <w:r w:rsidRPr="006B73A6">
        <w:rPr>
          <w:b/>
          <w:bCs/>
          <w:szCs w:val="28"/>
        </w:rPr>
        <w:lastRenderedPageBreak/>
        <w:t>1.2</w:t>
      </w:r>
      <w:r>
        <w:rPr>
          <w:b/>
          <w:bCs/>
          <w:szCs w:val="28"/>
        </w:rPr>
        <w:t>0</w:t>
      </w:r>
      <w:r w:rsidRPr="006B73A6">
        <w:rPr>
          <w:b/>
          <w:bCs/>
          <w:szCs w:val="28"/>
        </w:rPr>
        <w:t xml:space="preserve">. Thời gian tính tiền chậm nộp, các trường hợp không tính tiền chậm nộp, chưa tính tiền chậm nộp và điều chỉnh tiền chậm nộp </w:t>
      </w:r>
      <w:r w:rsidRPr="00F43D01">
        <w:rPr>
          <w:b/>
          <w:bCs/>
          <w:szCs w:val="28"/>
        </w:rPr>
        <w:t>(tại Điều 26)</w:t>
      </w:r>
      <w:r w:rsidRPr="00C170B8">
        <w:rPr>
          <w:szCs w:val="28"/>
        </w:rPr>
        <w:t xml:space="preserve"> gồm</w:t>
      </w:r>
      <w:r w:rsidRPr="00AC1B81">
        <w:rPr>
          <w:szCs w:val="28"/>
        </w:rPr>
        <w:t xml:space="preserve"> </w:t>
      </w:r>
      <w:r>
        <w:rPr>
          <w:szCs w:val="28"/>
        </w:rPr>
        <w:t>0</w:t>
      </w:r>
      <w:r w:rsidRPr="00AC1B81">
        <w:rPr>
          <w:szCs w:val="28"/>
        </w:rPr>
        <w:t>5 khoản, trong đó: </w:t>
      </w:r>
    </w:p>
    <w:p w14:paraId="19961480"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w:t>
      </w:r>
      <w:r w:rsidRPr="00EC3B6C">
        <w:rPr>
          <w:bCs/>
          <w:szCs w:val="28"/>
          <w:lang w:val="vi-VN"/>
        </w:rPr>
        <w:t>bổ sung mới</w:t>
      </w:r>
      <w:r w:rsidRPr="006B73A6">
        <w:rPr>
          <w:bCs/>
          <w:szCs w:val="28"/>
        </w:rPr>
        <w:t xml:space="preserve"> mới: (1).  bổ sung quy định tính tiền chậm nộp trường hợp cơ quan thanh tra, kiểm tra phát hiện doanh nghiệp tăng số thuế phải nộp so với quyết toán; (2) bổ sung quy định không tính tiền chậm nộp </w:t>
      </w:r>
      <w:r w:rsidRPr="00DB5B56">
        <w:rPr>
          <w:szCs w:val="28"/>
        </w:rPr>
        <w:t>người nộp thuế được khoanh nợ theo quy định tại điểm e khoản 1 Điều 20 Luật Quản lý thuế và trong thời gian khoanh nợ quy định tại Điều 34 Nghị định này</w:t>
      </w:r>
      <w:r>
        <w:rPr>
          <w:szCs w:val="28"/>
        </w:rPr>
        <w:t>;</w:t>
      </w:r>
      <w:r w:rsidRPr="00DB5B56">
        <w:rPr>
          <w:szCs w:val="28"/>
        </w:rPr>
        <w:t xml:space="preserve"> (</w:t>
      </w:r>
      <w:r w:rsidRPr="006B73A6">
        <w:rPr>
          <w:bCs/>
          <w:szCs w:val="28"/>
        </w:rPr>
        <w:t xml:space="preserve">3) bổ sung quy định không tính tiền chậm nộp đối với quy định tại </w:t>
      </w:r>
      <w:r w:rsidRPr="00C900AF">
        <w:rPr>
          <w:bCs/>
          <w:szCs w:val="28"/>
        </w:rPr>
        <w:t xml:space="preserve">điểm o khoản 1 Điều 37 Luật Quản lý thuế </w:t>
      </w:r>
      <w:r w:rsidRPr="00C900AF">
        <w:rPr>
          <w:bCs/>
          <w:color w:val="EE0000"/>
          <w:szCs w:val="28"/>
        </w:rPr>
        <w:t>và điểm a khoản 3 Điều này</w:t>
      </w:r>
      <w:r w:rsidRPr="00C900AF">
        <w:rPr>
          <w:bCs/>
          <w:szCs w:val="28"/>
        </w:rPr>
        <w:t>;</w:t>
      </w:r>
      <w:r w:rsidRPr="006B73A6">
        <w:rPr>
          <w:bCs/>
          <w:szCs w:val="28"/>
        </w:rPr>
        <w:t xml:space="preserve"> (4) bổ sung quy định theo các trường hợp đối với hàng hóa xuất khẩu, nhập khẩu.</w:t>
      </w:r>
    </w:p>
    <w:p w14:paraId="2D9D2AB3"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các trường hợp hướng dẫn theo khoản 2 Điều 15 Luật QLT; </w:t>
      </w:r>
    </w:p>
    <w:p w14:paraId="017BD159"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Chưa tính tiền chậm nộp trong thời gian khoanh nợ đối với các trường hợp được khoanh nợ; (2) Người nộp thuế khai bổ sung hồ sơ khai thuế làm giảm số tiền thuế, khoản thu khác phải nộp hoặc cơ quan quản lý thuế, cơ quan nhà nước, người có thẩm quyền xác định giảm nghĩa vụ nộp ngân sách nhà nước của người nộp thuế. </w:t>
      </w:r>
    </w:p>
    <w:p w14:paraId="061AFF47" w14:textId="4D3F363C"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1</w:t>
      </w:r>
      <w:r w:rsidRPr="006B73A6">
        <w:rPr>
          <w:b/>
          <w:bCs/>
          <w:szCs w:val="28"/>
        </w:rPr>
        <w:t xml:space="preserve">. Hoàn thành nghĩa vụ nộp thuế trong trường hợp xuất cảnh </w:t>
      </w:r>
      <w:r w:rsidRPr="00F43D01">
        <w:rPr>
          <w:b/>
          <w:bCs/>
          <w:szCs w:val="28"/>
        </w:rPr>
        <w:t xml:space="preserve">(tại Điều 28) </w:t>
      </w:r>
      <w:r w:rsidRPr="00AC1B81">
        <w:rPr>
          <w:szCs w:val="28"/>
        </w:rPr>
        <w:t xml:space="preserve">gồm </w:t>
      </w:r>
      <w:r>
        <w:rPr>
          <w:szCs w:val="28"/>
        </w:rPr>
        <w:t>0</w:t>
      </w:r>
      <w:r w:rsidRPr="00AC1B81">
        <w:rPr>
          <w:szCs w:val="28"/>
        </w:rPr>
        <w:t>3 khoản:</w:t>
      </w:r>
      <w:r w:rsidRPr="006B73A6">
        <w:rPr>
          <w:b/>
          <w:bCs/>
          <w:szCs w:val="28"/>
        </w:rPr>
        <w:t xml:space="preserve"> </w:t>
      </w:r>
      <w:r w:rsidRPr="006B73A6">
        <w:rPr>
          <w:bCs/>
          <w:szCs w:val="28"/>
        </w:rPr>
        <w:t>được kế thừa Điều 3 Nghị định 49/2025/NĐ-CP về các trường hợp tạm hoãn xuất cảnh; khoản 2, khoản 3 Điều 21 Nghị định 126/2020/NĐ-CP về thẩm quyền quyết định và trình tự, thủ tục thực hiện tạm hoãn xuất cảnh, gia hạn tạm hoãn xuất cảnh, hủy bỏ tạm hoãn xuất cảnh.</w:t>
      </w:r>
    </w:p>
    <w:p w14:paraId="54C00642" w14:textId="44095C88"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2</w:t>
      </w:r>
      <w:r w:rsidRPr="006B73A6">
        <w:rPr>
          <w:b/>
          <w:bCs/>
          <w:szCs w:val="28"/>
        </w:rPr>
        <w:t xml:space="preserve">. Các trường hợp hoàn thuế, không hoàn </w:t>
      </w:r>
      <w:r w:rsidRPr="00F43D01">
        <w:rPr>
          <w:b/>
          <w:bCs/>
          <w:szCs w:val="28"/>
        </w:rPr>
        <w:t>thuế (tại Điều 29)</w:t>
      </w:r>
      <w:r>
        <w:rPr>
          <w:b/>
          <w:bCs/>
          <w:szCs w:val="28"/>
        </w:rPr>
        <w:t xml:space="preserve"> </w:t>
      </w:r>
      <w:r w:rsidRPr="00AC1B81">
        <w:rPr>
          <w:szCs w:val="28"/>
        </w:rPr>
        <w:t xml:space="preserve">gồm </w:t>
      </w:r>
      <w:r>
        <w:rPr>
          <w:szCs w:val="28"/>
        </w:rPr>
        <w:t>0</w:t>
      </w:r>
      <w:r w:rsidRPr="00AC1B81">
        <w:rPr>
          <w:szCs w:val="28"/>
        </w:rPr>
        <w:t>5 khoản, trong đó:</w:t>
      </w:r>
      <w:r w:rsidRPr="006B73A6">
        <w:rPr>
          <w:b/>
          <w:bCs/>
          <w:szCs w:val="28"/>
        </w:rPr>
        <w:t> </w:t>
      </w:r>
    </w:p>
    <w:p w14:paraId="65BCF18A"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w:t>
      </w:r>
      <w:r w:rsidRPr="006B73A6">
        <w:rPr>
          <w:b/>
          <w:bCs/>
          <w:szCs w:val="28"/>
        </w:rPr>
        <w:t xml:space="preserve"> </w:t>
      </w:r>
      <w:r w:rsidRPr="006B73A6">
        <w:rPr>
          <w:bCs/>
          <w:szCs w:val="28"/>
        </w:rPr>
        <w:t>bổ sung quy định hoàn thuế bảo vệ môi trường;</w:t>
      </w:r>
      <w:r>
        <w:rPr>
          <w:bCs/>
          <w:szCs w:val="28"/>
        </w:rPr>
        <w:t xml:space="preserve"> </w:t>
      </w:r>
      <w:r w:rsidRPr="006B73A6">
        <w:rPr>
          <w:bCs/>
          <w:szCs w:val="28"/>
        </w:rPr>
        <w:t>(2) bổ sung trường hợp hoàn trả cho cá nhân; (3) bổ sung quy định không hoàn thuế mà thực hiện bù trừ vào kỳ tiếp theo đối với trường cá nhân, hộ kinh doanh, cá nhân kinh doanh có số tiền nộp thừa nhỏ (từ 50.000 đồng trở xuống); (4) không hoàn thuế đối với hàng xuất khẩu, nhập khẩu bị tịch thu do vi phạm pháp luật, số tiền thuế được hoàn dưới mức tối thiểu,</w:t>
      </w:r>
    </w:p>
    <w:p w14:paraId="1C8B3ABD"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Các trường hợp hoàn nộp thừa quy định tại điểm b khoản 1 Điều 18 Luật Quản lý thuế.</w:t>
      </w:r>
    </w:p>
    <w:p w14:paraId="245924F3" w14:textId="7D174C75" w:rsidR="00ED0B58" w:rsidRPr="00AC1B81" w:rsidRDefault="00ED0B58" w:rsidP="00ED0B58">
      <w:pPr>
        <w:spacing w:before="120" w:after="120" w:line="276" w:lineRule="auto"/>
        <w:ind w:firstLine="720"/>
        <w:jc w:val="both"/>
        <w:rPr>
          <w:szCs w:val="28"/>
        </w:rPr>
      </w:pPr>
      <w:r w:rsidRPr="006B73A6">
        <w:rPr>
          <w:b/>
          <w:bCs/>
          <w:szCs w:val="28"/>
        </w:rPr>
        <w:t>1.2</w:t>
      </w:r>
      <w:r>
        <w:rPr>
          <w:b/>
          <w:bCs/>
          <w:szCs w:val="28"/>
        </w:rPr>
        <w:t>3</w:t>
      </w:r>
      <w:r w:rsidRPr="006B73A6">
        <w:rPr>
          <w:b/>
          <w:bCs/>
          <w:szCs w:val="28"/>
        </w:rPr>
        <w:t xml:space="preserve">. Các trường hợp hoàn thuế trước hoặc kiểm tra trước hoàn thuế </w:t>
      </w:r>
      <w:r w:rsidRPr="00F43D01">
        <w:rPr>
          <w:b/>
          <w:bCs/>
          <w:szCs w:val="28"/>
        </w:rPr>
        <w:t>(tại Điều 30)</w:t>
      </w:r>
      <w:r>
        <w:rPr>
          <w:b/>
          <w:bCs/>
          <w:szCs w:val="28"/>
        </w:rPr>
        <w:t xml:space="preserve"> </w:t>
      </w:r>
      <w:r w:rsidRPr="00AC1B81">
        <w:rPr>
          <w:szCs w:val="28"/>
        </w:rPr>
        <w:t xml:space="preserve">gồm </w:t>
      </w:r>
      <w:r>
        <w:rPr>
          <w:szCs w:val="28"/>
        </w:rPr>
        <w:t>0</w:t>
      </w:r>
      <w:r w:rsidRPr="00AC1B81">
        <w:rPr>
          <w:szCs w:val="28"/>
        </w:rPr>
        <w:t>4 khoản, trong đó:</w:t>
      </w:r>
    </w:p>
    <w:p w14:paraId="0AEB5247"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xml:space="preserve">- Nội dung </w:t>
      </w:r>
      <w:r w:rsidRPr="00EC3B6C">
        <w:rPr>
          <w:bCs/>
          <w:szCs w:val="28"/>
          <w:lang w:val="vi-VN"/>
        </w:rPr>
        <w:t xml:space="preserve">bổ sung </w:t>
      </w:r>
      <w:r w:rsidRPr="006B73A6">
        <w:rPr>
          <w:bCs/>
          <w:szCs w:val="28"/>
        </w:rPr>
        <w:t>mới: bổ sung trường hợp “số tiền đề nghị hoàn được xác định có rủi ro cao trong quản lý thuế”.</w:t>
      </w:r>
    </w:p>
    <w:p w14:paraId="00C012A9"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quy định hoàn thuế lần đầu theo từng dự án đầu tư, từng trường hợp hoàn thuế; bổ sung trường hợp “số tiền đề nghị hoàn được xác định có rủi ro cao trong quản lý thuế”.</w:t>
      </w:r>
    </w:p>
    <w:p w14:paraId="63989EF4"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Các trường hợp hoàn thuế trước cho người nộp thuế là hồ sơ hoàn thuế không thuộc trường hợp kiểm tra trước hoàn thuế; (2) Các trường hợp kiểm tra trước hoàn thuế đối với hàng hóa xuất khẩu, nhập khẩu thuộc thẩm quyền của cơ quan hải qua.</w:t>
      </w:r>
    </w:p>
    <w:p w14:paraId="7116F45E" w14:textId="6342A2D3"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4</w:t>
      </w:r>
      <w:r w:rsidRPr="006B73A6">
        <w:rPr>
          <w:b/>
          <w:bCs/>
          <w:szCs w:val="28"/>
        </w:rPr>
        <w:t>. Thời hạn tiếp nhận, giải quyết và phản hồi thông tin hồ sơ hoàn thuế của cơ quan quản lý thuế (</w:t>
      </w:r>
      <w:r>
        <w:rPr>
          <w:b/>
          <w:bCs/>
          <w:szCs w:val="28"/>
        </w:rPr>
        <w:t>t</w:t>
      </w:r>
      <w:r w:rsidRPr="006B73A6">
        <w:rPr>
          <w:b/>
          <w:bCs/>
          <w:szCs w:val="28"/>
        </w:rPr>
        <w:t>ại Điều 31)</w:t>
      </w:r>
      <w:r>
        <w:rPr>
          <w:b/>
          <w:bCs/>
          <w:szCs w:val="28"/>
        </w:rPr>
        <w:t xml:space="preserve"> </w:t>
      </w:r>
      <w:r w:rsidRPr="00AC1B81">
        <w:rPr>
          <w:szCs w:val="28"/>
        </w:rPr>
        <w:t xml:space="preserve">gồm </w:t>
      </w:r>
      <w:r>
        <w:rPr>
          <w:szCs w:val="28"/>
        </w:rPr>
        <w:t>0</w:t>
      </w:r>
      <w:r w:rsidRPr="00AC1B81">
        <w:rPr>
          <w:szCs w:val="28"/>
        </w:rPr>
        <w:t>3 khoản, trong đó:</w:t>
      </w:r>
      <w:r w:rsidRPr="006B73A6">
        <w:rPr>
          <w:b/>
          <w:bCs/>
          <w:szCs w:val="28"/>
        </w:rPr>
        <w:t xml:space="preserve"> </w:t>
      </w:r>
      <w:r w:rsidRPr="006B73A6">
        <w:rPr>
          <w:bCs/>
          <w:szCs w:val="28"/>
        </w:rPr>
        <w:t>cơ bản kế thừa khoản 3 Điều 72 Luật QLT 38/2019/QH14, nghị định hóa từ Điều 32 Thông tư 80/2021/TT-BTC về tiếp nhận hồ sơ hoàn thuế; Điều 75 Luật QLT 38/2019/QH14, cụ thể:</w:t>
      </w:r>
    </w:p>
    <w:p w14:paraId="18A9BDE0" w14:textId="77777777" w:rsidR="00ED0B58" w:rsidRPr="006B73A6" w:rsidRDefault="00ED0B58" w:rsidP="00ED0B58">
      <w:pPr>
        <w:spacing w:before="120" w:after="120" w:line="276" w:lineRule="auto"/>
        <w:ind w:firstLine="720"/>
        <w:jc w:val="both"/>
        <w:rPr>
          <w:bCs/>
          <w:szCs w:val="28"/>
        </w:rPr>
      </w:pPr>
      <w:r>
        <w:rPr>
          <w:bCs/>
          <w:szCs w:val="28"/>
        </w:rPr>
        <w:t xml:space="preserve">- </w:t>
      </w:r>
      <w:r w:rsidRPr="006B73A6">
        <w:rPr>
          <w:bCs/>
          <w:szCs w:val="28"/>
        </w:rPr>
        <w:t>Nội dung sửa đổi</w:t>
      </w:r>
      <w:r>
        <w:rPr>
          <w:bCs/>
          <w:szCs w:val="28"/>
        </w:rPr>
        <w:t xml:space="preserve"> quy định hiện hành</w:t>
      </w:r>
      <w:r w:rsidRPr="006B73A6">
        <w:rPr>
          <w:bCs/>
          <w:szCs w:val="28"/>
        </w:rPr>
        <w:t>: trường hợp thuộc diện kiểm tra trước hoàn thuế</w:t>
      </w:r>
    </w:p>
    <w:p w14:paraId="42E5FA70" w14:textId="77777777" w:rsidR="00ED0B58" w:rsidRPr="006B73A6" w:rsidRDefault="00ED0B58" w:rsidP="00ED0B58">
      <w:pPr>
        <w:spacing w:before="120" w:after="120" w:line="276" w:lineRule="auto"/>
        <w:ind w:firstLine="720"/>
        <w:jc w:val="both"/>
        <w:rPr>
          <w:bCs/>
          <w:szCs w:val="28"/>
        </w:rPr>
      </w:pPr>
      <w:r>
        <w:rPr>
          <w:bCs/>
          <w:szCs w:val="28"/>
        </w:rPr>
        <w:t xml:space="preserve">- </w:t>
      </w:r>
      <w:r w:rsidRPr="006B73A6">
        <w:rPr>
          <w:bCs/>
          <w:szCs w:val="28"/>
        </w:rPr>
        <w:t>Nội dung kế thừa: (1) Thời hạn tiếp nhận hồ sơ hoàn thuế; (2) Thời hạn giải quyết hồ sơ hoàn thuế.</w:t>
      </w:r>
    </w:p>
    <w:p w14:paraId="0BC58025" w14:textId="1E311B2E" w:rsidR="00ED0B58" w:rsidRPr="00AC1B81" w:rsidRDefault="00ED0B58" w:rsidP="00ED0B58">
      <w:pPr>
        <w:spacing w:before="120" w:after="120" w:line="276" w:lineRule="auto"/>
        <w:ind w:firstLine="720"/>
        <w:jc w:val="both"/>
        <w:rPr>
          <w:szCs w:val="28"/>
        </w:rPr>
      </w:pPr>
      <w:r w:rsidRPr="006B73A6">
        <w:rPr>
          <w:b/>
          <w:bCs/>
          <w:szCs w:val="28"/>
        </w:rPr>
        <w:t>1.2</w:t>
      </w:r>
      <w:r>
        <w:rPr>
          <w:b/>
          <w:bCs/>
          <w:szCs w:val="28"/>
        </w:rPr>
        <w:t>5</w:t>
      </w:r>
      <w:r w:rsidRPr="006B73A6">
        <w:rPr>
          <w:b/>
          <w:bCs/>
          <w:szCs w:val="28"/>
        </w:rPr>
        <w:t xml:space="preserve">. Các trường hợp miễn thuế, giảm thuế, không thu thuế, không chịu thuế (Tại Điều 32) </w:t>
      </w:r>
      <w:r w:rsidRPr="00AC1B81">
        <w:rPr>
          <w:szCs w:val="28"/>
        </w:rPr>
        <w:t xml:space="preserve">gồm </w:t>
      </w:r>
      <w:r>
        <w:rPr>
          <w:szCs w:val="28"/>
        </w:rPr>
        <w:t>0</w:t>
      </w:r>
      <w:r w:rsidRPr="00AC1B81">
        <w:rPr>
          <w:szCs w:val="28"/>
        </w:rPr>
        <w:t>3 khoản trong đó: </w:t>
      </w:r>
    </w:p>
    <w:p w14:paraId="32D1BCAC"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w:t>
      </w:r>
      <w:r>
        <w:rPr>
          <w:bCs/>
          <w:szCs w:val="28"/>
        </w:rPr>
        <w:t xml:space="preserve"> mới</w:t>
      </w:r>
      <w:r w:rsidRPr="006B73A6">
        <w:rPr>
          <w:bCs/>
          <w:szCs w:val="28"/>
        </w:rPr>
        <w:t>: (1) quy định trường hợp miễn thuế, giảm thuế, không thu thuế, không chịu thuế đối với hàng hóa xuất khẩu, hàng hóa nhập khẩu; (2) miễn thuế, giảm thuế theo quy định tại các Nghị quyết của Quốc hội, Quyết định của Thủ tướng Chính phủ; (30 Bổ sung quy định miễn thuế đối với hộ kinh doanh, cá nhân kinh doanh có tiền thuế phải nộp từ 50.000 đồng trở xuống.</w:t>
      </w:r>
    </w:p>
    <w:p w14:paraId="333FD2EC"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Các trường hợp miễn thuế, giảm thuế thuộc thẩm quyền của cơ quan thuế thực hiện theo quy định của pháp luật về thuế, pháp luật phí, lệ phí, pháp luật khác có liên quan; (2) Miễn thuế, giảm thuế theo quy định của Hiệp định tránh đánh thuế hai lần và Điều ước quốc tế khác; (3) Miễn thuế thu nhập cá nhân đối với cá nhân có số tiền thuế phát sinh phải nộp hằng năm sau quyết toán thuế thu nhập cá nhân từ tiền lương, tiền công trên hồ sơ khai thuế từ 50.000 đồng trở xuống; (4) Miễn thuế sử dụng đất phi nông nghiệp đối với hộ gia đình, cá nhân thuộc đối tượng nộp thuế sử dụng đất phi nông nghiệp có số tiền thuế phải nộp hằng năm từ 50.000 đồng trở xuống.</w:t>
      </w:r>
    </w:p>
    <w:p w14:paraId="328B89AB" w14:textId="63693636" w:rsidR="00ED0B58" w:rsidRPr="00AC1B81" w:rsidRDefault="00ED0B58" w:rsidP="00ED0B58">
      <w:pPr>
        <w:spacing w:before="120" w:after="120" w:line="276" w:lineRule="auto"/>
        <w:ind w:firstLine="720"/>
        <w:jc w:val="both"/>
        <w:rPr>
          <w:szCs w:val="28"/>
        </w:rPr>
      </w:pPr>
      <w:r w:rsidRPr="006B73A6">
        <w:rPr>
          <w:b/>
          <w:bCs/>
          <w:szCs w:val="28"/>
        </w:rPr>
        <w:lastRenderedPageBreak/>
        <w:t>1.2</w:t>
      </w:r>
      <w:r>
        <w:rPr>
          <w:b/>
          <w:bCs/>
          <w:szCs w:val="28"/>
        </w:rPr>
        <w:t>6</w:t>
      </w:r>
      <w:r w:rsidRPr="006B73A6">
        <w:rPr>
          <w:b/>
          <w:bCs/>
          <w:szCs w:val="28"/>
        </w:rPr>
        <w:t>. Thời hạn tiếp nhận, giải quyết hồ sơ miễn thuế, giảm thuế, không chịu thuế, không thu thuế (</w:t>
      </w:r>
      <w:r>
        <w:rPr>
          <w:b/>
          <w:bCs/>
          <w:szCs w:val="28"/>
        </w:rPr>
        <w:t>t</w:t>
      </w:r>
      <w:r w:rsidRPr="006B73A6">
        <w:rPr>
          <w:b/>
          <w:bCs/>
          <w:szCs w:val="28"/>
        </w:rPr>
        <w:t xml:space="preserve">ại Điều 33) </w:t>
      </w:r>
      <w:r w:rsidRPr="00AC1B81">
        <w:rPr>
          <w:szCs w:val="28"/>
        </w:rPr>
        <w:t xml:space="preserve">bao gồm </w:t>
      </w:r>
      <w:r>
        <w:rPr>
          <w:szCs w:val="28"/>
        </w:rPr>
        <w:t>0</w:t>
      </w:r>
      <w:r w:rsidRPr="00AC1B81">
        <w:rPr>
          <w:szCs w:val="28"/>
        </w:rPr>
        <w:t>4 khoản, trong đó: </w:t>
      </w:r>
    </w:p>
    <w:p w14:paraId="2E2D281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thời hạn giải quyết hồ sơ miễn thuế, giảm thuế đối với trường hợp hồ sơ miễn thuế, giảm thuế của người nộp thuế có rủi ro cao thuộc trường hợp quy định tại điểm a khoản 3 Điều 22 Luật QLT.</w:t>
      </w:r>
    </w:p>
    <w:p w14:paraId="15687C7D"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kế thừa Điều 64 Thông tư 80/2021/TT-BTC về (1) thời hạn và (2) trả kết quả giải quyết hồ sơ miễn thuế, giảm thuế. </w:t>
      </w:r>
    </w:p>
    <w:p w14:paraId="647C715E" w14:textId="62BAED9E"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7</w:t>
      </w:r>
      <w:r w:rsidRPr="006B73A6">
        <w:rPr>
          <w:b/>
          <w:bCs/>
          <w:szCs w:val="28"/>
        </w:rPr>
        <w:t>. Khoanh tiền thuế nợ (</w:t>
      </w:r>
      <w:r>
        <w:rPr>
          <w:b/>
          <w:bCs/>
          <w:szCs w:val="28"/>
        </w:rPr>
        <w:t>t</w:t>
      </w:r>
      <w:r w:rsidRPr="006B73A6">
        <w:rPr>
          <w:b/>
          <w:bCs/>
          <w:szCs w:val="28"/>
        </w:rPr>
        <w:t xml:space="preserve">ại Điều 34) </w:t>
      </w:r>
      <w:r w:rsidRPr="00AC1B81">
        <w:rPr>
          <w:szCs w:val="28"/>
        </w:rPr>
        <w:t xml:space="preserve">gồm </w:t>
      </w:r>
      <w:r>
        <w:rPr>
          <w:szCs w:val="28"/>
        </w:rPr>
        <w:t>0</w:t>
      </w:r>
      <w:r w:rsidRPr="00AC1B81">
        <w:rPr>
          <w:szCs w:val="28"/>
        </w:rPr>
        <w:t>7 khoản</w:t>
      </w:r>
      <w:r w:rsidRPr="006B73A6">
        <w:rPr>
          <w:bCs/>
          <w:szCs w:val="28"/>
        </w:rPr>
        <w:t>, trong đó:</w:t>
      </w:r>
    </w:p>
    <w:p w14:paraId="15161890" w14:textId="77777777" w:rsidR="00ED0B58" w:rsidRPr="006B73A6" w:rsidRDefault="00ED0B58" w:rsidP="00ED0B58">
      <w:pPr>
        <w:spacing w:before="120" w:after="120" w:line="276" w:lineRule="auto"/>
        <w:ind w:firstLine="720"/>
        <w:jc w:val="both"/>
        <w:rPr>
          <w:bCs/>
          <w:szCs w:val="28"/>
        </w:rPr>
      </w:pPr>
      <w:r w:rsidRPr="006B73A6">
        <w:rPr>
          <w:bCs/>
          <w:szCs w:val="28"/>
        </w:rPr>
        <w:t>- Nội dung</w:t>
      </w:r>
      <w:r>
        <w:rPr>
          <w:bCs/>
          <w:szCs w:val="28"/>
        </w:rPr>
        <w:t xml:space="preserve"> </w:t>
      </w:r>
      <w:r w:rsidRPr="00EC3B6C">
        <w:rPr>
          <w:bCs/>
          <w:szCs w:val="28"/>
          <w:lang w:val="vi-VN"/>
        </w:rPr>
        <w:t>bổ sung mới</w:t>
      </w:r>
      <w:r w:rsidRPr="006B73A6">
        <w:rPr>
          <w:bCs/>
          <w:szCs w:val="28"/>
        </w:rPr>
        <w:t>: (1) bổ sung quy định chi tiết việc khoanh nợ trường hợp bị hạn chế quyền khai thác, sử dụng đất đai, khoáng sản do nguyên nhân từ cơ quan nhà nước có thẩm quyền; (2) bổ sung thời gian khoanh nợ; (3) số tiền thuế nợ được khoanh; (4) bổ sung các trường hợp chấm dứt hiệu lực quyết định khoanh nợ.</w:t>
      </w:r>
    </w:p>
    <w:p w14:paraId="0BB917FE"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sửa đổi, bổ sung về các trường hợp khoanh nợ được thực hiện theo quy định tại khoản 1 Điều 20 Luật QLT; (2) sửa đổi thời gian khoanh nợ đối với trường hợp tại điểm a, b, c, d, đ khoản 1 Điều 20 Luật QLT; (3) sửa đổi, bổ sung nội dung về số tiền thuế nợ được khoanh cho từng trường hợp khoanh nợ để đảm bảo có cơ sở xác định số tiền thuế nợ được khoanh trong từng trường hợp; (4) sửa đổi, bổ sung quy định về các trường hợp chấm dứt hiệu lực của quyết định khoanh tiền thuế nợ (bổ sung trường hợp tòa án quyết định không mở thủ tục phá sản hoặc đình chỉ thủ tục phá sản,</w:t>
      </w:r>
      <w:r w:rsidRPr="006B73A6">
        <w:rPr>
          <w:b/>
          <w:bCs/>
          <w:szCs w:val="28"/>
        </w:rPr>
        <w:t xml:space="preserve"> </w:t>
      </w:r>
      <w:r w:rsidRPr="006B73A6">
        <w:rPr>
          <w:bCs/>
          <w:szCs w:val="28"/>
        </w:rPr>
        <w:t>tòa án công nhận phương án phục hồi hoạt động kinh doanh hoặc đình chỉ thủ tục phục hồi hoạt động kinh doanh theo quy định tại điểm a, b, c, d khoản 1 Điều 37 Luật Phục hồi, phá sản số 142/2025/QH15; (3) trường hợp NNT đã được khoanh nợ quy định tại khoản 1 Điều 20 Luật QLT nhưng không còn nợ số tiền thuế nợ đã khoanh; (4) trường hợp Cơ quan nhà nước có thẩm quyền xác nhận về việc người nộp thuế đã triển khai được dự án hoặc đã thực hiện khai thác khoáng sản.</w:t>
      </w:r>
    </w:p>
    <w:p w14:paraId="56DA3048"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quy định về khoanh tiền thuế nợ tại Luật QLT 38/2019/QH14 và Nghị định 126/2020/NĐ-CP và sửa đổi, bổ sung về các trường hợp khoanh nợ được thực hiện theo quy định tại khoản 1 Điều 20 Luật QLT; </w:t>
      </w:r>
    </w:p>
    <w:p w14:paraId="0B7B1F2A" w14:textId="133116F5"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8</w:t>
      </w:r>
      <w:r w:rsidRPr="006B73A6">
        <w:rPr>
          <w:b/>
          <w:bCs/>
          <w:szCs w:val="28"/>
        </w:rPr>
        <w:t>. Xóa tiền thuế nợ</w:t>
      </w:r>
      <w:r w:rsidRPr="006B73A6">
        <w:rPr>
          <w:bCs/>
          <w:szCs w:val="28"/>
        </w:rPr>
        <w:t xml:space="preserve"> </w:t>
      </w:r>
      <w:r w:rsidRPr="00471439">
        <w:rPr>
          <w:b/>
          <w:szCs w:val="28"/>
        </w:rPr>
        <w:t>(tại Điều 35)</w:t>
      </w:r>
      <w:r w:rsidRPr="006B73A6">
        <w:rPr>
          <w:bCs/>
          <w:szCs w:val="28"/>
        </w:rPr>
        <w:t xml:space="preserve"> gồm </w:t>
      </w:r>
      <w:r>
        <w:rPr>
          <w:bCs/>
          <w:szCs w:val="28"/>
        </w:rPr>
        <w:t>0</w:t>
      </w:r>
      <w:r w:rsidRPr="006B73A6">
        <w:rPr>
          <w:bCs/>
          <w:szCs w:val="28"/>
        </w:rPr>
        <w:t>7 khoản trong đó, cơ bản kế thừa quy định về trường hợp đối với các trường</w:t>
      </w:r>
      <w:r w:rsidRPr="006B73A6">
        <w:rPr>
          <w:b/>
          <w:bCs/>
          <w:szCs w:val="28"/>
        </w:rPr>
        <w:t xml:space="preserve"> </w:t>
      </w:r>
      <w:r w:rsidRPr="006B73A6">
        <w:rPr>
          <w:bCs/>
          <w:szCs w:val="28"/>
        </w:rPr>
        <w:t xml:space="preserve">hợp bị ảnh hưởng do thiên tai, thảm họa, dịch bệnh có phạm vi rộng tại Điều 24 Nghị định số 126/2020/NĐ-CP; Điều 87, 88 Luật QLT 38/2019/QH14 về thẩm quyền và thời hạn xóa nợ tiền thuế; </w:t>
      </w:r>
      <w:r w:rsidRPr="006B73A6">
        <w:rPr>
          <w:bCs/>
          <w:szCs w:val="28"/>
        </w:rPr>
        <w:lastRenderedPageBreak/>
        <w:t>Điều 25 Nghị định 126/2020/NĐ-CP về trách nhiệm phối hợp của các tổ chức, cá nhân trong việc thu hồi tiền thuế nợ đã được xóa, cụ thể:</w:t>
      </w:r>
    </w:p>
    <w:p w14:paraId="0D673C0B"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bổ sung </w:t>
      </w:r>
      <w:r>
        <w:rPr>
          <w:bCs/>
          <w:szCs w:val="28"/>
        </w:rPr>
        <w:t xml:space="preserve">điều kiện xóa </w:t>
      </w:r>
      <w:r w:rsidRPr="000537FE">
        <w:rPr>
          <w:bCs/>
          <w:color w:val="EE0000"/>
          <w:szCs w:val="28"/>
        </w:rPr>
        <w:t>các khoản nợ tiền cấp quyền khai thác khoáng sản, tiền sử dụng đất, tiền thuê đất, tiền sử dụng khu vực biển, tiền thuế sử dụng đất phi nông nghiệp, tiền chậm nộp phát sinh;</w:t>
      </w:r>
      <w:r w:rsidRPr="006B73A6">
        <w:rPr>
          <w:bCs/>
          <w:szCs w:val="28"/>
        </w:rPr>
        <w:t xml:space="preserve"> (2) bổ sung quy định không tính tiền chậm nộp</w:t>
      </w:r>
      <w:r>
        <w:rPr>
          <w:bCs/>
          <w:szCs w:val="28"/>
        </w:rPr>
        <w:t>;</w:t>
      </w:r>
      <w:r w:rsidRPr="006B73A6">
        <w:rPr>
          <w:bCs/>
          <w:szCs w:val="28"/>
        </w:rPr>
        <w:t xml:space="preserve"> (3) bổ sung quy định người có thẩm quyền quyết định xóa tiền thuế nợ</w:t>
      </w:r>
      <w:r>
        <w:rPr>
          <w:bCs/>
          <w:szCs w:val="28"/>
        </w:rPr>
        <w:t xml:space="preserve"> </w:t>
      </w:r>
      <w:r w:rsidRPr="00EF6FC2">
        <w:rPr>
          <w:bCs/>
          <w:color w:val="EE0000"/>
          <w:szCs w:val="28"/>
        </w:rPr>
        <w:t>thì có thẩm quyền quyết định phục hồi tiền thuế nợ đã được xóa.</w:t>
      </w:r>
    </w:p>
    <w:p w14:paraId="4C7724C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quy định về điều kiện xóa tiền thuế nợ; (2) sửa đổi quy định về thẩm quyền xóa tiền thuế nợ</w:t>
      </w:r>
      <w:r w:rsidRPr="00EF6FC2">
        <w:rPr>
          <w:bCs/>
          <w:szCs w:val="28"/>
        </w:rPr>
        <w:t xml:space="preserve">; (3) sửa đổi quy định về trách nhiệm phối hợp của cơ quan đăng ký kinh doanh trong việc </w:t>
      </w:r>
      <w:r w:rsidRPr="00EF6FC2">
        <w:rPr>
          <w:bCs/>
          <w:color w:val="EE0000"/>
          <w:szCs w:val="28"/>
        </w:rPr>
        <w:t>không cấp giấy chứng nhận đăng ký doanh nghiệp, hợp tác xã, hộ kinh doanh.</w:t>
      </w:r>
    </w:p>
    <w:p w14:paraId="11CB85CC"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trường hợp đối với các trường</w:t>
      </w:r>
      <w:r w:rsidRPr="006B73A6">
        <w:rPr>
          <w:b/>
          <w:bCs/>
          <w:szCs w:val="28"/>
        </w:rPr>
        <w:t xml:space="preserve"> </w:t>
      </w:r>
      <w:r w:rsidRPr="006B73A6">
        <w:rPr>
          <w:bCs/>
          <w:szCs w:val="28"/>
        </w:rPr>
        <w:t>hợp bị ảnh hưởng do thiên tai, thảm họa, dịch bệnh có phạm vi rộng tại Điều 24 Nghị định số 126/2020/NĐ-CP.</w:t>
      </w:r>
    </w:p>
    <w:p w14:paraId="47D894DD" w14:textId="6B3A5DAF"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29</w:t>
      </w:r>
      <w:r w:rsidRPr="006B73A6">
        <w:rPr>
          <w:b/>
          <w:bCs/>
          <w:szCs w:val="28"/>
        </w:rPr>
        <w:t>. Căn cứ ấn định, phương pháp ấn định thuế của cơ quan thuế (</w:t>
      </w:r>
      <w:r>
        <w:rPr>
          <w:b/>
          <w:bCs/>
          <w:szCs w:val="28"/>
        </w:rPr>
        <w:t>t</w:t>
      </w:r>
      <w:r w:rsidRPr="006B73A6">
        <w:rPr>
          <w:b/>
          <w:bCs/>
          <w:szCs w:val="28"/>
        </w:rPr>
        <w:t xml:space="preserve">ại Điều 36) </w:t>
      </w:r>
      <w:r w:rsidRPr="00B048A7">
        <w:rPr>
          <w:szCs w:val="28"/>
        </w:rPr>
        <w:t xml:space="preserve">gồm </w:t>
      </w:r>
      <w:r>
        <w:rPr>
          <w:szCs w:val="28"/>
        </w:rPr>
        <w:t>0</w:t>
      </w:r>
      <w:r w:rsidRPr="00B048A7">
        <w:rPr>
          <w:szCs w:val="28"/>
        </w:rPr>
        <w:t>2 khoản, cơ bản kế thừa Điều 15 Luật QLT số 38/2019/QH14 quy định về căn cứ ấn định thuế, cụ thể:</w:t>
      </w:r>
      <w:r w:rsidRPr="006B73A6">
        <w:rPr>
          <w:bCs/>
          <w:szCs w:val="28"/>
        </w:rPr>
        <w:t> </w:t>
      </w:r>
    </w:p>
    <w:p w14:paraId="5AD3AD23"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quy định căn cứ ấn định (bổ sung tỷ suất lợi nhuận); (2) phương pháp ấn định số tiền thuế phải nộp theo tỷ lệ trên doanh thu đối với NNT nộp thuế GTGT theo phương pháp trực tiếp, nộp thuế TNCN theo thuế suất nhân doanh thu tính thuế, nộp thuế thu nhập doanh nghiệp theo tỷ lệ % trên doanh thu hoặc thuế suất nhân giá trị gia tăng bị ấn định số tiền thuế phải nộp theo tỷ lệ trên doanh thu khi thuộc một trong các trường hợp quy định tại điểm a, b, c, d, đ, e, g và h khoản 2 Điều 24 Luật QLT.</w:t>
      </w:r>
    </w:p>
    <w:p w14:paraId="05A6032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căn cứ ấn định thuế tại Điều 15 Luật QLT số 38/2019/QH14 </w:t>
      </w:r>
    </w:p>
    <w:p w14:paraId="4CD427DE" w14:textId="1632F50C" w:rsidR="00ED0B58" w:rsidRPr="006B73A6" w:rsidRDefault="00ED0B58" w:rsidP="00ED0B58">
      <w:pPr>
        <w:spacing w:before="120" w:after="120" w:line="276" w:lineRule="auto"/>
        <w:ind w:firstLine="720"/>
        <w:jc w:val="both"/>
        <w:rPr>
          <w:b/>
          <w:bCs/>
          <w:szCs w:val="28"/>
        </w:rPr>
      </w:pPr>
      <w:r w:rsidRPr="006B73A6">
        <w:rPr>
          <w:b/>
          <w:bCs/>
          <w:szCs w:val="28"/>
        </w:rPr>
        <w:t>1.3</w:t>
      </w:r>
      <w:r>
        <w:rPr>
          <w:b/>
          <w:bCs/>
          <w:szCs w:val="28"/>
        </w:rPr>
        <w:t>0</w:t>
      </w:r>
      <w:r w:rsidRPr="006B73A6">
        <w:rPr>
          <w:b/>
          <w:bCs/>
          <w:szCs w:val="28"/>
        </w:rPr>
        <w:t>. Thẩm quyền, thủ tục ấn định thuế của cơ quan thuế (</w:t>
      </w:r>
      <w:r>
        <w:rPr>
          <w:b/>
          <w:bCs/>
          <w:szCs w:val="28"/>
        </w:rPr>
        <w:t>t</w:t>
      </w:r>
      <w:r w:rsidRPr="006B73A6">
        <w:rPr>
          <w:b/>
          <w:bCs/>
          <w:szCs w:val="28"/>
        </w:rPr>
        <w:t xml:space="preserve">ại Điều 37) </w:t>
      </w:r>
      <w:r w:rsidRPr="00B048A7">
        <w:rPr>
          <w:szCs w:val="28"/>
        </w:rPr>
        <w:t xml:space="preserve">gồm </w:t>
      </w:r>
      <w:r>
        <w:rPr>
          <w:szCs w:val="28"/>
        </w:rPr>
        <w:t>0</w:t>
      </w:r>
      <w:r w:rsidRPr="00B048A7">
        <w:rPr>
          <w:szCs w:val="28"/>
        </w:rPr>
        <w:t>2 khoản, trong đó:</w:t>
      </w:r>
    </w:p>
    <w:p w14:paraId="020A3FAD" w14:textId="77777777" w:rsidR="00ED0B58" w:rsidRPr="006B73A6" w:rsidRDefault="00ED0B58" w:rsidP="00ED0B58">
      <w:pPr>
        <w:spacing w:before="120" w:after="120" w:line="276" w:lineRule="auto"/>
        <w:ind w:firstLine="720"/>
        <w:jc w:val="both"/>
        <w:rPr>
          <w:szCs w:val="28"/>
        </w:rPr>
      </w:pPr>
      <w:r w:rsidRPr="006B73A6">
        <w:rPr>
          <w:szCs w:val="28"/>
        </w:rPr>
        <w:t>- Nội dung sửa đổi</w:t>
      </w:r>
      <w:r>
        <w:rPr>
          <w:szCs w:val="28"/>
        </w:rPr>
        <w:t xml:space="preserve"> </w:t>
      </w:r>
      <w:r>
        <w:rPr>
          <w:bCs/>
          <w:szCs w:val="28"/>
        </w:rPr>
        <w:t>quy định hiện hành</w:t>
      </w:r>
      <w:r w:rsidRPr="006B73A6">
        <w:rPr>
          <w:szCs w:val="28"/>
        </w:rPr>
        <w:t>: sửa đổi thẩm quyền ấn định thuế cho thủ trưởng cơ quan thuế quy định tại điểm a khoản 2 Điều 2 Nghị định</w:t>
      </w:r>
      <w:r>
        <w:rPr>
          <w:szCs w:val="28"/>
        </w:rPr>
        <w:t xml:space="preserve"> này</w:t>
      </w:r>
      <w:r w:rsidRPr="006B73A6">
        <w:rPr>
          <w:szCs w:val="28"/>
        </w:rPr>
        <w:t>.</w:t>
      </w:r>
    </w:p>
    <w:p w14:paraId="5E398306" w14:textId="77777777" w:rsidR="00ED0B58" w:rsidRPr="006B73A6" w:rsidRDefault="00ED0B58" w:rsidP="00ED0B58">
      <w:pPr>
        <w:spacing w:before="120" w:after="120" w:line="276" w:lineRule="auto"/>
        <w:ind w:firstLine="720"/>
        <w:jc w:val="both"/>
        <w:rPr>
          <w:b/>
          <w:bCs/>
          <w:szCs w:val="28"/>
        </w:rPr>
      </w:pPr>
      <w:r w:rsidRPr="006B73A6">
        <w:rPr>
          <w:bCs/>
          <w:szCs w:val="28"/>
        </w:rPr>
        <w:t>- Nội dung kế thừa: kế thừa Điều 16 Luật QLT số 38/2019/QH14 quy định về thẩm quyền, thủ tục, quyết định ấn định thuế. </w:t>
      </w:r>
    </w:p>
    <w:p w14:paraId="5F645958" w14:textId="40A80E3A" w:rsidR="00ED0B58" w:rsidRPr="006B73A6" w:rsidRDefault="00ED0B58" w:rsidP="00ED0B58">
      <w:pPr>
        <w:spacing w:before="120" w:after="120" w:line="276" w:lineRule="auto"/>
        <w:ind w:firstLine="720"/>
        <w:jc w:val="both"/>
        <w:rPr>
          <w:bCs/>
          <w:szCs w:val="28"/>
        </w:rPr>
      </w:pPr>
      <w:r w:rsidRPr="006B73A6">
        <w:rPr>
          <w:b/>
          <w:bCs/>
          <w:szCs w:val="28"/>
        </w:rPr>
        <w:lastRenderedPageBreak/>
        <w:t>1.3</w:t>
      </w:r>
      <w:r>
        <w:rPr>
          <w:b/>
          <w:bCs/>
          <w:szCs w:val="28"/>
        </w:rPr>
        <w:t>1</w:t>
      </w:r>
      <w:r w:rsidRPr="006B73A6">
        <w:rPr>
          <w:b/>
          <w:bCs/>
          <w:szCs w:val="28"/>
        </w:rPr>
        <w:t>. Trách nhiệm của người nộp thuế, cơ quan thuế trong việc ấn định</w:t>
      </w:r>
      <w:r w:rsidRPr="006B73A6">
        <w:rPr>
          <w:bCs/>
          <w:szCs w:val="28"/>
        </w:rPr>
        <w:t xml:space="preserve"> </w:t>
      </w:r>
      <w:r w:rsidRPr="00B048A7">
        <w:rPr>
          <w:b/>
          <w:szCs w:val="28"/>
        </w:rPr>
        <w:t>(tại Điều 38)</w:t>
      </w:r>
      <w:r w:rsidRPr="006B73A6">
        <w:rPr>
          <w:bCs/>
          <w:szCs w:val="28"/>
        </w:rPr>
        <w:t xml:space="preserve"> bao gồm </w:t>
      </w:r>
      <w:r>
        <w:rPr>
          <w:bCs/>
          <w:szCs w:val="28"/>
        </w:rPr>
        <w:t>0</w:t>
      </w:r>
      <w:r w:rsidRPr="006B73A6">
        <w:rPr>
          <w:bCs/>
          <w:szCs w:val="28"/>
        </w:rPr>
        <w:t>2 khoản, trong đó: kế thừa quy định về trách nhiệm của người nộp thuế trong việc nộp số tiền thuế ấn định tại Điều 54 Luật QLT 38/2019/QH14, trách nhiệm của cơ quan quản lý thuế trong việc ấn định thuế tại Điều 53 Luật QLT 38/2019/QH14 và bỏ nội dung “thanh tra thuế” do đã bỏ chức năng thanh tra của cơ quan thuế. </w:t>
      </w:r>
    </w:p>
    <w:p w14:paraId="27C45F7C" w14:textId="42948653"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2.</w:t>
      </w:r>
      <w:r w:rsidRPr="006B73A6">
        <w:rPr>
          <w:b/>
          <w:bCs/>
          <w:szCs w:val="28"/>
        </w:rPr>
        <w:t xml:space="preserve"> Ấn định thuế đối với hàng hóa xuất khẩu, nhập khẩu (Tại Điều 39) </w:t>
      </w:r>
      <w:r w:rsidRPr="00473F7B">
        <w:rPr>
          <w:szCs w:val="28"/>
        </w:rPr>
        <w:t xml:space="preserve">bao gồm </w:t>
      </w:r>
      <w:r>
        <w:rPr>
          <w:szCs w:val="28"/>
        </w:rPr>
        <w:t>0</w:t>
      </w:r>
      <w:r w:rsidRPr="00473F7B">
        <w:rPr>
          <w:szCs w:val="28"/>
        </w:rPr>
        <w:t>8 khoản, trong đó:</w:t>
      </w:r>
      <w:r w:rsidRPr="006B73A6">
        <w:rPr>
          <w:bCs/>
          <w:szCs w:val="28"/>
        </w:rPr>
        <w:t> </w:t>
      </w:r>
    </w:p>
    <w:p w14:paraId="338FDBB5"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sửa đổi quy định về thẩm quyền ấn định thuế, quyết định ấn định thuế, hủy quyết định ấn định thuế.</w:t>
      </w:r>
    </w:p>
    <w:p w14:paraId="30EC896B"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ấn định thuế đối với hàng hóa xuất khẩu, nhập khẩu tại Điều 17 Nghị định 126/2020/NĐ-CP.</w:t>
      </w:r>
    </w:p>
    <w:p w14:paraId="7D609F77" w14:textId="5399AE32"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3.</w:t>
      </w:r>
      <w:r w:rsidRPr="006B73A6">
        <w:rPr>
          <w:b/>
          <w:bCs/>
          <w:szCs w:val="28"/>
        </w:rPr>
        <w:t xml:space="preserve"> Trực tiếp khai, tính, nộp thuế, tiền chậm nộp, tiền phạt của tổ chức nước ngoài có phát sinh doanh thu tại Việt Nam thông qua hoạt động kinh doanh trên nền tảng thương mại điện tử, nền tảng số</w:t>
      </w:r>
      <w:r w:rsidRPr="006B73A6">
        <w:rPr>
          <w:bCs/>
          <w:szCs w:val="28"/>
        </w:rPr>
        <w:t xml:space="preserve"> </w:t>
      </w:r>
      <w:r w:rsidRPr="00177C01">
        <w:rPr>
          <w:b/>
          <w:szCs w:val="28"/>
        </w:rPr>
        <w:t xml:space="preserve">(Tại Điều 40) </w:t>
      </w:r>
      <w:r w:rsidRPr="006B73A6">
        <w:rPr>
          <w:bCs/>
          <w:szCs w:val="28"/>
        </w:rPr>
        <w:t xml:space="preserve">bao gồm </w:t>
      </w:r>
      <w:r>
        <w:rPr>
          <w:bCs/>
          <w:szCs w:val="28"/>
        </w:rPr>
        <w:t>0</w:t>
      </w:r>
      <w:r w:rsidRPr="006B73A6">
        <w:rPr>
          <w:bCs/>
          <w:szCs w:val="28"/>
        </w:rPr>
        <w:t>6 khoản, trong đó:</w:t>
      </w:r>
    </w:p>
    <w:p w14:paraId="7ED29103"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w:t>
      </w:r>
      <w:r w:rsidRPr="00EC3B6C">
        <w:rPr>
          <w:bCs/>
          <w:szCs w:val="28"/>
          <w:lang w:val="vi-VN"/>
        </w:rPr>
        <w:t>bổ sung mới</w:t>
      </w:r>
      <w:r w:rsidRPr="006B73A6">
        <w:rPr>
          <w:bCs/>
          <w:szCs w:val="28"/>
        </w:rPr>
        <w:t>: (1) đăng ký thuế, khai thuế, tính, nộp thuế, trách nhiệm của nhà cung cấp ở nước ngoài, trường hợp nhà cung cấp ở nước ngoài thuộc nước hoặc vùng lãnh thổ đã ký kết Hiệp định tránh đánh thuế hai lần với Việt Nam; (2) bổ sung quy định khấu trừ, nộp thay của nhà cung cấp nước ngoài; (3) bổ sung trách nhiệm thông báo cho cơ quan thuế của Nhà cung cấp ở nước ngoài trường hợp chấm dứt hoạt động kinh doanh tại Việt Nam.</w:t>
      </w:r>
    </w:p>
    <w:p w14:paraId="6F1218C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Khai, nộp thuế nhà cung cấp nước ngoài khai, nộp thuế theo tháng. </w:t>
      </w:r>
    </w:p>
    <w:p w14:paraId="244E3BED"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đăng ký thực hiện giao dịch điện tử tại Điều 74 Thông tư 80/2021/TT-BTC và Nghị định 117/2025/NĐ-CP.</w:t>
      </w:r>
    </w:p>
    <w:p w14:paraId="685DC9A3" w14:textId="21EBA912"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4</w:t>
      </w:r>
      <w:r w:rsidRPr="006B73A6">
        <w:rPr>
          <w:b/>
          <w:bCs/>
          <w:szCs w:val="28"/>
        </w:rPr>
        <w:t xml:space="preserve">. Khấu trừ, nộp thuế thay đối với hoạt động kinh doanh trên nền tảng thương mại điện tử </w:t>
      </w:r>
      <w:r w:rsidRPr="009A3A06">
        <w:rPr>
          <w:b/>
          <w:szCs w:val="28"/>
        </w:rPr>
        <w:t>(tại Điều 43):</w:t>
      </w:r>
      <w:r w:rsidRPr="006B73A6">
        <w:rPr>
          <w:bCs/>
          <w:szCs w:val="28"/>
        </w:rPr>
        <w:t xml:space="preserve"> gồm 03 khoản, cơ bản kế thừa quy định hiện hành, trong đó:</w:t>
      </w:r>
    </w:p>
    <w:p w14:paraId="710D6A8C"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tổ chức tại Việt Nam thay mặt nhà cung cấp nền tảng thương mại điện tử, nền tảng số ở nước ngoài thực hiện chi trả thu nhập cho hộ, cá nhân từ sản phẩm, dịch vụ nội dung thông tin số theo quy định pháp luật về công nghệ thông tin thực hiện khấu trừ, khai thuế, nộp thuế thay đối với hoạt động kinh doanh trên nền tảng thương mại điện tử của hộ, cá nhân kinh doanh; (2) Chủ quản nền tảng thương mại điện tử, nền tảng số có chức năng đặt </w:t>
      </w:r>
      <w:r w:rsidRPr="006B73A6">
        <w:rPr>
          <w:bCs/>
          <w:szCs w:val="28"/>
        </w:rPr>
        <w:lastRenderedPageBreak/>
        <w:t>hàng trực tuyến và chức năng thanh toán (trong nước và ngoài nước) thực hiện khấu trừ, nộp thuế giá trị gia tăng và thuế thu nhập doanh nghiệp theo quy định của pháp luật thuế giá trị gia tăng, pháp luật thuế thu nhập doanh nghiệp đối với từng giao dịch cung cấp hàng hóa, dịch vụ phát sinh doanh thu tại Việt Nam của tổ chức ở nước ngoài có hoạt động kinh doanh trên nền tảng thương mại điện tử, nền tảng số; (3) quy định tổ chức kinh doanh tại Việt Nam áp dụng phương pháp khấu trừ, nộp thay thuế giá trị gia tăng, thuế thu nhập doanh nghiệp hoặc thuế thu nhập cá nhân khi mua hàng hóa, dịch vụ từ nhà cung cấp ở nước ngoài, cá nhân không cư trú thông qua thương mại điện tử hoặc nền tảng số.</w:t>
      </w:r>
    </w:p>
    <w:p w14:paraId="2ABD7220"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chế chủ quản nền tảng thương mại điện tử thực hiện khấu trừ, khai và nộp thuế thay đối với hộ, cá nhân kinh doanh và tổ chức ở nước ngoài có hoạt động trên nền tảng, bao gồm thuế giá trị gia tăng, thuế thu nhập cá nhân và thuế thu nhập doanh nghiệp theo từng giao dịch phát sinh doanh thu tại Việt Nam theo quy định tại Nghị định 117/2025/NĐ-CP.</w:t>
      </w:r>
    </w:p>
    <w:p w14:paraId="40CFF371" w14:textId="417EA941"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5</w:t>
      </w:r>
      <w:r w:rsidRPr="006B73A6">
        <w:rPr>
          <w:b/>
          <w:bCs/>
          <w:szCs w:val="28"/>
        </w:rPr>
        <w:t xml:space="preserve">. Thời điểm thực hiện khấu trừ, xác định số thuế phải khấu trừ </w:t>
      </w:r>
      <w:r w:rsidRPr="006B73A6">
        <w:rPr>
          <w:bCs/>
          <w:szCs w:val="28"/>
        </w:rPr>
        <w:t>(tại Điều 44): gồm 04 khoản, cơ bản kế thừa quy định hiện hành, trong đó:</w:t>
      </w:r>
    </w:p>
    <w:p w14:paraId="04BB0A46"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thời điểm khấu trừ đối với tổ chức kinh doanh tại Việt Nam khi thanh toán cho nhà cung cấp nước ngoài để đồng bộ với pháp luật thuế giá trị gia tăng; đồng thời bổ sung cơ chế tránh khấu trừ trùng giữa tổ chức tại Việt Nam và nền tảng.</w:t>
      </w:r>
    </w:p>
    <w:p w14:paraId="1685D934"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thời điểm khấu trừ, căn cứ khấu trừ kế thừa Điều 5 Nghị định 117/2025/NĐ-CP về nguyên tắc xác định thời điểm khấu trừ và căn cứ tính thuế theo từng giao dịch phát sinh trên nền tảng thương mại điện tử, bao gồm việc xác định thời điểm khấu trừ đối với chủ quản nền tảng là thời điểm xác nhận giao dịch thành công và chấp nhận thanh toán, và xác định doanh thu làm căn cứ khấu trừ là khoản tiền tổ chức, cá nhân được hưởng. Quy định áp dụng mức tỷ lệ cao nhất khi không xác định được loại hàng hóa, dịch vụ tiếp tục được giữ nguyên.</w:t>
      </w:r>
    </w:p>
    <w:p w14:paraId="27EA5517" w14:textId="73BB0AFC"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6</w:t>
      </w:r>
      <w:r w:rsidRPr="006B73A6">
        <w:rPr>
          <w:b/>
          <w:bCs/>
          <w:szCs w:val="28"/>
        </w:rPr>
        <w:t xml:space="preserve">. Cách thức kê khai và nộp số thuế đã khấu trừ </w:t>
      </w:r>
      <w:r w:rsidRPr="00CA1DCA">
        <w:rPr>
          <w:b/>
          <w:szCs w:val="28"/>
        </w:rPr>
        <w:t>(tại Điều 45):</w:t>
      </w:r>
      <w:r w:rsidRPr="006B73A6">
        <w:rPr>
          <w:bCs/>
          <w:szCs w:val="28"/>
        </w:rPr>
        <w:t xml:space="preserve"> gồm 04 khoản, cơ bản kế thừa quy định hiện hành, trong đó:</w:t>
      </w:r>
    </w:p>
    <w:p w14:paraId="63CF2BD8"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tổ chức có hoạt động kinh tế số khác để bao quát các đối tượng ở trong nước được cấp mã số thuế riêng để kê khai và nộp thay số thuế đã khấu trừ; (2) quy định cho phép tổ chức kinh doanh tại Việt Nam khai theo từng lần phát sinh nhưng được lựa chọn khai theo tháng khi phát sinh nhiều lần, nhằm tạo thuận lợi trong thực hiện và bảo đảm phù hợp thực tiễn quản lý</w:t>
      </w:r>
      <w:r>
        <w:rPr>
          <w:bCs/>
          <w:szCs w:val="28"/>
        </w:rPr>
        <w:t>.</w:t>
      </w:r>
    </w:p>
    <w:p w14:paraId="1DD1EB2B"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kế thừa: Cách thức chủ quản nền tảng thương mại điện tử kê khai số thuế đã khấu trừ theo tháng (kế thừa Điều 6 Nghị định 117/2025/NĐ-CP) và làm rõ hơn cách xác định số thuế nộp thay sau khi bù trừ đối với giao dịch bị hủy hoặc trả lại hàng.</w:t>
      </w:r>
    </w:p>
    <w:p w14:paraId="1937811A" w14:textId="1D6A3146"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37</w:t>
      </w:r>
      <w:r w:rsidRPr="006B73A6">
        <w:rPr>
          <w:b/>
          <w:bCs/>
          <w:szCs w:val="28"/>
        </w:rPr>
        <w:t xml:space="preserve">. Trách nhiệm của chủ quản nền tảng thương mại điện tử, nền tảng số thuộc đối tượng khấu trừ, nộp thuế thay </w:t>
      </w:r>
      <w:r w:rsidRPr="006B73A6">
        <w:rPr>
          <w:bCs/>
          <w:szCs w:val="28"/>
        </w:rPr>
        <w:t>(tại Điều 46): gồm 05 khoản, cơ bản kế thừa quy định hiện hành, trong đó:</w:t>
      </w:r>
    </w:p>
    <w:p w14:paraId="016089EE"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bổ sung hệ quả pháp lý trong trường hợp cá nhân cư trú lựa chọn hoặc thuộc diện áp dụng phương pháp tính thuế thu nhập cá nhân theo thu nhập tính thuế nhân (x) thuế suất theo quy định của pháp luật thuế thu nhập cá nhân thì cá nhân thực hiện kê khai doanh thu để xác định lại số thuế phải nộp; số thuế thu nhập cá nhân đã được chủ quản nền tảng khấu trừ, kê khai, nộp thay được trừ khi xác định nghĩa vụ thuế phải nộp. </w:t>
      </w:r>
    </w:p>
    <w:p w14:paraId="6F982DE0"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kế thừa các quy định tại Điều 7 Nghị định 117/2025 về trách nhiệm của chủ thể quản lý nền tảng trong việc khấu trừ, kê khai, nộp thuế thay. Theo đó, tiếp tục duy trì các trách nhiệm cốt lõi gồm: quản lý tài khoản do cơ quan thuế cấp; lưu giữ dữ liệu giao dịch; thực hiện khấu trừ, kê khai, nộp số thuế đã khấu trừ; hoàn trả thuế đối với giao dịch bị hủy, trả lại; chịu trách nhiệm về tính chính xác, trung thực, đầy đủ của hồ sơ thuế. Kế thừa nguyên tắc là tổ chức nước ngoài, hộ, cá nhân đã được khấu trừ, kê khai, nộp thay thì không phải khai, nộp lại đối với phần doanh thu đã được khấu trừ.</w:t>
      </w:r>
    </w:p>
    <w:p w14:paraId="3C24CFFB" w14:textId="31BCB718"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38</w:t>
      </w:r>
      <w:r w:rsidRPr="006B73A6">
        <w:rPr>
          <w:b/>
          <w:bCs/>
          <w:szCs w:val="28"/>
        </w:rPr>
        <w:t xml:space="preserve">. Hợp tác và hỗ trợ hành chính về thuế với cơ quan thuế nước ngoài, tổ chức quốc </w:t>
      </w:r>
      <w:r w:rsidRPr="00CA1DCA">
        <w:rPr>
          <w:b/>
          <w:bCs/>
          <w:szCs w:val="28"/>
        </w:rPr>
        <w:t>tế (tại Điều 47):</w:t>
      </w:r>
      <w:r w:rsidRPr="006B73A6">
        <w:rPr>
          <w:bCs/>
          <w:szCs w:val="28"/>
        </w:rPr>
        <w:t xml:space="preserve"> gồm 02 khoản, cơ bản kế thừa quy định hiện hành, trong đó:</w:t>
      </w:r>
    </w:p>
    <w:p w14:paraId="6B4B9AE3"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Kiểm tra thuế đồng thời được xây dựng trên cơ sở yêu cầu thực tiễn của công tác quản lý thuế trong bối cảnh hội nhập kinh tế quốc tế ngày càng sâu rộng, khi các hoạt động đầu tư, thương mại, cung ứng dịch vụ xuyên biên giới và sự dịch chuyển của người nộp thuế giữa các quốc gia ngày càng gia tăng. Thực tiễn này làm phát sinh nhiều vấn đề thuế phức tạp liên quan đến các nhóm người nộp thuế có lợi ích chung, giao dịch liên kết hoặc nghĩa vụ thuế tại nhiều quốc gia, vượt quá phạm vi quản lý đơn phương của từng cơ quan thuế. Do đó, để bảo đảm quản lý thuế hiệu quả, công bằng và phòng, chống trốn thuế, tránh thuế quốc tế, cơ quan thuế Việt Nam cần có cơ chế phối hợp trực tiếp, kịp thời với cơ quan thuế nước ngoài thông qua các hình thức hỗ trợ hành chính thuế phù hợp với thông lệ quốc tế, trên cơ sở tôn trọng chủ quyền quốc gia và tuân thủ pháp luật Việt Nam. Trên nền tảng đó, khoản 2 Điều 49 được thiết kế nhằm </w:t>
      </w:r>
      <w:r w:rsidRPr="006B73A6">
        <w:rPr>
          <w:bCs/>
          <w:szCs w:val="28"/>
        </w:rPr>
        <w:lastRenderedPageBreak/>
        <w:t>nội luật hóa các cơ chế hợp tác thuế tiên tiến, trong đó có các hình thức hỗ trợ hành chính thuế được linh hoạt lựa chọn như quy định tại Hiệp định đa phương về hỗ trợ hành chính thuế (Hiệp định MAAC) mà Việt Nam đã tham gia ký vào ngày 22/3/2023 tại Paris, Pháp (Hiệp định MAAC có hiệu lực đối với Việt Nam từ ngày 01/12/2023). Điều này thể hiện trách nhiệm và chủ động hội nhập của Việt Nam, giúp nâng cao uy tín quốc gia trong các diễn đàn quốc tế, phù hợp với định hướng tại Nghị quyết số 59-NQ/TW.</w:t>
      </w:r>
    </w:p>
    <w:p w14:paraId="4E81D3F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Hỗ trợ thu thuế cơ bản kế thừa quy định tại khoản 4 Điều 12 Luật Quản lý thuế số 38/2019/QH14, bảo đảm tính ổn định và liên tục của pháp luật về hỗ trợ thu thuế xuyên biên giới.</w:t>
      </w:r>
    </w:p>
    <w:p w14:paraId="65ADEBAB" w14:textId="30E5730F"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39</w:t>
      </w:r>
      <w:r w:rsidRPr="006B73A6">
        <w:rPr>
          <w:b/>
          <w:bCs/>
          <w:szCs w:val="28"/>
        </w:rPr>
        <w:t xml:space="preserve">. Giao dịch điện tử trong quản lý thuế </w:t>
      </w:r>
      <w:r w:rsidRPr="00A507D6">
        <w:rPr>
          <w:b/>
          <w:szCs w:val="28"/>
        </w:rPr>
        <w:t>(tại Điều 50):</w:t>
      </w:r>
      <w:r w:rsidRPr="006B73A6">
        <w:rPr>
          <w:bCs/>
          <w:szCs w:val="28"/>
        </w:rPr>
        <w:t xml:space="preserve"> gồm 10 khoản, cơ bản kế thừa quy định hiện hành, trong đó:</w:t>
      </w:r>
    </w:p>
    <w:p w14:paraId="5C36F4C2"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đối tượng có hoàn cảnh đặc biệt nhằm bảo đảm tính bao trùm trong quá trình chuyển đổi số, không để nhóm đối tượng yếu thế bị thiệt thòi khi chuyển sang giao dịch điện tử; (2) giá trị pháp lý và các điều kiện bảo đảm của giao dịch điện tử; (3) quy định người nộp thuế sử dụng danh tính điện tử theo quy định của pháp luật về định danh và xác thực điện tử để thực hiện giao dịch, phù hợp với xu hướng phát triển của hệ thống định danh điện tử quốc gia.</w:t>
      </w:r>
    </w:p>
    <w:p w14:paraId="4358970F" w14:textId="77777777" w:rsidR="00ED0B58" w:rsidRPr="006B73A6" w:rsidRDefault="00ED0B58" w:rsidP="00ED0B58">
      <w:pPr>
        <w:spacing w:before="120" w:after="120" w:line="276" w:lineRule="auto"/>
        <w:ind w:firstLine="720"/>
        <w:jc w:val="both"/>
        <w:rPr>
          <w:bCs/>
          <w:spacing w:val="-2"/>
          <w:szCs w:val="28"/>
        </w:rPr>
      </w:pPr>
      <w:r w:rsidRPr="006B73A6">
        <w:rPr>
          <w:bCs/>
          <w:spacing w:val="-2"/>
          <w:szCs w:val="28"/>
        </w:rPr>
        <w:t>- Nội dung kế thừa: cơ bản kế thừa, nghị định hóa khoản 1 Điều 1, khoản 5, 6 Điều 4 Thông tư 19/2021/TT-BTC, khoản 2, 3, 4 Điều 8 Luật QLT 38/2019/QH14 quy định về (1) Giao dịch điện tử giữa người nộp thuế và cơ quan quản lý thuế; (2) Người nộp thuế đã thực hiện giao dịch điện tử trong quản lý thuế thì không phải thực hiện bằng phương tiện giao dịch khác; (3) Cơ quan quản lý thuế khi tiếp nhận, trả kết quả giải quyết thủ tục hành chính thuế cho người nộp thuế bằng phương thức điện tử; (4) Người nộp thuế phải thực hiện yêu cầu của cơ quan quản lý thuế nêu tại văn bản, thông báo, quyết định hành chính thuế điện tử như đối với văn bản, thông báo, quyết định hành chính thuế bằng giấy của cơ quan quản lý thuế; (5) Người nộp thuế lập và gửi hồ sơ thuế điện tử, chứng từ nộp ngân sách nhà nước điện tử trực tuyến và tiếp nhận các thông báo, kết quả giải quyết hồ sơ thuế điện tử từ cơ quan quản lý thuế thông qua Cổng dịch vụ công quốc gia hoặc Hệ thống thông tin quản lý thuế hoặc qua tổ chức cung cấp dịch vụ T-VAN; (6) Người nộp thuế tiếp nhận các văn bản, thông báo, quyết định hành chính thuế, các dịch vụ hỗ trợ người nộp thuế từ cơ quan quản lý thuế thông qua Cổng dịch vụ công quốc gia hoặc Hệ thống thông tin quản lý thuế hoặc qua tổ chức cung cấp dịch vụ T-VAN; (7) Cơ quan quản lý nhà nước có thẩm quyền, tổ chức cung cấp dịch vụ T-</w:t>
      </w:r>
      <w:r w:rsidRPr="006B73A6">
        <w:rPr>
          <w:bCs/>
          <w:spacing w:val="-2"/>
          <w:szCs w:val="28"/>
        </w:rPr>
        <w:lastRenderedPageBreak/>
        <w:t>VAN, tổ chức khác có liên quan thực hiện giao dịch điện tử với cơ quan thuế trong việc tiếp nhận thông tin và giải quyết thủ tục hành chính cho người nộp thuế.</w:t>
      </w:r>
    </w:p>
    <w:p w14:paraId="38A7F976" w14:textId="0A9B981C"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0</w:t>
      </w:r>
      <w:r w:rsidRPr="006B73A6">
        <w:rPr>
          <w:b/>
          <w:bCs/>
          <w:szCs w:val="28"/>
        </w:rPr>
        <w:t xml:space="preserve">. Bảo đảm an toàn thông tin và quản lý rủi ro công nghệ </w:t>
      </w:r>
      <w:r w:rsidRPr="00F66466">
        <w:rPr>
          <w:b/>
          <w:szCs w:val="28"/>
        </w:rPr>
        <w:t>(tại Điều 54):</w:t>
      </w:r>
      <w:r w:rsidRPr="006B73A6">
        <w:rPr>
          <w:bCs/>
          <w:szCs w:val="28"/>
        </w:rPr>
        <w:t xml:space="preserve"> gồm 07 khoản, trong đó:</w:t>
      </w:r>
    </w:p>
    <w:p w14:paraId="1F19E3A2"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nguyên tắc chung về quản lý rủi ro công nghệ thông tin theo hướng chủ động, toàn diện và thường xuyên, áp dụng đối với các bộ, cơ quan ngang bộ, cơ quan thuộc Chính phủ, Ủy ban nhân dân các cấp và các cơ quan có liên quan; (2) quy định cụ thể trách nhiệm của cơ quan quản lý thuế trong việc thiết lập cơ chế quản lý rủi ro công nghệ đối với Hệ thống thông tin quản lý thuế; (3) trách nhiệm phối hợp của các bộ, cơ quan ngang bộ, cơ quan thuộc Chính phủ, Ủy ban nhân dân các cấp trong việc cung cấp thông tin, dữ liệu, hỗ trợ kỹ thuật và tham gia xây dựng cơ chế phối hợp, phương án ứng phó sự cố liên ngành; (4) trách nhiệm của cơ quan quản lý thuế và người nộp thuế trường hợp phát sinh sự cố kỹ thuật; (5) cơ chế xử lý khi Hệ thống thông tin quản lý thuế tự động ban hành thông báo, quyết định hoặc kết quả xử lý thuế không đúng quy định do lỗi kỹ thuật, lỗi dữ liệu hoặc lỗi hệ thống.</w:t>
      </w:r>
    </w:p>
    <w:p w14:paraId="3F3E876E"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chế xử lý khi Hệ thống thông tin quản lý thuế phát sinh sự cố kỹ thuật dẫn đến người nộp thuế không thể thực hiện nghĩa vụ thuế đúng thời hạn quy định tại Luật Quản lý thuế số 38/2019/QH14, Thông tư 19/2021/TT-BTC.</w:t>
      </w:r>
    </w:p>
    <w:p w14:paraId="5CDE6F09" w14:textId="6E9454C7"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1</w:t>
      </w:r>
      <w:r w:rsidRPr="006B73A6">
        <w:rPr>
          <w:b/>
          <w:bCs/>
          <w:szCs w:val="28"/>
        </w:rPr>
        <w:t xml:space="preserve">. Nguyên tắc kết nối, chia sẻ thông tin, dữ liệu </w:t>
      </w:r>
      <w:r w:rsidRPr="000F6AFF">
        <w:rPr>
          <w:b/>
          <w:szCs w:val="28"/>
        </w:rPr>
        <w:t>(tại Điều 55):</w:t>
      </w:r>
      <w:r w:rsidRPr="006B73A6">
        <w:rPr>
          <w:bCs/>
          <w:szCs w:val="28"/>
        </w:rPr>
        <w:t xml:space="preserve"> gồm 07 khoản, trong đó:</w:t>
      </w:r>
      <w:r>
        <w:rPr>
          <w:bCs/>
          <w:szCs w:val="28"/>
        </w:rPr>
        <w:t xml:space="preserve"> </w:t>
      </w:r>
    </w:p>
    <w:p w14:paraId="5C569192"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mục tiêu cụ thể của việc cung cấp, chia sẻ, kết nối dữ liệu giữa các bộ, cơ quan ngang bộ, cơ quan thuộc Chính phủ với cơ quan quản lý thuế, bao gồm: xác định nghĩa vụ thuế của người nộp thuế; quản lý tuân thủ, quản lý rủi ro thuế; phòng, chống thất thu thuế; thực hiện các biện pháp quản lý thuế theo quy định của pháp luật; (2) Các yêu cầu của việc cung cấp, chia sẻ, kết nối dữ liệu; (3) Bảo đảm bảo mật, an ninh, an toàn thông tin, bảo vệ dữ liệu cá nhân khi kết nối, chia sẻ thông tin với Hệ thống thông tin quản lý thuế; (4) Việc kết nối, chia sẻ dữ liệu phải tuân thủ đầy đủ Khung kiến trúc số của Bộ Tài chính và đáp ứng tiêu chuẩn kỹ thuật công nghệ thông tin trong kết nối, chia sẻ với Hệ thống thông tin quản lý thuế theo quyết định của Bộ trưởng Bộ Tài chính; Bảo đảm an toàn thông tin tối thiểu cấp độ 3 theo quy định của pháp luật về bảo đảm an toàn hệ thống thông tin theo cấp độ khi kết nối chính thức; (5) Các trường hợp Bộ Tài chính từ chối hoặc tạm ngừng kết nối, chia sẻ thông tin.</w:t>
      </w:r>
    </w:p>
    <w:p w14:paraId="001B7E10"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kế thừa: Nguyên tắc kết nối, chia sẻ dữ liệu thông tin, dữ liệu với Hệ thống thông tin cơ bản kế thừa nguyên tắc tại Khoản 1 Điều 4 Nghị định số 278/2025/NĐ-CP.</w:t>
      </w:r>
    </w:p>
    <w:p w14:paraId="39BFCE21" w14:textId="5FF9CBA4"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2</w:t>
      </w:r>
      <w:r w:rsidRPr="006B73A6">
        <w:rPr>
          <w:b/>
          <w:bCs/>
          <w:szCs w:val="28"/>
        </w:rPr>
        <w:t xml:space="preserve">. Hình thức kết nối, chia sẻ, thời hạn cung cấp thông tin, dữ liệu </w:t>
      </w:r>
      <w:r w:rsidRPr="002B6752">
        <w:rPr>
          <w:b/>
          <w:szCs w:val="28"/>
        </w:rPr>
        <w:t>(tại Điều 56):</w:t>
      </w:r>
      <w:r w:rsidRPr="006B73A6">
        <w:rPr>
          <w:bCs/>
          <w:szCs w:val="28"/>
        </w:rPr>
        <w:t xml:space="preserve"> gồm 02 khoản, trong đó:</w:t>
      </w:r>
    </w:p>
    <w:p w14:paraId="0E53A92D"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Hình thức kết nối, chia sẻ thông tin, dữ liệu với Hệ thống thông tin quản lý thuế thông qua mạng viễn thông, mạng Internet, mạng máy tính, hệ thống thông tin theo quy định pháp luật về quản lý, kết nối và chia sẻ dữ liệu số của cơ quan nhà nước. Phương thức kết nối, chia sẻ dữ liệu bắt buộc.</w:t>
      </w:r>
    </w:p>
    <w:p w14:paraId="3A8DD567"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quy định về thời hạn cung cấp thông tin, dữ liệu tại Nghị định 126/2020/NĐ-CP, 91/2022/NĐ-CP.</w:t>
      </w:r>
    </w:p>
    <w:p w14:paraId="6E4090C7" w14:textId="43AEE52F"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3</w:t>
      </w:r>
      <w:r w:rsidRPr="006B73A6">
        <w:rPr>
          <w:b/>
          <w:bCs/>
          <w:szCs w:val="28"/>
        </w:rPr>
        <w:t xml:space="preserve">. Nhiệm vụ của cơ quan quản lý thuế, công chức quản lý thuế </w:t>
      </w:r>
      <w:r w:rsidRPr="002B6752">
        <w:rPr>
          <w:b/>
          <w:szCs w:val="28"/>
        </w:rPr>
        <w:t>(tại Điều 57):</w:t>
      </w:r>
      <w:r w:rsidRPr="006B73A6">
        <w:rPr>
          <w:bCs/>
          <w:szCs w:val="28"/>
        </w:rPr>
        <w:t xml:space="preserve"> gồm 02 khoản, cơ bản kế thừa quy định hiện hành, trong đó:</w:t>
      </w:r>
    </w:p>
    <w:p w14:paraId="3DFF239F"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nhiệm vụ của công chức quản lý thuế: (1) Hướng dẫn, giải thích chính sách thuế đúng quy định, thống nhất, không đặt ra thủ tục, điều kiện, nghĩa vụ ngoài quy định của pháp luật; (2) Quản lý, sử dụng và bảo mật thông tin người nộp thuế; chỉ cung cấp thông tin trong phạm vi, đối tượng và mục đích theo quy định của pháp luật; (3) Tuân thủ quy tắc đạo đức công vụ, không được lợi dụng chức vụ, quyền hạn để gây phiền hà, sách nhiễu, trục lợi; không được can thiệp trái pháp luật vào việc xác định nghĩa vụ thuế của người nộp thuế.</w:t>
      </w:r>
    </w:p>
    <w:p w14:paraId="00065206"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Nhiệm vụ của cơ quan quản lý thuế, công chức quản lý thuế tại Điều 18 Luật QLT số 38/2019/QH14, được sửa đổi, bổ sung tại Luật 65/2024/QH15.</w:t>
      </w:r>
    </w:p>
    <w:p w14:paraId="0D8559B2" w14:textId="280F25F4"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4</w:t>
      </w:r>
      <w:r w:rsidRPr="006B73A6">
        <w:rPr>
          <w:b/>
          <w:bCs/>
          <w:szCs w:val="28"/>
        </w:rPr>
        <w:t xml:space="preserve">. 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 </w:t>
      </w:r>
      <w:r w:rsidRPr="00594AAE">
        <w:rPr>
          <w:b/>
          <w:szCs w:val="28"/>
        </w:rPr>
        <w:t>(tại Điều 58)</w:t>
      </w:r>
      <w:r w:rsidRPr="006B73A6">
        <w:rPr>
          <w:bCs/>
          <w:szCs w:val="28"/>
        </w:rPr>
        <w:t>: gồm 02 khoản, cơ bản kế thừa quy định hiện hành, trong đó:</w:t>
      </w:r>
    </w:p>
    <w:p w14:paraId="4FCEA6E7"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thời hạn cung cấp thông tin theo yêu cầu của cơ quan quản lý thuế nhằm bảo đảm tính kịp thời trong công tác quản lý thuế; nâng cao trách nhiệm, nghĩa vụ phối hợp của các cơ quan nhà nước và các bên có liên quan; đồng thời tạo cơ sở pháp lý rõ ràng cho việc thực hiện, theo dõi và xử lý trong trường hợp chậm cung cấp hoặc không cung cấp thông tin theo quy định.</w:t>
      </w:r>
    </w:p>
    <w:p w14:paraId="45E5DDFA"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kế thừa: quy định tại Luật QLT 38/2019/QH14 về (1) Trách nhiệm của các Bộ, cơ quan ngang Bộ, cơ quan thuộc Chính phủ trong quản lý </w:t>
      </w:r>
      <w:r w:rsidRPr="006B73A6">
        <w:rPr>
          <w:bCs/>
          <w:szCs w:val="28"/>
        </w:rPr>
        <w:lastRenderedPageBreak/>
        <w:t>thuế; (2) Phạm vi thông tin, thời hạn cung cấp thông tin, trách nhiệm, quyền hạn trong việc chia sẻ, kết nối thông tin phục vụ quản lý thuế.</w:t>
      </w:r>
    </w:p>
    <w:p w14:paraId="1E81A354" w14:textId="5E396684" w:rsidR="00ED0B58" w:rsidRPr="00770EB5" w:rsidRDefault="00ED0B58" w:rsidP="00ED0B58">
      <w:pPr>
        <w:spacing w:before="120" w:after="120" w:line="276" w:lineRule="auto"/>
        <w:ind w:firstLine="720"/>
        <w:jc w:val="both"/>
        <w:rPr>
          <w:color w:val="000000"/>
          <w:spacing w:val="-4"/>
          <w:szCs w:val="28"/>
        </w:rPr>
      </w:pPr>
      <w:r w:rsidRPr="00770EB5">
        <w:rPr>
          <w:b/>
          <w:bCs/>
          <w:spacing w:val="-4"/>
          <w:szCs w:val="28"/>
        </w:rPr>
        <w:t>1.4</w:t>
      </w:r>
      <w:r>
        <w:rPr>
          <w:b/>
          <w:bCs/>
          <w:spacing w:val="-4"/>
          <w:szCs w:val="28"/>
        </w:rPr>
        <w:t>5</w:t>
      </w:r>
      <w:r w:rsidRPr="00770EB5">
        <w:rPr>
          <w:b/>
          <w:bCs/>
          <w:spacing w:val="-4"/>
          <w:szCs w:val="28"/>
        </w:rPr>
        <w:t xml:space="preserve">. </w:t>
      </w:r>
      <w:r w:rsidRPr="00770EB5">
        <w:rPr>
          <w:b/>
          <w:bCs/>
          <w:color w:val="000000"/>
          <w:spacing w:val="-4"/>
          <w:szCs w:val="28"/>
        </w:rPr>
        <w:t xml:space="preserve">Nhiệm vụ, quyền hạn và trách nhiệm của tổ chức, cá nhân cung cấp thông tin về chi trả thu nhập và số tiền thuế, khoản thu khác đã kê khai thay, nộp thuế thay cho cơ quan quản lý thuế </w:t>
      </w:r>
      <w:r w:rsidRPr="00C62283">
        <w:rPr>
          <w:b/>
          <w:bCs/>
          <w:color w:val="000000"/>
          <w:spacing w:val="-4"/>
          <w:szCs w:val="28"/>
        </w:rPr>
        <w:t>(tại Điều 59</w:t>
      </w:r>
      <w:r w:rsidRPr="00770EB5">
        <w:rPr>
          <w:color w:val="000000"/>
          <w:spacing w:val="-4"/>
          <w:szCs w:val="28"/>
        </w:rPr>
        <w:t>): gồm 11 khoản</w:t>
      </w:r>
      <w:r>
        <w:rPr>
          <w:color w:val="000000"/>
          <w:spacing w:val="-4"/>
          <w:szCs w:val="28"/>
        </w:rPr>
        <w:t>,</w:t>
      </w:r>
      <w:r w:rsidRPr="00770EB5">
        <w:rPr>
          <w:color w:val="000000"/>
          <w:spacing w:val="-4"/>
          <w:szCs w:val="28"/>
        </w:rPr>
        <w:t xml:space="preserve"> trong đó:</w:t>
      </w:r>
    </w:p>
    <w:p w14:paraId="6E638961" w14:textId="77777777" w:rsidR="00ED0B58" w:rsidRPr="006B73A6" w:rsidRDefault="00ED0B58" w:rsidP="00ED0B58">
      <w:pPr>
        <w:spacing w:before="120" w:after="120" w:line="276" w:lineRule="auto"/>
        <w:ind w:firstLine="720"/>
        <w:jc w:val="both"/>
        <w:rPr>
          <w:szCs w:val="28"/>
        </w:rPr>
      </w:pPr>
      <w:r w:rsidRPr="006B73A6">
        <w:rPr>
          <w:szCs w:val="28"/>
        </w:rPr>
        <w:t>- Nội dung sửa đổi</w:t>
      </w:r>
      <w:r>
        <w:rPr>
          <w:szCs w:val="28"/>
        </w:rPr>
        <w:t xml:space="preserve"> </w:t>
      </w:r>
      <w:r>
        <w:rPr>
          <w:bCs/>
          <w:szCs w:val="28"/>
        </w:rPr>
        <w:t>quy định hiện hành</w:t>
      </w:r>
      <w:r w:rsidRPr="006B73A6">
        <w:rPr>
          <w:szCs w:val="28"/>
        </w:rPr>
        <w:t>: đối với đối tượng là hộ kinh doanh, cá nhân kinh doanh: sửa đổi, bổ sung bao gồm cả trong nước và nước ngoài; bổ sung đối tượng là tổ chức nước ngoài.</w:t>
      </w:r>
    </w:p>
    <w:p w14:paraId="7B9A5375" w14:textId="77777777" w:rsidR="00ED0B58" w:rsidRPr="006B73A6" w:rsidRDefault="00ED0B58" w:rsidP="00ED0B58">
      <w:pPr>
        <w:spacing w:before="120" w:after="120" w:line="276" w:lineRule="auto"/>
        <w:ind w:firstLine="720"/>
        <w:jc w:val="both"/>
        <w:rPr>
          <w:szCs w:val="28"/>
        </w:rPr>
      </w:pPr>
      <w:r w:rsidRPr="006B73A6">
        <w:rPr>
          <w:szCs w:val="28"/>
        </w:rPr>
        <w:t>- Nội dung kế thừa: cơ bản kế thừa quy định tại khoản 4 Điều 7 Nghị định số 117/2025/NĐ-CP về nhiệm vụ, quyền hạn và trách nhiệm của tổ chức, cá nhân cung cấp thông tin về chi trả thu nhập và số tiền thuế, khoản thu khác đã kê khai, nộp thuế thay cho cơ quan quản lý thuế.</w:t>
      </w:r>
    </w:p>
    <w:p w14:paraId="6A80AE35" w14:textId="1231FE9E"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6</w:t>
      </w:r>
      <w:r w:rsidRPr="006B73A6">
        <w:rPr>
          <w:b/>
          <w:bCs/>
          <w:szCs w:val="28"/>
        </w:rPr>
        <w:t xml:space="preserve">. Nhiệm vụ, quyền hạn của tổ chức tín dụng, chi nhánh ngân hàng nước ngoài, tổ chức cung ứng dịch vụ thanh toán, tổ chức cung ứng dịch vụ trung gian thanh toán, tổ chức cung ứng dịch vụ thanh toán trực tuyến </w:t>
      </w:r>
      <w:r w:rsidRPr="00C62283">
        <w:rPr>
          <w:b/>
          <w:szCs w:val="28"/>
        </w:rPr>
        <w:t>(tại Điều 60):</w:t>
      </w:r>
      <w:r w:rsidRPr="006B73A6">
        <w:rPr>
          <w:bCs/>
          <w:szCs w:val="28"/>
        </w:rPr>
        <w:t xml:space="preserve"> gồm 07 khoản, cơ bản kế thừa quy định hiện hành, trong đó:</w:t>
      </w:r>
    </w:p>
    <w:p w14:paraId="65A80716"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w:t>
      </w:r>
      <w:r>
        <w:rPr>
          <w:bCs/>
          <w:szCs w:val="28"/>
        </w:rPr>
        <w:t xml:space="preserve">(1) </w:t>
      </w:r>
      <w:r w:rsidRPr="00BA3B1D">
        <w:rPr>
          <w:bCs/>
          <w:color w:val="EE0000"/>
          <w:szCs w:val="28"/>
        </w:rPr>
        <w:t xml:space="preserve">quy định trường hợp nộp chậm vào ngân sách nhà nước </w:t>
      </w:r>
      <w:r w:rsidRPr="00BA3B1D">
        <w:rPr>
          <w:color w:val="EE0000"/>
          <w:szCs w:val="28"/>
        </w:rPr>
        <w:t>do lỗi chủ quan của ngân hàng thương mại nơi Kho bạc Nhà nước mở tài khoản</w:t>
      </w:r>
      <w:r w:rsidRPr="00BA3B1D">
        <w:rPr>
          <w:bCs/>
          <w:color w:val="EE0000"/>
          <w:szCs w:val="28"/>
        </w:rPr>
        <w:t xml:space="preserve"> thì ngân hàng thương mại phải thanh toán tiền chậm nộp hạch toán</w:t>
      </w:r>
      <w:r>
        <w:rPr>
          <w:bCs/>
          <w:color w:val="EE0000"/>
          <w:szCs w:val="28"/>
        </w:rPr>
        <w:t>;</w:t>
      </w:r>
      <w:r w:rsidRPr="00BA3B1D">
        <w:rPr>
          <w:bCs/>
          <w:color w:val="EE0000"/>
          <w:szCs w:val="28"/>
        </w:rPr>
        <w:t xml:space="preserve"> </w:t>
      </w:r>
      <w:r>
        <w:rPr>
          <w:bCs/>
          <w:szCs w:val="28"/>
        </w:rPr>
        <w:t xml:space="preserve">(2) </w:t>
      </w:r>
      <w:r w:rsidRPr="006B73A6">
        <w:rPr>
          <w:bCs/>
          <w:szCs w:val="28"/>
        </w:rPr>
        <w:t>Hình thức kết nối, chia sẻ thông tin, dữ liệu với với Hệ thống thông tin quản lý thuế thông qua mạng viễn thông, mạng Internet, mạng máy tính.</w:t>
      </w:r>
    </w:p>
    <w:p w14:paraId="7A24BD0B"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Nhiệm vụ của “chi nhánh ngân hàng nước ngoài, tổ chức cung ứng dịch vụ thanh toán, tổ chức cung ứng dịch vụ trung gian thanh toán, tổ chức dịch vụ khác”; (2) xác định rõ “thông tin dữ liệu khoản thuế”; (3) giao Bộ trưởng Bộ Tài chính hướng dẫn chi tiết đối với trường hợp có sai, sót cần điều chỉnh và tra soát giữa các bên trong quá trình truyền nhận thông tin thu nộp ngân sách nhà nước; (4) nội dung cung cấp thông tin. </w:t>
      </w:r>
    </w:p>
    <w:p w14:paraId="6E7537F8"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Điều 30 Nghị định 126/2020/NĐ-CP (được sửa đổi, bổ sung tại Nghị định 91/2022/NĐ-CP) quy định về trách nhiệm, quyền hạn của tổ chức tín dụng, chi nhánh ngân hàng nước ngoài, tổ chức cung ứng dịch vụ thanh toán, tổ chức cung ứng dịch vụ trung gian thanh toán, tổ chức cung ứng dịch vụ thanh toán trực tuyến.</w:t>
      </w:r>
    </w:p>
    <w:p w14:paraId="21F1115E" w14:textId="3094B0F6"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47</w:t>
      </w:r>
      <w:r w:rsidRPr="006B73A6">
        <w:rPr>
          <w:b/>
          <w:bCs/>
          <w:szCs w:val="28"/>
        </w:rPr>
        <w:t xml:space="preserve">. Cưỡng chế thi hành quyết định hành chính về quản lý thuế </w:t>
      </w:r>
      <w:r w:rsidRPr="008D10EC">
        <w:rPr>
          <w:b/>
          <w:szCs w:val="28"/>
        </w:rPr>
        <w:t>(tại Điều 64):</w:t>
      </w:r>
      <w:r w:rsidRPr="006B73A6">
        <w:rPr>
          <w:bCs/>
          <w:szCs w:val="28"/>
        </w:rPr>
        <w:t xml:space="preserve"> gồm 06 khoản, cơ bản kế thừa quy định hiện hành, trong đó:</w:t>
      </w:r>
    </w:p>
    <w:p w14:paraId="383408C2"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bổ sung mới: (1) quy định về chưa áp dụng biện pháp cưỡng chế đối với NNT có số tiền thuế nợ nhỏ (doanh nghiệp, tổ chức dưới 3 triệu đồng; hộ kinh doanh, cá nhân dưới 1 triệu đồng) để đảm bảo hiệu quả của công tác cưỡng chế nợ thuế (chi phí quản lý và cưỡng chế không vượt quá lợi ích thu hồi ngân sách); (2) loại trừ không áp dụng biện pháp cưỡng chế đối với các khoản nợ thuế đang được khoanh nợ theo quy định trong thời hạn khoanh nợ, trừ trường hợp cơ quan quản lý thuế phát hiện người nộp thuế thuộc trường hợp được khoanh tiền thuế nợ theo quy định tại điểm a, b, c, d, đ khoản 1 Điều 20 Luật Quản lý thuế có tài sản, dòng tiền để thực hiện nghĩa vụ nộp thuế.</w:t>
      </w:r>
    </w:p>
    <w:p w14:paraId="3F40CA80"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Sửa đổi quy định Quyết định cưỡng chế có hiệu lực thi hành từ ngày ký; (2) cơ quan quản lý thuế thực hiện đồng thời một hoặc nhiều biện pháp cưỡng chế khi người nộp thuế chưa nộp đầy đủ tiền thuế nợ vào ngân sách nhà nước; (3) Người có thẩm quyền cưỡng chế quy định tại điểm a khoản này được giao quyền cho cấp phó theo quy định của pháp luật về xử lý vi phạm hành chính.</w:t>
      </w:r>
    </w:p>
    <w:p w14:paraId="33A56A0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quy định của Luật Quản lý thuế số 108/2025/QH15 và các Điều 31, 32, 33, 34, 35, 36 Nghị định 126/2020/NĐ-CP về các trường hợp bị cưỡng chế thi hành quyết định hành chính về quản lý thuế, các trường hợp chưa thực hiện biện pháp cưỡng chế thi hành quyết định hành chính về quản lý thuế, nguyên tắc thủ trưởng cơ quan quản lý thuế quyết định trường hợp thực hiện cưỡng chế thi hành quyết định hành chính về quản lý thuế, Quyết định cưỡng chế thi hành quyết định hành chính về quản lý thuế, Quyết định chấm dứt cưỡng chế thi hành quyết định hành chính về quản lý thuế, Thẩm quyền quyết định cưỡng chế thi hành quyết định hành chính về quản lý thuế.</w:t>
      </w:r>
    </w:p>
    <w:p w14:paraId="6BE1DDCB" w14:textId="3654A79C"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48</w:t>
      </w:r>
      <w:r w:rsidRPr="006B73A6">
        <w:rPr>
          <w:b/>
          <w:bCs/>
          <w:szCs w:val="28"/>
        </w:rPr>
        <w:t xml:space="preserve">. Cưỡng chế bằng biện pháp trích tiền từ tài khoản, phong tỏa tài khoản của người nộp thuế bị cưỡng chế thi hành quyết định hành chính về quản lý thuế </w:t>
      </w:r>
      <w:r w:rsidRPr="008D10EC">
        <w:rPr>
          <w:b/>
          <w:szCs w:val="28"/>
        </w:rPr>
        <w:t>(tại Điều 65):</w:t>
      </w:r>
      <w:r w:rsidRPr="006B73A6">
        <w:rPr>
          <w:bCs/>
          <w:szCs w:val="28"/>
        </w:rPr>
        <w:t xml:space="preserve"> gồm 07 khoản, cơ bản kế thừa quy định hiện hành, trong đó:</w:t>
      </w:r>
    </w:p>
    <w:p w14:paraId="53069E9E"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Các loại tài khoản không thực hiện cưỡng chế (tài khoản nhận kinh phí bảo trì nhà chung cư theo quy định của pháp luật về nhà ở; tài khoản là tài sản đảm bảo nợ xấu của tổ chức tín dụng, chi nhánh ngân hàng nước ngoài theo quy định của Luật các tổ chức tín dụng; tài khoản quỹ bình ổn giá xăng dầu theo quy định của pháp luật về kinh doanh xăng dầu); (2) Định kỳ hàng tháng, cơ quan quản lý thuế thực hiện rà soát và cập nhật cơ sở dữ liệu quản lý thuế. Trên cơ sở đó, cơ quan quản lý thuế ban hành quyết định cưỡng chế bổ sung đối với các tài khoản mới phát sinh (nếu có); (3) Tổ chức tín dụng, chi nhánh </w:t>
      </w:r>
      <w:r w:rsidRPr="006B73A6">
        <w:rPr>
          <w:bCs/>
          <w:szCs w:val="28"/>
        </w:rPr>
        <w:lastRenderedPageBreak/>
        <w:t>ngân hàng nước ngoài có trách nhiệm tạm dừng trích tiền từ tài khoản của người nộp thuế bị cưỡng chế khi nhận được văn bản của cơ quan quản lý thuế đối với trường hợp quy định tại điểm b khoản 4 Điều 68 dự thảo Nghị định.</w:t>
      </w:r>
    </w:p>
    <w:p w14:paraId="40000690"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Thời điểm ban hành quyết định cưỡng chế ngay trong ngày phát hiện người nộp thuế</w:t>
      </w:r>
      <w:r w:rsidRPr="006B73A6">
        <w:rPr>
          <w:b/>
          <w:bCs/>
          <w:i/>
          <w:iCs/>
          <w:szCs w:val="28"/>
        </w:rPr>
        <w:t xml:space="preserve"> </w:t>
      </w:r>
      <w:r w:rsidRPr="006B73A6">
        <w:rPr>
          <w:bCs/>
          <w:szCs w:val="28"/>
        </w:rPr>
        <w:t>không hoạt động tại địa chỉ đã đăng ký; (2) Trước khi</w:t>
      </w:r>
      <w:r w:rsidRPr="006B73A6">
        <w:rPr>
          <w:b/>
          <w:bCs/>
          <w:szCs w:val="28"/>
        </w:rPr>
        <w:t xml:space="preserve"> </w:t>
      </w:r>
      <w:r w:rsidRPr="006B73A6">
        <w:rPr>
          <w:bCs/>
          <w:szCs w:val="28"/>
        </w:rPr>
        <w:t>thực hiện trích tiền theo quyết định cưỡng chế, các tổ chức tín dụng, chi nhánh ngân hàng nước ngoài phải thông báo cho cơ quan ban hành quyết định cưỡng chế.</w:t>
      </w:r>
    </w:p>
    <w:p w14:paraId="5C08A31E"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Đối tượng áp dụng biện pháp; căn cứ ban hành quyết định cưỡng chế; Quyết định cưỡng chế trích tiền từ tài khoản, phong tỏa tài khoản; Trách nhiệm của tổ chức tín dụng, chi nhánh ngân hàng nước ngoài nơi tổ chức, cá nhân bị cưỡng chế mở tài khoản; Thủ tục thu tiền bằng biện pháp trích tiền từ tài khoản (kế thừa quy định tại Điều 31 Nghị định số 126/2020/NĐ-CP)</w:t>
      </w:r>
      <w:r>
        <w:rPr>
          <w:bCs/>
          <w:szCs w:val="28"/>
        </w:rPr>
        <w:t>.</w:t>
      </w:r>
    </w:p>
    <w:p w14:paraId="5266A9D0" w14:textId="44587B3B" w:rsidR="00ED0B58" w:rsidRPr="00770EB5" w:rsidRDefault="00ED0B58" w:rsidP="00ED0B58">
      <w:pPr>
        <w:spacing w:before="120" w:after="120" w:line="276" w:lineRule="auto"/>
        <w:ind w:firstLine="720"/>
        <w:jc w:val="both"/>
        <w:rPr>
          <w:bCs/>
          <w:spacing w:val="-4"/>
          <w:szCs w:val="28"/>
        </w:rPr>
      </w:pPr>
      <w:r w:rsidRPr="00770EB5">
        <w:rPr>
          <w:b/>
          <w:bCs/>
          <w:spacing w:val="-4"/>
          <w:szCs w:val="28"/>
        </w:rPr>
        <w:t>1.</w:t>
      </w:r>
      <w:r>
        <w:rPr>
          <w:b/>
          <w:bCs/>
          <w:spacing w:val="-4"/>
          <w:szCs w:val="28"/>
        </w:rPr>
        <w:t>49</w:t>
      </w:r>
      <w:r w:rsidRPr="00770EB5">
        <w:rPr>
          <w:b/>
          <w:bCs/>
          <w:spacing w:val="-4"/>
          <w:szCs w:val="28"/>
        </w:rPr>
        <w:t xml:space="preserve">. Cưỡng chế bằng biện pháp khấu trừ một phần tiền lương hoặc thu nhập </w:t>
      </w:r>
      <w:r w:rsidRPr="00DE69B7">
        <w:rPr>
          <w:b/>
          <w:spacing w:val="-4"/>
          <w:szCs w:val="28"/>
        </w:rPr>
        <w:t>(tại Điều 66):</w:t>
      </w:r>
      <w:r w:rsidRPr="00770EB5">
        <w:rPr>
          <w:bCs/>
          <w:spacing w:val="-4"/>
          <w:szCs w:val="28"/>
        </w:rPr>
        <w:t xml:space="preserve"> gồm 06 khoản, cơ bản kế thừa quy định hiện hành, trong đó:</w:t>
      </w:r>
    </w:p>
    <w:p w14:paraId="478D6A54"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bổ sung căn cứ của cơ quan quản lý thuế để xác minh thông tin về tiền lương và thu nhập là dữ liệu do cơ quan bảo hiểm cung cấp.</w:t>
      </w:r>
    </w:p>
    <w:p w14:paraId="1734E339"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Điều kiện áp dụng biện pháp: Quá 30 ngày kể từ ngày ban hành quyết định cưỡng chế tài khoản mà cơ quan quản lý thuế không thu được hoặc không thu đủ tiền thuế nợ hoặc không đủ thông tin, điều kiện để thực hiện cưỡng chế tài khoản; (2) Sửa đổi tượng áp dụng từ có hợp đồng lao động có thời hạn từ 06 tháng thành 03 tháng để phù hợp với quy định về khấu trừ thuế TNCN đối với lao động có hợp đồng lao động từ 3 tháng.</w:t>
      </w:r>
    </w:p>
    <w:p w14:paraId="62FDB8D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Xác minh thông tin về tiền lương và thu nhập, Quyết định cưỡng chế khấu trừ một phần tiền lương hoặc thu nhập, Tỷ lệ khấu trừ một phần tiền lương hoặc một phần thu nhập đối với cá nhân, Trách nhiệm của cơ quan, tổ chức, người sử dụng lao động đang quản lý tiền lương hoặc thu nhập của cá nhân bị cưỡng chế (cơ bản kế thừa quy định tại Điều 32 Nghị định 126/2020/NĐ-CP).</w:t>
      </w:r>
    </w:p>
    <w:p w14:paraId="3AA97769" w14:textId="021151AD"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0</w:t>
      </w:r>
      <w:r w:rsidRPr="006B73A6">
        <w:rPr>
          <w:b/>
          <w:bCs/>
          <w:szCs w:val="28"/>
        </w:rPr>
        <w:t xml:space="preserve">. Cưỡng chế bằng biện pháp dừng làm thủ tục hải quan đối với hàng hóa xuất khẩu, nhập khẩu </w:t>
      </w:r>
      <w:r w:rsidRPr="00DE69B7">
        <w:rPr>
          <w:b/>
          <w:szCs w:val="28"/>
        </w:rPr>
        <w:t>(tại Điều 67)</w:t>
      </w:r>
      <w:r w:rsidRPr="006B73A6">
        <w:rPr>
          <w:bCs/>
          <w:szCs w:val="28"/>
        </w:rPr>
        <w:t>: gồm 06 khoản cơ bản kế thừa quy định hiện hành, trong đó:</w:t>
      </w:r>
    </w:p>
    <w:p w14:paraId="1256C66C" w14:textId="77777777" w:rsidR="00ED0B58" w:rsidRPr="00521EA2" w:rsidRDefault="00ED0B58" w:rsidP="00ED0B58">
      <w:pPr>
        <w:spacing w:before="120" w:after="120" w:line="276" w:lineRule="auto"/>
        <w:ind w:firstLine="720"/>
        <w:jc w:val="both"/>
        <w:rPr>
          <w:szCs w:val="28"/>
        </w:rPr>
      </w:pPr>
      <w:r w:rsidRPr="006B73A6">
        <w:rPr>
          <w:bCs/>
          <w:szCs w:val="28"/>
        </w:rPr>
        <w:t xml:space="preserve">-  Nội dung sửa đổi quy định hiện hành: Trình tự thực hiện trong trường hợp cơ quan thuế có văn bản đề nghị cơ quan hải quan ban hành quyết định cưỡng chế bằng biện pháp dừng làm thủ tục hải quan đối với </w:t>
      </w:r>
      <w:r w:rsidRPr="00521EA2">
        <w:rPr>
          <w:szCs w:val="28"/>
        </w:rPr>
        <w:t xml:space="preserve">người nộp thuế có hoạt </w:t>
      </w:r>
      <w:r w:rsidRPr="00521EA2">
        <w:rPr>
          <w:szCs w:val="28"/>
        </w:rPr>
        <w:lastRenderedPageBreak/>
        <w:t>động xuất khẩu, nhập khẩu hàng hóa trong thời gian 12 tháng gần nhất tính đến thời điểm cơ quan thuế đề nghị</w:t>
      </w:r>
      <w:r>
        <w:rPr>
          <w:szCs w:val="28"/>
        </w:rPr>
        <w:t>.</w:t>
      </w:r>
    </w:p>
    <w:p w14:paraId="2606D775"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Biện pháp cưỡng chế dừng làm thủ tục hải quan; Trường hợp cơ quan hải quan thực hiện ấn định thuế sau thông quan đối với hàng hóa xuất khẩu, nhập khẩu; Không áp dụng biện pháp dừng làm thủ tục hải quan</w:t>
      </w:r>
      <w:r>
        <w:rPr>
          <w:bCs/>
          <w:szCs w:val="28"/>
        </w:rPr>
        <w:t>.</w:t>
      </w:r>
    </w:p>
    <w:p w14:paraId="6F845C26" w14:textId="6969213D"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1</w:t>
      </w:r>
      <w:r w:rsidRPr="006B73A6">
        <w:rPr>
          <w:b/>
          <w:bCs/>
          <w:szCs w:val="28"/>
        </w:rPr>
        <w:t xml:space="preserve">. Cưỡng chế bằng biện pháp ngừng sử dụng hóa đơn </w:t>
      </w:r>
      <w:r w:rsidRPr="00521EA2">
        <w:rPr>
          <w:b/>
          <w:szCs w:val="28"/>
        </w:rPr>
        <w:t>(tại Điều 68):</w:t>
      </w:r>
      <w:r w:rsidRPr="006B73A6">
        <w:rPr>
          <w:bCs/>
          <w:szCs w:val="28"/>
        </w:rPr>
        <w:t xml:space="preserve"> gồm 07 khoản, cơ bản kế thừa quy định tại Điều 34 Nghị định số 126/2020/NĐ-CP, trong đó:</w:t>
      </w:r>
    </w:p>
    <w:p w14:paraId="43D003EF"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trường hợp áp dụng biện pháp này khi cơ quan quản lý thuế có căn cứ xác định việc cưỡng chế tài khoản không có khả năng thu hồi tiền thuế nợ; (2) bổ sung “cơ quan nhà nước có thẩm quyền” gửi văn bản đề nghị cơ quan thuế thực hiện cưỡng chế bằng biện pháp ngừng sử dụng hóa đơn đối với người nộp thuế; (3) bổ sung loại hóa đơn bị ngừng sử dụng gồm hóa đơn điện tử khởi tạo từ máy tính tiền có kết nối dữ liệu với cơ quan thuế theo quy định của pháp luật; (4) Trong thời gian thực hiện biện pháp cưỡng chế này, cơ quan thuế không tiếp nhận hóa đơn điện tử khởi tạo từ máy tính tiền; (5) Trường hợp người nộp thuế được cơ quan thuế chấp thuận sử dụng hoá đơn trong thời gian bị cưỡng chế ngừng sử dụng hoá đơn thì cơ quan thuế tạm dừng thực hiện cưỡng chế bằng biện pháp trích tiền từ tài khoản đối với người nộp thuế</w:t>
      </w:r>
    </w:p>
    <w:p w14:paraId="1E33B17B"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sửa đổi trường hợp áp dụng biện pháp này khi Cơ quan quản lý thuế đang thực hiện cưỡng chế tài khoản nhưng quá 30 ngày kể từ ngày ban hành quyết định cưỡng chế tài khoản, cơ quan quản lý thuế không thu được hoặc không thu đủ tiền thuế nợ; (2) sửa đổi quy định về việc xuất hóa đơn theo từng lần phát sinh trong thời gian bị cưỡng chế bằng biện pháp ngừng sử dụng hóa đơn, cụ thể: NNT nộp 18% tổng giá trị thanh toán của hoá đơn (Trước đây quy định nộp 18% doanh thu của hoá đơn, dẫn đến 1 số CQT thắc mắc về việc tính trên doanh thu có thuế GTGT hay doanh thu chưa thuế GTGT); (3) sửa đổi thời hạn (3 ngày làm việc) cơ quan thuế thực hiện cưỡng chế khi nhận được văn bản đề nghị của cơ quan hải quan hoặc cơ quan có thẩm quyền; (4) Ngay sau khi người nộp thuế thuộc trường hợp chấm dứt hiệu lực của quyết định cưỡng chế theo quy định tại khoản 2 Điều 49 Luật Quản lý thuế, cơ quan hải quan hoặc cơ quan nhà nước có thẩm quyền phải có thông báo cho cơ quan thuế để chấm dứt việc thực hiện biện pháp cưỡng chế này.</w:t>
      </w:r>
    </w:p>
    <w:p w14:paraId="402C845D"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kế thừa: đối tượng, loại hóa đơn bị ngừng sử dụng; quyết định cưỡng chế bằng biện pháp ngừng sử dụng hóa đơn được ban hành; trình tự, thủ tục thực hiện biện pháp cưỡng chế ngừng sử dụng hóa đơn; trường hợp cơ quan </w:t>
      </w:r>
      <w:r w:rsidRPr="006B73A6">
        <w:rPr>
          <w:bCs/>
          <w:szCs w:val="28"/>
        </w:rPr>
        <w:lastRenderedPageBreak/>
        <w:t>hải quan có văn bản đề nghị cơ quan thuế quản lý trực tiếp người nộp thuế ban hành quyết định cưỡng chế bằng biện pháp ngừng sử dụng hóa đơn (cơ bản kế thừa Điều 34 Nghị định 126/2020/NĐ-CP).</w:t>
      </w:r>
    </w:p>
    <w:p w14:paraId="06DEC4F9" w14:textId="50762872"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2</w:t>
      </w:r>
      <w:r w:rsidRPr="006B73A6">
        <w:rPr>
          <w:b/>
          <w:bCs/>
          <w:szCs w:val="28"/>
        </w:rPr>
        <w:t xml:space="preserve">. Cưỡng chế bằng biện pháp thu tiền, tài sản khác của người nộp thuế bị cưỡng chế do cơ quan, tổ chức, cá nhân khác đang nắm giữ </w:t>
      </w:r>
      <w:r w:rsidRPr="006B73A6">
        <w:rPr>
          <w:bCs/>
          <w:szCs w:val="28"/>
        </w:rPr>
        <w:t>(tại Điều 69): gồm 07 khoản, cơ bản kế thừa quy định hiện hành, trong đó:</w:t>
      </w:r>
    </w:p>
    <w:p w14:paraId="2B372820"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Điều kiện áp dụng biện pháp cưỡng chế này khi cơ quan quản lý thuế có đầy đủ căn cứ xác định bên thứ ba đang có khoản nợ hoặc đang nắm giữ tiền, tài sản của người nộp thuế bị cưỡng chế; (2) Trường hợp bên thứ ba nắm giữ tài sản của người nộp thuế bị cưỡng chế (trừ các trường hợp quy định tại điểm a khoản này) thì áp dụng theo quy định về cưỡng chế bằng biện pháp kê biên tài sản, bán đấu giá tài sản kê biên.</w:t>
      </w:r>
    </w:p>
    <w:p w14:paraId="7E0B18C8"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chấm dứt hiệu lực của quyết định cưỡng chế khi bên thứ ba đã nộp đủ số tiền trên quyết định cưỡng chế.</w:t>
      </w:r>
    </w:p>
    <w:p w14:paraId="0AC2A39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Đối tượng; xác minh thông tin bên thứ ba đang nắm giữ tiền, tài sản khác của người nộp thuế bị cưỡng chế; quyết định cưỡng chế; trình tự, thủ tục thực hiện; trách nhiệm của bên thứ ba đang có khoản nợ, đang nắm giữ tiền, tài sản khác của người nộp thuế bị cưỡng chế; trách nhiệm của cơ quan quản lý thuế đang quản lý bên thứ ba có trụ sở khác địa bàn của người nộp thuế bị cưỡng chế (kế thừa quy định tại Điều 36 Nghị định số 126/2020/NĐ-CP).</w:t>
      </w:r>
    </w:p>
    <w:p w14:paraId="680AF0A2" w14:textId="2FCDC0BB" w:rsidR="00ED0B58" w:rsidRPr="00770EB5" w:rsidRDefault="00ED0B58" w:rsidP="00ED0B58">
      <w:pPr>
        <w:spacing w:before="120" w:after="120" w:line="276" w:lineRule="auto"/>
        <w:ind w:firstLine="720"/>
        <w:jc w:val="both"/>
        <w:rPr>
          <w:bCs/>
          <w:spacing w:val="-2"/>
          <w:szCs w:val="28"/>
        </w:rPr>
      </w:pPr>
      <w:r w:rsidRPr="00770EB5">
        <w:rPr>
          <w:b/>
          <w:bCs/>
          <w:spacing w:val="-2"/>
          <w:szCs w:val="28"/>
        </w:rPr>
        <w:t>1.5</w:t>
      </w:r>
      <w:r>
        <w:rPr>
          <w:b/>
          <w:bCs/>
          <w:spacing w:val="-2"/>
          <w:szCs w:val="28"/>
        </w:rPr>
        <w:t>3</w:t>
      </w:r>
      <w:r w:rsidRPr="00770EB5">
        <w:rPr>
          <w:b/>
          <w:bCs/>
          <w:spacing w:val="-2"/>
          <w:szCs w:val="28"/>
        </w:rPr>
        <w:t>. Cưỡng chế bằng biện pháp kê biên tài sản, bán đấu giá tài sản kê biên</w:t>
      </w:r>
      <w:r w:rsidRPr="00770EB5">
        <w:rPr>
          <w:bCs/>
          <w:spacing w:val="-2"/>
          <w:szCs w:val="28"/>
        </w:rPr>
        <w:t xml:space="preserve"> (tại Điều 70): gồm 11 khoản, cơ bản kế thừa quy định hiện hành, trong đó:</w:t>
      </w:r>
    </w:p>
    <w:p w14:paraId="06BE5EB5"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quy định áp dụng biện pháp này khi cơ quan quản lý thuế có đầy đủ căn cứ và thông tin về tài sản thuộc sở hữu của người nộp thuế bị cưỡng chế. Đồng thời người nộp thuế đã cung cấp đầy đủ tài liệu chứng minh quyền sở hữu tài sản cho cơ quan quản lý thuế; (2) Sau khi tổng hợp kết quả xác minh, cơ quan quản lý thuế phải lập biên bản với người nộp thuế bị cưỡng chế để xác định số lượng, nội dung tài sản thuộc diện kê biên, đồng thời yêu cầu người nộp thuế cung cấp hồ sơ, tài liệu chứng minh quyền sở hữu tài sản; (3) Phối hợp với Ủy ban nhân dân nơi người nộp thuế bị cưỡng chế có tài sản thuộc diện kê biên; (4) Quyết định cưỡng chế bằng biện pháp kê biên tài sản, bán đấu giá tài sản kê biên chấm dứt hiệu lực kể từ khi tài sản đã được bán đấu giá và nộp đủ số tiền thu được qua bán đấu giá vào ngân sách nhà nước.</w:t>
      </w:r>
    </w:p>
    <w:p w14:paraId="5043EFCA"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xml:space="preserve">: (1) gửi quyết định cưỡng chế các cơ quan có thẩm quyền đăng ký quyền sở hữu, sử dụng khác theo quy định của </w:t>
      </w:r>
      <w:r w:rsidRPr="006B73A6">
        <w:rPr>
          <w:bCs/>
          <w:szCs w:val="28"/>
        </w:rPr>
        <w:lastRenderedPageBreak/>
        <w:t>pháp luật; (2) Xử lý số tiền thu được do bán đấu giá tài sản kê biên; (3) Việc tổ chức thi hành cưỡng chế bằng biện pháp kê biên tài sản thực hiện theo quy định từ Điều 24 đến Điều 35 của Nghị định số 296/2025/NĐ-CP của Chính phủ quy định về cưỡng chế thi hành quyết định xử phạt vi phạm hành chính.</w:t>
      </w:r>
    </w:p>
    <w:p w14:paraId="5952EE66"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trường hợp không áp dụng biện pháp cưỡng chế; những tài sản không được kê biên; xác minh thông tin về tài sản của người nộp thuế bị cưỡng chế; quyết định cưỡng chế; Chi phí cưỡng chế; Người ban hành quyết định cưỡng chế được sử dụng kinh phí từ ngân sách nhà nước để thực hiện các biện pháp cưỡng chế (kế thừa quy định tại Điều 35 Nghị định số 126/2020/NĐ-CP, Điều 21 Nghị định 296/2025/NĐ-CP)</w:t>
      </w:r>
    </w:p>
    <w:p w14:paraId="5D90ACF9" w14:textId="697FA3A2"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4</w:t>
      </w:r>
      <w:r w:rsidRPr="006B73A6">
        <w:rPr>
          <w:b/>
          <w:bCs/>
          <w:szCs w:val="28"/>
        </w:rPr>
        <w:t xml:space="preserve">. Cưỡng chế bằng biện pháp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 </w:t>
      </w:r>
      <w:r w:rsidRPr="006B73A6">
        <w:rPr>
          <w:bCs/>
          <w:szCs w:val="28"/>
        </w:rPr>
        <w:t>(tại Điều 72): gồm 06 khoản, cơ bản kế thừa quy định hiện hành, trong đó:</w:t>
      </w:r>
    </w:p>
    <w:p w14:paraId="1248B835"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các đối tượng thuộc trường hợp áp dụng biện pháp cưỡng chế này.</w:t>
      </w:r>
    </w:p>
    <w:p w14:paraId="0ACF8460"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 </w:t>
      </w:r>
      <w:r w:rsidRPr="006B73A6">
        <w:rPr>
          <w:bCs/>
          <w:szCs w:val="28"/>
        </w:rPr>
        <w:t>tên các loại giấy bị thu hồi để phù hợp với các pháp luật liên quan và thực tế; </w:t>
      </w:r>
    </w:p>
    <w:p w14:paraId="5616166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xác minh thông tin; văn bản đề nghị thu hồi; trách nhiệm của cơ quan nhà nước có thẩm quyền cấp giấy chứng nhận đăng ký kinh doanh; trong thời gian quy định của pháp luật về đăng ký doanh nghiệp; (kế thừa quy định tại Điều 37 Nghị định 126/2020/NĐ-CP).</w:t>
      </w:r>
    </w:p>
    <w:p w14:paraId="4FC3BCDB" w14:textId="712BA545" w:rsidR="00AB2DB9" w:rsidRPr="00B93F2E" w:rsidRDefault="00AB2DB9" w:rsidP="00AB2DB9">
      <w:pPr>
        <w:spacing w:before="120" w:after="120" w:line="240" w:lineRule="auto"/>
        <w:ind w:firstLine="720"/>
        <w:jc w:val="both"/>
        <w:rPr>
          <w:b/>
          <w:szCs w:val="28"/>
        </w:rPr>
      </w:pPr>
      <w:r>
        <w:rPr>
          <w:b/>
          <w:szCs w:val="28"/>
          <w:lang w:val="nl-NL"/>
        </w:rPr>
        <w:t xml:space="preserve">2. </w:t>
      </w:r>
      <w:r w:rsidRPr="00181768">
        <w:rPr>
          <w:b/>
          <w:szCs w:val="28"/>
          <w:lang w:val="vi-VN"/>
        </w:rPr>
        <w:t>Những nội dung mới so với các Nghị định hiện hành</w:t>
      </w:r>
      <w:r>
        <w:rPr>
          <w:b/>
          <w:szCs w:val="28"/>
        </w:rPr>
        <w:t xml:space="preserve"> (tạ</w:t>
      </w:r>
      <w:r w:rsidR="006A0685">
        <w:rPr>
          <w:b/>
          <w:szCs w:val="28"/>
        </w:rPr>
        <w:t>i 11</w:t>
      </w:r>
      <w:r>
        <w:rPr>
          <w:b/>
          <w:szCs w:val="28"/>
        </w:rPr>
        <w:t xml:space="preserve"> Điều)</w:t>
      </w:r>
    </w:p>
    <w:p w14:paraId="307EC8A0" w14:textId="77777777" w:rsidR="00CE5CC4" w:rsidRPr="006B73A6" w:rsidRDefault="00CE5CC4" w:rsidP="00CE5CC4">
      <w:pPr>
        <w:spacing w:before="120" w:after="120" w:line="276" w:lineRule="auto"/>
        <w:ind w:firstLine="720"/>
        <w:jc w:val="both"/>
        <w:rPr>
          <w:bCs/>
          <w:szCs w:val="28"/>
        </w:rPr>
      </w:pPr>
      <w:r w:rsidRPr="006B73A6">
        <w:rPr>
          <w:b/>
          <w:bCs/>
          <w:szCs w:val="28"/>
        </w:rPr>
        <w:t>2.1. Nguồn lực tài chính cho hoạt động của cơ quan quản lý thuế (Điều 5)</w:t>
      </w:r>
      <w:r w:rsidRPr="006B73A6">
        <w:rPr>
          <w:bCs/>
          <w:szCs w:val="28"/>
        </w:rPr>
        <w:t xml:space="preserve">: </w:t>
      </w:r>
      <w:r w:rsidRPr="00152191">
        <w:rPr>
          <w:bCs/>
          <w:color w:val="EE0000"/>
          <w:szCs w:val="28"/>
        </w:rPr>
        <w:t xml:space="preserve">(1) Quy định cụ thể các nội dung ngân sách nhà nước </w:t>
      </w:r>
      <w:r w:rsidRPr="00152191">
        <w:rPr>
          <w:color w:val="EE0000"/>
          <w:szCs w:val="28"/>
        </w:rPr>
        <w:t xml:space="preserve">hằng năm bảo đảm ưu tiên bố trí kinh phí cho cơ quan quản lý thuế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 theo quy định của pháp luật về quản lý tài chính ngân sách, đầu tư công, tài sản công; </w:t>
      </w:r>
      <w:r w:rsidRPr="00152191">
        <w:rPr>
          <w:bCs/>
          <w:color w:val="EE0000"/>
          <w:szCs w:val="28"/>
        </w:rPr>
        <w:t xml:space="preserve">(2) Quy định việc xây dựng và ban hành quy chế chi tiêu nội bộ nhằm bảo đảm thực hiện thống nhất trong toàn hệ thống; đối với các </w:t>
      </w:r>
      <w:r w:rsidRPr="00152191">
        <w:rPr>
          <w:bCs/>
          <w:color w:val="EE0000"/>
          <w:szCs w:val="28"/>
        </w:rPr>
        <w:lastRenderedPageBreak/>
        <w:t xml:space="preserve">nội dung chi đã có chế độ, tiêu chuẩn, định mức thì thực hiện theo quy định của cơ quan có thẩm quyền; đối với các nội dung chưa có quy định cụ thể thì </w:t>
      </w:r>
      <w:r w:rsidRPr="001734CA">
        <w:rPr>
          <w:color w:val="EE0000"/>
          <w:szCs w:val="28"/>
        </w:rPr>
        <w:t>căn cứ tình hình thực tế và dự toán chi thường xuyên ngân sách nhà nước giao theo định mức phân bổ theo tiêu chí biên chế Cục Thuế, Cục Hải quan quyết định mức chi phù hợp.</w:t>
      </w:r>
    </w:p>
    <w:p w14:paraId="0AE380D7" w14:textId="34541715" w:rsidR="00CE5CC4" w:rsidRPr="006B73A6" w:rsidRDefault="00CE5CC4" w:rsidP="00CE5CC4">
      <w:pPr>
        <w:spacing w:before="120" w:after="120" w:line="276" w:lineRule="auto"/>
        <w:ind w:firstLine="720"/>
        <w:jc w:val="both"/>
        <w:rPr>
          <w:bCs/>
          <w:szCs w:val="28"/>
        </w:rPr>
      </w:pPr>
      <w:r>
        <w:rPr>
          <w:b/>
          <w:bCs/>
          <w:szCs w:val="28"/>
        </w:rPr>
        <w:t>2</w:t>
      </w:r>
      <w:r w:rsidRPr="006B73A6">
        <w:rPr>
          <w:b/>
          <w:bCs/>
          <w:szCs w:val="28"/>
        </w:rPr>
        <w:t>.2. Gia hạn nộp hồ sơ khai thuế, khoản thu khác trong trường hợp đặc biệt (Điều 23)</w:t>
      </w:r>
      <w:r w:rsidRPr="006B73A6">
        <w:rPr>
          <w:bCs/>
          <w:szCs w:val="28"/>
        </w:rPr>
        <w:t>: Quy định việc gia hạn nộp hồ sơ khai thuế, khoản thu khác trong trường hợp đối tượng, ngành, nghề kinh doanh gặp khó khăn đặc biệt theo điểm b khoản 4 Điều 12 của Luật Quản lý thuế. Theo đó, Bộ Tài chính chủ trì, phối hợp với các bộ, ngành liên quan trình Chính phủ quy định cụ thể đối tượng áp dụng, loại thuế và khoản thu được gia hạn, thời gian, trình tự, thủ tục thực hiện, bảo đảm đúng thẩm quyền và thống nhất trong tổ chức thực hiện.</w:t>
      </w:r>
    </w:p>
    <w:p w14:paraId="54D25BFF" w14:textId="0521725E" w:rsidR="00CE5CC4" w:rsidRPr="00E7230F" w:rsidRDefault="00CE5CC4" w:rsidP="00CE5CC4">
      <w:pPr>
        <w:spacing w:before="120" w:after="120" w:line="276" w:lineRule="auto"/>
        <w:ind w:firstLine="720"/>
        <w:jc w:val="both"/>
        <w:rPr>
          <w:bCs/>
          <w:szCs w:val="28"/>
        </w:rPr>
      </w:pPr>
      <w:r w:rsidRPr="006B73A6">
        <w:rPr>
          <w:b/>
          <w:bCs/>
          <w:szCs w:val="28"/>
        </w:rPr>
        <w:t xml:space="preserve">2.3. Hoàn thành nghĩa vụ nộp thuế (Điều 27): </w:t>
      </w:r>
      <w:r w:rsidRPr="006B73A6">
        <w:rPr>
          <w:bCs/>
          <w:szCs w:val="28"/>
        </w:rPr>
        <w:t>Điều này bổ sung quy định chi tiết thi hành Điều 17 của Luật Quản lý thuế về hoàn thành nghĩa vụ nộp thuế, cụ thể: (1) quy định trường hợp doanh nghiệp chuyển đổi loại hình thì doanh nghiệp được thành lập sau chuyển đổi kế thừa số thuế phải nộp hoặc số thuế được khấu trừ, số nộp thừa và có trách nhiệm hoàn thành nghĩa vụ thuế của doanh nghiệp được chuyển đổi kể từ ngày được cấp Giấy chứng nhận đăng ký doanh nghiệp; (2) quy định đối với người nộp thuế là cá nhân đã chết, bị Tòa án tuyên bố chết, mất tích hoặc mất năng lực hành vi dân sự, theo đó cơ quan quản lý thuế xác định nghĩa vụ thuế chưa hoàn thành và trách nhiệm thực hiện nghĩa vụ thuế của người thừa kế hoặc người được giao quản lý tài sản theo quy định của pháp luật, đồng thời quy định cơ chế phục hồi số tiền thuế nợ đã được xóa trong trường hợp Tòa án hủy bỏ quyết định tuyên bố một người đã chết hoặc mất năng lực hành vi dân sự; (3) quy định trách nhiệm của cơ quan quản lý thuế trong việc thông báo, đôn đốc và thực hiện cưỡng chế đối với tổ chức, cá nhân có trách nhiệm kế thừa nghĩa vụ thuế nhưng chưa hoàn thành theo quy định</w:t>
      </w:r>
      <w:r>
        <w:rPr>
          <w:bCs/>
          <w:szCs w:val="28"/>
        </w:rPr>
        <w:t xml:space="preserve">; (4) </w:t>
      </w:r>
      <w:r w:rsidRPr="00E7230F">
        <w:rPr>
          <w:color w:val="EE0000"/>
          <w:szCs w:val="28"/>
        </w:rPr>
        <w:t>Trường hợp pháp luật có liên quan quy định việc tổ chức, cá nhân kế thừa quyền và nghĩa vụ của tổ chức, cá nhân khác ngoài các trường hợp quy định tại Điều 17 Luật Quản lý thuế thì việc hoàn thành nghĩa vụ thuế của tổ chức, cá nhân được kế thừa thực hiện tương tự như quy định tại khoản 2 và khoản 4 Điều này</w:t>
      </w:r>
      <w:r>
        <w:rPr>
          <w:color w:val="EE0000"/>
          <w:szCs w:val="28"/>
        </w:rPr>
        <w:t>.</w:t>
      </w:r>
    </w:p>
    <w:p w14:paraId="25201FB4" w14:textId="30979A28" w:rsidR="00CE5CC4" w:rsidRPr="006B73A6" w:rsidRDefault="00CE5CC4" w:rsidP="00CE5CC4">
      <w:pPr>
        <w:spacing w:before="120" w:after="120" w:line="276" w:lineRule="auto"/>
        <w:ind w:firstLine="720"/>
        <w:jc w:val="both"/>
        <w:rPr>
          <w:bCs/>
          <w:szCs w:val="28"/>
        </w:rPr>
      </w:pPr>
      <w:r w:rsidRPr="006B73A6">
        <w:rPr>
          <w:b/>
          <w:bCs/>
          <w:szCs w:val="28"/>
        </w:rPr>
        <w:t>2.4. Điều kiện, phạm vi, hình thức áp dụng và thu hồi chế độ ưu tiên đối với người nộp thuế (Điều 48)</w:t>
      </w:r>
      <w:r w:rsidRPr="006B73A6">
        <w:rPr>
          <w:bCs/>
          <w:szCs w:val="28"/>
        </w:rPr>
        <w:t xml:space="preserve">: Điều này quy định chế độ ưu tiên NNT tuân thủ tốt pháp luật về thuế nhằm thể chế hóa nguyên tắc quản lý thuế dựa trên mức độ tuân thủ và quản lý rủi ro theo Luật QLT, cụ thể: (1) quy định các hình thức ưu tiên đối với người nộp thuế tuân thủ tốt pháp luật thuế, bao gồm ưu tiên về </w:t>
      </w:r>
      <w:r w:rsidRPr="006B73A6">
        <w:rPr>
          <w:bCs/>
          <w:szCs w:val="28"/>
        </w:rPr>
        <w:lastRenderedPageBreak/>
        <w:t>TTHC, thời gian giải quyết hồ sơ, hình thức kiểm tra và dịch vụ hỗ trợ; (2) quy định về thẩm quyền của Thủ trưởng cơ quan thuế trong việc xem xét, công nhận, gia hạn, tạm dừng, thu hồi và cấp lại chế độ ưu tiên; (3) Về phạm vi áp dụng,xác định cụ thể các quyền lợi của người nộp thuế được áp dụng chế độ ưu tiên, gồm: thực hiện thủ tục hành chính theo quy trình rút gọn, xử lý trước hồ sơ cùng loại (trừ trường hợp rủi ro cao), kiểm tra trực tuyến, từ xa trên dữ liệu điện tử, triển khai việc miễn thuế, giảm thuế, hoàn thuế tự động khi đủ điều kiện theo Luật Quản lý thuế; được ưu tiên hỗ trợ, tư vấn và xem xét biểu dương, khen thưởng theo quy định pháp luật; (4) bổ sung điều kiện áp dụng chế độ ưu tiên theo hướng gắn với mức độ tuân thủ và quản trị của người nộp thuế, kết nối, chia sẻ dữ liệu điện tử với cơ quan thuế; thực hiện đầy đủ chế độ kế toán, hóa đơn điện tử; có hệ thống kiểm soát nội bộ và quản trị rủi ro thuế; (5) bổ sung cơ chế tạm dừng, thu hồi và cấp lại chế độ ưu tiên khi người nộp thuế không còn đáp ứng điều kiện hoặc có dấu hiệu vi phạm pháp luật thuế; (6) quy định việc áp dụng chế độ ưu tiên đối với doanh nghiệp ưu tiên trong lĩnh vực hải quan theo pháp luật chuyên ngành, bảo đảm thống nhất giữa quản lý thuế nội địa và hải quan.</w:t>
      </w:r>
    </w:p>
    <w:p w14:paraId="5C6CFC9A" w14:textId="299BB477" w:rsidR="00CE5CC4" w:rsidRPr="006B73A6" w:rsidRDefault="00CE5CC4" w:rsidP="00CE5CC4">
      <w:pPr>
        <w:spacing w:before="120" w:after="120" w:line="276" w:lineRule="auto"/>
        <w:ind w:firstLine="720"/>
        <w:jc w:val="both"/>
        <w:rPr>
          <w:bCs/>
          <w:szCs w:val="28"/>
        </w:rPr>
      </w:pPr>
      <w:r w:rsidRPr="006B73A6">
        <w:rPr>
          <w:b/>
          <w:bCs/>
          <w:szCs w:val="28"/>
        </w:rPr>
        <w:t xml:space="preserve">2.5. Nguyên tắc và nội dung ứng dụng công nghệ, dữ liệu và chuyển đổi số trong quản lý thuế (Điều 49): </w:t>
      </w:r>
      <w:r w:rsidRPr="006B73A6">
        <w:rPr>
          <w:bCs/>
          <w:szCs w:val="28"/>
        </w:rPr>
        <w:t>(1) Quy định nguyên tắc ứng dụng công nghệ, dữ liệu và chuyển đổi số trong quản lý thuế theo hướng tự động hóa quy trình, xây dựng cơ sở dữ liệu lớn, kết nối chia sẻ dữ liệu liên thông; đồng thời bảo đảm an ninh mạng, bảo vệ dữ liệu và quyền riêng tư, lấy người sử dụng làm trung tâm, nâng cao chất lượng phục vụ và tăng cường minh bạch, trách nhiệm giải trình; (2) quy định về nội dung thực hiện gồm: khai thác, sử dụng dữ liệu trên Hệ thống thông tin quản lý thuế để phân tích, đánh giá rủi ro, phát hiện vi phạm, hợp tác quốc tế về trao đổi thông tin, hỗ trợ thu thuế và quản lý thuế dựa trên quản lý rủi ro; số hóa, chuẩn hóa và quản trị dữ liệu thuế; thúc đẩy tự động hóa xử lý nghiệp vụ và khuyến khích xã hội hóa giải pháp công nghệ phục vụ quản lý thuế hiện đại.</w:t>
      </w:r>
    </w:p>
    <w:p w14:paraId="5C239355" w14:textId="75981940" w:rsidR="00CE5CC4" w:rsidRPr="006B73A6" w:rsidRDefault="00CE5CC4" w:rsidP="00CE5CC4">
      <w:pPr>
        <w:spacing w:before="120" w:after="120" w:line="276" w:lineRule="auto"/>
        <w:ind w:firstLine="720"/>
        <w:jc w:val="both"/>
        <w:rPr>
          <w:bCs/>
          <w:szCs w:val="28"/>
        </w:rPr>
      </w:pPr>
      <w:r w:rsidRPr="006B73A6">
        <w:rPr>
          <w:b/>
          <w:bCs/>
          <w:szCs w:val="28"/>
        </w:rPr>
        <w:t>2.6. Cơ sở dữ liệu trong Hệ thống thông tin quản lý thuế (Điều 51)</w:t>
      </w:r>
      <w:r w:rsidRPr="006B73A6">
        <w:rPr>
          <w:bCs/>
          <w:szCs w:val="28"/>
        </w:rPr>
        <w:t>: (1) Quy định cụ thể về cơ sở dữ liệu trong Hệ thống thông tin quản lý thuế, bao gồm thông tin về người nộp thuế cung cấp; thông tin nghiệp vụ của cơ quan thuế; do cơ quan nhà nước, cơ quan thuế nước ngoài cung cấp; dữ liệu từ các cơ sở dữ liệu quốc gia, chuyên ngành, thương mại hợp tác quốc tế và từ các nguồn khác có liên quan; (2) Quy định về việc quản lý, sao lưu, bảo vệ và cơ chế phục hồi dữ liệu khi xảy ra sự cố, bảo đảm an ninh, an toàn thông tin; (3) Khoản 3 quy định trách nhiệm của các bộ, ngành, địa phương và đơn vị liên quan trong việc xây dựng, triển khai hệ thống công nghệ thông tin để kết nối, chia sẻ dữ liệu theo tiêu chuẩn kỹ thuật của Bộ trưởng Bộ Tài chính.</w:t>
      </w:r>
    </w:p>
    <w:p w14:paraId="5BD81997" w14:textId="1D89A43A" w:rsidR="00CE5CC4" w:rsidRPr="006B73A6" w:rsidRDefault="00CE5CC4" w:rsidP="00CE5CC4">
      <w:pPr>
        <w:spacing w:before="120" w:after="120" w:line="276" w:lineRule="auto"/>
        <w:ind w:firstLine="720"/>
        <w:jc w:val="both"/>
        <w:rPr>
          <w:bCs/>
          <w:szCs w:val="28"/>
        </w:rPr>
      </w:pPr>
      <w:r w:rsidRPr="006B73A6">
        <w:rPr>
          <w:b/>
          <w:bCs/>
          <w:szCs w:val="28"/>
        </w:rPr>
        <w:lastRenderedPageBreak/>
        <w:t>2.7. Hệ thống thông tin quản lý thuế (Điều 52)</w:t>
      </w:r>
      <w:r w:rsidRPr="006B73A6">
        <w:rPr>
          <w:bCs/>
          <w:szCs w:val="28"/>
        </w:rPr>
        <w:t xml:space="preserve">: (1) Quy định về cấu trúc Hệ thống thông tin quản lý thuế (gọi là hệ thống) được tổ chức thành các phân hệ theo chức năng nghiệp vụ và các tiêu chí đáp ứng để vận hành hệ thống; (2) quy định nội dung quản lý, vận hành hệ thống, bao gồm: </w:t>
      </w:r>
      <w:r w:rsidRPr="00733D5F">
        <w:rPr>
          <w:bCs/>
          <w:color w:val="EE0000"/>
          <w:szCs w:val="28"/>
        </w:rPr>
        <w:t xml:space="preserve">khảo sát, thiết kế, đánh giá hoạt động hệ thống; vận hành, sử dụng </w:t>
      </w:r>
      <w:r w:rsidRPr="006B73A6">
        <w:rPr>
          <w:bCs/>
          <w:szCs w:val="28"/>
        </w:rPr>
        <w:t>dịch vụ công nghệ số; xây dựng, vận hành trung tâm dữ liệu; thu thập, chuẩn hóa, quản trị, sao lưu, phục hồi dữ liệu; bảo đảm an ninh, an toàn thông tin; tổ chức bộ máy và đào tạo nhân lực để triển khai thống nhất đến cơ quan thuế các cấp; bảo đảm kết nối thông suốt, dữ liệu đồng bộ và sử dụng chung trong toàn ngành thuế; (3) Quy định trách nhiệm của Bộ Tài chính và trách nhiệm phối hợp của các cơ quan, tổ chức, cá nhân có liên quan nhằm bảo đảm hệ thống hoạt động đồng bộ, hiệu quả.</w:t>
      </w:r>
    </w:p>
    <w:p w14:paraId="0C5A9D69" w14:textId="3CC85F49" w:rsidR="00CE5CC4" w:rsidRPr="006B73A6" w:rsidRDefault="00CE5CC4" w:rsidP="00CE5CC4">
      <w:pPr>
        <w:spacing w:before="120" w:after="120" w:line="276" w:lineRule="auto"/>
        <w:ind w:firstLine="720"/>
        <w:jc w:val="both"/>
        <w:rPr>
          <w:bCs/>
          <w:szCs w:val="28"/>
        </w:rPr>
      </w:pPr>
      <w:r w:rsidRPr="006B73A6">
        <w:rPr>
          <w:b/>
          <w:bCs/>
          <w:szCs w:val="28"/>
        </w:rPr>
        <w:t>2.8. Yêu cầu của thu thập, cập nhật thông tin vào Hệ thống thông tin quản lý thuế (Điều 53)</w:t>
      </w:r>
      <w:r w:rsidRPr="006B73A6">
        <w:rPr>
          <w:bCs/>
          <w:szCs w:val="28"/>
        </w:rPr>
        <w:t>: (1) quy định về yêu cầu về chất lượng và độ tin cậy đối với việc thu thập, cập nhật vào cơ sở dữ liệu trong Hệ thống thông tin quản lý thuế; (2) quy định trách nhiệm phối hợp xác minh và chịu trách nhiệm về nội dung thông tin khi có sự không thống nhất giữa các nguồn dữ liệu; (3) quy định yêu cầu lưu trữ đầy đủ, lưu vết truy cập, chỉnh sửa, cập nhật để bảo đảm khả năng truy xuất và trách nhiệm giải trình.</w:t>
      </w:r>
    </w:p>
    <w:p w14:paraId="0B5579AC" w14:textId="35B7E753" w:rsidR="00CE5CC4" w:rsidRPr="006B73A6" w:rsidRDefault="00CE5CC4" w:rsidP="00CE5CC4">
      <w:pPr>
        <w:spacing w:before="120" w:after="120" w:line="276" w:lineRule="auto"/>
        <w:ind w:firstLine="720"/>
        <w:jc w:val="both"/>
        <w:rPr>
          <w:bCs/>
          <w:szCs w:val="28"/>
        </w:rPr>
      </w:pPr>
      <w:r w:rsidRPr="006B73A6">
        <w:rPr>
          <w:b/>
          <w:bCs/>
          <w:szCs w:val="28"/>
        </w:rPr>
        <w:t>2.9. Trao đổi thông tin theo điều ước quốc tế, thỏa thuận quốc tế về thuế và tiêu chuẩn của Diễn đàn toàn cầu về minh bạch và trao đổi thông tin cho mục đích thuế (Điều 62)</w:t>
      </w:r>
      <w:r w:rsidRPr="006B73A6">
        <w:rPr>
          <w:bCs/>
          <w:szCs w:val="28"/>
        </w:rPr>
        <w:t>: (1) quy định về nguyên tắc, phạm vi và hình thức trao đổi thông tin (theo yêu cầu, tự động, tự nguyện) phù hợp điều ước quốc tế và tiêu chuẩn quốc tế; (2) quy định thẩm quyền của cơ quan thuế trong tổ chức thực hiện việc thu thập, xác minh, xử lý và trao đổi thông tin; (3) quy định nghĩa vụ xác định, kê khai, cập nhật, lưu trữ và cung cấp thông tin của người nộp thuế và các chủ thể liên quan, trong đó có thông tin về chủ sở hữu pháp lý, chủ sở hữu hưởng lợi và người đại diện danh nghĩa; (4) trách nhiệm lưu trữ tài liệu kế toán của tổ chức đã giải thể, phá sản; (5) quy định về việc xác minh thông tin của người nộp thuế và trách nhiệm của người nộp thuế trong quá trình xác minh; (6) chế tài xử lý vi phạm trong trường hợp không cung cấp, cung cấp không chính xác hoặc quá thời hạn; (7) nguyên tắc bảo mật thông tin theo chuẩn quốc tế và trách nhiệm phối hợp của các bộ, ngành trong việc hoàn thiện khung pháp lý để bảo đảm việc trao đổi thông tin cho mục đích thuế tuân theo các điều ước quốc tế, thỏa thuận quốc tế về thuế và phù hợp với tiêu chuẩn của Diễn đàn Toàn cầu.</w:t>
      </w:r>
    </w:p>
    <w:p w14:paraId="69297B9F" w14:textId="36A163A2" w:rsidR="00CE5CC4" w:rsidRPr="006B73A6" w:rsidRDefault="00CE5CC4" w:rsidP="00CE5CC4">
      <w:pPr>
        <w:spacing w:before="120" w:after="120" w:line="276" w:lineRule="auto"/>
        <w:ind w:firstLine="720"/>
        <w:jc w:val="both"/>
        <w:rPr>
          <w:bCs/>
          <w:szCs w:val="28"/>
        </w:rPr>
      </w:pPr>
      <w:r w:rsidRPr="006B73A6">
        <w:rPr>
          <w:b/>
          <w:bCs/>
          <w:szCs w:val="28"/>
        </w:rPr>
        <w:t>2.10. Cưỡng chế bằng biện pháp nộp đơn yêu cầu áp dụng thủ tục phá sản (Điều 71)</w:t>
      </w:r>
      <w:r w:rsidRPr="006B73A6">
        <w:rPr>
          <w:bCs/>
          <w:szCs w:val="28"/>
        </w:rPr>
        <w:t xml:space="preserve">: (1) Quy định biện pháp cưỡng chế nộp đơn yêu cầu mở thủ tục phá </w:t>
      </w:r>
      <w:r w:rsidRPr="006B73A6">
        <w:rPr>
          <w:bCs/>
          <w:szCs w:val="28"/>
        </w:rPr>
        <w:lastRenderedPageBreak/>
        <w:t>sản theo Luật Quản lý thuế, áp dụng đối doanh nghiệp, hợp tác xã không hoạt động tại địa chỉ đăng ký quá 03 năm và không thực hiện thủ tục khôi phục hoặc chấm dứt hiệu lực mã số thuế;  đã bị áp dụng các biện pháp cưỡng chế thi hành quyết định hành chính về thuế trong thời gian từ 03 năm trở lên nhưng vẫn không thu hồi được nợ thuế; (2) Quy định cơ quan quản lý thuế thực hiện trình tự, thủ tục nộp đơn yêu cầu áp dụng thủ tục phá sản theo quy định của Luật Phục hồi, phá sản; (3) quy định về biện pháp cưỡng chế đối với trường hợp Tòa án có thông báo trả lại đơn yêu cầu hoặc có quyết định không mở thủ tục phá sản theo đề nghị của cơ quan quản lý thuế.</w:t>
      </w:r>
    </w:p>
    <w:p w14:paraId="77786F2E" w14:textId="7DBA0648" w:rsidR="00CE5CC4" w:rsidRPr="006B73A6" w:rsidRDefault="00CE5CC4" w:rsidP="00CE5CC4">
      <w:pPr>
        <w:spacing w:before="120" w:after="120" w:line="276" w:lineRule="auto"/>
        <w:ind w:firstLine="720"/>
        <w:jc w:val="both"/>
        <w:rPr>
          <w:bCs/>
          <w:szCs w:val="28"/>
          <w:lang w:val="vi-VN"/>
        </w:rPr>
      </w:pPr>
      <w:r w:rsidRPr="006B73A6">
        <w:rPr>
          <w:b/>
          <w:bCs/>
          <w:szCs w:val="28"/>
        </w:rPr>
        <w:t>2.11. Điều khoản chuyển tiếp (Điều 74)</w:t>
      </w:r>
      <w:r w:rsidRPr="006B73A6">
        <w:rPr>
          <w:bCs/>
          <w:szCs w:val="28"/>
        </w:rPr>
        <w:t>: Bổ sung quy định chuyển tiếp về thẩm quyền ban hành quyết định thu hồi số tiền thuế nợ đã được xóa cho Trưởng Thuế tỉnh, thành phố, Chi cục trưởng Chi cục thuế Doanh nghiệp lớn, Chi cục trưởng Chi cục thuế Thương mại điện tử và Chi cục trưởng Chi cục Hải quan khu vực để có cơ chế để thu hồi các khoản tiền thuế nợ đã bị xóa theo các quyết định xóa nợ thuế phí của Uỷ ban nhân dân trước đây để phù hợp với thẩm quyền xóa nợ mới.</w:t>
      </w:r>
    </w:p>
    <w:p w14:paraId="15A24C29" w14:textId="32101495" w:rsidR="0041265C" w:rsidRPr="00FF6F05" w:rsidRDefault="0041265C" w:rsidP="006706B5">
      <w:pPr>
        <w:spacing w:before="120" w:after="120" w:line="240" w:lineRule="auto"/>
        <w:ind w:firstLine="720"/>
        <w:jc w:val="both"/>
        <w:rPr>
          <w:b/>
          <w:szCs w:val="28"/>
          <w:lang w:val="nl-NL"/>
        </w:rPr>
      </w:pPr>
      <w:r w:rsidRPr="00FF6F05">
        <w:rPr>
          <w:b/>
          <w:szCs w:val="28"/>
          <w:lang w:val="nl-NL"/>
        </w:rPr>
        <w:t>3. Nội dung lược bỏ</w:t>
      </w:r>
      <w:r w:rsidR="006A0685">
        <w:rPr>
          <w:b/>
          <w:szCs w:val="28"/>
          <w:lang w:val="nl-NL"/>
        </w:rPr>
        <w:t xml:space="preserve"> (10</w:t>
      </w:r>
      <w:r>
        <w:rPr>
          <w:b/>
          <w:szCs w:val="28"/>
          <w:lang w:val="nl-NL"/>
        </w:rPr>
        <w:t xml:space="preserve"> nội dung)</w:t>
      </w:r>
    </w:p>
    <w:p w14:paraId="30C1478C" w14:textId="54BD2026" w:rsidR="006A0685" w:rsidRPr="00336A27" w:rsidRDefault="006A0685" w:rsidP="006A0685">
      <w:pPr>
        <w:spacing w:before="120" w:after="120" w:line="276" w:lineRule="auto"/>
        <w:ind w:firstLine="720"/>
        <w:jc w:val="both"/>
        <w:rPr>
          <w:b/>
          <w:szCs w:val="28"/>
          <w:lang w:val="vi-VN"/>
        </w:rPr>
      </w:pPr>
      <w:r w:rsidRPr="00336A27">
        <w:rPr>
          <w:b/>
          <w:szCs w:val="28"/>
          <w:lang w:val="vi-VN"/>
        </w:rPr>
        <w:t>3.1. Sử dụng mã số thuế</w:t>
      </w:r>
    </w:p>
    <w:p w14:paraId="01E28614"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Bỏ quy định: “Khi bên Việt Nam chi trả tiền cho tổ chức, cá nhân có hoạt động kinh doanh xuyên biên giới dựa trên nền tảng trung gian kỹ thuật số không hiện diện tại Việt Nam thì phải sử dụng mã số thuế đã cấp cho tổ chức, cá nhân này để khấu trừ, nộp thay” do khoản 2 Điều 8 dự thảo Nghị định đã bao trùm đối với nội dung này.</w:t>
      </w:r>
    </w:p>
    <w:p w14:paraId="6A3E53ED"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Bỏ quy định “Khi mã số định danh cá nhân được cấp cho toàn bộ dân cư thì sử dụng mã số định danh cá nhân thay cho mã số thuế” do nội dung này đã được chuyển thành quy định về mã số thuế tại khoản 1 Điều 11 Luật Quản lý thuế.</w:t>
      </w:r>
    </w:p>
    <w:p w14:paraId="7426A0CF" w14:textId="40FE575F" w:rsidR="006A0685" w:rsidRPr="00336A27" w:rsidRDefault="006A0685" w:rsidP="006A0685">
      <w:pPr>
        <w:spacing w:before="120" w:after="120" w:line="276" w:lineRule="auto"/>
        <w:ind w:firstLine="720"/>
        <w:jc w:val="both"/>
        <w:rPr>
          <w:b/>
          <w:szCs w:val="28"/>
          <w:lang w:val="vi-VN"/>
        </w:rPr>
      </w:pPr>
      <w:r w:rsidRPr="00336A27">
        <w:rPr>
          <w:b/>
          <w:szCs w:val="28"/>
          <w:lang w:val="vi-VN"/>
        </w:rPr>
        <w:t xml:space="preserve">3.2. </w:t>
      </w:r>
      <w:r w:rsidRPr="00336A27">
        <w:rPr>
          <w:b/>
          <w:szCs w:val="28"/>
        </w:rPr>
        <w:t>Các trường hợp không phải nộp hồ sơ khai thuế</w:t>
      </w:r>
      <w:r w:rsidRPr="00336A27">
        <w:rPr>
          <w:b/>
          <w:szCs w:val="28"/>
          <w:lang w:val="vi-VN"/>
        </w:rPr>
        <w:t xml:space="preserve"> </w:t>
      </w:r>
    </w:p>
    <w:p w14:paraId="08F423C2"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Bỏ quy định không phải nộp hồ sơ khai thuế đối với “Cá nhân có số tiền thuế phát sinh phải nộp hằng năm sau quyết toán thuế thu nhập cá nhân từ tiền lương, tiền công từ 50.000 đồng trở xuống” do cá nhân cần nộp hồ sơ quyết toán thuế TNCN từ tiền lương, tiền công thì mới có căn cứ xác định số thuế TNCN phải nộp từ 50.000 đồng trở xuống để thực hiện miễn thuế.</w:t>
      </w:r>
    </w:p>
    <w:p w14:paraId="190C7503" w14:textId="312D3E92" w:rsidR="006A0685" w:rsidRPr="00336A27" w:rsidRDefault="006A0685" w:rsidP="006A0685">
      <w:pPr>
        <w:spacing w:before="120" w:after="120" w:line="276" w:lineRule="auto"/>
        <w:ind w:firstLine="720"/>
        <w:jc w:val="both"/>
        <w:rPr>
          <w:b/>
          <w:szCs w:val="28"/>
          <w:lang w:val="vi-VN"/>
        </w:rPr>
      </w:pPr>
      <w:r w:rsidRPr="00336A27">
        <w:rPr>
          <w:b/>
          <w:szCs w:val="28"/>
          <w:lang w:val="vi-VN"/>
        </w:rPr>
        <w:t xml:space="preserve">3.3. Thời hạn nộp hồ sơ khai thuế </w:t>
      </w:r>
    </w:p>
    <w:p w14:paraId="0DF1BC06"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xml:space="preserve">Bỏ quy định về thời hạn nộp hồ sơ khai thuế khoán của hộ kinh doanh, cá nhân kinh doanh nộp thuế theo phương pháp khoán (điểm c khoản 2 Điều 44 Luật </w:t>
      </w:r>
      <w:r w:rsidRPr="00336A27">
        <w:rPr>
          <w:bCs/>
          <w:szCs w:val="28"/>
          <w:lang w:val="vi-VN"/>
        </w:rPr>
        <w:lastRenderedPageBreak/>
        <w:t>QLT số 38/2019/QH14) để phù hợp với quy định về bỏ thuế khoán tại Nghị quyết 68-NQ/TW của Bộ Chính trị về phát triển kinh tế tư nhân.</w:t>
      </w:r>
    </w:p>
    <w:p w14:paraId="0DC6F40C" w14:textId="6FE9BA78" w:rsidR="006A0685" w:rsidRPr="00336A27" w:rsidRDefault="006A0685" w:rsidP="006A0685">
      <w:pPr>
        <w:spacing w:before="120" w:after="120" w:line="276" w:lineRule="auto"/>
        <w:ind w:firstLine="720"/>
        <w:jc w:val="both"/>
        <w:rPr>
          <w:b/>
          <w:spacing w:val="-4"/>
          <w:szCs w:val="28"/>
          <w:lang w:val="vi-VN"/>
        </w:rPr>
      </w:pPr>
      <w:r w:rsidRPr="00336A27">
        <w:rPr>
          <w:b/>
          <w:spacing w:val="-4"/>
          <w:szCs w:val="28"/>
          <w:lang w:val="vi-VN"/>
        </w:rPr>
        <w:t xml:space="preserve">3.4. Các trường hợp cơ quan quản lý thuế tính thuế, thông báo nộp thuế </w:t>
      </w:r>
    </w:p>
    <w:p w14:paraId="248D16E0"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Bỏ quy định về Hội đồng tư vấn thuế xã, phường theo quy định tại Điều 28 Luật QLT số 38/2019/QH14 để cơ quan thuế xác định số thuế khoán phải nộp cho hộ kinh doanh, cá nhân kinh doanh do đã bãi bỏ thuế khoán từ 01/01/2026.</w:t>
      </w:r>
    </w:p>
    <w:p w14:paraId="53B350C9"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xml:space="preserve">Bãi bỏ quy định về trường hợp cơ quan thuế không tính thuế, không thông báo nộp thuế đối với các khoản thu từ tiền thuê đất, thuê mặt nước, tiền sử dụng đất phát sinh trong khu kinh tế, khu công nghệ cao. Do theo quy định của Luật đất đai 2024, cơ quan thuế tính thuế, thông báo thuế đối với tiền thuê đất, tiền sử dụng đất cả trường hợp phát sinh trong khu kinh tế, khu công nghệ cao. </w:t>
      </w:r>
    </w:p>
    <w:p w14:paraId="212F1ED1" w14:textId="24EC6530" w:rsidR="006A0685" w:rsidRPr="00336A27" w:rsidRDefault="006A0685" w:rsidP="006A0685">
      <w:pPr>
        <w:spacing w:before="120" w:after="120" w:line="276" w:lineRule="auto"/>
        <w:ind w:firstLine="720"/>
        <w:jc w:val="both"/>
        <w:rPr>
          <w:b/>
          <w:bCs/>
          <w:szCs w:val="28"/>
          <w:lang w:val="vi-VN"/>
        </w:rPr>
      </w:pPr>
      <w:r w:rsidRPr="00336A27">
        <w:rPr>
          <w:b/>
          <w:bCs/>
          <w:szCs w:val="28"/>
          <w:lang w:val="vi-VN"/>
        </w:rPr>
        <w:t xml:space="preserve">3.5. Các trường hợp </w:t>
      </w:r>
      <w:r w:rsidRPr="00336A27">
        <w:rPr>
          <w:b/>
          <w:bCs/>
          <w:szCs w:val="28"/>
        </w:rPr>
        <w:t>khấu trừ, khai thuế thay, nộp thuế thay</w:t>
      </w:r>
      <w:r w:rsidRPr="00336A27">
        <w:rPr>
          <w:b/>
          <w:bCs/>
          <w:szCs w:val="28"/>
          <w:lang w:val="vi-VN"/>
        </w:rPr>
        <w:t xml:space="preserve"> </w:t>
      </w:r>
    </w:p>
    <w:p w14:paraId="27BDEBB4"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xml:space="preserve">Lược bỏ các quy định về khai thay, nộp thay cho hộ kinh doanh, cá nhân kinh doanh nộp thuế theo phương pháp khoán quy định tại điểm c, điểm đ khoản 5 Điều 7 Nghị định số 126/2020/NĐ-CP để phù hợp với quy định về bỏ thuế khoán tại Nghị quyết 68-NQ/TW của Bộ Chính trị về phát triển kinh tế tư nhân. </w:t>
      </w:r>
    </w:p>
    <w:p w14:paraId="3C081F93"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Lược bỏ quy định về khai phí, lệ phí của các tổ chức thu phí, lệ phí để chuyển xuống hướng dẫn tại Thông tư do đây không phải là trường hợp khai thay, nộp thay. Theo quy định tại Luật phí và lệ phí, tổ chức thu phí, lệ phí phải nộp vào NSNN đối với số tiền phí, lệ phí thu được từ người nộp phí, lệ phí. Trong đó, một số khoản phí được để lại một phần hoặc toàn bộ số tiền thu được. Do đó, việc kê khai, nộp phí, lệ phí của tổ chức thu phí, lệ phí không đơn thuần là việc khai thay, nộp thay cho người nộp phí, lệ phí mà là nghĩa vụ phải nộp NSNN của tổ chức thu phí, lệ phí đối với số tiền phí, lệ phí đã thu được, không bao gồm số phí, lệ phí chưa thu được.</w:t>
      </w:r>
    </w:p>
    <w:p w14:paraId="1EB0134F" w14:textId="49944314" w:rsidR="006A0685" w:rsidRPr="00336A27" w:rsidRDefault="006A0685" w:rsidP="006A0685">
      <w:pPr>
        <w:spacing w:before="120" w:after="120" w:line="276" w:lineRule="auto"/>
        <w:ind w:firstLine="720"/>
        <w:jc w:val="both"/>
        <w:rPr>
          <w:b/>
          <w:bCs/>
          <w:szCs w:val="28"/>
          <w:lang w:val="vi-VN"/>
        </w:rPr>
      </w:pPr>
      <w:r w:rsidRPr="00336A27">
        <w:rPr>
          <w:b/>
          <w:bCs/>
          <w:szCs w:val="28"/>
          <w:lang w:val="vi-VN"/>
        </w:rPr>
        <w:t xml:space="preserve">3.6. </w:t>
      </w:r>
      <w:r w:rsidRPr="00336A27">
        <w:rPr>
          <w:b/>
          <w:bCs/>
          <w:szCs w:val="28"/>
        </w:rPr>
        <w:t>Thời hạn nộp tiền đối với trường hợp cơ quan quản lý thuế tính thuế, khoản thu khác, thông báo nộp thuế, khoản thu khác</w:t>
      </w:r>
      <w:r w:rsidRPr="00336A27">
        <w:rPr>
          <w:b/>
          <w:bCs/>
          <w:szCs w:val="28"/>
          <w:lang w:val="vi-VN"/>
        </w:rPr>
        <w:t xml:space="preserve"> </w:t>
      </w:r>
    </w:p>
    <w:p w14:paraId="63E18D6C"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xml:space="preserve">- Bỏ tiền thuê mặt nước để phù hợp với pháp luật về đất đai do Luật Đất đai 2024 không quy định thu tiền thuê mặt </w:t>
      </w:r>
      <w:bookmarkStart w:id="4" w:name="_GoBack"/>
      <w:bookmarkEnd w:id="4"/>
      <w:r w:rsidRPr="00336A27">
        <w:rPr>
          <w:bCs/>
          <w:szCs w:val="28"/>
          <w:lang w:val="vi-VN"/>
        </w:rPr>
        <w:t>nước.</w:t>
      </w:r>
    </w:p>
    <w:p w14:paraId="5EFB4C43" w14:textId="77777777" w:rsidR="006A0685" w:rsidRPr="00336A27" w:rsidRDefault="006A0685" w:rsidP="006A0685">
      <w:pPr>
        <w:spacing w:before="120" w:after="120" w:line="276" w:lineRule="auto"/>
        <w:ind w:firstLine="720"/>
        <w:jc w:val="both"/>
        <w:rPr>
          <w:bCs/>
          <w:szCs w:val="28"/>
        </w:rPr>
      </w:pPr>
      <w:r w:rsidRPr="00336A27">
        <w:rPr>
          <w:bCs/>
          <w:szCs w:val="28"/>
          <w:lang w:val="vi-VN"/>
        </w:rPr>
        <w:t>- Bãi bỏ quy định về thời hạn nộp tiền đối với lệ phí môn bài. Do việc thu, nộp lệ phí môn bài được chấm dứt từ ngày 01 tháng 01 năm 2026 theo quy định tại khoản 7 Điều 10 Nghị quyết 198/2025/QH15.</w:t>
      </w:r>
    </w:p>
    <w:p w14:paraId="69A992FC" w14:textId="260389CE" w:rsidR="006A0685" w:rsidRPr="00336A27" w:rsidRDefault="006A0685" w:rsidP="006A0685">
      <w:pPr>
        <w:spacing w:before="120" w:after="120" w:line="276" w:lineRule="auto"/>
        <w:ind w:firstLine="720"/>
        <w:jc w:val="both"/>
        <w:rPr>
          <w:b/>
          <w:bCs/>
          <w:iCs/>
          <w:szCs w:val="28"/>
          <w:lang w:val="vi-VN"/>
        </w:rPr>
      </w:pPr>
      <w:r w:rsidRPr="00336A27">
        <w:rPr>
          <w:b/>
          <w:bCs/>
          <w:iCs/>
          <w:szCs w:val="28"/>
          <w:lang w:val="vi-VN"/>
        </w:rPr>
        <w:t xml:space="preserve">3.7. </w:t>
      </w:r>
      <w:r w:rsidRPr="00336A27">
        <w:rPr>
          <w:b/>
          <w:bCs/>
          <w:iCs/>
          <w:szCs w:val="28"/>
        </w:rPr>
        <w:t>Thẩm quyền, thủ tục ấn định thuế của cơ quan thuế</w:t>
      </w:r>
      <w:r w:rsidRPr="00336A27">
        <w:rPr>
          <w:b/>
          <w:bCs/>
          <w:iCs/>
          <w:szCs w:val="28"/>
          <w:lang w:val="vi-VN"/>
        </w:rPr>
        <w:t xml:space="preserve"> </w:t>
      </w:r>
    </w:p>
    <w:p w14:paraId="2978B5EC" w14:textId="77777777" w:rsidR="006A0685" w:rsidRPr="00336A27" w:rsidRDefault="006A0685" w:rsidP="006A0685">
      <w:pPr>
        <w:spacing w:before="120" w:after="120" w:line="276" w:lineRule="auto"/>
        <w:ind w:firstLine="720"/>
        <w:jc w:val="both"/>
        <w:rPr>
          <w:bCs/>
          <w:iCs/>
          <w:szCs w:val="28"/>
          <w:lang w:val="vi-VN"/>
        </w:rPr>
      </w:pPr>
      <w:r w:rsidRPr="00336A27">
        <w:rPr>
          <w:bCs/>
          <w:iCs/>
          <w:szCs w:val="28"/>
          <w:lang w:val="vi-VN"/>
        </w:rPr>
        <w:lastRenderedPageBreak/>
        <w:t>Bỏ nội dung về “thanh tra thuế” do đã bỏ chức năng thanh tra của cơ quan thuế.</w:t>
      </w:r>
    </w:p>
    <w:p w14:paraId="16E7F98D" w14:textId="1EE10E16" w:rsidR="006A0685" w:rsidRPr="00336A27" w:rsidRDefault="006A0685" w:rsidP="006A0685">
      <w:pPr>
        <w:spacing w:before="120" w:after="120" w:line="276" w:lineRule="auto"/>
        <w:ind w:firstLine="720"/>
        <w:jc w:val="both"/>
        <w:rPr>
          <w:b/>
          <w:iCs/>
          <w:szCs w:val="28"/>
          <w:lang w:val="vi-VN"/>
        </w:rPr>
      </w:pPr>
      <w:r w:rsidRPr="00336A27">
        <w:rPr>
          <w:b/>
          <w:iCs/>
          <w:szCs w:val="28"/>
          <w:lang w:val="vi-VN"/>
        </w:rPr>
        <w:t>3.8. Các quy định liên quan đến lệ phí môn bài</w:t>
      </w:r>
    </w:p>
    <w:p w14:paraId="5C5D4F64" w14:textId="77777777" w:rsidR="006A0685" w:rsidRPr="00336A27" w:rsidRDefault="006A0685" w:rsidP="006A0685">
      <w:pPr>
        <w:spacing w:before="120" w:after="120" w:line="276" w:lineRule="auto"/>
        <w:ind w:firstLine="720"/>
        <w:jc w:val="both"/>
        <w:rPr>
          <w:iCs/>
          <w:szCs w:val="28"/>
          <w:lang w:val="vi-VN"/>
        </w:rPr>
      </w:pPr>
      <w:r w:rsidRPr="00336A27">
        <w:rPr>
          <w:bCs/>
          <w:iCs/>
          <w:szCs w:val="28"/>
          <w:lang w:val="vi-VN"/>
        </w:rPr>
        <w:t>Bãi bỏ các nội dung quy định về lệ phí môn bài do</w:t>
      </w:r>
      <w:r w:rsidRPr="00336A27">
        <w:rPr>
          <w:b/>
          <w:iCs/>
          <w:szCs w:val="28"/>
          <w:lang w:val="vi-VN"/>
        </w:rPr>
        <w:t xml:space="preserve"> </w:t>
      </w:r>
      <w:r w:rsidRPr="00336A27">
        <w:rPr>
          <w:iCs/>
          <w:szCs w:val="28"/>
          <w:lang w:val="vi-VN"/>
        </w:rPr>
        <w:t>việc thu, nộp lệ phí môn bài được chấm dứt từ ngày 01/01/2026 theo quy định tại khoản 7 Điều 10 Nghị quyết số 198/2025/QH15 về một số cơ chế, chính sách đặc biệt phát triển kinh tế tư nhân.</w:t>
      </w:r>
    </w:p>
    <w:p w14:paraId="02BB9FE0" w14:textId="347CCFB1" w:rsidR="006A0685" w:rsidRPr="00336A27" w:rsidRDefault="006A0685" w:rsidP="006A0685">
      <w:pPr>
        <w:spacing w:before="120" w:after="120" w:line="276" w:lineRule="auto"/>
        <w:ind w:firstLine="720"/>
        <w:jc w:val="both"/>
        <w:rPr>
          <w:b/>
          <w:bCs/>
          <w:iCs/>
          <w:szCs w:val="28"/>
          <w:lang w:val="vi-VN"/>
        </w:rPr>
      </w:pPr>
      <w:r w:rsidRPr="00336A27">
        <w:rPr>
          <w:b/>
          <w:bCs/>
          <w:iCs/>
          <w:szCs w:val="28"/>
          <w:lang w:val="vi-VN"/>
        </w:rPr>
        <w:t>3.9. Cưỡng chế bằng biện pháp khấu trừ một phần tiền lương hoặc thu nhập</w:t>
      </w:r>
    </w:p>
    <w:p w14:paraId="72F1011B" w14:textId="77777777" w:rsidR="006A0685" w:rsidRPr="00336A27" w:rsidRDefault="006A0685" w:rsidP="006A0685">
      <w:pPr>
        <w:spacing w:before="120" w:after="120" w:line="276" w:lineRule="auto"/>
        <w:ind w:firstLine="720"/>
        <w:jc w:val="both"/>
        <w:rPr>
          <w:bCs/>
          <w:iCs/>
          <w:szCs w:val="28"/>
          <w:lang w:val="vi-VN"/>
        </w:rPr>
      </w:pPr>
      <w:r w:rsidRPr="00336A27">
        <w:rPr>
          <w:iCs/>
          <w:szCs w:val="28"/>
          <w:lang w:val="vi-VN"/>
        </w:rPr>
        <w:t xml:space="preserve">Bỏ đối tượng bị cưỡng chế bằng biện pháp khấu trừ một phần tiền lương hoặc thu nhập là cá nhân được hưởng trợ cấp hưu trí, mất sức </w:t>
      </w:r>
      <w:r w:rsidRPr="00336A27">
        <w:rPr>
          <w:bCs/>
          <w:iCs/>
          <w:szCs w:val="28"/>
          <w:lang w:val="vi-VN"/>
        </w:rPr>
        <w:t>để đảm bảo tính nhân văn, duy trì mức sống cho những đối tượng này.</w:t>
      </w:r>
    </w:p>
    <w:p w14:paraId="22C45383" w14:textId="56F45C35" w:rsidR="006A0685" w:rsidRPr="00336A27" w:rsidRDefault="006A0685" w:rsidP="006A0685">
      <w:pPr>
        <w:spacing w:before="120" w:after="120" w:line="276" w:lineRule="auto"/>
        <w:ind w:firstLine="720"/>
        <w:jc w:val="both"/>
        <w:rPr>
          <w:b/>
          <w:iCs/>
          <w:szCs w:val="28"/>
        </w:rPr>
      </w:pPr>
      <w:r w:rsidRPr="00336A27">
        <w:rPr>
          <w:b/>
          <w:iCs/>
          <w:szCs w:val="28"/>
        </w:rPr>
        <w:t>3.10. Đăng ký, xử lý và cấp chứng từ khấu trừ thuế đối với hoạt động kinh doanh trên nền tảng thương mại điện tử, nền tảng số</w:t>
      </w:r>
    </w:p>
    <w:p w14:paraId="60C485F4" w14:textId="77777777" w:rsidR="006A0685" w:rsidRPr="00336A27" w:rsidRDefault="006A0685" w:rsidP="006A0685">
      <w:pPr>
        <w:spacing w:before="120" w:after="120" w:line="276" w:lineRule="auto"/>
        <w:ind w:firstLine="720"/>
        <w:jc w:val="both"/>
        <w:rPr>
          <w:iCs/>
          <w:szCs w:val="28"/>
        </w:rPr>
      </w:pPr>
      <w:r w:rsidRPr="00336A27">
        <w:rPr>
          <w:iCs/>
          <w:szCs w:val="28"/>
        </w:rPr>
        <w:t>Bãi bỏ quy định về đăng ký, xử lý và cấp chứng từ khấu trừ thuế theo mẫu riêng do nghĩa vụ nộp thuế đã được thực hiện và ghi nhận thông qua Bảng kê số tiền thuế đã nộp bảo đảm đủ cơ sở để xác định nghĩa vụ thuế, hoàn thuế của cá nhân kinh doanh, hộ kinh doanh.</w:t>
      </w:r>
    </w:p>
    <w:p w14:paraId="45077A3E" w14:textId="16290D22" w:rsidR="009F35CD" w:rsidRPr="00474ABD" w:rsidRDefault="0085696E" w:rsidP="001052D2">
      <w:pPr>
        <w:widowControl w:val="0"/>
        <w:pBdr>
          <w:top w:val="dotted" w:sz="4" w:space="0" w:color="FFFFFF"/>
          <w:left w:val="dotted" w:sz="4" w:space="0" w:color="FFFFFF"/>
          <w:bottom w:val="dotted" w:sz="4" w:space="9" w:color="FFFFFF"/>
          <w:right w:val="dotted" w:sz="4" w:space="0" w:color="FFFFFF"/>
        </w:pBdr>
        <w:spacing w:before="120" w:after="120" w:line="240" w:lineRule="auto"/>
        <w:ind w:firstLine="720"/>
        <w:jc w:val="both"/>
        <w:rPr>
          <w:rFonts w:cs="Times New Roman"/>
          <w:noProof/>
          <w:szCs w:val="28"/>
        </w:rPr>
      </w:pPr>
      <w:r w:rsidRPr="00B403DF">
        <w:rPr>
          <w:rFonts w:cs="Times New Roman"/>
          <w:noProof/>
          <w:szCs w:val="28"/>
          <w:lang w:val="vi-VN"/>
        </w:rPr>
        <w:t xml:space="preserve">Trên đây là Báo cáo tổng kết việc thi hành </w:t>
      </w:r>
      <w:r w:rsidR="00426B2A" w:rsidRPr="00426B2A">
        <w:rPr>
          <w:rFonts w:cs="Times New Roman"/>
          <w:noProof/>
          <w:szCs w:val="28"/>
          <w:lang w:val="vi-VN"/>
        </w:rPr>
        <w:t xml:space="preserve">Nghị định số 126/2020/NĐ-CP </w:t>
      </w:r>
      <w:r w:rsidR="00426B2A">
        <w:rPr>
          <w:rFonts w:cs="Times New Roman"/>
          <w:noProof/>
          <w:szCs w:val="28"/>
        </w:rPr>
        <w:t xml:space="preserve">ngày 19/10/2020 của Chính phủ </w:t>
      </w:r>
      <w:r w:rsidRPr="00B403DF">
        <w:rPr>
          <w:rFonts w:cs="Times New Roman"/>
          <w:noProof/>
          <w:szCs w:val="28"/>
          <w:lang w:val="vi-VN"/>
        </w:rPr>
        <w:t xml:space="preserve">và một số đề xuất, kiến nghị của Bộ Tài chính đối với dự án </w:t>
      </w:r>
      <w:r w:rsidR="00435EBD">
        <w:rPr>
          <w:rFonts w:cs="Times New Roman"/>
          <w:noProof/>
          <w:szCs w:val="28"/>
        </w:rPr>
        <w:t>Nghị định hướng dẫn Luật Quản lý thuế</w:t>
      </w:r>
      <w:r w:rsidRPr="00B403DF">
        <w:rPr>
          <w:rFonts w:cs="Times New Roman"/>
          <w:noProof/>
          <w:szCs w:val="28"/>
          <w:lang w:val="vi-VN"/>
        </w:rPr>
        <w:t>./.</w:t>
      </w:r>
    </w:p>
    <w:tbl>
      <w:tblPr>
        <w:tblW w:w="9039" w:type="dxa"/>
        <w:tblLook w:val="0000" w:firstRow="0" w:lastRow="0" w:firstColumn="0" w:lastColumn="0" w:noHBand="0" w:noVBand="0"/>
      </w:tblPr>
      <w:tblGrid>
        <w:gridCol w:w="5211"/>
        <w:gridCol w:w="3828"/>
      </w:tblGrid>
      <w:tr w:rsidR="0085696E" w:rsidRPr="00E25C6C" w14:paraId="7A84E9D6" w14:textId="77777777" w:rsidTr="00C429F9">
        <w:trPr>
          <w:trHeight w:val="1573"/>
        </w:trPr>
        <w:tc>
          <w:tcPr>
            <w:tcW w:w="5211" w:type="dxa"/>
          </w:tcPr>
          <w:p w14:paraId="4A36D2D0" w14:textId="77777777" w:rsidR="0085696E" w:rsidRPr="00E25C6C" w:rsidRDefault="0085696E" w:rsidP="009F35CD">
            <w:pPr>
              <w:spacing w:after="0" w:line="240" w:lineRule="auto"/>
              <w:rPr>
                <w:rFonts w:eastAsia="Times New Roman" w:cs="Times New Roman"/>
                <w:bCs/>
                <w:noProof/>
                <w:sz w:val="24"/>
                <w:szCs w:val="24"/>
                <w:lang w:val="vi-VN"/>
              </w:rPr>
            </w:pPr>
            <w:r w:rsidRPr="00E25C6C">
              <w:rPr>
                <w:rFonts w:eastAsia="Times New Roman" w:cs="Times New Roman"/>
                <w:b/>
                <w:i/>
                <w:noProof/>
                <w:sz w:val="24"/>
                <w:szCs w:val="24"/>
                <w:lang w:val="vi-VN"/>
              </w:rPr>
              <w:t>Nơi nhận:</w:t>
            </w:r>
          </w:p>
          <w:p w14:paraId="734B2266"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xml:space="preserve">- Thủ tướng Chính phủ (để báo cáo); </w:t>
            </w:r>
          </w:p>
          <w:p w14:paraId="247398C5"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Các Phó Thủ tướng Chính phủ (để báo cáo);</w:t>
            </w:r>
          </w:p>
          <w:p w14:paraId="01B87ED5"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Văn phòng Chính phủ;</w:t>
            </w:r>
          </w:p>
          <w:p w14:paraId="1DE66CE0" w14:textId="77777777" w:rsidR="004A72CA" w:rsidRPr="004A72CA" w:rsidRDefault="004A72CA" w:rsidP="004A72CA">
            <w:pPr>
              <w:spacing w:after="0" w:line="240" w:lineRule="auto"/>
              <w:rPr>
                <w:rFonts w:eastAsia="Times New Roman" w:cs="Times New Roman"/>
                <w:bCs/>
                <w:noProof/>
                <w:sz w:val="22"/>
              </w:rPr>
            </w:pPr>
            <w:r w:rsidRPr="004A72CA">
              <w:rPr>
                <w:rFonts w:eastAsia="Times New Roman" w:cs="Times New Roman"/>
                <w:bCs/>
                <w:noProof/>
                <w:sz w:val="22"/>
              </w:rPr>
              <w:t>- Bộ trưởng (để b/c);</w:t>
            </w:r>
          </w:p>
          <w:p w14:paraId="2BEB8965"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Bộ Tư pháp;</w:t>
            </w:r>
          </w:p>
          <w:p w14:paraId="0602C521" w14:textId="633AD2CD"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xml:space="preserve">- </w:t>
            </w:r>
            <w:r w:rsidR="004C0420">
              <w:rPr>
                <w:rFonts w:eastAsia="Times New Roman" w:cs="Times New Roman"/>
                <w:bCs/>
                <w:noProof/>
                <w:sz w:val="22"/>
              </w:rPr>
              <w:t>Vụ PC-BTC</w:t>
            </w:r>
            <w:r w:rsidRPr="004A72CA">
              <w:rPr>
                <w:rFonts w:eastAsia="Times New Roman" w:cs="Times New Roman"/>
                <w:bCs/>
                <w:noProof/>
                <w:sz w:val="22"/>
                <w:lang w:val="vi"/>
              </w:rPr>
              <w:t>;</w:t>
            </w:r>
          </w:p>
          <w:p w14:paraId="6ED5F51F" w14:textId="032E4453" w:rsidR="0085696E" w:rsidRPr="00E25C6C" w:rsidRDefault="004A72CA" w:rsidP="004A72CA">
            <w:pPr>
              <w:spacing w:after="0" w:line="240" w:lineRule="auto"/>
              <w:rPr>
                <w:rFonts w:cs="Times New Roman"/>
                <w:noProof/>
                <w:lang w:val="vi-VN"/>
              </w:rPr>
            </w:pPr>
            <w:r w:rsidRPr="004A72CA">
              <w:rPr>
                <w:rFonts w:eastAsia="Times New Roman" w:cs="Times New Roman"/>
                <w:bCs/>
                <w:noProof/>
                <w:sz w:val="22"/>
                <w:lang w:val="vi"/>
              </w:rPr>
              <w:t>- Lưu: VT, CT (VT, PC, CS).</w:t>
            </w:r>
          </w:p>
        </w:tc>
        <w:tc>
          <w:tcPr>
            <w:tcW w:w="3828" w:type="dxa"/>
          </w:tcPr>
          <w:p w14:paraId="2129A09F"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r w:rsidRPr="00E25C6C">
              <w:rPr>
                <w:rFonts w:eastAsia="Times New Roman" w:cs="Times New Roman"/>
                <w:b/>
                <w:iCs/>
                <w:noProof/>
                <w:sz w:val="26"/>
                <w:szCs w:val="26"/>
                <w:lang w:val="vi-VN"/>
              </w:rPr>
              <w:t>KT. BỘ TRƯỞNG</w:t>
            </w:r>
          </w:p>
          <w:p w14:paraId="5503BF10"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r w:rsidRPr="00E25C6C">
              <w:rPr>
                <w:rFonts w:eastAsia="Times New Roman" w:cs="Times New Roman"/>
                <w:b/>
                <w:iCs/>
                <w:noProof/>
                <w:sz w:val="26"/>
                <w:szCs w:val="26"/>
                <w:lang w:val="vi-VN"/>
              </w:rPr>
              <w:t>THỨ TRƯỞNG</w:t>
            </w:r>
          </w:p>
          <w:p w14:paraId="0BC5B7B6"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3B256E00" w14:textId="183ED0BA"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3CDA2BD0"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7632AAD6" w14:textId="77777777" w:rsidR="00703468" w:rsidRPr="00E25C6C" w:rsidRDefault="00703468" w:rsidP="009F35CD">
            <w:pPr>
              <w:keepNext/>
              <w:spacing w:after="0" w:line="240" w:lineRule="auto"/>
              <w:ind w:right="-142"/>
              <w:jc w:val="center"/>
              <w:outlineLvl w:val="3"/>
              <w:rPr>
                <w:rFonts w:eastAsia="Times New Roman" w:cs="Times New Roman"/>
                <w:b/>
                <w:iCs/>
                <w:noProof/>
                <w:sz w:val="26"/>
                <w:szCs w:val="26"/>
                <w:lang w:val="vi-VN"/>
              </w:rPr>
            </w:pPr>
          </w:p>
          <w:p w14:paraId="7A2E3781" w14:textId="5A144DF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57FFF18B"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25F9C846" w14:textId="66176F85" w:rsidR="0085696E" w:rsidRPr="00B45CA2" w:rsidRDefault="0085696E" w:rsidP="009F35CD">
            <w:pPr>
              <w:spacing w:after="0" w:line="240" w:lineRule="auto"/>
              <w:jc w:val="center"/>
              <w:rPr>
                <w:rFonts w:cs="Times New Roman"/>
                <w:noProof/>
              </w:rPr>
            </w:pPr>
            <w:r w:rsidRPr="00E25C6C">
              <w:rPr>
                <w:rFonts w:eastAsia="Times New Roman" w:cs="Times New Roman"/>
                <w:b/>
                <w:iCs/>
                <w:noProof/>
                <w:lang w:val="vi-VN"/>
              </w:rPr>
              <w:t xml:space="preserve"> </w:t>
            </w:r>
            <w:r w:rsidR="007D726C">
              <w:rPr>
                <w:rFonts w:eastAsia="Times New Roman" w:cs="Times New Roman"/>
                <w:b/>
                <w:iCs/>
                <w:noProof/>
              </w:rPr>
              <w:t>Cao Anh Tuấn</w:t>
            </w:r>
          </w:p>
        </w:tc>
      </w:tr>
    </w:tbl>
    <w:p w14:paraId="4C7F4996" w14:textId="77777777" w:rsidR="0085696E" w:rsidRPr="00E25C6C" w:rsidRDefault="0085696E" w:rsidP="00681675">
      <w:pPr>
        <w:spacing w:after="120" w:line="240" w:lineRule="auto"/>
        <w:jc w:val="both"/>
        <w:rPr>
          <w:rFonts w:cs="Times New Roman"/>
          <w:b/>
          <w:bCs/>
          <w:noProof/>
          <w:lang w:val="vi-VN"/>
        </w:rPr>
      </w:pPr>
    </w:p>
    <w:sectPr w:rsidR="0085696E" w:rsidRPr="00E25C6C" w:rsidSect="00BA4C09">
      <w:headerReference w:type="default" r:id="rId8"/>
      <w:pgSz w:w="11909" w:h="16834" w:code="9"/>
      <w:pgMar w:top="1418" w:right="1134"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9351" w14:textId="77777777" w:rsidR="00F90038" w:rsidRDefault="00F90038" w:rsidP="005D6FC8">
      <w:pPr>
        <w:spacing w:after="0" w:line="240" w:lineRule="auto"/>
      </w:pPr>
      <w:r>
        <w:separator/>
      </w:r>
    </w:p>
  </w:endnote>
  <w:endnote w:type="continuationSeparator" w:id="0">
    <w:p w14:paraId="116E3411" w14:textId="77777777" w:rsidR="00F90038" w:rsidRDefault="00F90038" w:rsidP="005D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688B5" w14:textId="77777777" w:rsidR="00F90038" w:rsidRDefault="00F90038" w:rsidP="005D6FC8">
      <w:pPr>
        <w:spacing w:after="0" w:line="240" w:lineRule="auto"/>
      </w:pPr>
      <w:r>
        <w:separator/>
      </w:r>
    </w:p>
  </w:footnote>
  <w:footnote w:type="continuationSeparator" w:id="0">
    <w:p w14:paraId="643748B0" w14:textId="77777777" w:rsidR="00F90038" w:rsidRDefault="00F90038" w:rsidP="005D6FC8">
      <w:pPr>
        <w:spacing w:after="0" w:line="240" w:lineRule="auto"/>
      </w:pPr>
      <w:r>
        <w:continuationSeparator/>
      </w:r>
    </w:p>
  </w:footnote>
  <w:footnote w:id="1">
    <w:p w14:paraId="40BC5B55" w14:textId="37942124" w:rsidR="00AB2DB9" w:rsidRPr="00B403DF" w:rsidRDefault="00AB2DB9" w:rsidP="00B403DF">
      <w:pPr>
        <w:pStyle w:val="FootnoteText"/>
        <w:jc w:val="both"/>
        <w:rPr>
          <w:rFonts w:cs="Times New Roman"/>
        </w:rPr>
      </w:pPr>
      <w:r w:rsidRPr="00B403DF">
        <w:rPr>
          <w:rStyle w:val="FootnoteReference"/>
          <w:rFonts w:cs="Times New Roman"/>
        </w:rPr>
        <w:footnoteRef/>
      </w:r>
      <w:r w:rsidRPr="00B403DF">
        <w:rPr>
          <w:rFonts w:cs="Times New Roman"/>
        </w:rPr>
        <w:t xml:space="preserve"> </w:t>
      </w:r>
      <w:r w:rsidRPr="00B403DF">
        <w:rPr>
          <w:rFonts w:cs="Times New Roman"/>
          <w:bCs/>
        </w:rPr>
        <w:t xml:space="preserve">(1) </w:t>
      </w:r>
      <w:r w:rsidRPr="00B403DF">
        <w:rPr>
          <w:rFonts w:cs="Times New Roman"/>
          <w:bCs/>
          <w:lang w:val="nl-NL"/>
        </w:rPr>
        <w:t>Thông tư</w:t>
      </w:r>
      <w:r w:rsidRPr="00B403DF">
        <w:rPr>
          <w:rFonts w:cs="Times New Roman"/>
          <w:bCs/>
        </w:rPr>
        <w:t xml:space="preserve"> số </w:t>
      </w:r>
      <w:r w:rsidRPr="00B403DF">
        <w:rPr>
          <w:rFonts w:cs="Times New Roman"/>
          <w:lang w:val="nl-NL"/>
        </w:rPr>
        <w:t xml:space="preserve">80/2021/TT-BTC ngày 29/9/2021 </w:t>
      </w:r>
      <w:r w:rsidRPr="00B403DF">
        <w:rPr>
          <w:rFonts w:cs="Times New Roman"/>
        </w:rPr>
        <w:t xml:space="preserve">hướng dẫn thi hành một số điều của Luật Quản lý thuế và Nghị định số 126/2020/NĐ-CP ngày 19/10/2020 của Chính phủ </w:t>
      </w:r>
      <w:r w:rsidRPr="00B403DF">
        <w:rPr>
          <w:rFonts w:cs="Times New Roman"/>
          <w:bCs/>
          <w:lang w:val="nl-NL"/>
        </w:rPr>
        <w:t xml:space="preserve">quy định </w:t>
      </w:r>
      <w:r w:rsidRPr="00B403DF">
        <w:rPr>
          <w:rFonts w:cs="Times New Roman"/>
        </w:rPr>
        <w:t>chi tiết một số điều của Luật Quản lý thuế; (2)</w:t>
      </w:r>
      <w:r w:rsidRPr="00B403DF">
        <w:rPr>
          <w:rFonts w:cs="Times New Roman"/>
          <w:bCs/>
        </w:rPr>
        <w:t xml:space="preserve"> </w:t>
      </w:r>
      <w:r w:rsidRPr="00B403DF">
        <w:rPr>
          <w:rFonts w:cs="Times New Roman"/>
          <w:bCs/>
          <w:lang w:val="nl-NL"/>
        </w:rPr>
        <w:t>Thông tư</w:t>
      </w:r>
      <w:r w:rsidRPr="00B403DF">
        <w:rPr>
          <w:rFonts w:cs="Times New Roman"/>
          <w:bCs/>
        </w:rPr>
        <w:t xml:space="preserve"> số </w:t>
      </w:r>
      <w:r w:rsidRPr="00B403DF">
        <w:rPr>
          <w:rFonts w:cs="Times New Roman"/>
        </w:rPr>
        <w:t xml:space="preserve">105/2020/TT-BTC ngày 03/12/2020 </w:t>
      </w:r>
      <w:r w:rsidRPr="00B403DF">
        <w:rPr>
          <w:rFonts w:cs="Times New Roman"/>
          <w:iCs/>
        </w:rPr>
        <w:t>hướng dẫn về đăng ký thuế; (3)</w:t>
      </w:r>
      <w:r w:rsidRPr="00B403DF">
        <w:rPr>
          <w:rFonts w:cs="Times New Roman"/>
        </w:rPr>
        <w:t xml:space="preserve"> </w:t>
      </w:r>
      <w:r w:rsidRPr="00B403DF">
        <w:rPr>
          <w:rFonts w:cs="Times New Roman"/>
          <w:bCs/>
          <w:lang w:val="nl-NL"/>
        </w:rPr>
        <w:t>Thông tư</w:t>
      </w:r>
      <w:r w:rsidRPr="00B403DF">
        <w:rPr>
          <w:rFonts w:cs="Times New Roman"/>
          <w:bCs/>
        </w:rPr>
        <w:t xml:space="preserve"> số </w:t>
      </w:r>
      <w:r w:rsidRPr="00B403DF">
        <w:rPr>
          <w:rFonts w:cs="Times New Roman"/>
        </w:rPr>
        <w:t>10/2021</w:t>
      </w:r>
      <w:r w:rsidRPr="00B403DF">
        <w:rPr>
          <w:rFonts w:cs="Times New Roman"/>
          <w:lang w:val="vi-VN"/>
        </w:rPr>
        <w:t>/</w:t>
      </w:r>
      <w:r w:rsidRPr="00B403DF">
        <w:rPr>
          <w:rFonts w:cs="Times New Roman"/>
        </w:rPr>
        <w:t>TT</w:t>
      </w:r>
      <w:r w:rsidRPr="00B403DF">
        <w:rPr>
          <w:rFonts w:cs="Times New Roman"/>
          <w:lang w:val="vi-VN"/>
        </w:rPr>
        <w:t>-BTC</w:t>
      </w:r>
      <w:r w:rsidRPr="00B403DF">
        <w:rPr>
          <w:rFonts w:cs="Times New Roman"/>
        </w:rPr>
        <w:t xml:space="preserve"> ngày 26/01/2021 </w:t>
      </w:r>
      <w:r w:rsidRPr="00B403DF">
        <w:rPr>
          <w:rFonts w:cs="Times New Roman"/>
          <w:iCs/>
          <w:lang w:val="vi-VN"/>
        </w:rPr>
        <w:t xml:space="preserve">hướng dẫn quản </w:t>
      </w:r>
      <w:r w:rsidRPr="00B403DF">
        <w:rPr>
          <w:rFonts w:cs="Times New Roman"/>
          <w:iCs/>
        </w:rPr>
        <w:t>l</w:t>
      </w:r>
      <w:r w:rsidRPr="00B403DF">
        <w:rPr>
          <w:rFonts w:cs="Times New Roman"/>
          <w:iCs/>
          <w:lang w:val="vi-VN"/>
        </w:rPr>
        <w:t xml:space="preserve">ý hành nghề dịch vụ làm thủ tục về thuế; </w:t>
      </w:r>
      <w:r w:rsidRPr="00B403DF">
        <w:rPr>
          <w:rFonts w:cs="Times New Roman"/>
          <w:iCs/>
        </w:rPr>
        <w:t xml:space="preserve">(4) </w:t>
      </w:r>
      <w:r w:rsidRPr="00B403DF">
        <w:rPr>
          <w:rFonts w:cs="Times New Roman"/>
          <w:bCs/>
          <w:lang w:val="nl-NL"/>
        </w:rPr>
        <w:t>Thông tư</w:t>
      </w:r>
      <w:r w:rsidRPr="00B403DF">
        <w:rPr>
          <w:rFonts w:cs="Times New Roman"/>
          <w:bCs/>
        </w:rPr>
        <w:t xml:space="preserve"> số </w:t>
      </w:r>
      <w:r w:rsidRPr="00B403DF">
        <w:rPr>
          <w:rFonts w:cs="Times New Roman"/>
        </w:rPr>
        <w:t xml:space="preserve">19/2021/TT-BTC ngày 18/3/2021 </w:t>
      </w:r>
      <w:r w:rsidRPr="00B403DF">
        <w:rPr>
          <w:rFonts w:cs="Times New Roman"/>
          <w:iCs/>
          <w:lang w:val="vi-VN"/>
        </w:rPr>
        <w:t xml:space="preserve">hướng dẫn giao dịch điện tử trong </w:t>
      </w:r>
      <w:r w:rsidRPr="00B403DF">
        <w:rPr>
          <w:rFonts w:cs="Times New Roman"/>
          <w:iCs/>
        </w:rPr>
        <w:t>l</w:t>
      </w:r>
      <w:r w:rsidRPr="00B403DF">
        <w:rPr>
          <w:rFonts w:cs="Times New Roman"/>
          <w:iCs/>
          <w:lang w:val="vi-VN"/>
        </w:rPr>
        <w:t>ĩnh vực thuế</w:t>
      </w:r>
      <w:r w:rsidRPr="00B403DF">
        <w:rPr>
          <w:rFonts w:cs="Times New Roman"/>
          <w:iCs/>
        </w:rPr>
        <w:t>; (5)</w:t>
      </w:r>
      <w:r w:rsidRPr="00B403DF">
        <w:rPr>
          <w:rFonts w:cs="Times New Roman"/>
          <w:bCs/>
        </w:rPr>
        <w:t xml:space="preserve"> </w:t>
      </w:r>
      <w:r w:rsidRPr="00B403DF">
        <w:rPr>
          <w:rFonts w:cs="Times New Roman"/>
          <w:bCs/>
          <w:lang w:val="nl-NL"/>
        </w:rPr>
        <w:t>Thông tư</w:t>
      </w:r>
      <w:r w:rsidRPr="00B403DF">
        <w:rPr>
          <w:rFonts w:cs="Times New Roman"/>
          <w:bCs/>
        </w:rPr>
        <w:t xml:space="preserve"> số </w:t>
      </w:r>
      <w:r w:rsidRPr="00B403DF">
        <w:rPr>
          <w:rFonts w:cs="Times New Roman"/>
        </w:rPr>
        <w:t xml:space="preserve">23/2021/TT-BTC ngày 30/3/2021 </w:t>
      </w:r>
      <w:r w:rsidRPr="00B403DF">
        <w:rPr>
          <w:rFonts w:cs="Times New Roman"/>
          <w:iCs/>
        </w:rPr>
        <w:t xml:space="preserve">hướng dẫn việc in, phát hành, quản lý và sử dụng tem điện tử rượu và tem điện tử thuốc lá; (6) </w:t>
      </w:r>
      <w:r w:rsidRPr="00B403DF">
        <w:rPr>
          <w:rFonts w:cs="Times New Roman"/>
          <w:bCs/>
          <w:lang w:val="nl-NL"/>
        </w:rPr>
        <w:t>Thông tư</w:t>
      </w:r>
      <w:r w:rsidRPr="00B403DF">
        <w:rPr>
          <w:rFonts w:cs="Times New Roman"/>
          <w:bCs/>
        </w:rPr>
        <w:t xml:space="preserve"> số </w:t>
      </w:r>
      <w:r w:rsidRPr="00B403DF">
        <w:rPr>
          <w:rFonts w:cs="Times New Roman"/>
        </w:rPr>
        <w:t xml:space="preserve">31/2021/TT-BTC ngày 17/5/2021 </w:t>
      </w:r>
      <w:r w:rsidRPr="00B403DF">
        <w:rPr>
          <w:rFonts w:cs="Times New Roman"/>
          <w:iCs/>
        </w:rPr>
        <w:t xml:space="preserve">quy định về áp dụng quản lý rủi ro trong quản lý thuế; (7) </w:t>
      </w:r>
      <w:r w:rsidRPr="00B403DF">
        <w:rPr>
          <w:rFonts w:cs="Times New Roman"/>
          <w:bCs/>
          <w:lang w:val="nl-NL"/>
        </w:rPr>
        <w:t>Thông tư</w:t>
      </w:r>
      <w:r w:rsidRPr="00B403DF">
        <w:rPr>
          <w:rFonts w:cs="Times New Roman"/>
          <w:bCs/>
        </w:rPr>
        <w:t xml:space="preserve"> số </w:t>
      </w:r>
      <w:r w:rsidRPr="00B403DF">
        <w:rPr>
          <w:rFonts w:cs="Times New Roman"/>
          <w:lang w:val="nl-NL"/>
        </w:rPr>
        <w:t xml:space="preserve">40/2021/TT-BTC ngày 01/6/2021 </w:t>
      </w:r>
      <w:r w:rsidRPr="00B403DF">
        <w:rPr>
          <w:rFonts w:cs="Times New Roman"/>
          <w:iCs/>
          <w:lang w:val="nl-NL"/>
        </w:rPr>
        <w:t>hướng dẫn thuế giá trị gia tăng, thuế thu nhập cá nhân và quản lý thuế đối với hộ kinh doanh, cá nhân kinh doanh; (8)</w:t>
      </w:r>
      <w:r w:rsidRPr="00B403DF">
        <w:rPr>
          <w:rFonts w:cs="Times New Roman"/>
          <w:bCs/>
          <w:lang w:val="nl-NL"/>
        </w:rPr>
        <w:t xml:space="preserve"> Thông tư</w:t>
      </w:r>
      <w:r w:rsidRPr="00B403DF">
        <w:rPr>
          <w:rFonts w:cs="Times New Roman"/>
          <w:bCs/>
        </w:rPr>
        <w:t xml:space="preserve"> số </w:t>
      </w:r>
      <w:r w:rsidRPr="00B403DF">
        <w:rPr>
          <w:rFonts w:cs="Times New Roman"/>
          <w:lang w:bidi="vi-VN"/>
        </w:rPr>
        <w:t>45/2021/TT-BTC</w:t>
      </w:r>
      <w:r w:rsidRPr="00B403DF">
        <w:rPr>
          <w:rFonts w:cs="Times New Roman"/>
        </w:rPr>
        <w:t xml:space="preserve"> ngày 18/6/2021 </w:t>
      </w:r>
      <w:r w:rsidRPr="00B403DF">
        <w:rPr>
          <w:rFonts w:cs="Times New Roman"/>
          <w:iCs/>
        </w:rPr>
        <w:t xml:space="preserve">hướng dẫn việc áp dụng cơ chế Thỏa thuận trước về phương pháp xác định giá tính thuế (APA) trong quản lý thuế đối với doanh nghiệp có giao dịch liên kết; (9) </w:t>
      </w:r>
      <w:r w:rsidRPr="00B403DF">
        <w:rPr>
          <w:rFonts w:cs="Times New Roman"/>
        </w:rPr>
        <w:t xml:space="preserve">Thông tư số 78/2021/TT-BTC ngày 17/9/2021 hướng dẫn chi tiết một số điều của Luật Quản lý thuế và Nghị định số 123/2020/NĐ-CP ngày 19/10/2020 của Chính phủ quy định về hoá đơn, chứng từ; (10) Thông tư số 100/2021/TT-BTC ngày 15/11/2021 sửa đổi, bổ sung một số điều của Thông tư số 40/2021/TT-BTC ngày 01/6/2021 của Bộ trưởng Bộ Tài chính </w:t>
      </w:r>
      <w:r w:rsidRPr="00B403DF">
        <w:rPr>
          <w:rFonts w:cs="Times New Roman"/>
          <w:iCs/>
          <w:lang w:val="nl-NL"/>
        </w:rPr>
        <w:t xml:space="preserve">hướng dẫn thuế giá trị gia tăng, thuế thu nhập cá nhân và quản lý thuế đối với hộ kinh doanh, cá nhân kinh doanh; (11) </w:t>
      </w:r>
      <w:r w:rsidRPr="00B403DF">
        <w:rPr>
          <w:rFonts w:cs="Times New Roman"/>
          <w:lang w:val="vi-VN"/>
        </w:rPr>
        <w:t>Thông tư số 06/2021/TT-BTC ngày 22/1/2021 hướng dẫn thi hành một số điều của Luật Quản lý thuế đối với hàng hóa xuất khẩu, nhập khẩu</w:t>
      </w:r>
      <w:r w:rsidRPr="00B403DF">
        <w:rPr>
          <w:rFonts w:cs="Times New Roman"/>
        </w:rPr>
        <w:t>; (12) Thông tư số 86/2024/TT-BTC ngày 23/12/2024 quy định về đăng ký thuế.</w:t>
      </w:r>
    </w:p>
  </w:footnote>
  <w:footnote w:id="2">
    <w:p w14:paraId="2B5CF702" w14:textId="1FDA4B54" w:rsidR="00AB2DB9" w:rsidRPr="00B403DF" w:rsidRDefault="00AB2DB9" w:rsidP="00B403DF">
      <w:pPr>
        <w:jc w:val="both"/>
        <w:rPr>
          <w:sz w:val="20"/>
          <w:szCs w:val="20"/>
        </w:rPr>
      </w:pPr>
      <w:r w:rsidRPr="00B403DF">
        <w:rPr>
          <w:rStyle w:val="FootnoteReference"/>
          <w:sz w:val="20"/>
          <w:szCs w:val="20"/>
        </w:rPr>
        <w:footnoteRef/>
      </w:r>
      <w:r w:rsidRPr="00B403DF">
        <w:rPr>
          <w:sz w:val="20"/>
          <w:szCs w:val="20"/>
        </w:rPr>
        <w:t xml:space="preserve"> Điểm đánh giá hài lòng chung về CQT: 89,1%. Điểm chỉ số hài lòng trung bình của 64 Cục Thuế (nay là Thuế tỉnh, thành phố) theo lĩnh vực chức năng: 87,5% (trong đó, Công tác xây dựng CS, pháp luật thuế: 87,4%, Cung cấp dịch vụ công: 87,8%, Tiếp nhận giải quyết TTHC thuế: 87,8%, Công tác thanh tra kiểm tra thuế: 87,2%, Công tác xử lý KNTC: 87,5%).</w:t>
      </w:r>
    </w:p>
  </w:footnote>
  <w:footnote w:id="3">
    <w:p w14:paraId="287CDF52" w14:textId="77777777" w:rsidR="00AB2DB9" w:rsidRPr="00B403DF" w:rsidRDefault="00AB2DB9" w:rsidP="00B403DF">
      <w:pPr>
        <w:jc w:val="both"/>
        <w:rPr>
          <w:sz w:val="20"/>
          <w:szCs w:val="20"/>
        </w:rPr>
      </w:pPr>
      <w:r w:rsidRPr="00B403DF">
        <w:rPr>
          <w:rStyle w:val="FootnoteReference"/>
          <w:sz w:val="20"/>
          <w:szCs w:val="20"/>
        </w:rPr>
        <w:footnoteRef/>
      </w:r>
      <w:r w:rsidRPr="00B403DF">
        <w:rPr>
          <w:sz w:val="20"/>
          <w:szCs w:val="20"/>
        </w:rPr>
        <w:t xml:space="preserve"> Trong đó, DN, tổ chức chiếm tỷ lệ 57,4%, Hộ, CNKD chiếm tỷ lệ 42,6% tổng số NNT tham gia đánh giá.</w:t>
      </w:r>
    </w:p>
  </w:footnote>
  <w:footnote w:id="4">
    <w:p w14:paraId="5D38F7F4" w14:textId="0E115ADA" w:rsidR="00AB2DB9" w:rsidRPr="00B403DF" w:rsidRDefault="00AB2DB9" w:rsidP="00B403DF">
      <w:pPr>
        <w:pStyle w:val="FootnoteText"/>
        <w:jc w:val="both"/>
      </w:pPr>
      <w:r w:rsidRPr="00B403DF">
        <w:rPr>
          <w:rStyle w:val="FootnoteReference"/>
        </w:rPr>
        <w:footnoteRef/>
      </w:r>
      <w:r w:rsidRPr="00B403DF">
        <w:t xml:space="preserve"> Số nộp thuế điện tử năm 2025 cập nhật đến ngày 20/6/2025</w:t>
      </w:r>
    </w:p>
  </w:footnote>
  <w:footnote w:id="5">
    <w:p w14:paraId="73295150" w14:textId="77777777" w:rsidR="00AB2DB9" w:rsidRPr="00B403DF" w:rsidRDefault="00AB2DB9" w:rsidP="00B403DF">
      <w:pPr>
        <w:pStyle w:val="FootnoteText"/>
        <w:jc w:val="both"/>
      </w:pPr>
      <w:r w:rsidRPr="00B403DF">
        <w:rPr>
          <w:rStyle w:val="FootnoteReference"/>
          <w:lang w:val="vi-VN"/>
        </w:rPr>
        <w:footnoteRef/>
      </w:r>
      <w:r w:rsidRPr="00B403DF">
        <w:t xml:space="preserve"> Quyết định số 679/QĐ-TCT ngày 31/5/2023 của Tổng cục Thuế.</w:t>
      </w:r>
    </w:p>
  </w:footnote>
  <w:footnote w:id="6">
    <w:p w14:paraId="13216001" w14:textId="77777777" w:rsidR="00AB2DB9" w:rsidRPr="00B403DF" w:rsidRDefault="00AB2DB9" w:rsidP="00B403DF">
      <w:pPr>
        <w:pStyle w:val="FootnoteText"/>
        <w:jc w:val="both"/>
      </w:pPr>
      <w:r w:rsidRPr="00B403DF">
        <w:rPr>
          <w:rStyle w:val="FootnoteReference"/>
          <w:lang w:val="vi-VN"/>
        </w:rPr>
        <w:footnoteRef/>
      </w:r>
      <w:r w:rsidRPr="00B403DF">
        <w:t xml:space="preserve"> Quyết định số 1388/QĐ-TCT ngày 18/9/2023 của Tổng cục Thuế về việc áp dụng QLRR trong phân loại hồ sơ hoàn thuế GTGT và lựa chọn người nộp thuế để xây dựng kế hoạch kiểm tra, thanh tra sau hoàn thuế.</w:t>
      </w:r>
    </w:p>
  </w:footnote>
  <w:footnote w:id="7">
    <w:p w14:paraId="390F7663" w14:textId="091F97A0" w:rsidR="00AB2DB9" w:rsidRPr="00B403DF" w:rsidRDefault="00AB2DB9" w:rsidP="00B403DF">
      <w:pPr>
        <w:pStyle w:val="FootnoteText"/>
        <w:jc w:val="both"/>
      </w:pPr>
      <w:r w:rsidRPr="00B403DF">
        <w:rPr>
          <w:rStyle w:val="FootnoteReference"/>
        </w:rPr>
        <w:footnoteRef/>
      </w:r>
      <w:r w:rsidRPr="00B403DF">
        <w:t xml:space="preserve"> Thu nội địa năm 2020 đạt 1,294 triệu tỷ đồng (đạt 100,2% dự toán,), năm 2021 đạt 1,313 triệu tỷ đồng năm 2021 (vượt 15,9% dự toán), năm 2022 đạt 1,448 triệu tỷ đồng (vượt 22,9% dự toán), năm 2023 đạt 1,484 triệu tỷ đồng (vượt 11,2% dự toán), năm 2024 đạt 1,712 triệu tỷ đồng (vượt 18,5% so với dự toán)</w:t>
      </w:r>
      <w:r>
        <w:t>.</w:t>
      </w:r>
    </w:p>
  </w:footnote>
  <w:footnote w:id="8">
    <w:p w14:paraId="0DF7D5B4" w14:textId="77777777" w:rsidR="00AB2DB9" w:rsidRPr="00B403DF" w:rsidRDefault="00AB2DB9" w:rsidP="00B403DF">
      <w:pPr>
        <w:pStyle w:val="FootnoteText"/>
        <w:jc w:val="both"/>
      </w:pPr>
      <w:r w:rsidRPr="00B403DF">
        <w:rPr>
          <w:rStyle w:val="FootnoteReference"/>
        </w:rPr>
        <w:footnoteRef/>
      </w:r>
      <w:r w:rsidRPr="00B403DF">
        <w:t xml:space="preserve"> Đã bao gồm số thu NSNN từ các nhà cung cấp nước ngoài</w:t>
      </w:r>
    </w:p>
  </w:footnote>
  <w:footnote w:id="9">
    <w:p w14:paraId="28800BA3" w14:textId="77777777" w:rsidR="00AB2DB9" w:rsidRPr="00B403DF" w:rsidRDefault="00AB2DB9" w:rsidP="00B403DF">
      <w:pPr>
        <w:jc w:val="both"/>
        <w:rPr>
          <w:rFonts w:eastAsia="SimSun"/>
          <w:spacing w:val="-4"/>
          <w:sz w:val="20"/>
          <w:szCs w:val="20"/>
        </w:rPr>
      </w:pPr>
      <w:r w:rsidRPr="00B403DF">
        <w:rPr>
          <w:rStyle w:val="FootnoteReference"/>
          <w:sz w:val="20"/>
          <w:szCs w:val="20"/>
        </w:rPr>
        <w:footnoteRef/>
      </w:r>
      <w:r w:rsidRPr="00B403DF">
        <w:rPr>
          <w:sz w:val="20"/>
          <w:szCs w:val="20"/>
        </w:rPr>
        <w:t xml:space="preserve"> </w:t>
      </w:r>
      <w:r w:rsidRPr="00B403DF">
        <w:rPr>
          <w:rFonts w:eastAsia="SimSun"/>
          <w:sz w:val="20"/>
          <w:szCs w:val="20"/>
        </w:rPr>
        <w:t xml:space="preserve">35 </w:t>
      </w:r>
      <w:r w:rsidRPr="00B403DF">
        <w:rPr>
          <w:rFonts w:eastAsia="SimSun"/>
          <w:spacing w:val="-4"/>
          <w:sz w:val="20"/>
          <w:szCs w:val="20"/>
        </w:rPr>
        <w:t>trường hợp Việt Nam yêu cầu nước ngoài cung cấp thông tin</w:t>
      </w:r>
      <w:r w:rsidRPr="00B403DF">
        <w:rPr>
          <w:rFonts w:eastAsia="SimSun"/>
          <w:sz w:val="20"/>
          <w:szCs w:val="20"/>
        </w:rPr>
        <w:t xml:space="preserve"> (bao gồm các hồ sơ tiếp tục xử lý từ năm 2023)</w:t>
      </w:r>
      <w:r w:rsidRPr="00B403DF">
        <w:rPr>
          <w:rFonts w:eastAsia="SimSun"/>
          <w:spacing w:val="-4"/>
          <w:sz w:val="20"/>
          <w:szCs w:val="20"/>
        </w:rPr>
        <w:t>; 06 trường hợp n</w:t>
      </w:r>
      <w:r w:rsidRPr="00B403DF">
        <w:rPr>
          <w:rFonts w:eastAsia="SimSun"/>
          <w:sz w:val="20"/>
          <w:szCs w:val="20"/>
        </w:rPr>
        <w:t>ước ngoài yêu cầu Việt Nam cung cấp thông tin; 05 trường hợp trao đổi thông tin tự nguyện do nước ngoài cung cấp.</w:t>
      </w:r>
    </w:p>
  </w:footnote>
  <w:footnote w:id="10">
    <w:p w14:paraId="534B33FF" w14:textId="17EBC2DA" w:rsidR="00AB2DB9" w:rsidRPr="00B403DF" w:rsidRDefault="00AB2DB9" w:rsidP="00B403DF">
      <w:pPr>
        <w:pStyle w:val="FootnoteText"/>
        <w:jc w:val="both"/>
      </w:pPr>
      <w:r w:rsidRPr="00B403DF">
        <w:rPr>
          <w:rStyle w:val="FootnoteReference"/>
        </w:rPr>
        <w:footnoteRef/>
      </w:r>
      <w:r w:rsidRPr="00B403DF">
        <w:t xml:space="preserve"> Theo báo cáo của các Cục Thuế địa phương (nay là Thuế tỉnh, thành phố), thông qua công tác trao đổi thông tin với Cơ quan thuế nước ngoài trong giai đoạn 2020-2024, đã giúp ngành Thuế truy thu cho NSNN tổng số tiền khoảng 61.340 triệu VNĐ. Trong đó, năm 2020 là 8.506 triệu VNĐ</w:t>
      </w:r>
      <w:r w:rsidRPr="00B403DF">
        <w:rPr>
          <w:rFonts w:eastAsia="SimSun"/>
        </w:rPr>
        <w:t>, năm 2021 là 600 triệu VNĐ, năm 2022 là 29.723 triệu VNĐ, năm 2023 là 17.201 triệu VNĐ và năm 2024 là 5.301 triệu VNĐ.</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080882"/>
      <w:docPartObj>
        <w:docPartGallery w:val="Page Numbers (Top of Page)"/>
        <w:docPartUnique/>
      </w:docPartObj>
    </w:sdtPr>
    <w:sdtEndPr>
      <w:rPr>
        <w:noProof/>
        <w:sz w:val="26"/>
        <w:szCs w:val="26"/>
      </w:rPr>
    </w:sdtEndPr>
    <w:sdtContent>
      <w:p w14:paraId="12E3BA72" w14:textId="1B63B27D" w:rsidR="00AB2DB9" w:rsidRPr="003225AB" w:rsidRDefault="00AB2DB9">
        <w:pPr>
          <w:pStyle w:val="Header"/>
          <w:jc w:val="center"/>
          <w:rPr>
            <w:sz w:val="26"/>
            <w:szCs w:val="26"/>
          </w:rPr>
        </w:pPr>
        <w:r w:rsidRPr="003225AB">
          <w:rPr>
            <w:sz w:val="26"/>
            <w:szCs w:val="26"/>
          </w:rPr>
          <w:fldChar w:fldCharType="begin"/>
        </w:r>
        <w:r w:rsidRPr="003225AB">
          <w:rPr>
            <w:sz w:val="26"/>
            <w:szCs w:val="26"/>
          </w:rPr>
          <w:instrText xml:space="preserve"> PAGE   \* MERGEFORMAT </w:instrText>
        </w:r>
        <w:r w:rsidRPr="003225AB">
          <w:rPr>
            <w:sz w:val="26"/>
            <w:szCs w:val="26"/>
          </w:rPr>
          <w:fldChar w:fldCharType="separate"/>
        </w:r>
        <w:r w:rsidR="00CE5CC4">
          <w:rPr>
            <w:noProof/>
            <w:sz w:val="26"/>
            <w:szCs w:val="26"/>
          </w:rPr>
          <w:t>60</w:t>
        </w:r>
        <w:r w:rsidRPr="003225AB">
          <w:rPr>
            <w:noProof/>
            <w:sz w:val="26"/>
            <w:szCs w:val="26"/>
          </w:rPr>
          <w:fldChar w:fldCharType="end"/>
        </w:r>
      </w:p>
    </w:sdtContent>
  </w:sdt>
  <w:p w14:paraId="187C4A51" w14:textId="77777777" w:rsidR="00AB2DB9" w:rsidRDefault="00AB2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19F215"/>
    <w:multiLevelType w:val="multilevel"/>
    <w:tmpl w:val="FA19F215"/>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6B3A5B"/>
    <w:multiLevelType w:val="multilevel"/>
    <w:tmpl w:val="029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628D"/>
    <w:multiLevelType w:val="hybridMultilevel"/>
    <w:tmpl w:val="91B07310"/>
    <w:lvl w:ilvl="0" w:tplc="0FD826E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756660"/>
    <w:multiLevelType w:val="hybridMultilevel"/>
    <w:tmpl w:val="1856182A"/>
    <w:lvl w:ilvl="0" w:tplc="E5E04B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C612C"/>
    <w:multiLevelType w:val="hybridMultilevel"/>
    <w:tmpl w:val="F7A6564C"/>
    <w:lvl w:ilvl="0" w:tplc="7D2C8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711F4"/>
    <w:multiLevelType w:val="hybridMultilevel"/>
    <w:tmpl w:val="9766CCC2"/>
    <w:lvl w:ilvl="0" w:tplc="62D881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06B8E"/>
    <w:multiLevelType w:val="hybridMultilevel"/>
    <w:tmpl w:val="E3ACF7B0"/>
    <w:lvl w:ilvl="0" w:tplc="9892A3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2B77A1"/>
    <w:multiLevelType w:val="hybridMultilevel"/>
    <w:tmpl w:val="054CA524"/>
    <w:lvl w:ilvl="0" w:tplc="7CF2EC12">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3C68CD"/>
    <w:multiLevelType w:val="hybridMultilevel"/>
    <w:tmpl w:val="C462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80C51"/>
    <w:multiLevelType w:val="hybridMultilevel"/>
    <w:tmpl w:val="D0F866E8"/>
    <w:lvl w:ilvl="0" w:tplc="F80A4E0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C1310"/>
    <w:multiLevelType w:val="multilevel"/>
    <w:tmpl w:val="DC207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AAF4071"/>
    <w:multiLevelType w:val="multilevel"/>
    <w:tmpl w:val="865601AA"/>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59CEA"/>
    <w:multiLevelType w:val="singleLevel"/>
    <w:tmpl w:val="2C659CEA"/>
    <w:lvl w:ilvl="0">
      <w:start w:val="1"/>
      <w:numFmt w:val="decimal"/>
      <w:suff w:val="space"/>
      <w:lvlText w:val="(%1)"/>
      <w:lvlJc w:val="left"/>
    </w:lvl>
  </w:abstractNum>
  <w:abstractNum w:abstractNumId="13" w15:restartNumberingAfterBreak="0">
    <w:nsid w:val="2F89475A"/>
    <w:multiLevelType w:val="hybridMultilevel"/>
    <w:tmpl w:val="86281AA2"/>
    <w:lvl w:ilvl="0" w:tplc="389C3B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B6130"/>
    <w:multiLevelType w:val="hybridMultilevel"/>
    <w:tmpl w:val="CCB23F12"/>
    <w:lvl w:ilvl="0" w:tplc="F3B4D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53468"/>
    <w:multiLevelType w:val="hybridMultilevel"/>
    <w:tmpl w:val="98B86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50BDD"/>
    <w:multiLevelType w:val="multilevel"/>
    <w:tmpl w:val="5314847E"/>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21477"/>
    <w:multiLevelType w:val="hybridMultilevel"/>
    <w:tmpl w:val="0F92951C"/>
    <w:lvl w:ilvl="0" w:tplc="A448FB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97795C"/>
    <w:multiLevelType w:val="multilevel"/>
    <w:tmpl w:val="1EBC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11BA9"/>
    <w:multiLevelType w:val="hybridMultilevel"/>
    <w:tmpl w:val="D59A2F96"/>
    <w:lvl w:ilvl="0" w:tplc="987C4EA8">
      <w:start w:val="3"/>
      <w:numFmt w:val="bullet"/>
      <w:lvlText w:val="-"/>
      <w:lvlJc w:val="left"/>
      <w:pPr>
        <w:ind w:left="1080" w:hanging="360"/>
      </w:pPr>
      <w:rPr>
        <w:rFonts w:ascii="Times New Roman" w:eastAsia="Times New Roman" w:hAnsi="Times New Roman" w:cs="Times New Roman"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2B3CFD"/>
    <w:multiLevelType w:val="hybridMultilevel"/>
    <w:tmpl w:val="2F4A746E"/>
    <w:lvl w:ilvl="0" w:tplc="FFFFFFFF">
      <w:numFmt w:val="bullet"/>
      <w:pStyle w:val="Gu"/>
      <w:lvlText w:val="-"/>
      <w:lvlJc w:val="left"/>
      <w:pPr>
        <w:tabs>
          <w:tab w:val="num" w:pos="992"/>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4714052D"/>
    <w:multiLevelType w:val="hybridMultilevel"/>
    <w:tmpl w:val="BCF20684"/>
    <w:lvl w:ilvl="0" w:tplc="6D501CD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276A3C"/>
    <w:multiLevelType w:val="hybridMultilevel"/>
    <w:tmpl w:val="E596545E"/>
    <w:lvl w:ilvl="0" w:tplc="41EA1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27D5"/>
    <w:multiLevelType w:val="hybridMultilevel"/>
    <w:tmpl w:val="8B941876"/>
    <w:lvl w:ilvl="0" w:tplc="99E0C92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367C4F"/>
    <w:multiLevelType w:val="multilevel"/>
    <w:tmpl w:val="D4485738"/>
    <w:lvl w:ilvl="0">
      <w:start w:val="2"/>
      <w:numFmt w:val="decimal"/>
      <w:suff w:val="space"/>
      <w:lvlText w:val="%1."/>
      <w:lvlJc w:val="left"/>
      <w:rPr>
        <w:b/>
        <w:bCs/>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3240" w:hanging="1080"/>
      </w:pPr>
      <w:rPr>
        <w:rFonts w:hint="default"/>
        <w:b/>
        <w:color w:val="000000" w:themeColor="text1"/>
      </w:rPr>
    </w:lvl>
    <w:lvl w:ilvl="4">
      <w:start w:val="1"/>
      <w:numFmt w:val="decimal"/>
      <w:isLgl/>
      <w:lvlText w:val="%1.%2.%3.%4.%5."/>
      <w:lvlJc w:val="left"/>
      <w:pPr>
        <w:ind w:left="3960" w:hanging="1080"/>
      </w:pPr>
      <w:rPr>
        <w:rFonts w:hint="default"/>
        <w:b/>
        <w:color w:val="000000" w:themeColor="text1"/>
      </w:rPr>
    </w:lvl>
    <w:lvl w:ilvl="5">
      <w:start w:val="1"/>
      <w:numFmt w:val="decimal"/>
      <w:isLgl/>
      <w:lvlText w:val="%1.%2.%3.%4.%5.%6."/>
      <w:lvlJc w:val="left"/>
      <w:pPr>
        <w:ind w:left="5040" w:hanging="1440"/>
      </w:pPr>
      <w:rPr>
        <w:rFonts w:hint="default"/>
        <w:b/>
        <w:color w:val="000000" w:themeColor="text1"/>
      </w:rPr>
    </w:lvl>
    <w:lvl w:ilvl="6">
      <w:start w:val="1"/>
      <w:numFmt w:val="decimal"/>
      <w:isLgl/>
      <w:lvlText w:val="%1.%2.%3.%4.%5.%6.%7."/>
      <w:lvlJc w:val="left"/>
      <w:pPr>
        <w:ind w:left="6120" w:hanging="1800"/>
      </w:pPr>
      <w:rPr>
        <w:rFonts w:hint="default"/>
        <w:b/>
        <w:color w:val="000000" w:themeColor="text1"/>
      </w:rPr>
    </w:lvl>
    <w:lvl w:ilvl="7">
      <w:start w:val="1"/>
      <w:numFmt w:val="decimal"/>
      <w:isLgl/>
      <w:lvlText w:val="%1.%2.%3.%4.%5.%6.%7.%8."/>
      <w:lvlJc w:val="left"/>
      <w:pPr>
        <w:ind w:left="6840" w:hanging="1800"/>
      </w:pPr>
      <w:rPr>
        <w:rFonts w:hint="default"/>
        <w:b/>
        <w:color w:val="000000" w:themeColor="text1"/>
      </w:rPr>
    </w:lvl>
    <w:lvl w:ilvl="8">
      <w:start w:val="1"/>
      <w:numFmt w:val="decimal"/>
      <w:isLgl/>
      <w:lvlText w:val="%1.%2.%3.%4.%5.%6.%7.%8.%9."/>
      <w:lvlJc w:val="left"/>
      <w:pPr>
        <w:ind w:left="7920" w:hanging="2160"/>
      </w:pPr>
      <w:rPr>
        <w:rFonts w:hint="default"/>
        <w:b/>
        <w:color w:val="000000" w:themeColor="text1"/>
      </w:rPr>
    </w:lvl>
  </w:abstractNum>
  <w:abstractNum w:abstractNumId="25" w15:restartNumberingAfterBreak="0">
    <w:nsid w:val="603D6081"/>
    <w:multiLevelType w:val="multilevel"/>
    <w:tmpl w:val="F008FC7E"/>
    <w:lvl w:ilvl="0">
      <w:start w:val="6"/>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0490988"/>
    <w:multiLevelType w:val="hybridMultilevel"/>
    <w:tmpl w:val="A450163A"/>
    <w:lvl w:ilvl="0" w:tplc="A7BC794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39EB"/>
    <w:multiLevelType w:val="hybridMultilevel"/>
    <w:tmpl w:val="54606DEC"/>
    <w:lvl w:ilvl="0" w:tplc="48E6F4D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310E3D"/>
    <w:multiLevelType w:val="hybridMultilevel"/>
    <w:tmpl w:val="DD5CC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882433"/>
    <w:multiLevelType w:val="multilevel"/>
    <w:tmpl w:val="6C882433"/>
    <w:lvl w:ilvl="0">
      <w:start w:val="8"/>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6E517988"/>
    <w:multiLevelType w:val="hybridMultilevel"/>
    <w:tmpl w:val="BF20C7C0"/>
    <w:lvl w:ilvl="0" w:tplc="0F548C60">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D96955"/>
    <w:multiLevelType w:val="hybridMultilevel"/>
    <w:tmpl w:val="92D0C3E0"/>
    <w:lvl w:ilvl="0" w:tplc="A4D636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37A1E"/>
    <w:multiLevelType w:val="hybridMultilevel"/>
    <w:tmpl w:val="4BD6DE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BC1AF7"/>
    <w:multiLevelType w:val="hybridMultilevel"/>
    <w:tmpl w:val="ECD4FF04"/>
    <w:lvl w:ilvl="0" w:tplc="B9269412">
      <w:start w:val="2"/>
      <w:numFmt w:val="bullet"/>
      <w:lvlText w:val="-"/>
      <w:lvlJc w:val="left"/>
      <w:pPr>
        <w:ind w:left="1040" w:hanging="360"/>
      </w:pPr>
      <w:rPr>
        <w:rFonts w:ascii="Times New Roman" w:eastAsiaTheme="minorHAns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4" w15:restartNumberingAfterBreak="0">
    <w:nsid w:val="7D224959"/>
    <w:multiLevelType w:val="multilevel"/>
    <w:tmpl w:val="E5989482"/>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C622A"/>
    <w:multiLevelType w:val="multilevel"/>
    <w:tmpl w:val="4888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F63C0"/>
    <w:multiLevelType w:val="hybridMultilevel"/>
    <w:tmpl w:val="D4D6B14C"/>
    <w:lvl w:ilvl="0" w:tplc="C66CD1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8"/>
  </w:num>
  <w:num w:numId="4">
    <w:abstractNumId w:val="22"/>
  </w:num>
  <w:num w:numId="5">
    <w:abstractNumId w:val="5"/>
  </w:num>
  <w:num w:numId="6">
    <w:abstractNumId w:val="9"/>
  </w:num>
  <w:num w:numId="7">
    <w:abstractNumId w:val="26"/>
  </w:num>
  <w:num w:numId="8">
    <w:abstractNumId w:val="27"/>
  </w:num>
  <w:num w:numId="9">
    <w:abstractNumId w:val="14"/>
  </w:num>
  <w:num w:numId="10">
    <w:abstractNumId w:val="0"/>
  </w:num>
  <w:num w:numId="11">
    <w:abstractNumId w:val="15"/>
  </w:num>
  <w:num w:numId="12">
    <w:abstractNumId w:val="12"/>
  </w:num>
  <w:num w:numId="13">
    <w:abstractNumId w:val="24"/>
  </w:num>
  <w:num w:numId="14">
    <w:abstractNumId w:val="29"/>
  </w:num>
  <w:num w:numId="15">
    <w:abstractNumId w:val="25"/>
  </w:num>
  <w:num w:numId="16">
    <w:abstractNumId w:val="33"/>
  </w:num>
  <w:num w:numId="17">
    <w:abstractNumId w:val="32"/>
  </w:num>
  <w:num w:numId="18">
    <w:abstractNumId w:val="2"/>
  </w:num>
  <w:num w:numId="19">
    <w:abstractNumId w:val="31"/>
  </w:num>
  <w:num w:numId="20">
    <w:abstractNumId w:val="10"/>
  </w:num>
  <w:num w:numId="21">
    <w:abstractNumId w:val="16"/>
  </w:num>
  <w:num w:numId="22">
    <w:abstractNumId w:val="34"/>
  </w:num>
  <w:num w:numId="23">
    <w:abstractNumId w:val="11"/>
  </w:num>
  <w:num w:numId="24">
    <w:abstractNumId w:val="19"/>
  </w:num>
  <w:num w:numId="25">
    <w:abstractNumId w:val="36"/>
  </w:num>
  <w:num w:numId="26">
    <w:abstractNumId w:val="6"/>
  </w:num>
  <w:num w:numId="27">
    <w:abstractNumId w:val="30"/>
  </w:num>
  <w:num w:numId="28">
    <w:abstractNumId w:val="7"/>
  </w:num>
  <w:num w:numId="29">
    <w:abstractNumId w:val="21"/>
  </w:num>
  <w:num w:numId="30">
    <w:abstractNumId w:val="13"/>
  </w:num>
  <w:num w:numId="31">
    <w:abstractNumId w:val="20"/>
  </w:num>
  <w:num w:numId="32">
    <w:abstractNumId w:val="1"/>
  </w:num>
  <w:num w:numId="33">
    <w:abstractNumId w:val="18"/>
  </w:num>
  <w:num w:numId="34">
    <w:abstractNumId w:val="23"/>
  </w:num>
  <w:num w:numId="35">
    <w:abstractNumId w:val="28"/>
  </w:num>
  <w:num w:numId="36">
    <w:abstractNumId w:val="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70"/>
    <w:rsid w:val="0000093F"/>
    <w:rsid w:val="00003A09"/>
    <w:rsid w:val="000041C0"/>
    <w:rsid w:val="0000574D"/>
    <w:rsid w:val="00010B30"/>
    <w:rsid w:val="000235A9"/>
    <w:rsid w:val="0002432A"/>
    <w:rsid w:val="00026043"/>
    <w:rsid w:val="00031C30"/>
    <w:rsid w:val="00035114"/>
    <w:rsid w:val="00040335"/>
    <w:rsid w:val="00040402"/>
    <w:rsid w:val="00055E29"/>
    <w:rsid w:val="000602AB"/>
    <w:rsid w:val="00060431"/>
    <w:rsid w:val="00065CC7"/>
    <w:rsid w:val="00065EF0"/>
    <w:rsid w:val="00074796"/>
    <w:rsid w:val="00074CBB"/>
    <w:rsid w:val="00083640"/>
    <w:rsid w:val="00083E9B"/>
    <w:rsid w:val="00084212"/>
    <w:rsid w:val="000858FD"/>
    <w:rsid w:val="00091C71"/>
    <w:rsid w:val="00091CCF"/>
    <w:rsid w:val="00097013"/>
    <w:rsid w:val="000A0F06"/>
    <w:rsid w:val="000A158F"/>
    <w:rsid w:val="000A5A8A"/>
    <w:rsid w:val="000A78A5"/>
    <w:rsid w:val="000B040E"/>
    <w:rsid w:val="000B16C6"/>
    <w:rsid w:val="000B2C24"/>
    <w:rsid w:val="000B486A"/>
    <w:rsid w:val="000B4F8B"/>
    <w:rsid w:val="000B7168"/>
    <w:rsid w:val="000C38F5"/>
    <w:rsid w:val="000C4A35"/>
    <w:rsid w:val="000C65B4"/>
    <w:rsid w:val="000C6B7A"/>
    <w:rsid w:val="000D15DD"/>
    <w:rsid w:val="000E11A4"/>
    <w:rsid w:val="000E2B53"/>
    <w:rsid w:val="000E51A7"/>
    <w:rsid w:val="000E6B65"/>
    <w:rsid w:val="000F24A6"/>
    <w:rsid w:val="00100ED8"/>
    <w:rsid w:val="001052D2"/>
    <w:rsid w:val="001108C3"/>
    <w:rsid w:val="00110CBA"/>
    <w:rsid w:val="00112CCA"/>
    <w:rsid w:val="00113A36"/>
    <w:rsid w:val="00113C11"/>
    <w:rsid w:val="001155DA"/>
    <w:rsid w:val="001160B1"/>
    <w:rsid w:val="00125098"/>
    <w:rsid w:val="0012526C"/>
    <w:rsid w:val="00127D95"/>
    <w:rsid w:val="00141DA2"/>
    <w:rsid w:val="00147B7E"/>
    <w:rsid w:val="00150424"/>
    <w:rsid w:val="0015347D"/>
    <w:rsid w:val="00157AE4"/>
    <w:rsid w:val="00161E72"/>
    <w:rsid w:val="00164536"/>
    <w:rsid w:val="001672C8"/>
    <w:rsid w:val="001801CD"/>
    <w:rsid w:val="00181828"/>
    <w:rsid w:val="0018218C"/>
    <w:rsid w:val="001857AF"/>
    <w:rsid w:val="00186BF0"/>
    <w:rsid w:val="00187592"/>
    <w:rsid w:val="00194837"/>
    <w:rsid w:val="0019664B"/>
    <w:rsid w:val="001A1DFD"/>
    <w:rsid w:val="001A3C34"/>
    <w:rsid w:val="001A6003"/>
    <w:rsid w:val="001B2414"/>
    <w:rsid w:val="001B7498"/>
    <w:rsid w:val="001C1C1D"/>
    <w:rsid w:val="001C460D"/>
    <w:rsid w:val="001C4B02"/>
    <w:rsid w:val="001C525D"/>
    <w:rsid w:val="001D0B1F"/>
    <w:rsid w:val="001D1E80"/>
    <w:rsid w:val="001E0480"/>
    <w:rsid w:val="001E50AA"/>
    <w:rsid w:val="001E7AD6"/>
    <w:rsid w:val="001F1EFC"/>
    <w:rsid w:val="001F2C0C"/>
    <w:rsid w:val="00203BE6"/>
    <w:rsid w:val="002042BF"/>
    <w:rsid w:val="00206242"/>
    <w:rsid w:val="002067E6"/>
    <w:rsid w:val="00207C50"/>
    <w:rsid w:val="00210213"/>
    <w:rsid w:val="00211BC4"/>
    <w:rsid w:val="00215F63"/>
    <w:rsid w:val="00217E2F"/>
    <w:rsid w:val="00221C49"/>
    <w:rsid w:val="00222139"/>
    <w:rsid w:val="00226F3E"/>
    <w:rsid w:val="00230645"/>
    <w:rsid w:val="0023097B"/>
    <w:rsid w:val="00235877"/>
    <w:rsid w:val="00246976"/>
    <w:rsid w:val="00253421"/>
    <w:rsid w:val="00254EDC"/>
    <w:rsid w:val="002554E7"/>
    <w:rsid w:val="00256A7A"/>
    <w:rsid w:val="00257D16"/>
    <w:rsid w:val="002618D6"/>
    <w:rsid w:val="00264BEE"/>
    <w:rsid w:val="0026649D"/>
    <w:rsid w:val="00270B0B"/>
    <w:rsid w:val="00270D9A"/>
    <w:rsid w:val="00272627"/>
    <w:rsid w:val="002773E8"/>
    <w:rsid w:val="002829A6"/>
    <w:rsid w:val="00282E39"/>
    <w:rsid w:val="00287550"/>
    <w:rsid w:val="0029120E"/>
    <w:rsid w:val="0029669F"/>
    <w:rsid w:val="002B13E1"/>
    <w:rsid w:val="002B4ACE"/>
    <w:rsid w:val="002B4FED"/>
    <w:rsid w:val="002B6EB8"/>
    <w:rsid w:val="002C0012"/>
    <w:rsid w:val="002C30B3"/>
    <w:rsid w:val="002C5910"/>
    <w:rsid w:val="002C5B73"/>
    <w:rsid w:val="002C7A4B"/>
    <w:rsid w:val="002C7F5B"/>
    <w:rsid w:val="002D3843"/>
    <w:rsid w:val="002D4D67"/>
    <w:rsid w:val="002E0A30"/>
    <w:rsid w:val="002E0F51"/>
    <w:rsid w:val="002E25F0"/>
    <w:rsid w:val="002E3369"/>
    <w:rsid w:val="002E54C8"/>
    <w:rsid w:val="002E54FD"/>
    <w:rsid w:val="002E6FBA"/>
    <w:rsid w:val="002F0EE0"/>
    <w:rsid w:val="002F25F3"/>
    <w:rsid w:val="002F34FF"/>
    <w:rsid w:val="002F6E75"/>
    <w:rsid w:val="00302650"/>
    <w:rsid w:val="003038D1"/>
    <w:rsid w:val="003075A3"/>
    <w:rsid w:val="003107AE"/>
    <w:rsid w:val="003125C8"/>
    <w:rsid w:val="00312F5C"/>
    <w:rsid w:val="00320231"/>
    <w:rsid w:val="00321163"/>
    <w:rsid w:val="0032259D"/>
    <w:rsid w:val="003225AB"/>
    <w:rsid w:val="00323AF6"/>
    <w:rsid w:val="0032745D"/>
    <w:rsid w:val="003307B5"/>
    <w:rsid w:val="00333278"/>
    <w:rsid w:val="003355E4"/>
    <w:rsid w:val="00340E78"/>
    <w:rsid w:val="003419A9"/>
    <w:rsid w:val="00347374"/>
    <w:rsid w:val="00351E51"/>
    <w:rsid w:val="0035454D"/>
    <w:rsid w:val="003556CE"/>
    <w:rsid w:val="003644B4"/>
    <w:rsid w:val="003656F2"/>
    <w:rsid w:val="003670D7"/>
    <w:rsid w:val="00370251"/>
    <w:rsid w:val="00370404"/>
    <w:rsid w:val="00370840"/>
    <w:rsid w:val="0038085F"/>
    <w:rsid w:val="003833CC"/>
    <w:rsid w:val="003855B4"/>
    <w:rsid w:val="0038714E"/>
    <w:rsid w:val="0039115A"/>
    <w:rsid w:val="00395225"/>
    <w:rsid w:val="003A2ED3"/>
    <w:rsid w:val="003A331A"/>
    <w:rsid w:val="003A7E86"/>
    <w:rsid w:val="003B236A"/>
    <w:rsid w:val="003B589D"/>
    <w:rsid w:val="003B694D"/>
    <w:rsid w:val="003C56B4"/>
    <w:rsid w:val="003C5933"/>
    <w:rsid w:val="003D304B"/>
    <w:rsid w:val="003E23F5"/>
    <w:rsid w:val="003E339D"/>
    <w:rsid w:val="003E5551"/>
    <w:rsid w:val="003F03AB"/>
    <w:rsid w:val="003F422E"/>
    <w:rsid w:val="00406E4E"/>
    <w:rsid w:val="00411187"/>
    <w:rsid w:val="0041265C"/>
    <w:rsid w:val="00414226"/>
    <w:rsid w:val="004147E5"/>
    <w:rsid w:val="004225AC"/>
    <w:rsid w:val="004259F0"/>
    <w:rsid w:val="00426B2A"/>
    <w:rsid w:val="00427025"/>
    <w:rsid w:val="0043144B"/>
    <w:rsid w:val="0043389A"/>
    <w:rsid w:val="0043412D"/>
    <w:rsid w:val="004357A2"/>
    <w:rsid w:val="00435EBD"/>
    <w:rsid w:val="00441148"/>
    <w:rsid w:val="00447A39"/>
    <w:rsid w:val="004529AB"/>
    <w:rsid w:val="00453281"/>
    <w:rsid w:val="0045416A"/>
    <w:rsid w:val="00456763"/>
    <w:rsid w:val="004567B9"/>
    <w:rsid w:val="00456EFE"/>
    <w:rsid w:val="00462352"/>
    <w:rsid w:val="004627CB"/>
    <w:rsid w:val="00462FBF"/>
    <w:rsid w:val="004634C6"/>
    <w:rsid w:val="004640C5"/>
    <w:rsid w:val="00465BEC"/>
    <w:rsid w:val="00465E1B"/>
    <w:rsid w:val="004671B3"/>
    <w:rsid w:val="004718FE"/>
    <w:rsid w:val="00473822"/>
    <w:rsid w:val="004740DB"/>
    <w:rsid w:val="00474ABD"/>
    <w:rsid w:val="00480B1D"/>
    <w:rsid w:val="00480BCE"/>
    <w:rsid w:val="00480BD9"/>
    <w:rsid w:val="004832AA"/>
    <w:rsid w:val="004905BD"/>
    <w:rsid w:val="00490A07"/>
    <w:rsid w:val="00490CA3"/>
    <w:rsid w:val="00491F3C"/>
    <w:rsid w:val="00493467"/>
    <w:rsid w:val="0049462F"/>
    <w:rsid w:val="0049596F"/>
    <w:rsid w:val="00496890"/>
    <w:rsid w:val="004A19A0"/>
    <w:rsid w:val="004A20E8"/>
    <w:rsid w:val="004A2F3B"/>
    <w:rsid w:val="004A4042"/>
    <w:rsid w:val="004A5738"/>
    <w:rsid w:val="004A5AAC"/>
    <w:rsid w:val="004A72CA"/>
    <w:rsid w:val="004C0420"/>
    <w:rsid w:val="004C20B8"/>
    <w:rsid w:val="004C2E37"/>
    <w:rsid w:val="004C3482"/>
    <w:rsid w:val="004C3B74"/>
    <w:rsid w:val="004C67B5"/>
    <w:rsid w:val="004D4094"/>
    <w:rsid w:val="004D49F8"/>
    <w:rsid w:val="004D55F7"/>
    <w:rsid w:val="004D7D4E"/>
    <w:rsid w:val="004E44A7"/>
    <w:rsid w:val="004E6982"/>
    <w:rsid w:val="004F674A"/>
    <w:rsid w:val="004F6E4F"/>
    <w:rsid w:val="005008D5"/>
    <w:rsid w:val="005022C3"/>
    <w:rsid w:val="00502BC0"/>
    <w:rsid w:val="00504DF7"/>
    <w:rsid w:val="00504E27"/>
    <w:rsid w:val="005055ED"/>
    <w:rsid w:val="00507BFB"/>
    <w:rsid w:val="00510B73"/>
    <w:rsid w:val="0052131F"/>
    <w:rsid w:val="0052187D"/>
    <w:rsid w:val="005274DE"/>
    <w:rsid w:val="0054215C"/>
    <w:rsid w:val="00542913"/>
    <w:rsid w:val="005434D4"/>
    <w:rsid w:val="00543E31"/>
    <w:rsid w:val="00545E74"/>
    <w:rsid w:val="0055276B"/>
    <w:rsid w:val="005647E5"/>
    <w:rsid w:val="0057079E"/>
    <w:rsid w:val="005717EA"/>
    <w:rsid w:val="00593776"/>
    <w:rsid w:val="005A0679"/>
    <w:rsid w:val="005A1AA8"/>
    <w:rsid w:val="005A1C56"/>
    <w:rsid w:val="005A4349"/>
    <w:rsid w:val="005A4855"/>
    <w:rsid w:val="005A61A9"/>
    <w:rsid w:val="005A683E"/>
    <w:rsid w:val="005B1FD8"/>
    <w:rsid w:val="005C428C"/>
    <w:rsid w:val="005C7D44"/>
    <w:rsid w:val="005D1152"/>
    <w:rsid w:val="005D3060"/>
    <w:rsid w:val="005D313B"/>
    <w:rsid w:val="005D6FC8"/>
    <w:rsid w:val="005F6414"/>
    <w:rsid w:val="005F7ABF"/>
    <w:rsid w:val="0060414A"/>
    <w:rsid w:val="006045D9"/>
    <w:rsid w:val="00605924"/>
    <w:rsid w:val="006069E9"/>
    <w:rsid w:val="00614340"/>
    <w:rsid w:val="0061515E"/>
    <w:rsid w:val="006216C0"/>
    <w:rsid w:val="00622D13"/>
    <w:rsid w:val="006237B3"/>
    <w:rsid w:val="00624513"/>
    <w:rsid w:val="00625E52"/>
    <w:rsid w:val="00637147"/>
    <w:rsid w:val="006403FD"/>
    <w:rsid w:val="00641839"/>
    <w:rsid w:val="00641C83"/>
    <w:rsid w:val="006420F6"/>
    <w:rsid w:val="00647C7C"/>
    <w:rsid w:val="00651553"/>
    <w:rsid w:val="006534E5"/>
    <w:rsid w:val="006610BF"/>
    <w:rsid w:val="00663267"/>
    <w:rsid w:val="00664D35"/>
    <w:rsid w:val="00664DB9"/>
    <w:rsid w:val="0066536D"/>
    <w:rsid w:val="006665F6"/>
    <w:rsid w:val="006706B5"/>
    <w:rsid w:val="00676792"/>
    <w:rsid w:val="00677887"/>
    <w:rsid w:val="00677D46"/>
    <w:rsid w:val="00680375"/>
    <w:rsid w:val="00681675"/>
    <w:rsid w:val="0068181E"/>
    <w:rsid w:val="0068350F"/>
    <w:rsid w:val="0068664E"/>
    <w:rsid w:val="0069202C"/>
    <w:rsid w:val="006928CB"/>
    <w:rsid w:val="00693A7B"/>
    <w:rsid w:val="00694211"/>
    <w:rsid w:val="0069449E"/>
    <w:rsid w:val="0069486A"/>
    <w:rsid w:val="00695A7A"/>
    <w:rsid w:val="006977B5"/>
    <w:rsid w:val="006A0685"/>
    <w:rsid w:val="006A3051"/>
    <w:rsid w:val="006B0720"/>
    <w:rsid w:val="006B1E62"/>
    <w:rsid w:val="006B7D22"/>
    <w:rsid w:val="006C2CFF"/>
    <w:rsid w:val="006C4980"/>
    <w:rsid w:val="006C759B"/>
    <w:rsid w:val="006D30CE"/>
    <w:rsid w:val="006D3A51"/>
    <w:rsid w:val="006D444E"/>
    <w:rsid w:val="006D6A66"/>
    <w:rsid w:val="006D71A2"/>
    <w:rsid w:val="006E5E26"/>
    <w:rsid w:val="006F17E7"/>
    <w:rsid w:val="006F299C"/>
    <w:rsid w:val="00701AEB"/>
    <w:rsid w:val="00702333"/>
    <w:rsid w:val="007033B6"/>
    <w:rsid w:val="00703468"/>
    <w:rsid w:val="007036A7"/>
    <w:rsid w:val="00706E46"/>
    <w:rsid w:val="00712B7C"/>
    <w:rsid w:val="00713842"/>
    <w:rsid w:val="007140A6"/>
    <w:rsid w:val="00715502"/>
    <w:rsid w:val="00721FE1"/>
    <w:rsid w:val="00724213"/>
    <w:rsid w:val="007265B4"/>
    <w:rsid w:val="0072661C"/>
    <w:rsid w:val="00731ADF"/>
    <w:rsid w:val="007321A6"/>
    <w:rsid w:val="00733C85"/>
    <w:rsid w:val="00733F3A"/>
    <w:rsid w:val="0073423D"/>
    <w:rsid w:val="00735ABE"/>
    <w:rsid w:val="007413C3"/>
    <w:rsid w:val="00743DDF"/>
    <w:rsid w:val="00746F44"/>
    <w:rsid w:val="00750CC2"/>
    <w:rsid w:val="00753373"/>
    <w:rsid w:val="00754F2D"/>
    <w:rsid w:val="00761593"/>
    <w:rsid w:val="00762DC0"/>
    <w:rsid w:val="007652E8"/>
    <w:rsid w:val="00765A26"/>
    <w:rsid w:val="00765CFA"/>
    <w:rsid w:val="00766C0E"/>
    <w:rsid w:val="00767024"/>
    <w:rsid w:val="00773456"/>
    <w:rsid w:val="00773E46"/>
    <w:rsid w:val="00775D84"/>
    <w:rsid w:val="00780749"/>
    <w:rsid w:val="007819AA"/>
    <w:rsid w:val="00784AEA"/>
    <w:rsid w:val="007865E3"/>
    <w:rsid w:val="00786D1E"/>
    <w:rsid w:val="00787453"/>
    <w:rsid w:val="007907F8"/>
    <w:rsid w:val="00795DC4"/>
    <w:rsid w:val="00796F40"/>
    <w:rsid w:val="007A01A4"/>
    <w:rsid w:val="007A0301"/>
    <w:rsid w:val="007A08B5"/>
    <w:rsid w:val="007A09D2"/>
    <w:rsid w:val="007A5A3C"/>
    <w:rsid w:val="007A683D"/>
    <w:rsid w:val="007A68BF"/>
    <w:rsid w:val="007B33D5"/>
    <w:rsid w:val="007B6757"/>
    <w:rsid w:val="007C05FE"/>
    <w:rsid w:val="007C214B"/>
    <w:rsid w:val="007C56B0"/>
    <w:rsid w:val="007C57B5"/>
    <w:rsid w:val="007D07B1"/>
    <w:rsid w:val="007D14A4"/>
    <w:rsid w:val="007D1A2E"/>
    <w:rsid w:val="007D1F68"/>
    <w:rsid w:val="007D2ED9"/>
    <w:rsid w:val="007D4C79"/>
    <w:rsid w:val="007D726C"/>
    <w:rsid w:val="007E03AA"/>
    <w:rsid w:val="007E08EC"/>
    <w:rsid w:val="007E22C3"/>
    <w:rsid w:val="007E2866"/>
    <w:rsid w:val="007E3143"/>
    <w:rsid w:val="007F12BC"/>
    <w:rsid w:val="007F3E13"/>
    <w:rsid w:val="00800989"/>
    <w:rsid w:val="00800DD5"/>
    <w:rsid w:val="008074ED"/>
    <w:rsid w:val="008102C4"/>
    <w:rsid w:val="00813A1A"/>
    <w:rsid w:val="0082199A"/>
    <w:rsid w:val="00822D96"/>
    <w:rsid w:val="008234ED"/>
    <w:rsid w:val="00823F73"/>
    <w:rsid w:val="008244D9"/>
    <w:rsid w:val="00837530"/>
    <w:rsid w:val="00837D55"/>
    <w:rsid w:val="00841B1C"/>
    <w:rsid w:val="00846FDE"/>
    <w:rsid w:val="00851127"/>
    <w:rsid w:val="00852ADE"/>
    <w:rsid w:val="0085696E"/>
    <w:rsid w:val="00856EEE"/>
    <w:rsid w:val="00860994"/>
    <w:rsid w:val="008663F5"/>
    <w:rsid w:val="0087200D"/>
    <w:rsid w:val="00876100"/>
    <w:rsid w:val="0087681F"/>
    <w:rsid w:val="00877446"/>
    <w:rsid w:val="00880A39"/>
    <w:rsid w:val="00881FD2"/>
    <w:rsid w:val="008827CF"/>
    <w:rsid w:val="00885F47"/>
    <w:rsid w:val="00893985"/>
    <w:rsid w:val="00893DF4"/>
    <w:rsid w:val="008952EB"/>
    <w:rsid w:val="0089654F"/>
    <w:rsid w:val="008A4BC2"/>
    <w:rsid w:val="008A661B"/>
    <w:rsid w:val="008B17DF"/>
    <w:rsid w:val="008B2BAC"/>
    <w:rsid w:val="008B5E02"/>
    <w:rsid w:val="008C04E6"/>
    <w:rsid w:val="008C16CC"/>
    <w:rsid w:val="008C170E"/>
    <w:rsid w:val="008C6B71"/>
    <w:rsid w:val="008C7882"/>
    <w:rsid w:val="008D0653"/>
    <w:rsid w:val="008D33C2"/>
    <w:rsid w:val="008D4B0F"/>
    <w:rsid w:val="008D6AA9"/>
    <w:rsid w:val="008E1F04"/>
    <w:rsid w:val="008E4AE0"/>
    <w:rsid w:val="008F0107"/>
    <w:rsid w:val="008F2897"/>
    <w:rsid w:val="008F76E4"/>
    <w:rsid w:val="00902F6B"/>
    <w:rsid w:val="00907F08"/>
    <w:rsid w:val="00910FD6"/>
    <w:rsid w:val="009128CD"/>
    <w:rsid w:val="00917A33"/>
    <w:rsid w:val="00925F40"/>
    <w:rsid w:val="009264B8"/>
    <w:rsid w:val="00930C26"/>
    <w:rsid w:val="00932A79"/>
    <w:rsid w:val="00933CFE"/>
    <w:rsid w:val="009345D5"/>
    <w:rsid w:val="0093721C"/>
    <w:rsid w:val="0094361A"/>
    <w:rsid w:val="00943631"/>
    <w:rsid w:val="00943E59"/>
    <w:rsid w:val="00947944"/>
    <w:rsid w:val="00956C40"/>
    <w:rsid w:val="009579F3"/>
    <w:rsid w:val="009618EA"/>
    <w:rsid w:val="00965905"/>
    <w:rsid w:val="00966E87"/>
    <w:rsid w:val="00967317"/>
    <w:rsid w:val="00980279"/>
    <w:rsid w:val="0098186C"/>
    <w:rsid w:val="00981A3B"/>
    <w:rsid w:val="00983F39"/>
    <w:rsid w:val="00983FF8"/>
    <w:rsid w:val="00991FE3"/>
    <w:rsid w:val="0099205A"/>
    <w:rsid w:val="0099538C"/>
    <w:rsid w:val="009960D8"/>
    <w:rsid w:val="00997521"/>
    <w:rsid w:val="009A005A"/>
    <w:rsid w:val="009A0E11"/>
    <w:rsid w:val="009A24F3"/>
    <w:rsid w:val="009B2734"/>
    <w:rsid w:val="009C01E1"/>
    <w:rsid w:val="009C036C"/>
    <w:rsid w:val="009C1D2D"/>
    <w:rsid w:val="009D288F"/>
    <w:rsid w:val="009D7219"/>
    <w:rsid w:val="009E1F44"/>
    <w:rsid w:val="009F0F9C"/>
    <w:rsid w:val="009F35CD"/>
    <w:rsid w:val="009F52B9"/>
    <w:rsid w:val="00A043BA"/>
    <w:rsid w:val="00A13385"/>
    <w:rsid w:val="00A2378C"/>
    <w:rsid w:val="00A24619"/>
    <w:rsid w:val="00A27208"/>
    <w:rsid w:val="00A31737"/>
    <w:rsid w:val="00A32193"/>
    <w:rsid w:val="00A3241D"/>
    <w:rsid w:val="00A338DC"/>
    <w:rsid w:val="00A35A4A"/>
    <w:rsid w:val="00A3712A"/>
    <w:rsid w:val="00A42B09"/>
    <w:rsid w:val="00A44935"/>
    <w:rsid w:val="00A46472"/>
    <w:rsid w:val="00A5399A"/>
    <w:rsid w:val="00A57F66"/>
    <w:rsid w:val="00A62B02"/>
    <w:rsid w:val="00A645CF"/>
    <w:rsid w:val="00A7166A"/>
    <w:rsid w:val="00A75E78"/>
    <w:rsid w:val="00A77F7F"/>
    <w:rsid w:val="00A80527"/>
    <w:rsid w:val="00A82D21"/>
    <w:rsid w:val="00A878CD"/>
    <w:rsid w:val="00A90321"/>
    <w:rsid w:val="00A91E7E"/>
    <w:rsid w:val="00A92256"/>
    <w:rsid w:val="00A94808"/>
    <w:rsid w:val="00A949E8"/>
    <w:rsid w:val="00A96A59"/>
    <w:rsid w:val="00AA046B"/>
    <w:rsid w:val="00AB2734"/>
    <w:rsid w:val="00AB2DB9"/>
    <w:rsid w:val="00AB6214"/>
    <w:rsid w:val="00AB7C3E"/>
    <w:rsid w:val="00AC5C2A"/>
    <w:rsid w:val="00AD1FA2"/>
    <w:rsid w:val="00AD21AF"/>
    <w:rsid w:val="00AD791E"/>
    <w:rsid w:val="00AE09B6"/>
    <w:rsid w:val="00AE35D8"/>
    <w:rsid w:val="00AE53FE"/>
    <w:rsid w:val="00AE5676"/>
    <w:rsid w:val="00AE6069"/>
    <w:rsid w:val="00AE7196"/>
    <w:rsid w:val="00AF5EA4"/>
    <w:rsid w:val="00B00CB5"/>
    <w:rsid w:val="00B05785"/>
    <w:rsid w:val="00B07BB3"/>
    <w:rsid w:val="00B10864"/>
    <w:rsid w:val="00B147EE"/>
    <w:rsid w:val="00B17997"/>
    <w:rsid w:val="00B17AF6"/>
    <w:rsid w:val="00B17FC0"/>
    <w:rsid w:val="00B20F86"/>
    <w:rsid w:val="00B250AB"/>
    <w:rsid w:val="00B35AED"/>
    <w:rsid w:val="00B3606E"/>
    <w:rsid w:val="00B378DE"/>
    <w:rsid w:val="00B403DF"/>
    <w:rsid w:val="00B40736"/>
    <w:rsid w:val="00B45CA2"/>
    <w:rsid w:val="00B5338B"/>
    <w:rsid w:val="00B54A9E"/>
    <w:rsid w:val="00B60FCF"/>
    <w:rsid w:val="00B65F63"/>
    <w:rsid w:val="00B677F5"/>
    <w:rsid w:val="00B7216E"/>
    <w:rsid w:val="00B72F92"/>
    <w:rsid w:val="00B7435F"/>
    <w:rsid w:val="00B773C7"/>
    <w:rsid w:val="00B806F7"/>
    <w:rsid w:val="00B816CD"/>
    <w:rsid w:val="00B84795"/>
    <w:rsid w:val="00B84A38"/>
    <w:rsid w:val="00B85376"/>
    <w:rsid w:val="00B92071"/>
    <w:rsid w:val="00B926FF"/>
    <w:rsid w:val="00B9386D"/>
    <w:rsid w:val="00B9481C"/>
    <w:rsid w:val="00B95CA3"/>
    <w:rsid w:val="00B96065"/>
    <w:rsid w:val="00BA4C09"/>
    <w:rsid w:val="00BA5906"/>
    <w:rsid w:val="00BA5961"/>
    <w:rsid w:val="00BA7FE5"/>
    <w:rsid w:val="00BB7BFD"/>
    <w:rsid w:val="00BC20D8"/>
    <w:rsid w:val="00BC3B6B"/>
    <w:rsid w:val="00BD26FF"/>
    <w:rsid w:val="00BD5426"/>
    <w:rsid w:val="00BE0AA2"/>
    <w:rsid w:val="00BE4047"/>
    <w:rsid w:val="00BE733B"/>
    <w:rsid w:val="00BF2F32"/>
    <w:rsid w:val="00C0183A"/>
    <w:rsid w:val="00C02944"/>
    <w:rsid w:val="00C04664"/>
    <w:rsid w:val="00C05182"/>
    <w:rsid w:val="00C10715"/>
    <w:rsid w:val="00C10DC8"/>
    <w:rsid w:val="00C10E29"/>
    <w:rsid w:val="00C14A49"/>
    <w:rsid w:val="00C174B7"/>
    <w:rsid w:val="00C217AD"/>
    <w:rsid w:val="00C229FA"/>
    <w:rsid w:val="00C230A7"/>
    <w:rsid w:val="00C25D96"/>
    <w:rsid w:val="00C3031B"/>
    <w:rsid w:val="00C327B3"/>
    <w:rsid w:val="00C3413B"/>
    <w:rsid w:val="00C3692F"/>
    <w:rsid w:val="00C40B17"/>
    <w:rsid w:val="00C429F9"/>
    <w:rsid w:val="00C43118"/>
    <w:rsid w:val="00C437B2"/>
    <w:rsid w:val="00C44A5B"/>
    <w:rsid w:val="00C44E80"/>
    <w:rsid w:val="00C46EA6"/>
    <w:rsid w:val="00C564F5"/>
    <w:rsid w:val="00C56D34"/>
    <w:rsid w:val="00C60D8D"/>
    <w:rsid w:val="00C61242"/>
    <w:rsid w:val="00C6163A"/>
    <w:rsid w:val="00C628FA"/>
    <w:rsid w:val="00C80F9D"/>
    <w:rsid w:val="00C85173"/>
    <w:rsid w:val="00C85535"/>
    <w:rsid w:val="00C86499"/>
    <w:rsid w:val="00C86BD4"/>
    <w:rsid w:val="00C900AC"/>
    <w:rsid w:val="00C9161B"/>
    <w:rsid w:val="00C96A85"/>
    <w:rsid w:val="00C97748"/>
    <w:rsid w:val="00CA0181"/>
    <w:rsid w:val="00CA108A"/>
    <w:rsid w:val="00CA6765"/>
    <w:rsid w:val="00CA6898"/>
    <w:rsid w:val="00CA73C5"/>
    <w:rsid w:val="00CB0833"/>
    <w:rsid w:val="00CB3984"/>
    <w:rsid w:val="00CB3B73"/>
    <w:rsid w:val="00CB3F27"/>
    <w:rsid w:val="00CC4D30"/>
    <w:rsid w:val="00CD052E"/>
    <w:rsid w:val="00CD33B4"/>
    <w:rsid w:val="00CD42FC"/>
    <w:rsid w:val="00CD5C35"/>
    <w:rsid w:val="00CD5CC5"/>
    <w:rsid w:val="00CE139F"/>
    <w:rsid w:val="00CE1E49"/>
    <w:rsid w:val="00CE4585"/>
    <w:rsid w:val="00CE4803"/>
    <w:rsid w:val="00CE5CC4"/>
    <w:rsid w:val="00CE75F6"/>
    <w:rsid w:val="00CF5ABD"/>
    <w:rsid w:val="00CF7C74"/>
    <w:rsid w:val="00D048B7"/>
    <w:rsid w:val="00D04A03"/>
    <w:rsid w:val="00D078FA"/>
    <w:rsid w:val="00D128B1"/>
    <w:rsid w:val="00D1549C"/>
    <w:rsid w:val="00D2100A"/>
    <w:rsid w:val="00D320F7"/>
    <w:rsid w:val="00D42B9F"/>
    <w:rsid w:val="00D432AF"/>
    <w:rsid w:val="00D46F8F"/>
    <w:rsid w:val="00D53C96"/>
    <w:rsid w:val="00D55FE8"/>
    <w:rsid w:val="00D6031B"/>
    <w:rsid w:val="00D609BA"/>
    <w:rsid w:val="00D61497"/>
    <w:rsid w:val="00D62FAD"/>
    <w:rsid w:val="00D70DFD"/>
    <w:rsid w:val="00D7237F"/>
    <w:rsid w:val="00D80BAA"/>
    <w:rsid w:val="00D816D4"/>
    <w:rsid w:val="00D92968"/>
    <w:rsid w:val="00DA47F8"/>
    <w:rsid w:val="00DA5388"/>
    <w:rsid w:val="00DA5881"/>
    <w:rsid w:val="00DA642D"/>
    <w:rsid w:val="00DB1742"/>
    <w:rsid w:val="00DB1EA7"/>
    <w:rsid w:val="00DB2874"/>
    <w:rsid w:val="00DB28F8"/>
    <w:rsid w:val="00DB2BF1"/>
    <w:rsid w:val="00DB3597"/>
    <w:rsid w:val="00DB3858"/>
    <w:rsid w:val="00DC0338"/>
    <w:rsid w:val="00DC0647"/>
    <w:rsid w:val="00DC1D80"/>
    <w:rsid w:val="00DC5AD5"/>
    <w:rsid w:val="00DD0A6F"/>
    <w:rsid w:val="00DD0D00"/>
    <w:rsid w:val="00DD0F11"/>
    <w:rsid w:val="00DD3720"/>
    <w:rsid w:val="00DE008F"/>
    <w:rsid w:val="00DE5141"/>
    <w:rsid w:val="00DF0FAD"/>
    <w:rsid w:val="00DF2A06"/>
    <w:rsid w:val="00DF5604"/>
    <w:rsid w:val="00E031EF"/>
    <w:rsid w:val="00E03A62"/>
    <w:rsid w:val="00E07AC4"/>
    <w:rsid w:val="00E117D3"/>
    <w:rsid w:val="00E122B9"/>
    <w:rsid w:val="00E12D15"/>
    <w:rsid w:val="00E13683"/>
    <w:rsid w:val="00E1524F"/>
    <w:rsid w:val="00E15B99"/>
    <w:rsid w:val="00E21858"/>
    <w:rsid w:val="00E25C6C"/>
    <w:rsid w:val="00E33858"/>
    <w:rsid w:val="00E3471C"/>
    <w:rsid w:val="00E37386"/>
    <w:rsid w:val="00E421B1"/>
    <w:rsid w:val="00E428CF"/>
    <w:rsid w:val="00E517F1"/>
    <w:rsid w:val="00E51A5D"/>
    <w:rsid w:val="00E5270F"/>
    <w:rsid w:val="00E5371D"/>
    <w:rsid w:val="00E55FF6"/>
    <w:rsid w:val="00E56266"/>
    <w:rsid w:val="00E56BB4"/>
    <w:rsid w:val="00E56CDD"/>
    <w:rsid w:val="00E56D7F"/>
    <w:rsid w:val="00E65AC0"/>
    <w:rsid w:val="00E66E97"/>
    <w:rsid w:val="00E67C71"/>
    <w:rsid w:val="00E70B70"/>
    <w:rsid w:val="00E724DD"/>
    <w:rsid w:val="00E81EC8"/>
    <w:rsid w:val="00E827E5"/>
    <w:rsid w:val="00E854F9"/>
    <w:rsid w:val="00E85A77"/>
    <w:rsid w:val="00E87A3F"/>
    <w:rsid w:val="00E87ED9"/>
    <w:rsid w:val="00E9296C"/>
    <w:rsid w:val="00E93C9B"/>
    <w:rsid w:val="00E96785"/>
    <w:rsid w:val="00EA0144"/>
    <w:rsid w:val="00EA0D14"/>
    <w:rsid w:val="00EA2391"/>
    <w:rsid w:val="00EA5128"/>
    <w:rsid w:val="00EA6398"/>
    <w:rsid w:val="00EA779A"/>
    <w:rsid w:val="00EB2EB3"/>
    <w:rsid w:val="00EB67C7"/>
    <w:rsid w:val="00EB7CB0"/>
    <w:rsid w:val="00EC24A1"/>
    <w:rsid w:val="00ED0288"/>
    <w:rsid w:val="00ED0B58"/>
    <w:rsid w:val="00ED1674"/>
    <w:rsid w:val="00ED3F01"/>
    <w:rsid w:val="00ED7516"/>
    <w:rsid w:val="00EE383C"/>
    <w:rsid w:val="00EE3985"/>
    <w:rsid w:val="00EE4D76"/>
    <w:rsid w:val="00EE6A28"/>
    <w:rsid w:val="00EE6F9C"/>
    <w:rsid w:val="00EF4570"/>
    <w:rsid w:val="00EF6C73"/>
    <w:rsid w:val="00EF709C"/>
    <w:rsid w:val="00F025A9"/>
    <w:rsid w:val="00F02FEB"/>
    <w:rsid w:val="00F0584B"/>
    <w:rsid w:val="00F05DDE"/>
    <w:rsid w:val="00F107BA"/>
    <w:rsid w:val="00F11316"/>
    <w:rsid w:val="00F11CE0"/>
    <w:rsid w:val="00F1292E"/>
    <w:rsid w:val="00F12E53"/>
    <w:rsid w:val="00F17460"/>
    <w:rsid w:val="00F238B7"/>
    <w:rsid w:val="00F259B0"/>
    <w:rsid w:val="00F34AE6"/>
    <w:rsid w:val="00F36CCC"/>
    <w:rsid w:val="00F4142F"/>
    <w:rsid w:val="00F50A28"/>
    <w:rsid w:val="00F56583"/>
    <w:rsid w:val="00F56BCE"/>
    <w:rsid w:val="00F65B5F"/>
    <w:rsid w:val="00F73903"/>
    <w:rsid w:val="00F858A1"/>
    <w:rsid w:val="00F85F88"/>
    <w:rsid w:val="00F87CA9"/>
    <w:rsid w:val="00F90038"/>
    <w:rsid w:val="00F90F3B"/>
    <w:rsid w:val="00F91215"/>
    <w:rsid w:val="00F95FC3"/>
    <w:rsid w:val="00F976C1"/>
    <w:rsid w:val="00FA47C0"/>
    <w:rsid w:val="00FA4F41"/>
    <w:rsid w:val="00FB168F"/>
    <w:rsid w:val="00FB36E0"/>
    <w:rsid w:val="00FB4092"/>
    <w:rsid w:val="00FB501A"/>
    <w:rsid w:val="00FC32C4"/>
    <w:rsid w:val="00FC4616"/>
    <w:rsid w:val="00FE2F9A"/>
    <w:rsid w:val="00FE56CE"/>
    <w:rsid w:val="00FE68DA"/>
    <w:rsid w:val="00FF2F99"/>
    <w:rsid w:val="00FF3B66"/>
    <w:rsid w:val="00FF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66C5"/>
  <w15:chartTrackingRefBased/>
  <w15:docId w15:val="{8A4247A4-0536-4665-8E9A-1B043F45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2B09"/>
    <w:pPr>
      <w:keepNext/>
      <w:keepLines/>
      <w:spacing w:before="240" w:after="0"/>
      <w:jc w:val="both"/>
      <w:outlineLvl w:val="0"/>
    </w:pPr>
    <w:rPr>
      <w:rFonts w:eastAsiaTheme="majorEastAsia" w:cstheme="majorBidi"/>
      <w:b/>
      <w:szCs w:val="32"/>
    </w:rPr>
  </w:style>
  <w:style w:type="paragraph" w:styleId="Heading2">
    <w:name w:val="heading 2"/>
    <w:aliases w:val="Chapter 1,h2 main heading,B Sub/Bold,B Sub/Bold1,B Sub/Bold2,B Sub/Bold11,h2 main heading1,h2 main heading2,B Sub/Bold3,B Sub/Bold12,h2 main heading3,B Sub/Bold4,B Sub/Bold13,Reset numbering,Heading 2 Char1,Heading 2 Char Char Char,l2,H2,h21"/>
    <w:basedOn w:val="Normal"/>
    <w:next w:val="Normal"/>
    <w:link w:val="Heading2Char"/>
    <w:uiPriority w:val="9"/>
    <w:unhideWhenUsed/>
    <w:qFormat/>
    <w:rsid w:val="00A42B09"/>
    <w:pPr>
      <w:keepNext/>
      <w:keepLines/>
      <w:spacing w:before="40" w:after="0"/>
      <w:jc w:val="both"/>
      <w:outlineLvl w:val="1"/>
    </w:pPr>
    <w:rPr>
      <w:rFonts w:eastAsiaTheme="majorEastAsia" w:cstheme="majorBidi"/>
      <w:b/>
      <w:szCs w:val="2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800DD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800DD5"/>
    <w:pPr>
      <w:keepNext/>
      <w:spacing w:before="120" w:after="120" w:line="288" w:lineRule="auto"/>
      <w:ind w:firstLine="720"/>
      <w:jc w:val="both"/>
      <w:outlineLvl w:val="3"/>
    </w:pPr>
    <w:rPr>
      <w:rFonts w:eastAsia="Times New Roman" w:cs="Times New Roman"/>
      <w:i/>
      <w:iCs/>
      <w:szCs w:val="20"/>
    </w:rPr>
  </w:style>
  <w:style w:type="paragraph" w:styleId="Heading5">
    <w:name w:val="heading 5"/>
    <w:basedOn w:val="Normal"/>
    <w:next w:val="Normal"/>
    <w:link w:val="Heading5Char"/>
    <w:qFormat/>
    <w:rsid w:val="00800DD5"/>
    <w:pPr>
      <w:keepNext/>
      <w:spacing w:after="0" w:line="360" w:lineRule="atLeast"/>
      <w:ind w:firstLine="697"/>
      <w:jc w:val="both"/>
      <w:outlineLvl w:val="4"/>
    </w:pPr>
    <w:rPr>
      <w:rFonts w:eastAsia="Times New Roman" w:cs="Times New Roman"/>
      <w:b/>
      <w:sz w:val="26"/>
      <w:szCs w:val="24"/>
    </w:rPr>
  </w:style>
  <w:style w:type="paragraph" w:styleId="Heading6">
    <w:name w:val="heading 6"/>
    <w:basedOn w:val="Normal"/>
    <w:next w:val="Normal"/>
    <w:link w:val="Heading6Char"/>
    <w:qFormat/>
    <w:rsid w:val="00800DD5"/>
    <w:pPr>
      <w:keepNext/>
      <w:spacing w:after="0" w:line="360" w:lineRule="atLeast"/>
      <w:ind w:firstLine="697"/>
      <w:jc w:val="both"/>
      <w:outlineLvl w:val="5"/>
    </w:pPr>
    <w:rPr>
      <w:rFonts w:eastAsia="Times New Roman" w:cs="Times New Roman"/>
      <w:b/>
      <w:szCs w:val="24"/>
    </w:rPr>
  </w:style>
  <w:style w:type="paragraph" w:styleId="Heading7">
    <w:name w:val="heading 7"/>
    <w:basedOn w:val="Normal"/>
    <w:next w:val="Normal"/>
    <w:link w:val="Heading7Char"/>
    <w:qFormat/>
    <w:rsid w:val="00800DD5"/>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800DD5"/>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qFormat/>
    <w:rsid w:val="00800DD5"/>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p1,bullet 1,bullet,List Paragraph1,List Paragraph11,List Paragraph12,List Paragraph2,Thang2,VNA - List Paragraph,1.,Table Sequence,My checklist,Colorful List - Accent 12,Medium Grid 1 - Accent 21,lp11,Bullet L1,heading 4"/>
    <w:basedOn w:val="Normal"/>
    <w:link w:val="ListParagraphChar"/>
    <w:uiPriority w:val="34"/>
    <w:qFormat/>
    <w:rsid w:val="005C7D44"/>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5D6FC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5D6FC8"/>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link w:val="4GCharCharChar"/>
    <w:uiPriority w:val="99"/>
    <w:unhideWhenUsed/>
    <w:qFormat/>
    <w:rsid w:val="005D6FC8"/>
    <w:rPr>
      <w:vertAlign w:val="superscript"/>
    </w:rPr>
  </w:style>
  <w:style w:type="paragraph" w:styleId="EndnoteText">
    <w:name w:val="endnote text"/>
    <w:basedOn w:val="Normal"/>
    <w:link w:val="EndnoteTextChar"/>
    <w:uiPriority w:val="99"/>
    <w:semiHidden/>
    <w:unhideWhenUsed/>
    <w:qFormat/>
    <w:rsid w:val="00E66E97"/>
    <w:pPr>
      <w:spacing w:after="0" w:line="240" w:lineRule="auto"/>
    </w:pPr>
    <w:rPr>
      <w:sz w:val="20"/>
      <w:szCs w:val="20"/>
    </w:rPr>
  </w:style>
  <w:style w:type="character" w:customStyle="1" w:styleId="EndnoteTextChar">
    <w:name w:val="Endnote Text Char"/>
    <w:basedOn w:val="DefaultParagraphFont"/>
    <w:link w:val="EndnoteText"/>
    <w:uiPriority w:val="99"/>
    <w:semiHidden/>
    <w:qFormat/>
    <w:rsid w:val="00E66E97"/>
    <w:rPr>
      <w:sz w:val="20"/>
      <w:szCs w:val="20"/>
    </w:rPr>
  </w:style>
  <w:style w:type="character" w:styleId="EndnoteReference">
    <w:name w:val="endnote reference"/>
    <w:basedOn w:val="DefaultParagraphFont"/>
    <w:uiPriority w:val="99"/>
    <w:semiHidden/>
    <w:unhideWhenUsed/>
    <w:qFormat/>
    <w:rsid w:val="00E66E97"/>
    <w:rPr>
      <w:vertAlign w:val="superscript"/>
    </w:rPr>
  </w:style>
  <w:style w:type="character" w:customStyle="1" w:styleId="Heading1Char">
    <w:name w:val="Heading 1 Char"/>
    <w:basedOn w:val="DefaultParagraphFont"/>
    <w:link w:val="Heading1"/>
    <w:uiPriority w:val="9"/>
    <w:qFormat/>
    <w:rsid w:val="00A42B09"/>
    <w:rPr>
      <w:rFonts w:eastAsiaTheme="majorEastAsia" w:cstheme="majorBidi"/>
      <w:b/>
      <w:szCs w:val="32"/>
    </w:rPr>
  </w:style>
  <w:style w:type="character" w:customStyle="1" w:styleId="Heading2Char">
    <w:name w:val="Heading 2 Char"/>
    <w:aliases w:val="Chapter 1 Char,h2 main heading Char1,B Sub/Bold Char1,B Sub/Bold1 Char1,B Sub/Bold2 Char1,B Sub/Bold11 Char1,h2 main heading1 Char1,h2 main heading2 Char1,B Sub/Bold3 Char1,B Sub/Bold12 Char1,h2 main heading3 Char1,B Sub/Bold4 Char1"/>
    <w:basedOn w:val="DefaultParagraphFont"/>
    <w:link w:val="Heading2"/>
    <w:uiPriority w:val="9"/>
    <w:qFormat/>
    <w:rsid w:val="00A42B09"/>
    <w:rPr>
      <w:rFonts w:eastAsiaTheme="majorEastAsia" w:cstheme="majorBidi"/>
      <w:b/>
      <w:szCs w:val="26"/>
    </w:rPr>
  </w:style>
  <w:style w:type="character" w:customStyle="1" w:styleId="bumpedfont15">
    <w:name w:val="bumpedfont15"/>
    <w:qFormat/>
    <w:rsid w:val="00A42B09"/>
  </w:style>
  <w:style w:type="paragraph" w:styleId="CommentText">
    <w:name w:val="annotation text"/>
    <w:basedOn w:val="Normal"/>
    <w:link w:val="CommentTextChar"/>
    <w:qFormat/>
    <w:rsid w:val="00A42B09"/>
    <w:pPr>
      <w:spacing w:after="0" w:line="240" w:lineRule="auto"/>
    </w:pPr>
    <w:rPr>
      <w:rFonts w:eastAsia="SimSun" w:cs="Times New Roman"/>
      <w:sz w:val="20"/>
      <w:szCs w:val="20"/>
    </w:rPr>
  </w:style>
  <w:style w:type="character" w:customStyle="1" w:styleId="CommentTextChar">
    <w:name w:val="Comment Text Char"/>
    <w:basedOn w:val="DefaultParagraphFont"/>
    <w:link w:val="CommentText"/>
    <w:qFormat/>
    <w:rsid w:val="00A42B09"/>
    <w:rPr>
      <w:rFonts w:eastAsia="SimSun" w:cs="Times New Roman"/>
      <w:sz w:val="20"/>
      <w:szCs w:val="20"/>
    </w:rPr>
  </w:style>
  <w:style w:type="character" w:styleId="CommentReference">
    <w:name w:val="annotation reference"/>
    <w:basedOn w:val="DefaultParagraphFont"/>
    <w:uiPriority w:val="99"/>
    <w:unhideWhenUsed/>
    <w:qFormat/>
    <w:rsid w:val="00A42B09"/>
    <w:rPr>
      <w:sz w:val="16"/>
      <w:szCs w:val="16"/>
    </w:rPr>
  </w:style>
  <w:style w:type="paragraph" w:styleId="Revision">
    <w:name w:val="Revision"/>
    <w:hidden/>
    <w:uiPriority w:val="99"/>
    <w:semiHidden/>
    <w:rsid w:val="00B378DE"/>
    <w:pPr>
      <w:spacing w:after="0" w:line="240" w:lineRule="auto"/>
    </w:p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E2F9A"/>
    <w:pPr>
      <w:spacing w:before="100" w:after="0" w:line="240" w:lineRule="exact"/>
    </w:pPr>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E122B9"/>
    <w:pPr>
      <w:spacing w:line="240" w:lineRule="exact"/>
    </w:pPr>
    <w:rPr>
      <w:rFonts w:eastAsia="Times New Roman" w:cs="Times New Roman"/>
      <w:sz w:val="20"/>
      <w:szCs w:val="20"/>
      <w:vertAlign w:val="superscript"/>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qFormat/>
    <w:rsid w:val="00800DD5"/>
    <w:rPr>
      <w:rFonts w:ascii="Arial" w:eastAsia="Times New Roman" w:hAnsi="Arial" w:cs="Arial"/>
      <w:b/>
      <w:bCs/>
      <w:sz w:val="26"/>
      <w:szCs w:val="26"/>
    </w:rPr>
  </w:style>
  <w:style w:type="character" w:customStyle="1" w:styleId="Heading4Char">
    <w:name w:val="Heading 4 Char"/>
    <w:basedOn w:val="DefaultParagraphFont"/>
    <w:link w:val="Heading4"/>
    <w:uiPriority w:val="9"/>
    <w:qFormat/>
    <w:rsid w:val="00800DD5"/>
    <w:rPr>
      <w:rFonts w:eastAsia="Times New Roman" w:cs="Times New Roman"/>
      <w:i/>
      <w:iCs/>
      <w:szCs w:val="20"/>
    </w:rPr>
  </w:style>
  <w:style w:type="character" w:customStyle="1" w:styleId="Heading5Char">
    <w:name w:val="Heading 5 Char"/>
    <w:basedOn w:val="DefaultParagraphFont"/>
    <w:link w:val="Heading5"/>
    <w:qFormat/>
    <w:rsid w:val="00800DD5"/>
    <w:rPr>
      <w:rFonts w:eastAsia="Times New Roman" w:cs="Times New Roman"/>
      <w:b/>
      <w:sz w:val="26"/>
      <w:szCs w:val="24"/>
    </w:rPr>
  </w:style>
  <w:style w:type="character" w:customStyle="1" w:styleId="Heading6Char">
    <w:name w:val="Heading 6 Char"/>
    <w:basedOn w:val="DefaultParagraphFont"/>
    <w:link w:val="Heading6"/>
    <w:qFormat/>
    <w:rsid w:val="00800DD5"/>
    <w:rPr>
      <w:rFonts w:eastAsia="Times New Roman" w:cs="Times New Roman"/>
      <w:b/>
      <w:szCs w:val="24"/>
    </w:rPr>
  </w:style>
  <w:style w:type="character" w:customStyle="1" w:styleId="Heading7Char">
    <w:name w:val="Heading 7 Char"/>
    <w:basedOn w:val="DefaultParagraphFont"/>
    <w:link w:val="Heading7"/>
    <w:qFormat/>
    <w:rsid w:val="00800DD5"/>
    <w:rPr>
      <w:rFonts w:eastAsia="Times New Roman" w:cs="Times New Roman"/>
      <w:sz w:val="24"/>
      <w:szCs w:val="24"/>
    </w:rPr>
  </w:style>
  <w:style w:type="character" w:customStyle="1" w:styleId="Heading8Char">
    <w:name w:val="Heading 8 Char"/>
    <w:basedOn w:val="DefaultParagraphFont"/>
    <w:link w:val="Heading8"/>
    <w:qFormat/>
    <w:rsid w:val="00800DD5"/>
    <w:rPr>
      <w:rFonts w:eastAsia="Times New Roman" w:cs="Times New Roman"/>
      <w:i/>
      <w:iCs/>
      <w:sz w:val="24"/>
      <w:szCs w:val="24"/>
    </w:rPr>
  </w:style>
  <w:style w:type="character" w:customStyle="1" w:styleId="Heading9Char">
    <w:name w:val="Heading 9 Char"/>
    <w:basedOn w:val="DefaultParagraphFont"/>
    <w:link w:val="Heading9"/>
    <w:qFormat/>
    <w:rsid w:val="00800DD5"/>
    <w:rPr>
      <w:rFonts w:ascii="Arial" w:eastAsia="Times New Roman" w:hAnsi="Arial" w:cs="Arial"/>
      <w:sz w:val="22"/>
    </w:rPr>
  </w:style>
  <w:style w:type="paragraph" w:styleId="BalloonText">
    <w:name w:val="Balloon Text"/>
    <w:basedOn w:val="Normal"/>
    <w:link w:val="BalloonTextChar"/>
    <w:qFormat/>
    <w:rsid w:val="00800DD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800DD5"/>
    <w:rPr>
      <w:rFonts w:ascii="Tahoma" w:eastAsia="Times New Roman" w:hAnsi="Tahoma" w:cs="Tahoma"/>
      <w:sz w:val="16"/>
      <w:szCs w:val="16"/>
    </w:rPr>
  </w:style>
  <w:style w:type="paragraph" w:styleId="BodyText">
    <w:name w:val="Body Text"/>
    <w:basedOn w:val="Normal"/>
    <w:link w:val="BodyTextChar"/>
    <w:qFormat/>
    <w:rsid w:val="00800DD5"/>
    <w:pPr>
      <w:spacing w:after="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qFormat/>
    <w:rsid w:val="00800DD5"/>
    <w:rPr>
      <w:rFonts w:ascii=".VnTime" w:eastAsia="Times New Roman" w:hAnsi=".VnTime" w:cs="Times New Roman"/>
      <w:szCs w:val="24"/>
    </w:rPr>
  </w:style>
  <w:style w:type="paragraph" w:styleId="BodyText2">
    <w:name w:val="Body Text 2"/>
    <w:basedOn w:val="Normal"/>
    <w:link w:val="BodyText2Char"/>
    <w:qFormat/>
    <w:rsid w:val="00800DD5"/>
    <w:pPr>
      <w:spacing w:after="0" w:line="240" w:lineRule="auto"/>
      <w:jc w:val="both"/>
    </w:pPr>
    <w:rPr>
      <w:rFonts w:ascii=".VnTimeH" w:eastAsia="Times New Roman" w:hAnsi=".VnTimeH" w:cs="Times New Roman"/>
      <w:b/>
      <w:bCs/>
      <w:sz w:val="26"/>
      <w:szCs w:val="24"/>
    </w:rPr>
  </w:style>
  <w:style w:type="character" w:customStyle="1" w:styleId="BodyText2Char">
    <w:name w:val="Body Text 2 Char"/>
    <w:basedOn w:val="DefaultParagraphFont"/>
    <w:link w:val="BodyText2"/>
    <w:qFormat/>
    <w:rsid w:val="00800DD5"/>
    <w:rPr>
      <w:rFonts w:ascii=".VnTimeH" w:eastAsia="Times New Roman" w:hAnsi=".VnTimeH" w:cs="Times New Roman"/>
      <w:b/>
      <w:bCs/>
      <w:sz w:val="26"/>
      <w:szCs w:val="24"/>
    </w:rPr>
  </w:style>
  <w:style w:type="paragraph" w:styleId="BodyText3">
    <w:name w:val="Body Text 3"/>
    <w:basedOn w:val="Normal"/>
    <w:link w:val="BodyText3Char"/>
    <w:qFormat/>
    <w:rsid w:val="00800DD5"/>
    <w:pPr>
      <w:spacing w:before="120" w:after="120" w:line="288" w:lineRule="auto"/>
      <w:jc w:val="both"/>
    </w:pPr>
    <w:rPr>
      <w:rFonts w:eastAsia="Times New Roman" w:cs="Times New Roman"/>
      <w:color w:val="993300"/>
      <w:szCs w:val="20"/>
    </w:rPr>
  </w:style>
  <w:style w:type="character" w:customStyle="1" w:styleId="BodyText3Char">
    <w:name w:val="Body Text 3 Char"/>
    <w:basedOn w:val="DefaultParagraphFont"/>
    <w:link w:val="BodyText3"/>
    <w:qFormat/>
    <w:rsid w:val="00800DD5"/>
    <w:rPr>
      <w:rFonts w:eastAsia="Times New Roman" w:cs="Times New Roman"/>
      <w:color w:val="993300"/>
      <w:szCs w:val="20"/>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qFormat/>
    <w:rsid w:val="00800DD5"/>
    <w:pPr>
      <w:spacing w:after="120" w:line="240" w:lineRule="auto"/>
      <w:ind w:firstLine="720"/>
      <w:jc w:val="both"/>
    </w:pPr>
    <w:rPr>
      <w:rFonts w:ascii=".VnTime" w:hAnsi=".VnTime"/>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qFormat/>
    <w:rsid w:val="00800DD5"/>
    <w:rPr>
      <w:rFonts w:ascii=".VnTime" w:hAnsi=".VnTime"/>
    </w:rPr>
  </w:style>
  <w:style w:type="paragraph" w:styleId="BodyTextIndent2">
    <w:name w:val="Body Text Indent 2"/>
    <w:basedOn w:val="Normal"/>
    <w:link w:val="BodyTextIndent2Char"/>
    <w:uiPriority w:val="99"/>
    <w:qFormat/>
    <w:rsid w:val="00800DD5"/>
    <w:pPr>
      <w:autoSpaceDE w:val="0"/>
      <w:autoSpaceDN w:val="0"/>
      <w:spacing w:before="60" w:after="40" w:line="300" w:lineRule="exact"/>
      <w:ind w:firstLine="720"/>
      <w:jc w:val="both"/>
    </w:pPr>
    <w:rPr>
      <w:rFonts w:ascii=".VnTime" w:eastAsia="Times New Roman" w:hAnsi=".VnTime" w:cs="Times New Roman"/>
      <w:sz w:val="26"/>
      <w:szCs w:val="26"/>
    </w:rPr>
  </w:style>
  <w:style w:type="character" w:customStyle="1" w:styleId="BodyTextIndent2Char">
    <w:name w:val="Body Text Indent 2 Char"/>
    <w:basedOn w:val="DefaultParagraphFont"/>
    <w:link w:val="BodyTextIndent2"/>
    <w:uiPriority w:val="99"/>
    <w:qFormat/>
    <w:rsid w:val="00800DD5"/>
    <w:rPr>
      <w:rFonts w:ascii=".VnTime" w:eastAsia="Times New Roman" w:hAnsi=".VnTime" w:cs="Times New Roman"/>
      <w:sz w:val="26"/>
      <w:szCs w:val="26"/>
    </w:rPr>
  </w:style>
  <w:style w:type="paragraph" w:styleId="BodyTextIndent3">
    <w:name w:val="Body Text Indent 3"/>
    <w:basedOn w:val="Normal"/>
    <w:link w:val="BodyTextIndent3Char"/>
    <w:qFormat/>
    <w:rsid w:val="00800DD5"/>
    <w:pPr>
      <w:spacing w:before="120" w:after="0" w:line="360" w:lineRule="auto"/>
      <w:ind w:firstLine="720"/>
      <w:jc w:val="both"/>
    </w:pPr>
    <w:rPr>
      <w:rFonts w:asciiTheme="minorHAnsi" w:hAnsiTheme="minorHAnsi"/>
      <w:sz w:val="22"/>
    </w:rPr>
  </w:style>
  <w:style w:type="character" w:customStyle="1" w:styleId="BodyTextIndent3Char">
    <w:name w:val="Body Text Indent 3 Char"/>
    <w:basedOn w:val="DefaultParagraphFont"/>
    <w:link w:val="BodyTextIndent3"/>
    <w:qFormat/>
    <w:rsid w:val="00800DD5"/>
    <w:rPr>
      <w:rFonts w:asciiTheme="minorHAnsi" w:hAnsiTheme="minorHAnsi"/>
      <w:sz w:val="22"/>
    </w:rPr>
  </w:style>
  <w:style w:type="paragraph" w:styleId="Caption">
    <w:name w:val="caption"/>
    <w:basedOn w:val="Normal"/>
    <w:next w:val="Normal"/>
    <w:uiPriority w:val="35"/>
    <w:qFormat/>
    <w:rsid w:val="00800DD5"/>
    <w:pPr>
      <w:spacing w:before="120" w:after="0" w:line="240" w:lineRule="auto"/>
      <w:jc w:val="right"/>
    </w:pPr>
    <w:rPr>
      <w:rFonts w:eastAsia="Times New Roman" w:cs="Times New Roman"/>
      <w:i/>
      <w:iCs/>
      <w:szCs w:val="24"/>
    </w:rPr>
  </w:style>
  <w:style w:type="paragraph" w:styleId="CommentSubject">
    <w:name w:val="annotation subject"/>
    <w:basedOn w:val="CommentText"/>
    <w:next w:val="CommentText"/>
    <w:link w:val="CommentSubjectChar"/>
    <w:qFormat/>
    <w:rsid w:val="00800DD5"/>
    <w:rPr>
      <w:rFonts w:ascii=".VnTime" w:eastAsia="Times New Roman" w:hAnsi=".VnTime"/>
      <w:sz w:val="28"/>
      <w:lang w:val="vi-VN"/>
    </w:rPr>
  </w:style>
  <w:style w:type="character" w:customStyle="1" w:styleId="CommentSubjectChar">
    <w:name w:val="Comment Subject Char"/>
    <w:basedOn w:val="CommentTextChar"/>
    <w:link w:val="CommentSubject"/>
    <w:qFormat/>
    <w:rsid w:val="00800DD5"/>
    <w:rPr>
      <w:rFonts w:ascii=".VnTime" w:eastAsia="Times New Roman" w:hAnsi=".VnTime" w:cs="Times New Roman"/>
      <w:sz w:val="20"/>
      <w:szCs w:val="20"/>
      <w:lang w:val="vi-VN"/>
    </w:rPr>
  </w:style>
  <w:style w:type="paragraph" w:styleId="DocumentMap">
    <w:name w:val="Document Map"/>
    <w:basedOn w:val="Normal"/>
    <w:link w:val="DocumentMapChar"/>
    <w:qFormat/>
    <w:rsid w:val="00800DD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qFormat/>
    <w:rsid w:val="00800DD5"/>
    <w:rPr>
      <w:rFonts w:ascii="Tahoma" w:eastAsia="Times New Roman" w:hAnsi="Tahoma" w:cs="Tahoma"/>
      <w:sz w:val="20"/>
      <w:szCs w:val="20"/>
      <w:shd w:val="clear" w:color="auto" w:fill="000080"/>
    </w:rPr>
  </w:style>
  <w:style w:type="character" w:styleId="Emphasis">
    <w:name w:val="Emphasis"/>
    <w:basedOn w:val="DefaultParagraphFont"/>
    <w:uiPriority w:val="20"/>
    <w:qFormat/>
    <w:rsid w:val="00800DD5"/>
    <w:rPr>
      <w:i/>
      <w:iCs/>
    </w:rPr>
  </w:style>
  <w:style w:type="character" w:styleId="FollowedHyperlink">
    <w:name w:val="FollowedHyperlink"/>
    <w:qFormat/>
    <w:rsid w:val="00800DD5"/>
    <w:rPr>
      <w:color w:val="800080"/>
      <w:u w:val="single"/>
    </w:rPr>
  </w:style>
  <w:style w:type="paragraph" w:styleId="Footer">
    <w:name w:val="footer"/>
    <w:basedOn w:val="Normal"/>
    <w:link w:val="FooterChar"/>
    <w:uiPriority w:val="99"/>
    <w:qFormat/>
    <w:rsid w:val="00800DD5"/>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qFormat/>
    <w:rsid w:val="00800DD5"/>
    <w:rPr>
      <w:rFonts w:eastAsia="Times New Roman" w:cs="Times New Roman"/>
      <w:sz w:val="24"/>
      <w:szCs w:val="24"/>
    </w:rPr>
  </w:style>
  <w:style w:type="paragraph" w:styleId="Header">
    <w:name w:val="header"/>
    <w:basedOn w:val="Normal"/>
    <w:link w:val="HeaderChar"/>
    <w:uiPriority w:val="99"/>
    <w:qFormat/>
    <w:rsid w:val="00800DD5"/>
    <w:pPr>
      <w:tabs>
        <w:tab w:val="center" w:pos="4320"/>
        <w:tab w:val="right" w:pos="8640"/>
      </w:tabs>
      <w:spacing w:after="0" w:line="240" w:lineRule="auto"/>
    </w:pPr>
    <w:rPr>
      <w:rFonts w:eastAsia="Times New Roman" w:cs="Times New Roman"/>
      <w:sz w:val="20"/>
      <w:szCs w:val="20"/>
    </w:rPr>
  </w:style>
  <w:style w:type="character" w:customStyle="1" w:styleId="HeaderChar">
    <w:name w:val="Header Char"/>
    <w:basedOn w:val="DefaultParagraphFont"/>
    <w:link w:val="Header"/>
    <w:uiPriority w:val="99"/>
    <w:qFormat/>
    <w:rsid w:val="00800DD5"/>
    <w:rPr>
      <w:rFonts w:eastAsia="Times New Roman" w:cs="Times New Roman"/>
      <w:sz w:val="20"/>
      <w:szCs w:val="20"/>
    </w:rPr>
  </w:style>
  <w:style w:type="character" w:styleId="Hyperlink">
    <w:name w:val="Hyperlink"/>
    <w:basedOn w:val="DefaultParagraphFont"/>
    <w:uiPriority w:val="99"/>
    <w:qFormat/>
    <w:rsid w:val="00800DD5"/>
    <w:rPr>
      <w:color w:val="0000FF"/>
      <w:u w:val="single"/>
    </w:rPr>
  </w:style>
  <w:style w:type="paragraph" w:styleId="List">
    <w:name w:val="List"/>
    <w:basedOn w:val="Normal"/>
    <w:qFormat/>
    <w:rsid w:val="00800DD5"/>
    <w:pPr>
      <w:spacing w:after="0" w:line="240" w:lineRule="auto"/>
      <w:ind w:left="360" w:hanging="360"/>
    </w:pPr>
    <w:rPr>
      <w:rFonts w:ascii=".VnTime" w:eastAsia="Times New Roman" w:hAnsi=".VnTime" w:cs="Times New Roman"/>
      <w:color w:val="0000FF"/>
      <w:sz w:val="26"/>
      <w:szCs w:val="20"/>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webb,Char Cha"/>
    <w:basedOn w:val="Normal"/>
    <w:link w:val="NormalWebChar"/>
    <w:uiPriority w:val="99"/>
    <w:qFormat/>
    <w:rsid w:val="00800DD5"/>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rsid w:val="00800DD5"/>
  </w:style>
  <w:style w:type="paragraph" w:styleId="PlainText">
    <w:name w:val="Plain Text"/>
    <w:basedOn w:val="Normal"/>
    <w:link w:val="PlainTextChar"/>
    <w:uiPriority w:val="99"/>
    <w:qFormat/>
    <w:rsid w:val="00800DD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qFormat/>
    <w:rsid w:val="00800DD5"/>
    <w:rPr>
      <w:rFonts w:ascii="Courier New" w:eastAsia="Times New Roman" w:hAnsi="Courier New" w:cs="Times New Roman"/>
      <w:sz w:val="20"/>
      <w:szCs w:val="20"/>
    </w:rPr>
  </w:style>
  <w:style w:type="character" w:styleId="Strong">
    <w:name w:val="Strong"/>
    <w:basedOn w:val="DefaultParagraphFont"/>
    <w:uiPriority w:val="22"/>
    <w:qFormat/>
    <w:rsid w:val="00800DD5"/>
    <w:rPr>
      <w:b/>
      <w:bCs/>
    </w:rPr>
  </w:style>
  <w:style w:type="paragraph" w:styleId="Subtitle">
    <w:name w:val="Subtitle"/>
    <w:basedOn w:val="Normal"/>
    <w:link w:val="SubtitleChar"/>
    <w:qFormat/>
    <w:rsid w:val="00800DD5"/>
    <w:pPr>
      <w:spacing w:after="0" w:line="240" w:lineRule="auto"/>
      <w:jc w:val="center"/>
    </w:pPr>
    <w:rPr>
      <w:rFonts w:eastAsia="Times New Roman" w:cs="Times New Roman"/>
      <w:szCs w:val="24"/>
    </w:rPr>
  </w:style>
  <w:style w:type="character" w:customStyle="1" w:styleId="SubtitleChar">
    <w:name w:val="Subtitle Char"/>
    <w:basedOn w:val="DefaultParagraphFont"/>
    <w:link w:val="Subtitle"/>
    <w:qFormat/>
    <w:rsid w:val="00800DD5"/>
    <w:rPr>
      <w:rFonts w:eastAsia="Times New Roman" w:cs="Times New Roman"/>
      <w:szCs w:val="24"/>
    </w:rPr>
  </w:style>
  <w:style w:type="table" w:styleId="TableGrid">
    <w:name w:val="Table Grid"/>
    <w:basedOn w:val="TableNormal"/>
    <w:uiPriority w:val="59"/>
    <w:qFormat/>
    <w:rsid w:val="00800DD5"/>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800DD5"/>
    <w:pPr>
      <w:spacing w:after="0" w:line="240" w:lineRule="auto"/>
      <w:jc w:val="center"/>
    </w:pPr>
    <w:rPr>
      <w:rFonts w:ascii=".VnTime" w:eastAsia="Times New Roman" w:hAnsi=".VnTime" w:cs="Times New Roman"/>
      <w:b/>
      <w:szCs w:val="20"/>
    </w:rPr>
  </w:style>
  <w:style w:type="character" w:customStyle="1" w:styleId="TitleChar">
    <w:name w:val="Title Char"/>
    <w:basedOn w:val="DefaultParagraphFont"/>
    <w:link w:val="Title"/>
    <w:uiPriority w:val="99"/>
    <w:qFormat/>
    <w:rsid w:val="00800DD5"/>
    <w:rPr>
      <w:rFonts w:ascii=".VnTime" w:eastAsia="Times New Roman" w:hAnsi=".VnTime" w:cs="Times New Roman"/>
      <w:b/>
      <w:szCs w:val="20"/>
    </w:rPr>
  </w:style>
  <w:style w:type="paragraph" w:styleId="TOC1">
    <w:name w:val="toc 1"/>
    <w:basedOn w:val="Normal"/>
    <w:next w:val="Normal"/>
    <w:autoRedefine/>
    <w:qFormat/>
    <w:rsid w:val="00800DD5"/>
    <w:pPr>
      <w:spacing w:after="0" w:line="240" w:lineRule="auto"/>
    </w:pPr>
    <w:rPr>
      <w:rFonts w:eastAsia="Times New Roman" w:cs="Times New Roman"/>
      <w:sz w:val="24"/>
      <w:szCs w:val="24"/>
    </w:rPr>
  </w:style>
  <w:style w:type="paragraph" w:styleId="TOC2">
    <w:name w:val="toc 2"/>
    <w:basedOn w:val="Normal"/>
    <w:next w:val="Normal"/>
    <w:autoRedefine/>
    <w:qFormat/>
    <w:rsid w:val="00800DD5"/>
    <w:pPr>
      <w:spacing w:after="0" w:line="240" w:lineRule="auto"/>
      <w:ind w:left="240"/>
    </w:pPr>
    <w:rPr>
      <w:rFonts w:eastAsia="Times New Roman" w:cs="Times New Roman"/>
      <w:sz w:val="24"/>
      <w:szCs w:val="24"/>
    </w:rPr>
  </w:style>
  <w:style w:type="paragraph" w:styleId="TOC3">
    <w:name w:val="toc 3"/>
    <w:basedOn w:val="Normal"/>
    <w:next w:val="Normal"/>
    <w:autoRedefine/>
    <w:qFormat/>
    <w:rsid w:val="00800DD5"/>
    <w:pPr>
      <w:spacing w:after="0" w:line="240" w:lineRule="auto"/>
      <w:ind w:left="480"/>
    </w:pPr>
    <w:rPr>
      <w:rFonts w:eastAsia="Times New Roman" w:cs="Times New Roman"/>
      <w:sz w:val="24"/>
      <w:szCs w:val="24"/>
    </w:rPr>
  </w:style>
  <w:style w:type="table" w:styleId="LightGrid-Accent5">
    <w:name w:val="Light Grid Accent 5"/>
    <w:basedOn w:val="TableNormal"/>
    <w:uiPriority w:val="62"/>
    <w:qFormat/>
    <w:rsid w:val="00800DD5"/>
    <w:pPr>
      <w:spacing w:after="0" w:line="240" w:lineRule="auto"/>
    </w:pPr>
    <w:rPr>
      <w:rFonts w:asciiTheme="minorHAnsi" w:hAnsiTheme="minorHAnsi"/>
      <w:sz w:val="24"/>
      <w:szCs w:val="24"/>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paragraph" w:customStyle="1" w:styleId="CharCharCharChar">
    <w:name w:val="Char Char Char Char"/>
    <w:basedOn w:val="Normal"/>
    <w:qFormat/>
    <w:rsid w:val="00800DD5"/>
    <w:pPr>
      <w:spacing w:before="60" w:line="240" w:lineRule="exact"/>
    </w:pPr>
    <w:rPr>
      <w:rFonts w:ascii="Verdana" w:eastAsia="Times New Roman" w:hAnsi="Verdana" w:cs="Verdana"/>
      <w:color w:val="000000"/>
      <w:sz w:val="20"/>
      <w:szCs w:val="20"/>
    </w:rPr>
  </w:style>
  <w:style w:type="paragraph" w:customStyle="1" w:styleId="Char">
    <w:name w:val="Char"/>
    <w:basedOn w:val="Normal"/>
    <w:qFormat/>
    <w:rsid w:val="00800DD5"/>
    <w:pPr>
      <w:spacing w:line="240" w:lineRule="exact"/>
    </w:pPr>
    <w:rPr>
      <w:rFonts w:ascii="Verdana" w:eastAsia="Times New Roman" w:hAnsi="Verdana" w:cs="Times New Roman"/>
      <w:sz w:val="20"/>
      <w:szCs w:val="20"/>
    </w:rPr>
  </w:style>
  <w:style w:type="character" w:customStyle="1" w:styleId="BodyTextIndentChar1">
    <w:name w:val="Body Text Indent Char1"/>
    <w:basedOn w:val="DefaultParagraphFont"/>
    <w:uiPriority w:val="99"/>
    <w:qFormat/>
    <w:rsid w:val="00800DD5"/>
    <w:rPr>
      <w:rFonts w:ascii="Times New Roman" w:eastAsia="Times New Roman" w:hAnsi="Times New Roman" w:cs="Times New Roman"/>
      <w:sz w:val="24"/>
      <w:szCs w:val="24"/>
      <w:lang w:val="en-US"/>
    </w:rPr>
  </w:style>
  <w:style w:type="character" w:customStyle="1" w:styleId="CommentSubjectChar1">
    <w:name w:val="Comment Subject Char1"/>
    <w:basedOn w:val="CommentTextChar"/>
    <w:uiPriority w:val="99"/>
    <w:qFormat/>
    <w:rsid w:val="00800DD5"/>
    <w:rPr>
      <w:rFonts w:ascii="Times New Roman" w:eastAsia="Times New Roman" w:hAnsi="Times New Roman" w:cs="Times New Roman"/>
      <w:b/>
      <w:bCs/>
      <w:sz w:val="20"/>
      <w:szCs w:val="20"/>
      <w:lang w:val="en-US"/>
    </w:rPr>
  </w:style>
  <w:style w:type="character" w:customStyle="1" w:styleId="normal-h">
    <w:name w:val="normal-h"/>
    <w:basedOn w:val="DefaultParagraphFont"/>
    <w:qFormat/>
    <w:rsid w:val="00800DD5"/>
  </w:style>
  <w:style w:type="paragraph" w:customStyle="1" w:styleId="normal-p">
    <w:name w:val="normal-p"/>
    <w:basedOn w:val="Normal"/>
    <w:qFormat/>
    <w:rsid w:val="00800DD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webb Char"/>
    <w:link w:val="NormalWeb"/>
    <w:uiPriority w:val="99"/>
    <w:qFormat/>
    <w:locked/>
    <w:rsid w:val="00800DD5"/>
    <w:rPr>
      <w:rFonts w:eastAsia="Times New Roman" w:cs="Times New Roman"/>
      <w:sz w:val="24"/>
      <w:szCs w:val="24"/>
    </w:rPr>
  </w:style>
  <w:style w:type="character" w:customStyle="1" w:styleId="BodyTextIndent3Char1">
    <w:name w:val="Body Text Indent 3 Char1"/>
    <w:basedOn w:val="DefaultParagraphFont"/>
    <w:uiPriority w:val="99"/>
    <w:qFormat/>
    <w:rsid w:val="00800DD5"/>
    <w:rPr>
      <w:rFonts w:ascii="Times New Roman" w:eastAsia="Times New Roman" w:hAnsi="Times New Roman" w:cs="Times New Roman"/>
      <w:sz w:val="16"/>
      <w:szCs w:val="16"/>
      <w:lang w:val="en-US"/>
    </w:rPr>
  </w:style>
  <w:style w:type="character" w:customStyle="1" w:styleId="apple-style-span">
    <w:name w:val="apple-style-span"/>
    <w:basedOn w:val="DefaultParagraphFont"/>
    <w:qFormat/>
    <w:rsid w:val="00800DD5"/>
  </w:style>
  <w:style w:type="paragraph" w:customStyle="1" w:styleId="1CharCharCharChar">
    <w:name w:val="1 Char Char Char Char"/>
    <w:basedOn w:val="DocumentMap"/>
    <w:autoRedefine/>
    <w:qFormat/>
    <w:rsid w:val="00800DD5"/>
    <w:pPr>
      <w:widowControl w:val="0"/>
      <w:jc w:val="both"/>
    </w:pPr>
    <w:rPr>
      <w:rFonts w:eastAsia="SimSun" w:cs="Times New Roman"/>
      <w:kern w:val="2"/>
      <w:sz w:val="24"/>
      <w:szCs w:val="24"/>
      <w:lang w:eastAsia="zh-CN"/>
    </w:rPr>
  </w:style>
  <w:style w:type="paragraph" w:customStyle="1" w:styleId="intromoj">
    <w:name w:val="intro_moj"/>
    <w:basedOn w:val="Normal"/>
    <w:qFormat/>
    <w:rsid w:val="00800DD5"/>
    <w:pPr>
      <w:spacing w:before="100" w:beforeAutospacing="1" w:after="100" w:afterAutospacing="1" w:line="240" w:lineRule="auto"/>
    </w:pPr>
    <w:rPr>
      <w:rFonts w:eastAsia="MS Mincho" w:cs="Times New Roman"/>
      <w:sz w:val="24"/>
      <w:szCs w:val="24"/>
    </w:rPr>
  </w:style>
  <w:style w:type="character" w:customStyle="1" w:styleId="apple-converted-space">
    <w:name w:val="apple-converted-space"/>
    <w:basedOn w:val="DefaultParagraphFont"/>
    <w:qFormat/>
    <w:rsid w:val="00800DD5"/>
  </w:style>
  <w:style w:type="character" w:customStyle="1" w:styleId="normal-h1">
    <w:name w:val="normal-h1"/>
    <w:basedOn w:val="DefaultParagraphFont"/>
    <w:qFormat/>
    <w:rsid w:val="00800DD5"/>
    <w:rPr>
      <w:rFonts w:ascii="Times New Roman" w:hAnsi="Times New Roman" w:cs="Times New Roman" w:hint="default"/>
      <w:sz w:val="28"/>
      <w:szCs w:val="28"/>
    </w:rPr>
  </w:style>
  <w:style w:type="paragraph" w:customStyle="1" w:styleId="Normal0">
    <w:name w:val="[Normal]"/>
    <w:qFormat/>
    <w:rsid w:val="00800DD5"/>
    <w:pPr>
      <w:spacing w:after="0" w:line="240" w:lineRule="auto"/>
    </w:pPr>
    <w:rPr>
      <w:rFonts w:ascii="Arial" w:eastAsia="Arial" w:hAnsi="Arial" w:cs="Times New Roman"/>
      <w:sz w:val="24"/>
      <w:szCs w:val="20"/>
    </w:rPr>
  </w:style>
  <w:style w:type="paragraph" w:customStyle="1" w:styleId="CharCharCharCharCharCharChar">
    <w:name w:val="Char Char Char Char Char Char Char"/>
    <w:basedOn w:val="Normal"/>
    <w:qFormat/>
    <w:rsid w:val="00800DD5"/>
    <w:pPr>
      <w:spacing w:line="240" w:lineRule="exact"/>
    </w:pPr>
    <w:rPr>
      <w:rFonts w:ascii="Verdana" w:eastAsia="Times New Roman" w:hAnsi="Verdana" w:cs="Times New Roman"/>
      <w:sz w:val="20"/>
      <w:szCs w:val="20"/>
    </w:rPr>
  </w:style>
  <w:style w:type="character" w:customStyle="1" w:styleId="st">
    <w:name w:val="st"/>
    <w:basedOn w:val="DefaultParagraphFont"/>
    <w:qFormat/>
    <w:rsid w:val="00800DD5"/>
  </w:style>
  <w:style w:type="character" w:customStyle="1" w:styleId="CharCharChar1">
    <w:name w:val="Char Char Char1"/>
    <w:semiHidden/>
    <w:qFormat/>
    <w:locked/>
    <w:rsid w:val="00800DD5"/>
    <w:rPr>
      <w:lang w:val="en-US" w:eastAsia="en-US" w:bidi="ar-SA"/>
    </w:rPr>
  </w:style>
  <w:style w:type="paragraph" w:customStyle="1" w:styleId="Pa37">
    <w:name w:val="Pa37"/>
    <w:basedOn w:val="Normal"/>
    <w:next w:val="Normal"/>
    <w:qFormat/>
    <w:rsid w:val="00800DD5"/>
    <w:pPr>
      <w:autoSpaceDE w:val="0"/>
      <w:autoSpaceDN w:val="0"/>
      <w:adjustRightInd w:val="0"/>
      <w:spacing w:after="0" w:line="261" w:lineRule="atLeast"/>
    </w:pPr>
    <w:rPr>
      <w:rFonts w:eastAsia="Times New Roman" w:cs="Times New Roman"/>
      <w:sz w:val="24"/>
      <w:szCs w:val="24"/>
    </w:rPr>
  </w:style>
  <w:style w:type="paragraph" w:customStyle="1" w:styleId="Pa85">
    <w:name w:val="Pa85"/>
    <w:basedOn w:val="Normal"/>
    <w:next w:val="Normal"/>
    <w:qFormat/>
    <w:rsid w:val="00800DD5"/>
    <w:pPr>
      <w:autoSpaceDE w:val="0"/>
      <w:autoSpaceDN w:val="0"/>
      <w:adjustRightInd w:val="0"/>
      <w:spacing w:after="0" w:line="261" w:lineRule="atLeast"/>
    </w:pPr>
    <w:rPr>
      <w:rFonts w:eastAsia="Times New Roman" w:cs="Times New Roman"/>
      <w:sz w:val="24"/>
      <w:szCs w:val="24"/>
    </w:rPr>
  </w:style>
  <w:style w:type="paragraph" w:customStyle="1" w:styleId="Pa86">
    <w:name w:val="Pa86"/>
    <w:basedOn w:val="Normal"/>
    <w:next w:val="Normal"/>
    <w:qFormat/>
    <w:rsid w:val="00800DD5"/>
    <w:pPr>
      <w:autoSpaceDE w:val="0"/>
      <w:autoSpaceDN w:val="0"/>
      <w:adjustRightInd w:val="0"/>
      <w:spacing w:after="0" w:line="241" w:lineRule="atLeast"/>
    </w:pPr>
    <w:rPr>
      <w:rFonts w:eastAsia="Times New Roman" w:cs="Times New Roman"/>
      <w:sz w:val="24"/>
      <w:szCs w:val="24"/>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qFormat/>
    <w:rsid w:val="00800DD5"/>
    <w:rPr>
      <w:rFonts w:eastAsia="Times New Roman" w:cs="Arial"/>
      <w:iCs/>
      <w:sz w:val="28"/>
      <w:szCs w:val="28"/>
    </w:rPr>
  </w:style>
  <w:style w:type="character" w:customStyle="1" w:styleId="ruotChar">
    <w:name w:val="ruot Char"/>
    <w:basedOn w:val="DefaultParagraphFont"/>
    <w:link w:val="ruot"/>
    <w:qFormat/>
    <w:locked/>
    <w:rsid w:val="00800DD5"/>
    <w:rPr>
      <w:szCs w:val="28"/>
    </w:rPr>
  </w:style>
  <w:style w:type="paragraph" w:customStyle="1" w:styleId="ruot">
    <w:name w:val="ruot"/>
    <w:basedOn w:val="Normal"/>
    <w:link w:val="ruotChar"/>
    <w:qFormat/>
    <w:rsid w:val="00800DD5"/>
    <w:pPr>
      <w:spacing w:before="120" w:after="120" w:line="264" w:lineRule="auto"/>
      <w:ind w:firstLine="720"/>
      <w:jc w:val="both"/>
    </w:pPr>
    <w:rPr>
      <w:szCs w:val="28"/>
    </w:rPr>
  </w:style>
  <w:style w:type="paragraph" w:customStyle="1" w:styleId="CharChar3CharCharCharCharCharCharCharCharCharChar">
    <w:name w:val="Char Char3 Char Char Char Char Char Char Char Char Char Char"/>
    <w:basedOn w:val="Normal"/>
    <w:qFormat/>
    <w:rsid w:val="00800DD5"/>
    <w:pPr>
      <w:spacing w:before="60" w:line="240" w:lineRule="exact"/>
      <w:ind w:firstLine="360"/>
      <w:jc w:val="both"/>
    </w:pPr>
    <w:rPr>
      <w:rFonts w:ascii="Arial" w:eastAsia="Times New Roman" w:hAnsi="Arial" w:cs="Times New Roman"/>
      <w:spacing w:val="-2"/>
      <w:sz w:val="20"/>
      <w:szCs w:val="20"/>
      <w:lang w:val="en-GB"/>
    </w:rPr>
  </w:style>
  <w:style w:type="character" w:customStyle="1" w:styleId="CharChar15">
    <w:name w:val="Char Char15"/>
    <w:basedOn w:val="DefaultParagraphFont"/>
    <w:qFormat/>
    <w:rsid w:val="00800DD5"/>
    <w:rPr>
      <w:rFonts w:ascii="Cambria" w:eastAsia="Times New Roman" w:hAnsi="Cambria" w:cs="Times New Roman"/>
      <w:b/>
      <w:bCs/>
      <w:kern w:val="32"/>
      <w:sz w:val="32"/>
      <w:szCs w:val="32"/>
      <w:lang w:eastAsia="zh-CN"/>
    </w:rPr>
  </w:style>
  <w:style w:type="character" w:customStyle="1" w:styleId="CharChar10">
    <w:name w:val="Char Char10"/>
    <w:basedOn w:val="DefaultParagraphFont"/>
    <w:qFormat/>
    <w:rsid w:val="00800DD5"/>
    <w:rPr>
      <w:rFonts w:eastAsia="Times New Roman"/>
      <w:sz w:val="28"/>
      <w:szCs w:val="24"/>
    </w:rPr>
  </w:style>
  <w:style w:type="paragraph" w:customStyle="1" w:styleId="n-dieund">
    <w:name w:val="n-dieund"/>
    <w:basedOn w:val="Normal"/>
    <w:qFormat/>
    <w:rsid w:val="00800DD5"/>
    <w:pPr>
      <w:spacing w:after="120" w:line="240" w:lineRule="auto"/>
      <w:ind w:firstLine="709"/>
      <w:jc w:val="both"/>
    </w:pPr>
    <w:rPr>
      <w:rFonts w:eastAsia="Times New Roman" w:cs="Times New Roman"/>
      <w:szCs w:val="28"/>
    </w:rPr>
  </w:style>
  <w:style w:type="paragraph" w:customStyle="1" w:styleId="abc">
    <w:name w:val="abc"/>
    <w:basedOn w:val="Normal"/>
    <w:link w:val="abcChar"/>
    <w:qFormat/>
    <w:rsid w:val="00800DD5"/>
    <w:pPr>
      <w:spacing w:after="0" w:line="240" w:lineRule="auto"/>
    </w:pPr>
    <w:rPr>
      <w:rFonts w:eastAsia="Times New Roman" w:cs="Times New Roman"/>
      <w:sz w:val="24"/>
      <w:szCs w:val="24"/>
    </w:rPr>
  </w:style>
  <w:style w:type="paragraph" w:customStyle="1" w:styleId="Style1">
    <w:name w:val="Style1"/>
    <w:basedOn w:val="Normal"/>
    <w:qFormat/>
    <w:rsid w:val="00800DD5"/>
    <w:pPr>
      <w:autoSpaceDE w:val="0"/>
      <w:autoSpaceDN w:val="0"/>
      <w:spacing w:after="0" w:line="240" w:lineRule="auto"/>
    </w:pPr>
    <w:rPr>
      <w:rFonts w:eastAsia="Times New Roman" w:cs="Times New Roman"/>
      <w:szCs w:val="28"/>
    </w:rPr>
  </w:style>
  <w:style w:type="paragraph" w:customStyle="1" w:styleId="n-dieu">
    <w:name w:val="n-dieu"/>
    <w:basedOn w:val="Normal"/>
    <w:qFormat/>
    <w:rsid w:val="00800DD5"/>
    <w:pPr>
      <w:spacing w:before="120" w:after="180" w:line="240" w:lineRule="auto"/>
      <w:ind w:firstLine="709"/>
    </w:pPr>
    <w:rPr>
      <w:rFonts w:eastAsia="Times New Roman" w:cs="Times New Roman"/>
      <w:b/>
      <w:i/>
      <w:szCs w:val="20"/>
    </w:rPr>
  </w:style>
  <w:style w:type="paragraph" w:customStyle="1" w:styleId="NormalBold">
    <w:name w:val="Normal + Bold"/>
    <w:aliases w:val="Centered,Expanded by  1,2 pt"/>
    <w:basedOn w:val="Normal"/>
    <w:qFormat/>
    <w:rsid w:val="00800DD5"/>
    <w:pPr>
      <w:spacing w:after="0" w:line="240" w:lineRule="auto"/>
      <w:jc w:val="center"/>
    </w:pPr>
    <w:rPr>
      <w:rFonts w:eastAsia="Times New Roman" w:cs="Times New Roman"/>
      <w:b/>
      <w:bCs/>
      <w:color w:val="000000"/>
      <w:spacing w:val="24"/>
      <w:szCs w:val="28"/>
      <w:lang w:val="nl-NL"/>
    </w:rPr>
  </w:style>
  <w:style w:type="paragraph" w:customStyle="1" w:styleId="canchinh">
    <w:name w:val="canchinh"/>
    <w:basedOn w:val="Normal"/>
    <w:qFormat/>
    <w:rsid w:val="00800DD5"/>
    <w:pPr>
      <w:spacing w:before="120" w:after="60" w:line="360" w:lineRule="exact"/>
      <w:ind w:firstLine="720"/>
      <w:jc w:val="both"/>
    </w:pPr>
    <w:rPr>
      <w:rFonts w:eastAsia="Times New Roman" w:cs="Times New Roman"/>
      <w:szCs w:val="24"/>
    </w:rPr>
  </w:style>
  <w:style w:type="paragraph" w:customStyle="1" w:styleId="6">
    <w:name w:val="6"/>
    <w:basedOn w:val="FootnoteText"/>
    <w:link w:val="6Char"/>
    <w:qFormat/>
    <w:rsid w:val="00800DD5"/>
    <w:pPr>
      <w:spacing w:before="120"/>
      <w:jc w:val="both"/>
    </w:pPr>
    <w:rPr>
      <w:rFonts w:ascii="Arial" w:eastAsia="Times New Roman" w:hAnsi="Arial" w:cs="Arial"/>
      <w:color w:val="0000FF"/>
    </w:rPr>
  </w:style>
  <w:style w:type="character" w:customStyle="1" w:styleId="6Char">
    <w:name w:val="6 Char"/>
    <w:link w:val="6"/>
    <w:qFormat/>
    <w:rsid w:val="00800DD5"/>
    <w:rPr>
      <w:rFonts w:ascii="Arial" w:eastAsia="Times New Roman" w:hAnsi="Arial" w:cs="Arial"/>
      <w:color w:val="0000FF"/>
      <w:sz w:val="20"/>
      <w:szCs w:val="20"/>
    </w:rPr>
  </w:style>
  <w:style w:type="paragraph" w:customStyle="1" w:styleId="content">
    <w:name w:val="content"/>
    <w:basedOn w:val="Normal"/>
    <w:qFormat/>
    <w:rsid w:val="00800DD5"/>
    <w:pPr>
      <w:spacing w:before="100" w:beforeAutospacing="1" w:after="100" w:afterAutospacing="1" w:line="240" w:lineRule="auto"/>
    </w:pPr>
    <w:rPr>
      <w:rFonts w:ascii="Arial" w:eastAsia="Times New Roman" w:hAnsi="Arial" w:cs="Arial"/>
      <w:sz w:val="18"/>
      <w:szCs w:val="18"/>
    </w:rPr>
  </w:style>
  <w:style w:type="character" w:customStyle="1" w:styleId="A11">
    <w:name w:val="A11"/>
    <w:qFormat/>
    <w:rsid w:val="00800DD5"/>
    <w:rPr>
      <w:color w:val="000000"/>
      <w:sz w:val="26"/>
      <w:szCs w:val="26"/>
    </w:rPr>
  </w:style>
  <w:style w:type="paragraph" w:customStyle="1" w:styleId="Lm">
    <w:name w:val="Lm"/>
    <w:basedOn w:val="Heading2"/>
    <w:qFormat/>
    <w:rsid w:val="00800DD5"/>
    <w:pPr>
      <w:keepLines w:val="0"/>
      <w:spacing w:before="120" w:after="120" w:line="240" w:lineRule="auto"/>
      <w:ind w:firstLine="720"/>
    </w:pPr>
    <w:rPr>
      <w:rFonts w:ascii="Times New Roman Bold" w:eastAsia="Times New Roman" w:hAnsi="Times New Roman Bold" w:cs="Arial"/>
      <w:bCs/>
      <w:iCs/>
      <w:szCs w:val="28"/>
    </w:rPr>
  </w:style>
  <w:style w:type="paragraph" w:customStyle="1" w:styleId="CharChar1CharCharCharChar">
    <w:name w:val="Char Char1 Char Char Char Char"/>
    <w:basedOn w:val="Normal"/>
    <w:semiHidden/>
    <w:qFormat/>
    <w:rsid w:val="00800DD5"/>
    <w:pPr>
      <w:spacing w:line="240" w:lineRule="exact"/>
    </w:pPr>
    <w:rPr>
      <w:rFonts w:ascii="Arial" w:eastAsia="Times New Roman" w:hAnsi="Arial" w:cs="Times New Roman"/>
      <w:sz w:val="22"/>
    </w:rPr>
  </w:style>
  <w:style w:type="character" w:customStyle="1" w:styleId="hps">
    <w:name w:val="hps"/>
    <w:qFormat/>
    <w:rsid w:val="00800DD5"/>
  </w:style>
  <w:style w:type="character" w:customStyle="1" w:styleId="CharChar18">
    <w:name w:val="Char Char18"/>
    <w:qFormat/>
    <w:locked/>
    <w:rsid w:val="00800DD5"/>
    <w:rPr>
      <w:rFonts w:ascii="Arial" w:hAnsi="Arial" w:cs="Arial"/>
      <w:b/>
      <w:bCs/>
      <w:kern w:val="32"/>
      <w:sz w:val="32"/>
      <w:szCs w:val="32"/>
      <w:lang w:val="en-US" w:eastAsia="en-US" w:bidi="ar-SA"/>
    </w:rPr>
  </w:style>
  <w:style w:type="character" w:customStyle="1" w:styleId="CharChar17">
    <w:name w:val="Char Char17"/>
    <w:qFormat/>
    <w:locked/>
    <w:rsid w:val="00800DD5"/>
    <w:rPr>
      <w:rFonts w:ascii="Arial" w:hAnsi="Arial" w:cs="Arial"/>
      <w:b/>
      <w:bCs/>
      <w:i/>
      <w:iCs/>
      <w:sz w:val="28"/>
      <w:szCs w:val="28"/>
      <w:lang w:val="en-US" w:eastAsia="en-US" w:bidi="ar-SA"/>
    </w:rPr>
  </w:style>
  <w:style w:type="character" w:customStyle="1" w:styleId="CharChar16">
    <w:name w:val="Char Char16"/>
    <w:qFormat/>
    <w:locked/>
    <w:rsid w:val="00800DD5"/>
    <w:rPr>
      <w:b/>
      <w:bCs/>
      <w:sz w:val="28"/>
      <w:szCs w:val="28"/>
      <w:lang w:val="en-US" w:eastAsia="en-US" w:bidi="ar-SA"/>
    </w:rPr>
  </w:style>
  <w:style w:type="paragraph" w:customStyle="1" w:styleId="font5">
    <w:name w:val="font5"/>
    <w:basedOn w:val="Normal"/>
    <w:qFormat/>
    <w:rsid w:val="00800DD5"/>
    <w:pPr>
      <w:spacing w:before="100" w:beforeAutospacing="1" w:after="100" w:afterAutospacing="1" w:line="240" w:lineRule="auto"/>
    </w:pPr>
    <w:rPr>
      <w:rFonts w:eastAsia="Times New Roman" w:cs="Times New Roman"/>
      <w:i/>
      <w:iCs/>
      <w:color w:val="000000"/>
      <w:sz w:val="20"/>
      <w:szCs w:val="20"/>
    </w:rPr>
  </w:style>
  <w:style w:type="paragraph" w:customStyle="1" w:styleId="xl65">
    <w:name w:val="xl65"/>
    <w:basedOn w:val="Normal"/>
    <w:qFormat/>
    <w:rsid w:val="00800DD5"/>
    <w:pPr>
      <w:spacing w:before="100" w:beforeAutospacing="1" w:after="100" w:afterAutospacing="1" w:line="240" w:lineRule="auto"/>
      <w:textAlignment w:val="top"/>
    </w:pPr>
    <w:rPr>
      <w:rFonts w:eastAsia="Times New Roman" w:cs="Times New Roman"/>
      <w:sz w:val="20"/>
      <w:szCs w:val="20"/>
    </w:rPr>
  </w:style>
  <w:style w:type="paragraph" w:customStyle="1" w:styleId="xl66">
    <w:name w:val="xl66"/>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7">
    <w:name w:val="xl67"/>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
    <w:name w:val="xl68"/>
    <w:basedOn w:val="Normal"/>
    <w:qFormat/>
    <w:rsid w:val="00800DD5"/>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textAlignment w:val="top"/>
    </w:pPr>
    <w:rPr>
      <w:rFonts w:eastAsia="Times New Roman" w:cs="Times New Roman"/>
      <w:b/>
      <w:bCs/>
      <w:sz w:val="20"/>
      <w:szCs w:val="20"/>
    </w:rPr>
  </w:style>
  <w:style w:type="paragraph" w:customStyle="1" w:styleId="xl69">
    <w:name w:val="xl69"/>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70">
    <w:name w:val="xl70"/>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71">
    <w:name w:val="xl71"/>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0"/>
      <w:szCs w:val="20"/>
    </w:rPr>
  </w:style>
  <w:style w:type="paragraph" w:customStyle="1" w:styleId="xl72">
    <w:name w:val="xl72"/>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73">
    <w:name w:val="xl73"/>
    <w:basedOn w:val="Normal"/>
    <w:qFormat/>
    <w:rsid w:val="00800DD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textAlignment w:val="top"/>
    </w:pPr>
    <w:rPr>
      <w:rFonts w:eastAsia="Times New Roman" w:cs="Times New Roman"/>
      <w:sz w:val="20"/>
      <w:szCs w:val="20"/>
    </w:rPr>
  </w:style>
  <w:style w:type="paragraph" w:customStyle="1" w:styleId="xl74">
    <w:name w:val="xl74"/>
    <w:basedOn w:val="Normal"/>
    <w:qFormat/>
    <w:rsid w:val="00800DD5"/>
    <w:pPr>
      <w:spacing w:before="100" w:beforeAutospacing="1" w:after="100" w:afterAutospacing="1" w:line="240" w:lineRule="auto"/>
      <w:jc w:val="center"/>
      <w:textAlignment w:val="top"/>
    </w:pPr>
    <w:rPr>
      <w:rFonts w:eastAsia="Times New Roman" w:cs="Times New Roman"/>
      <w:sz w:val="20"/>
      <w:szCs w:val="20"/>
    </w:rPr>
  </w:style>
  <w:style w:type="paragraph" w:customStyle="1" w:styleId="xl75">
    <w:name w:val="xl75"/>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0"/>
      <w:szCs w:val="20"/>
    </w:rPr>
  </w:style>
  <w:style w:type="paragraph" w:customStyle="1" w:styleId="xl76">
    <w:name w:val="xl76"/>
    <w:basedOn w:val="Normal"/>
    <w:qFormat/>
    <w:rsid w:val="00800DD5"/>
    <w:pPr>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77">
    <w:name w:val="xl77"/>
    <w:basedOn w:val="Normal"/>
    <w:qFormat/>
    <w:rsid w:val="00800DD5"/>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78">
    <w:name w:val="xl78"/>
    <w:basedOn w:val="Normal"/>
    <w:qFormat/>
    <w:rsid w:val="00800DD5"/>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79">
    <w:name w:val="xl79"/>
    <w:basedOn w:val="Normal"/>
    <w:qFormat/>
    <w:rsid w:val="00800DD5"/>
    <w:pPr>
      <w:pBdr>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80">
    <w:name w:val="xl80"/>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81">
    <w:name w:val="xl81"/>
    <w:basedOn w:val="Normal"/>
    <w:qFormat/>
    <w:rsid w:val="00800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rPr>
  </w:style>
  <w:style w:type="paragraph" w:customStyle="1" w:styleId="xl82">
    <w:name w:val="xl82"/>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0"/>
      <w:szCs w:val="20"/>
    </w:rPr>
  </w:style>
  <w:style w:type="paragraph" w:customStyle="1" w:styleId="xl83">
    <w:name w:val="xl83"/>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F0"/>
      <w:sz w:val="20"/>
      <w:szCs w:val="20"/>
    </w:rPr>
  </w:style>
  <w:style w:type="paragraph" w:customStyle="1" w:styleId="xl84">
    <w:name w:val="xl84"/>
    <w:basedOn w:val="Normal"/>
    <w:qFormat/>
    <w:rsid w:val="00800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5">
    <w:name w:val="xl85"/>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6">
    <w:name w:val="xl86"/>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7">
    <w:name w:val="xl87"/>
    <w:basedOn w:val="Normal"/>
    <w:qFormat/>
    <w:rsid w:val="00800DD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8">
    <w:name w:val="xl88"/>
    <w:basedOn w:val="Normal"/>
    <w:qFormat/>
    <w:rsid w:val="00800DD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rPr>
  </w:style>
  <w:style w:type="paragraph" w:customStyle="1" w:styleId="xl89">
    <w:name w:val="xl89"/>
    <w:basedOn w:val="Normal"/>
    <w:qFormat/>
    <w:rsid w:val="00800DD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0">
    <w:name w:val="xl90"/>
    <w:basedOn w:val="Normal"/>
    <w:qFormat/>
    <w:rsid w:val="00800DD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1">
    <w:name w:val="xl91"/>
    <w:basedOn w:val="Normal"/>
    <w:qFormat/>
    <w:rsid w:val="00800DD5"/>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92">
    <w:name w:val="xl92"/>
    <w:basedOn w:val="Normal"/>
    <w:qFormat/>
    <w:rsid w:val="00800DD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93">
    <w:name w:val="xl93"/>
    <w:basedOn w:val="Normal"/>
    <w:qFormat/>
    <w:rsid w:val="00800DD5"/>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4">
    <w:name w:val="xl94"/>
    <w:basedOn w:val="Normal"/>
    <w:qFormat/>
    <w:rsid w:val="00800DD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5">
    <w:name w:val="xl95"/>
    <w:basedOn w:val="Normal"/>
    <w:qFormat/>
    <w:rsid w:val="00800DD5"/>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rPr>
  </w:style>
  <w:style w:type="paragraph" w:customStyle="1" w:styleId="xl96">
    <w:name w:val="xl96"/>
    <w:basedOn w:val="Normal"/>
    <w:qFormat/>
    <w:rsid w:val="00800DD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800DD5"/>
    <w:pPr>
      <w:spacing w:line="240" w:lineRule="exact"/>
    </w:pPr>
    <w:rPr>
      <w:rFonts w:ascii="Arial" w:eastAsia="Times New Roman" w:hAnsi="Arial" w:cs="Times New Roman"/>
      <w:sz w:val="22"/>
    </w:rPr>
  </w:style>
  <w:style w:type="paragraph" w:customStyle="1" w:styleId="Default">
    <w:name w:val="Default"/>
    <w:qFormat/>
    <w:rsid w:val="00800DD5"/>
    <w:pPr>
      <w:autoSpaceDE w:val="0"/>
      <w:autoSpaceDN w:val="0"/>
      <w:adjustRightInd w:val="0"/>
      <w:spacing w:after="0" w:line="240" w:lineRule="auto"/>
    </w:pPr>
    <w:rPr>
      <w:rFonts w:eastAsia="Times New Roman" w:cs="Times New Roman"/>
      <w:color w:val="000000"/>
      <w:sz w:val="24"/>
      <w:szCs w:val="24"/>
    </w:rPr>
  </w:style>
  <w:style w:type="character" w:customStyle="1" w:styleId="A27">
    <w:name w:val="A27"/>
    <w:qFormat/>
    <w:rsid w:val="00800DD5"/>
    <w:rPr>
      <w:color w:val="000000"/>
      <w:sz w:val="15"/>
      <w:szCs w:val="15"/>
    </w:rPr>
  </w:style>
  <w:style w:type="character" w:customStyle="1" w:styleId="A19">
    <w:name w:val="A19"/>
    <w:qFormat/>
    <w:rsid w:val="00800DD5"/>
    <w:rPr>
      <w:rFonts w:ascii="Arial" w:hAnsi="Arial" w:cs="Arial"/>
      <w:color w:val="000000"/>
      <w:sz w:val="22"/>
      <w:szCs w:val="22"/>
    </w:rPr>
  </w:style>
  <w:style w:type="paragraph" w:customStyle="1" w:styleId="Pa10">
    <w:name w:val="Pa10"/>
    <w:basedOn w:val="Default"/>
    <w:next w:val="Default"/>
    <w:qFormat/>
    <w:rsid w:val="00800DD5"/>
    <w:pPr>
      <w:spacing w:line="241" w:lineRule="atLeast"/>
    </w:pPr>
    <w:rPr>
      <w:color w:val="auto"/>
    </w:rPr>
  </w:style>
  <w:style w:type="character" w:customStyle="1" w:styleId="A16">
    <w:name w:val="A16"/>
    <w:qFormat/>
    <w:rsid w:val="00800DD5"/>
    <w:rPr>
      <w:rFonts w:ascii="Arial" w:hAnsi="Arial" w:cs="Arial"/>
      <w:color w:val="000000"/>
      <w:sz w:val="22"/>
      <w:szCs w:val="22"/>
    </w:rPr>
  </w:style>
  <w:style w:type="paragraph" w:customStyle="1" w:styleId="nd">
    <w:name w:val="nd"/>
    <w:basedOn w:val="Normal"/>
    <w:qFormat/>
    <w:rsid w:val="00800DD5"/>
    <w:pPr>
      <w:spacing w:before="120" w:after="0" w:line="320" w:lineRule="exact"/>
      <w:ind w:firstLine="567"/>
      <w:jc w:val="both"/>
    </w:pPr>
    <w:rPr>
      <w:rFonts w:eastAsia="MS Mincho" w:cs="Times New Roman"/>
      <w:color w:val="000000"/>
      <w:szCs w:val="28"/>
      <w:lang w:val="vi-VN" w:eastAsia="ja-JP"/>
    </w:rPr>
  </w:style>
  <w:style w:type="paragraph" w:customStyle="1" w:styleId="Ph">
    <w:name w:val="Ph"/>
    <w:basedOn w:val="Heading1"/>
    <w:qFormat/>
    <w:rsid w:val="00800DD5"/>
    <w:pPr>
      <w:keepLines w:val="0"/>
      <w:spacing w:before="120" w:after="120" w:line="240" w:lineRule="auto"/>
      <w:jc w:val="center"/>
    </w:pPr>
    <w:rPr>
      <w:rFonts w:ascii="Times New Roman Bold" w:eastAsia="Times New Roman" w:hAnsi="Times New Roman Bold" w:cs="Arial"/>
      <w:bCs/>
      <w:kern w:val="32"/>
      <w:szCs w:val="28"/>
    </w:rPr>
  </w:style>
  <w:style w:type="character" w:customStyle="1" w:styleId="abcChar">
    <w:name w:val="abc Char"/>
    <w:link w:val="abc"/>
    <w:qFormat/>
    <w:locked/>
    <w:rsid w:val="00800DD5"/>
    <w:rPr>
      <w:rFonts w:eastAsia="Times New Roman" w:cs="Times New Roman"/>
      <w:sz w:val="24"/>
      <w:szCs w:val="24"/>
    </w:rPr>
  </w:style>
  <w:style w:type="character" w:customStyle="1" w:styleId="ruotCharCharChar">
    <w:name w:val="ruot Char Char Char"/>
    <w:link w:val="ruotCharChar"/>
    <w:qFormat/>
    <w:locked/>
    <w:rsid w:val="00800DD5"/>
    <w:rPr>
      <w:szCs w:val="28"/>
    </w:rPr>
  </w:style>
  <w:style w:type="paragraph" w:customStyle="1" w:styleId="ruotCharChar">
    <w:name w:val="ruot Char Char"/>
    <w:basedOn w:val="Normal"/>
    <w:link w:val="ruotCharCharChar"/>
    <w:qFormat/>
    <w:rsid w:val="00800DD5"/>
    <w:pPr>
      <w:spacing w:before="120" w:after="120" w:line="288" w:lineRule="auto"/>
      <w:ind w:firstLine="720"/>
      <w:jc w:val="both"/>
    </w:pPr>
    <w:rPr>
      <w:szCs w:val="28"/>
    </w:rPr>
  </w:style>
  <w:style w:type="character" w:customStyle="1" w:styleId="muc11CharChar">
    <w:name w:val="muc 1.1 Char Char"/>
    <w:link w:val="muc11Char"/>
    <w:qFormat/>
    <w:locked/>
    <w:rsid w:val="00800DD5"/>
    <w:rPr>
      <w:bCs/>
      <w:i/>
      <w:szCs w:val="28"/>
    </w:rPr>
  </w:style>
  <w:style w:type="paragraph" w:customStyle="1" w:styleId="muc11Char">
    <w:name w:val="muc 1.1 Char"/>
    <w:basedOn w:val="Heading4"/>
    <w:link w:val="muc11CharChar"/>
    <w:qFormat/>
    <w:rsid w:val="00800DD5"/>
    <w:pPr>
      <w:overflowPunct w:val="0"/>
      <w:autoSpaceDE w:val="0"/>
      <w:autoSpaceDN w:val="0"/>
      <w:adjustRightInd w:val="0"/>
      <w:ind w:firstLine="0"/>
    </w:pPr>
    <w:rPr>
      <w:rFonts w:eastAsiaTheme="minorHAnsi" w:cstheme="minorBidi"/>
      <w:bCs/>
      <w:iCs w:val="0"/>
      <w:szCs w:val="28"/>
    </w:rPr>
  </w:style>
  <w:style w:type="character" w:customStyle="1" w:styleId="tenbieuCharCharChar">
    <w:name w:val="ten bieu Char Char Char"/>
    <w:link w:val="tenbieuCharChar"/>
    <w:qFormat/>
    <w:locked/>
    <w:rsid w:val="00800DD5"/>
    <w:rPr>
      <w:rFonts w:ascii=".VnTime" w:hAnsi=".VnTime"/>
      <w:b/>
      <w:bCs/>
      <w:szCs w:val="28"/>
    </w:rPr>
  </w:style>
  <w:style w:type="paragraph" w:customStyle="1" w:styleId="tenbieuCharChar">
    <w:name w:val="ten bieu Char Char"/>
    <w:basedOn w:val="Normal"/>
    <w:link w:val="tenbieuCharCharChar"/>
    <w:qFormat/>
    <w:rsid w:val="00800DD5"/>
    <w:pPr>
      <w:spacing w:before="120" w:after="120" w:line="288" w:lineRule="auto"/>
      <w:ind w:firstLine="720"/>
      <w:jc w:val="both"/>
    </w:pPr>
    <w:rPr>
      <w:rFonts w:ascii=".VnTime" w:hAnsi=".VnTime"/>
      <w:b/>
      <w:bCs/>
      <w:szCs w:val="28"/>
    </w:rPr>
  </w:style>
  <w:style w:type="paragraph" w:customStyle="1" w:styleId="bieu">
    <w:name w:val="bieu"/>
    <w:basedOn w:val="Normal"/>
    <w:qFormat/>
    <w:rsid w:val="00800DD5"/>
    <w:pPr>
      <w:spacing w:after="0" w:line="360" w:lineRule="auto"/>
      <w:jc w:val="center"/>
    </w:pPr>
    <w:rPr>
      <w:rFonts w:eastAsia="Batang" w:cs="Times New Roman"/>
      <w:color w:val="000000"/>
      <w:sz w:val="26"/>
      <w:szCs w:val="26"/>
      <w:lang w:eastAsia="ko-KR"/>
    </w:rPr>
  </w:style>
  <w:style w:type="paragraph" w:customStyle="1" w:styleId="muc11">
    <w:name w:val="muc 1.1"/>
    <w:basedOn w:val="Heading4"/>
    <w:qFormat/>
    <w:rsid w:val="00800DD5"/>
    <w:pPr>
      <w:spacing w:before="240" w:line="240" w:lineRule="auto"/>
      <w:ind w:firstLine="0"/>
    </w:pPr>
    <w:rPr>
      <w:iCs w:val="0"/>
      <w:szCs w:val="28"/>
    </w:rPr>
  </w:style>
  <w:style w:type="paragraph" w:customStyle="1" w:styleId="Section3-Heading2">
    <w:name w:val="Section 3 - Heading 2"/>
    <w:basedOn w:val="Heading4"/>
    <w:qFormat/>
    <w:rsid w:val="00800DD5"/>
    <w:pPr>
      <w:keepNext w:val="0"/>
      <w:keepLines/>
      <w:spacing w:after="240" w:line="240" w:lineRule="auto"/>
      <w:ind w:firstLine="0"/>
      <w:jc w:val="center"/>
    </w:pPr>
    <w:rPr>
      <w:rFonts w:ascii="Calibri" w:hAnsi="Calibri" w:cs="Calibri"/>
      <w:b/>
      <w:bCs/>
      <w:szCs w:val="28"/>
    </w:rPr>
  </w:style>
  <w:style w:type="character" w:customStyle="1" w:styleId="newssummary1">
    <w:name w:val="news_summary1"/>
    <w:qFormat/>
    <w:rsid w:val="00800DD5"/>
    <w:rPr>
      <w:rFonts w:ascii="Arial" w:hAnsi="Arial" w:cs="Arial" w:hint="default"/>
      <w:b/>
      <w:bCs/>
      <w:color w:val="7D7D7D"/>
      <w:sz w:val="18"/>
      <w:szCs w:val="18"/>
    </w:rPr>
  </w:style>
  <w:style w:type="paragraph" w:customStyle="1" w:styleId="NormalWeb1">
    <w:name w:val="Normal (Web)1"/>
    <w:basedOn w:val="Normal"/>
    <w:qFormat/>
    <w:rsid w:val="00800DD5"/>
    <w:pPr>
      <w:spacing w:before="100" w:beforeAutospacing="1" w:after="100" w:afterAutospacing="1" w:line="240" w:lineRule="auto"/>
    </w:pPr>
    <w:rPr>
      <w:rFonts w:eastAsia="Times New Roman" w:cs="Times New Roman"/>
      <w:sz w:val="24"/>
      <w:szCs w:val="24"/>
    </w:rPr>
  </w:style>
  <w:style w:type="paragraph" w:customStyle="1" w:styleId="Nidung">
    <w:name w:val="Nội dung"/>
    <w:basedOn w:val="Normal"/>
    <w:link w:val="NidungChar"/>
    <w:autoRedefine/>
    <w:qFormat/>
    <w:rsid w:val="00800DD5"/>
    <w:pPr>
      <w:widowControl w:val="0"/>
      <w:tabs>
        <w:tab w:val="left" w:pos="1440"/>
        <w:tab w:val="left" w:pos="7350"/>
        <w:tab w:val="right" w:pos="9071"/>
      </w:tabs>
      <w:spacing w:before="120" w:after="120" w:line="240" w:lineRule="auto"/>
      <w:ind w:firstLine="720"/>
      <w:jc w:val="both"/>
    </w:pPr>
    <w:rPr>
      <w:rFonts w:eastAsia="Cambria" w:cs="Times New Roman"/>
      <w:bCs/>
      <w:iCs/>
      <w:spacing w:val="-2"/>
      <w:szCs w:val="28"/>
      <w:lang w:eastAsia="vi-VN"/>
    </w:rPr>
  </w:style>
  <w:style w:type="character" w:customStyle="1" w:styleId="NidungChar">
    <w:name w:val="Nội dung Char"/>
    <w:link w:val="Nidung"/>
    <w:qFormat/>
    <w:rsid w:val="00800DD5"/>
    <w:rPr>
      <w:rFonts w:eastAsia="Cambria" w:cs="Times New Roman"/>
      <w:bCs/>
      <w:iCs/>
      <w:spacing w:val="-2"/>
      <w:szCs w:val="28"/>
      <w:lang w:eastAsia="vi-VN"/>
    </w:rPr>
  </w:style>
  <w:style w:type="paragraph" w:customStyle="1" w:styleId="bodytext0">
    <w:name w:val="body_text"/>
    <w:basedOn w:val="Normal"/>
    <w:qFormat/>
    <w:rsid w:val="00800DD5"/>
    <w:pPr>
      <w:spacing w:before="100" w:beforeAutospacing="1" w:after="100" w:afterAutospacing="1" w:line="240" w:lineRule="auto"/>
    </w:pPr>
    <w:rPr>
      <w:rFonts w:ascii=".VnTime" w:eastAsia="Times New Roman" w:hAnsi=".VnTime" w:cs=".VnTime"/>
      <w:sz w:val="24"/>
      <w:szCs w:val="24"/>
    </w:rPr>
  </w:style>
  <w:style w:type="character" w:customStyle="1" w:styleId="CharCharChar">
    <w:name w:val="Char Char Char"/>
    <w:semiHidden/>
    <w:qFormat/>
    <w:rsid w:val="00800DD5"/>
    <w:rPr>
      <w:rFonts w:eastAsia="MS Mincho"/>
    </w:rPr>
  </w:style>
  <w:style w:type="paragraph" w:customStyle="1" w:styleId="Pa34">
    <w:name w:val="Pa34"/>
    <w:basedOn w:val="Default"/>
    <w:next w:val="Default"/>
    <w:qFormat/>
    <w:rsid w:val="00800DD5"/>
    <w:pPr>
      <w:spacing w:line="221" w:lineRule="atLeast"/>
    </w:pPr>
    <w:rPr>
      <w:color w:val="auto"/>
    </w:rPr>
  </w:style>
  <w:style w:type="character" w:customStyle="1" w:styleId="dnnalignleft">
    <w:name w:val="dnnalignleft"/>
    <w:basedOn w:val="DefaultParagraphFont"/>
    <w:qFormat/>
    <w:rsid w:val="00800DD5"/>
  </w:style>
  <w:style w:type="character" w:customStyle="1" w:styleId="FontStyle18">
    <w:name w:val="Font Style18"/>
    <w:uiPriority w:val="99"/>
    <w:qFormat/>
    <w:rsid w:val="00800DD5"/>
    <w:rPr>
      <w:rFonts w:ascii="Times New Roman" w:hAnsi="Times New Roman" w:cs="Times New Roman"/>
      <w:color w:val="000000"/>
      <w:sz w:val="24"/>
      <w:szCs w:val="24"/>
    </w:rPr>
  </w:style>
  <w:style w:type="paragraph" w:customStyle="1" w:styleId="Style9">
    <w:name w:val="Style9"/>
    <w:basedOn w:val="Normal"/>
    <w:uiPriority w:val="99"/>
    <w:qFormat/>
    <w:rsid w:val="00800DD5"/>
    <w:pPr>
      <w:widowControl w:val="0"/>
      <w:autoSpaceDE w:val="0"/>
      <w:autoSpaceDN w:val="0"/>
      <w:adjustRightInd w:val="0"/>
      <w:spacing w:after="0" w:line="301" w:lineRule="exact"/>
      <w:ind w:firstLine="523"/>
      <w:jc w:val="both"/>
    </w:pPr>
    <w:rPr>
      <w:rFonts w:eastAsia="Times New Roman" w:cs="Times New Roman"/>
      <w:sz w:val="24"/>
      <w:szCs w:val="24"/>
    </w:rPr>
  </w:style>
  <w:style w:type="paragraph" w:customStyle="1" w:styleId="Timer">
    <w:name w:val="Time r"/>
    <w:basedOn w:val="Normal"/>
    <w:qFormat/>
    <w:rsid w:val="00800DD5"/>
    <w:pPr>
      <w:tabs>
        <w:tab w:val="center" w:pos="1710"/>
        <w:tab w:val="center" w:pos="6300"/>
      </w:tabs>
      <w:spacing w:after="200" w:line="276" w:lineRule="auto"/>
    </w:pPr>
    <w:rPr>
      <w:rFonts w:ascii="Calibri" w:eastAsia="Calibri" w:hAnsi="Calibri" w:cs="Times New Roman"/>
      <w:sz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qFormat/>
    <w:rsid w:val="00800DD5"/>
    <w:pPr>
      <w:spacing w:line="240" w:lineRule="exact"/>
    </w:pPr>
    <w:rPr>
      <w:rFonts w:ascii="Arial" w:eastAsia="Times New Roman" w:hAnsi="Arial" w:cs="Times New Roman"/>
      <w:sz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qFormat/>
    <w:rsid w:val="00800DD5"/>
    <w:pPr>
      <w:spacing w:line="240" w:lineRule="exact"/>
    </w:pPr>
    <w:rPr>
      <w:rFonts w:ascii="Arial" w:eastAsia="Times New Roman" w:hAnsi="Arial" w:cs="Times New Roman"/>
      <w:sz w:val="22"/>
    </w:rPr>
  </w:style>
  <w:style w:type="character" w:customStyle="1" w:styleId="ListParagraphChar">
    <w:name w:val="List Paragraph Char"/>
    <w:aliases w:val="List Paragraph 1 Char,lp1 Char,bullet 1 Char,bullet Char,List Paragraph1 Char,List Paragraph11 Char,List Paragraph12 Char,List Paragraph2 Char,Thang2 Char,VNA - List Paragraph Char,1. Char,Table Sequence Char,My checklist Char"/>
    <w:link w:val="ListParagraph"/>
    <w:uiPriority w:val="34"/>
    <w:qFormat/>
    <w:rsid w:val="00800DD5"/>
  </w:style>
  <w:style w:type="character" w:customStyle="1" w:styleId="n-dieund-h1">
    <w:name w:val="n-dieund-h1"/>
    <w:basedOn w:val="DefaultParagraphFont"/>
    <w:uiPriority w:val="99"/>
    <w:qFormat/>
    <w:rsid w:val="00800DD5"/>
  </w:style>
  <w:style w:type="paragraph" w:customStyle="1" w:styleId="n-dieund-p">
    <w:name w:val="n-dieund-p"/>
    <w:basedOn w:val="Normal"/>
    <w:qFormat/>
    <w:rsid w:val="00800DD5"/>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qFormat/>
    <w:rsid w:val="00800DD5"/>
    <w:pPr>
      <w:spacing w:before="100" w:beforeAutospacing="1" w:after="100" w:afterAutospacing="1" w:line="240" w:lineRule="auto"/>
    </w:pPr>
    <w:rPr>
      <w:rFonts w:eastAsia="Times New Roman" w:cs="Times New Roman"/>
      <w:sz w:val="24"/>
      <w:szCs w:val="24"/>
      <w:lang w:val="vi-VN" w:eastAsia="vi-VN"/>
    </w:rPr>
  </w:style>
  <w:style w:type="paragraph" w:customStyle="1" w:styleId="indexhometext">
    <w:name w:val="indexhometext"/>
    <w:basedOn w:val="Normal"/>
    <w:qFormat/>
    <w:rsid w:val="00800DD5"/>
    <w:pPr>
      <w:spacing w:before="100" w:beforeAutospacing="1" w:after="100" w:afterAutospacing="1" w:line="240" w:lineRule="auto"/>
    </w:pPr>
    <w:rPr>
      <w:rFonts w:ascii="Arial" w:eastAsia="Times New Roman" w:hAnsi="Arial" w:cs="Arial"/>
      <w:color w:val="000000"/>
      <w:sz w:val="20"/>
      <w:szCs w:val="20"/>
    </w:rPr>
  </w:style>
  <w:style w:type="character" w:customStyle="1" w:styleId="normalchar1">
    <w:name w:val="normal__char1"/>
    <w:basedOn w:val="DefaultParagraphFont"/>
    <w:qFormat/>
    <w:rsid w:val="00800DD5"/>
    <w:rPr>
      <w:rFonts w:ascii="Arial" w:hAnsi="Arial" w:cs="Arial" w:hint="default"/>
      <w:sz w:val="22"/>
      <w:szCs w:val="22"/>
    </w:rPr>
  </w:style>
  <w:style w:type="character" w:customStyle="1" w:styleId="BodyTextIndent2Char1">
    <w:name w:val="Body Text Indent 2 Char1"/>
    <w:uiPriority w:val="99"/>
    <w:qFormat/>
    <w:locked/>
    <w:rsid w:val="00800DD5"/>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qFormat/>
    <w:locked/>
    <w:rsid w:val="00800DD5"/>
    <w:rPr>
      <w:rFonts w:ascii=".VnTime" w:hAnsi=".VnTime"/>
      <w:sz w:val="28"/>
      <w:lang w:val="en-US" w:eastAsia="en-US"/>
    </w:rPr>
  </w:style>
  <w:style w:type="character" w:customStyle="1" w:styleId="n-dieu-h">
    <w:name w:val="n-dieu-h"/>
    <w:basedOn w:val="DefaultParagraphFont"/>
    <w:qFormat/>
    <w:rsid w:val="00800DD5"/>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qFormat/>
    <w:rsid w:val="00800DD5"/>
    <w:rPr>
      <w:rFonts w:ascii=".VnTimeH" w:hAnsi=".VnTimeH"/>
      <w:b/>
      <w:color w:val="0000FF"/>
      <w:sz w:val="24"/>
      <w:szCs w:val="24"/>
      <w:lang w:val="en-US" w:eastAsia="en-US"/>
    </w:rPr>
  </w:style>
  <w:style w:type="paragraph" w:customStyle="1" w:styleId="CharCharCharCharChar1CharCharCharChar">
    <w:name w:val="Char Char Char Char Char1 Char Char Char Char"/>
    <w:basedOn w:val="Normal"/>
    <w:qFormat/>
    <w:rsid w:val="00800DD5"/>
    <w:pPr>
      <w:spacing w:line="240" w:lineRule="exact"/>
    </w:pPr>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qFormat/>
    <w:rsid w:val="00800DD5"/>
    <w:pPr>
      <w:spacing w:line="240" w:lineRule="exact"/>
    </w:pPr>
    <w:rPr>
      <w:rFonts w:ascii="Verdana" w:eastAsia="Times New Roman" w:hAnsi="Verdana" w:cs="Verdana"/>
      <w:sz w:val="20"/>
      <w:szCs w:val="20"/>
    </w:rPr>
  </w:style>
  <w:style w:type="character" w:customStyle="1" w:styleId="longtext">
    <w:name w:val="long_text"/>
    <w:basedOn w:val="DefaultParagraphFont"/>
    <w:qFormat/>
    <w:rsid w:val="00800DD5"/>
  </w:style>
  <w:style w:type="paragraph" w:customStyle="1" w:styleId="CharCharCharCharCharCharCharCharChar1CharCharCharChar">
    <w:name w:val="Char Char Char Char Char Char Char Char Char1 Char Char Char Char"/>
    <w:basedOn w:val="Normal"/>
    <w:qFormat/>
    <w:rsid w:val="00800DD5"/>
    <w:pPr>
      <w:spacing w:line="240" w:lineRule="exact"/>
    </w:pPr>
    <w:rPr>
      <w:rFonts w:ascii="Verdana" w:eastAsia="Times New Roman" w:hAnsi="Verdana" w:cs="Times New Roman"/>
      <w:sz w:val="20"/>
      <w:szCs w:val="20"/>
    </w:rPr>
  </w:style>
  <w:style w:type="paragraph" w:customStyle="1" w:styleId="Char1CharCharChar1">
    <w:name w:val="Char1 Char Char Char1"/>
    <w:basedOn w:val="Normal"/>
    <w:qFormat/>
    <w:rsid w:val="00800DD5"/>
    <w:pPr>
      <w:pageBreakBefore/>
      <w:spacing w:before="100" w:beforeAutospacing="1" w:after="100" w:afterAutospacing="1" w:line="240" w:lineRule="auto"/>
      <w:jc w:val="center"/>
    </w:pPr>
    <w:rPr>
      <w:rFonts w:ascii="Tahoma" w:eastAsia="Times New Roman" w:hAnsi="Tahoma" w:cs="Times New Roman"/>
      <w:b/>
      <w:color w:val="000000"/>
      <w:sz w:val="20"/>
    </w:rPr>
  </w:style>
  <w:style w:type="paragraph" w:customStyle="1" w:styleId="CharCharCharCharCharCharCharCharCharCharCharCharCharCharCharChar">
    <w:name w:val="Char Char Char Char Char Char Char Char Char Char Char Char Char Char Char Char"/>
    <w:basedOn w:val="Normal"/>
    <w:qFormat/>
    <w:rsid w:val="00800DD5"/>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CharChar4">
    <w:name w:val="Char Char4"/>
    <w:basedOn w:val="DefaultParagraphFont"/>
    <w:qFormat/>
    <w:rsid w:val="00800DD5"/>
    <w:rPr>
      <w:rFonts w:eastAsia="Times New Roman"/>
      <w:b/>
      <w:bCs/>
      <w:kern w:val="36"/>
      <w:sz w:val="48"/>
      <w:szCs w:val="48"/>
    </w:rPr>
  </w:style>
  <w:style w:type="character" w:customStyle="1" w:styleId="footnotetext-h1">
    <w:name w:val="footnotetext-h1"/>
    <w:basedOn w:val="DefaultParagraphFont"/>
    <w:qFormat/>
    <w:rsid w:val="00800DD5"/>
    <w:rPr>
      <w:rFonts w:ascii="Times New Roman" w:hAnsi="Times New Roman" w:cs="Times New Roman" w:hint="default"/>
      <w:sz w:val="20"/>
      <w:szCs w:val="20"/>
    </w:rPr>
  </w:style>
  <w:style w:type="paragraph" w:customStyle="1" w:styleId="dieu">
    <w:name w:val="dieu"/>
    <w:basedOn w:val="Normal"/>
    <w:qFormat/>
    <w:rsid w:val="00800DD5"/>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szCs w:val="20"/>
    </w:rPr>
  </w:style>
  <w:style w:type="paragraph" w:styleId="NoSpacing">
    <w:name w:val="No Spacing"/>
    <w:uiPriority w:val="1"/>
    <w:qFormat/>
    <w:rsid w:val="00800DD5"/>
    <w:pPr>
      <w:spacing w:after="0" w:line="240" w:lineRule="auto"/>
    </w:pPr>
    <w:rPr>
      <w:rFonts w:eastAsia="Times New Roman" w:cs="Times New Roman"/>
      <w:sz w:val="24"/>
      <w:szCs w:val="24"/>
    </w:rPr>
  </w:style>
  <w:style w:type="paragraph" w:customStyle="1" w:styleId="CharCharCharCharCharCharCharCharCharCharCharChar1Char">
    <w:name w:val="Char Char Char Char Char Char Char Char Char Char Char Char1 Char"/>
    <w:autoRedefine/>
    <w:semiHidden/>
    <w:qFormat/>
    <w:rsid w:val="00800DD5"/>
    <w:pPr>
      <w:spacing w:before="120" w:after="120" w:line="312" w:lineRule="auto"/>
      <w:ind w:left="-108"/>
      <w:jc w:val="center"/>
    </w:pPr>
    <w:rPr>
      <w:rFonts w:eastAsia="Times New Roman" w:cs="Times New Roman"/>
      <w:b/>
      <w:sz w:val="24"/>
      <w:szCs w:val="24"/>
    </w:rPr>
  </w:style>
  <w:style w:type="paragraph" w:customStyle="1" w:styleId="Giua">
    <w:name w:val="Giua"/>
    <w:basedOn w:val="Normal"/>
    <w:qFormat/>
    <w:rsid w:val="00800DD5"/>
    <w:pPr>
      <w:spacing w:after="120" w:line="240" w:lineRule="auto"/>
      <w:jc w:val="center"/>
    </w:pPr>
    <w:rPr>
      <w:rFonts w:ascii=".VnTime" w:eastAsia="Times New Roman" w:hAnsi=".VnTime" w:cs="Times New Roman"/>
      <w:color w:val="0000FF"/>
      <w:sz w:val="24"/>
      <w:szCs w:val="20"/>
    </w:rPr>
  </w:style>
  <w:style w:type="character" w:customStyle="1" w:styleId="bodycontent1">
    <w:name w:val="bodycontent1"/>
    <w:basedOn w:val="DefaultParagraphFont"/>
    <w:qFormat/>
    <w:rsid w:val="00800DD5"/>
    <w:rPr>
      <w:color w:val="333333"/>
      <w:sz w:val="20"/>
      <w:szCs w:val="20"/>
    </w:rPr>
  </w:style>
  <w:style w:type="character" w:customStyle="1" w:styleId="newsdetailtitle">
    <w:name w:val="news_detail_title"/>
    <w:qFormat/>
    <w:rsid w:val="00800DD5"/>
  </w:style>
  <w:style w:type="paragraph" w:customStyle="1" w:styleId="Dieu0">
    <w:name w:val="Dieu"/>
    <w:basedOn w:val="Normal"/>
    <w:qFormat/>
    <w:rsid w:val="00800DD5"/>
    <w:pPr>
      <w:spacing w:before="120" w:after="120" w:line="380" w:lineRule="exact"/>
      <w:ind w:firstLine="720"/>
      <w:jc w:val="both"/>
    </w:pPr>
    <w:rPr>
      <w:rFonts w:eastAsia="Times New Roman" w:cs="Times New Roman"/>
      <w:b/>
      <w:bCs/>
      <w:color w:val="000000"/>
      <w:szCs w:val="29"/>
      <w:lang w:eastAsia="en-ZW"/>
    </w:rPr>
  </w:style>
  <w:style w:type="character" w:customStyle="1" w:styleId="Heading20">
    <w:name w:val="Heading #2_"/>
    <w:link w:val="Heading21"/>
    <w:uiPriority w:val="99"/>
    <w:qFormat/>
    <w:locked/>
    <w:rsid w:val="00800DD5"/>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qFormat/>
    <w:rsid w:val="00800DD5"/>
    <w:pPr>
      <w:widowControl w:val="0"/>
      <w:shd w:val="clear" w:color="auto" w:fill="FFFFFF"/>
      <w:spacing w:after="120" w:line="240" w:lineRule="atLeast"/>
      <w:outlineLvl w:val="1"/>
    </w:pPr>
    <w:rPr>
      <w:rFonts w:ascii="Franklin Gothic Book" w:hAnsi="Franklin Gothic Book" w:cs="Franklin Gothic Book"/>
      <w:sz w:val="40"/>
      <w:szCs w:val="40"/>
      <w:shd w:val="clear" w:color="auto" w:fill="FFFFFF"/>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qFormat/>
    <w:locked/>
    <w:rsid w:val="00800DD5"/>
    <w:rPr>
      <w:rFonts w:cs="Times New Roman"/>
      <w:lang w:val="en-US" w:eastAsia="en-US" w:bidi="ar-SA"/>
    </w:rPr>
  </w:style>
  <w:style w:type="paragraph" w:customStyle="1" w:styleId="vn5">
    <w:name w:val="vn_5"/>
    <w:basedOn w:val="Normal"/>
    <w:qFormat/>
    <w:rsid w:val="00800DD5"/>
    <w:pPr>
      <w:spacing w:before="100" w:beforeAutospacing="1" w:after="100" w:afterAutospacing="1" w:line="240" w:lineRule="auto"/>
    </w:pPr>
    <w:rPr>
      <w:rFonts w:eastAsia="Times New Roman" w:cs="Times New Roman"/>
      <w:sz w:val="24"/>
      <w:szCs w:val="24"/>
      <w:lang w:val="vi-VN" w:eastAsia="vi-VN"/>
    </w:rPr>
  </w:style>
  <w:style w:type="paragraph" w:customStyle="1" w:styleId="bodyson">
    <w:name w:val="body son"/>
    <w:basedOn w:val="Normal"/>
    <w:autoRedefine/>
    <w:qFormat/>
    <w:rsid w:val="00800DD5"/>
    <w:pPr>
      <w:tabs>
        <w:tab w:val="left" w:pos="1581"/>
      </w:tabs>
      <w:spacing w:after="0" w:line="240" w:lineRule="auto"/>
      <w:ind w:left="720"/>
      <w:jc w:val="both"/>
    </w:pPr>
    <w:rPr>
      <w:rFonts w:eastAsia="Times New Roman" w:cs="Times New Roman"/>
      <w:sz w:val="24"/>
      <w:szCs w:val="24"/>
    </w:rPr>
  </w:style>
  <w:style w:type="paragraph" w:customStyle="1" w:styleId="Revision1">
    <w:name w:val="Revision1"/>
    <w:hidden/>
    <w:uiPriority w:val="99"/>
    <w:semiHidden/>
    <w:qFormat/>
    <w:rsid w:val="00800DD5"/>
    <w:pPr>
      <w:spacing w:after="0" w:line="240" w:lineRule="auto"/>
    </w:pPr>
    <w:rPr>
      <w:rFonts w:eastAsia="Times New Roman" w:cs="Times New Roman"/>
      <w:szCs w:val="24"/>
    </w:rPr>
  </w:style>
  <w:style w:type="numbering" w:customStyle="1" w:styleId="NoList1">
    <w:name w:val="No List1"/>
    <w:next w:val="NoList"/>
    <w:uiPriority w:val="99"/>
    <w:semiHidden/>
    <w:unhideWhenUsed/>
    <w:rsid w:val="00800DD5"/>
  </w:style>
  <w:style w:type="table" w:customStyle="1" w:styleId="TableGrid1">
    <w:name w:val="Table Grid1"/>
    <w:basedOn w:val="TableNormal"/>
    <w:next w:val="TableGrid"/>
    <w:qFormat/>
    <w:rsid w:val="00800DD5"/>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
    <w:name w:val="Light Grid - Accent 51"/>
    <w:basedOn w:val="TableNormal"/>
    <w:next w:val="LightGrid-Accent5"/>
    <w:uiPriority w:val="62"/>
    <w:qFormat/>
    <w:rsid w:val="00800DD5"/>
    <w:pPr>
      <w:spacing w:after="0" w:line="240" w:lineRule="auto"/>
    </w:pPr>
    <w:rPr>
      <w:rFonts w:eastAsia="SimSun" w:cs="Times New Roman"/>
      <w:sz w:val="24"/>
      <w:szCs w:val="24"/>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character" w:customStyle="1" w:styleId="UnresolvedMention1">
    <w:name w:val="Unresolved Mention1"/>
    <w:basedOn w:val="DefaultParagraphFont"/>
    <w:uiPriority w:val="99"/>
    <w:semiHidden/>
    <w:unhideWhenUsed/>
    <w:rsid w:val="00E15B99"/>
    <w:rPr>
      <w:color w:val="605E5C"/>
      <w:shd w:val="clear" w:color="auto" w:fill="E1DFDD"/>
    </w:rPr>
  </w:style>
  <w:style w:type="character" w:customStyle="1" w:styleId="selected">
    <w:name w:val="selected"/>
    <w:basedOn w:val="DefaultParagraphFont"/>
    <w:rsid w:val="007036A7"/>
  </w:style>
  <w:style w:type="table" w:customStyle="1" w:styleId="TableNormal0">
    <w:name w:val="TableNormal"/>
    <w:rsid w:val="00614340"/>
    <w:pPr>
      <w:spacing w:after="0" w:line="240" w:lineRule="auto"/>
    </w:pPr>
    <w:rPr>
      <w:rFonts w:eastAsia="Times New Roman" w:cs="Times New Roman"/>
      <w:sz w:val="24"/>
      <w:szCs w:val="24"/>
      <w:lang w:val="vi"/>
    </w:rPr>
    <w:tblPr>
      <w:tblCellMar>
        <w:top w:w="0" w:type="dxa"/>
        <w:left w:w="0" w:type="dxa"/>
        <w:bottom w:w="0" w:type="dxa"/>
        <w:right w:w="0" w:type="dxa"/>
      </w:tblCellMar>
    </w:tblPr>
  </w:style>
  <w:style w:type="character" w:customStyle="1" w:styleId="sr-only">
    <w:name w:val="sr-only"/>
    <w:basedOn w:val="DefaultParagraphFont"/>
    <w:rsid w:val="00474ABD"/>
  </w:style>
  <w:style w:type="character" w:customStyle="1" w:styleId="apple-tab-span">
    <w:name w:val="apple-tab-span"/>
    <w:basedOn w:val="DefaultParagraphFont"/>
    <w:rsid w:val="00474ABD"/>
  </w:style>
  <w:style w:type="character" w:customStyle="1" w:styleId="citation-38">
    <w:name w:val="citation-38"/>
    <w:basedOn w:val="DefaultParagraphFont"/>
    <w:rsid w:val="00474ABD"/>
  </w:style>
  <w:style w:type="character" w:customStyle="1" w:styleId="citation-40">
    <w:name w:val="citation-40"/>
    <w:basedOn w:val="DefaultParagraphFont"/>
    <w:rsid w:val="00474ABD"/>
  </w:style>
  <w:style w:type="character" w:customStyle="1" w:styleId="citation-39">
    <w:name w:val="citation-39"/>
    <w:basedOn w:val="DefaultParagraphFont"/>
    <w:rsid w:val="00474ABD"/>
  </w:style>
  <w:style w:type="character" w:customStyle="1" w:styleId="citation-45">
    <w:name w:val="citation-45"/>
    <w:basedOn w:val="DefaultParagraphFont"/>
    <w:rsid w:val="00474ABD"/>
  </w:style>
  <w:style w:type="paragraph" w:customStyle="1" w:styleId="CharChar4CharCharCharCharCharCharCharCharCharCharCharChar1Char">
    <w:name w:val="Char Char4 Char Char Char Char Char Char Char Char Char Char Char Char1 Char"/>
    <w:basedOn w:val="Normal"/>
    <w:rsid w:val="00474ABD"/>
    <w:pPr>
      <w:pageBreakBefore/>
      <w:spacing w:before="100" w:beforeAutospacing="1" w:after="100" w:afterAutospacing="1" w:line="240" w:lineRule="auto"/>
    </w:pPr>
    <w:rPr>
      <w:rFonts w:ascii="Tahoma" w:eastAsia="Times New Roman" w:hAnsi="Tahoma" w:cs="Times New Roman"/>
      <w:bCs/>
      <w:sz w:val="20"/>
      <w:szCs w:val="20"/>
    </w:rPr>
  </w:style>
  <w:style w:type="paragraph" w:customStyle="1" w:styleId="Gu">
    <w:name w:val="Gu"/>
    <w:basedOn w:val="Normal"/>
    <w:link w:val="GuCharChar"/>
    <w:rsid w:val="00474ABD"/>
    <w:pPr>
      <w:numPr>
        <w:numId w:val="31"/>
      </w:numPr>
      <w:spacing w:before="60" w:after="0" w:line="240" w:lineRule="auto"/>
      <w:jc w:val="both"/>
      <w:outlineLvl w:val="0"/>
    </w:pPr>
    <w:rPr>
      <w:rFonts w:eastAsia="Times New Roman" w:cs="Times New Roman"/>
      <w:sz w:val="26"/>
      <w:szCs w:val="26"/>
      <w:lang w:val="x-none" w:eastAsia="x-none"/>
    </w:rPr>
  </w:style>
  <w:style w:type="character" w:customStyle="1" w:styleId="GuCharChar">
    <w:name w:val="Gu Char Char"/>
    <w:link w:val="Gu"/>
    <w:rsid w:val="00474ABD"/>
    <w:rPr>
      <w:rFonts w:eastAsia="Times New Roman" w:cs="Times New Roman"/>
      <w:sz w:val="26"/>
      <w:szCs w:val="26"/>
      <w:lang w:val="x-none" w:eastAsia="x-none"/>
    </w:rPr>
  </w:style>
  <w:style w:type="character" w:customStyle="1" w:styleId="sentence">
    <w:name w:val="sentence"/>
    <w:basedOn w:val="DefaultParagraphFont"/>
    <w:rsid w:val="00474ABD"/>
  </w:style>
  <w:style w:type="character" w:customStyle="1" w:styleId="s1">
    <w:name w:val="s1"/>
    <w:rsid w:val="00474ABD"/>
    <w:rPr>
      <w:rFonts w:ascii="UICTFontTextStyleBody" w:hAnsi="UICTFontTextStyleBody" w:hint="default"/>
      <w:b w:val="0"/>
      <w:bCs w:val="0"/>
      <w:i w:val="0"/>
      <w:iCs w:val="0"/>
      <w:sz w:val="28"/>
      <w:szCs w:val="28"/>
    </w:rPr>
  </w:style>
  <w:style w:type="numbering" w:customStyle="1" w:styleId="NoList11">
    <w:name w:val="No List11"/>
    <w:next w:val="NoList"/>
    <w:uiPriority w:val="99"/>
    <w:semiHidden/>
    <w:unhideWhenUsed/>
    <w:rsid w:val="00474ABD"/>
  </w:style>
  <w:style w:type="character" w:customStyle="1" w:styleId="uv3um">
    <w:name w:val="uv3um"/>
    <w:basedOn w:val="DefaultParagraphFont"/>
    <w:rsid w:val="00474ABD"/>
  </w:style>
  <w:style w:type="character" w:customStyle="1" w:styleId="y2iqfc">
    <w:name w:val="y2iqfc"/>
    <w:basedOn w:val="DefaultParagraphFont"/>
    <w:rsid w:val="00474ABD"/>
  </w:style>
  <w:style w:type="character" w:customStyle="1" w:styleId="relative">
    <w:name w:val="relative"/>
    <w:basedOn w:val="DefaultParagraphFont"/>
    <w:rsid w:val="00474ABD"/>
  </w:style>
  <w:style w:type="character" w:customStyle="1" w:styleId="UnresolvedMention">
    <w:name w:val="Unresolved Mention"/>
    <w:basedOn w:val="DefaultParagraphFont"/>
    <w:uiPriority w:val="99"/>
    <w:semiHidden/>
    <w:unhideWhenUsed/>
    <w:rsid w:val="00474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4584">
      <w:bodyDiv w:val="1"/>
      <w:marLeft w:val="0"/>
      <w:marRight w:val="0"/>
      <w:marTop w:val="0"/>
      <w:marBottom w:val="0"/>
      <w:divBdr>
        <w:top w:val="none" w:sz="0" w:space="0" w:color="auto"/>
        <w:left w:val="none" w:sz="0" w:space="0" w:color="auto"/>
        <w:bottom w:val="none" w:sz="0" w:space="0" w:color="auto"/>
        <w:right w:val="none" w:sz="0" w:space="0" w:color="auto"/>
      </w:divBdr>
    </w:div>
    <w:div w:id="296421558">
      <w:bodyDiv w:val="1"/>
      <w:marLeft w:val="0"/>
      <w:marRight w:val="0"/>
      <w:marTop w:val="0"/>
      <w:marBottom w:val="0"/>
      <w:divBdr>
        <w:top w:val="none" w:sz="0" w:space="0" w:color="auto"/>
        <w:left w:val="none" w:sz="0" w:space="0" w:color="auto"/>
        <w:bottom w:val="none" w:sz="0" w:space="0" w:color="auto"/>
        <w:right w:val="none" w:sz="0" w:space="0" w:color="auto"/>
      </w:divBdr>
    </w:div>
    <w:div w:id="317271200">
      <w:bodyDiv w:val="1"/>
      <w:marLeft w:val="0"/>
      <w:marRight w:val="0"/>
      <w:marTop w:val="0"/>
      <w:marBottom w:val="0"/>
      <w:divBdr>
        <w:top w:val="none" w:sz="0" w:space="0" w:color="auto"/>
        <w:left w:val="none" w:sz="0" w:space="0" w:color="auto"/>
        <w:bottom w:val="none" w:sz="0" w:space="0" w:color="auto"/>
        <w:right w:val="none" w:sz="0" w:space="0" w:color="auto"/>
      </w:divBdr>
    </w:div>
    <w:div w:id="450904578">
      <w:bodyDiv w:val="1"/>
      <w:marLeft w:val="0"/>
      <w:marRight w:val="0"/>
      <w:marTop w:val="0"/>
      <w:marBottom w:val="0"/>
      <w:divBdr>
        <w:top w:val="none" w:sz="0" w:space="0" w:color="auto"/>
        <w:left w:val="none" w:sz="0" w:space="0" w:color="auto"/>
        <w:bottom w:val="none" w:sz="0" w:space="0" w:color="auto"/>
        <w:right w:val="none" w:sz="0" w:space="0" w:color="auto"/>
      </w:divBdr>
    </w:div>
    <w:div w:id="453989792">
      <w:bodyDiv w:val="1"/>
      <w:marLeft w:val="0"/>
      <w:marRight w:val="0"/>
      <w:marTop w:val="0"/>
      <w:marBottom w:val="0"/>
      <w:divBdr>
        <w:top w:val="none" w:sz="0" w:space="0" w:color="auto"/>
        <w:left w:val="none" w:sz="0" w:space="0" w:color="auto"/>
        <w:bottom w:val="none" w:sz="0" w:space="0" w:color="auto"/>
        <w:right w:val="none" w:sz="0" w:space="0" w:color="auto"/>
      </w:divBdr>
    </w:div>
    <w:div w:id="457458328">
      <w:bodyDiv w:val="1"/>
      <w:marLeft w:val="0"/>
      <w:marRight w:val="0"/>
      <w:marTop w:val="0"/>
      <w:marBottom w:val="0"/>
      <w:divBdr>
        <w:top w:val="none" w:sz="0" w:space="0" w:color="auto"/>
        <w:left w:val="none" w:sz="0" w:space="0" w:color="auto"/>
        <w:bottom w:val="none" w:sz="0" w:space="0" w:color="auto"/>
        <w:right w:val="none" w:sz="0" w:space="0" w:color="auto"/>
      </w:divBdr>
    </w:div>
    <w:div w:id="583495654">
      <w:bodyDiv w:val="1"/>
      <w:marLeft w:val="0"/>
      <w:marRight w:val="0"/>
      <w:marTop w:val="0"/>
      <w:marBottom w:val="0"/>
      <w:divBdr>
        <w:top w:val="none" w:sz="0" w:space="0" w:color="auto"/>
        <w:left w:val="none" w:sz="0" w:space="0" w:color="auto"/>
        <w:bottom w:val="none" w:sz="0" w:space="0" w:color="auto"/>
        <w:right w:val="none" w:sz="0" w:space="0" w:color="auto"/>
      </w:divBdr>
    </w:div>
    <w:div w:id="601884420">
      <w:bodyDiv w:val="1"/>
      <w:marLeft w:val="0"/>
      <w:marRight w:val="0"/>
      <w:marTop w:val="0"/>
      <w:marBottom w:val="0"/>
      <w:divBdr>
        <w:top w:val="none" w:sz="0" w:space="0" w:color="auto"/>
        <w:left w:val="none" w:sz="0" w:space="0" w:color="auto"/>
        <w:bottom w:val="none" w:sz="0" w:space="0" w:color="auto"/>
        <w:right w:val="none" w:sz="0" w:space="0" w:color="auto"/>
      </w:divBdr>
    </w:div>
    <w:div w:id="699403691">
      <w:bodyDiv w:val="1"/>
      <w:marLeft w:val="0"/>
      <w:marRight w:val="0"/>
      <w:marTop w:val="0"/>
      <w:marBottom w:val="0"/>
      <w:divBdr>
        <w:top w:val="none" w:sz="0" w:space="0" w:color="auto"/>
        <w:left w:val="none" w:sz="0" w:space="0" w:color="auto"/>
        <w:bottom w:val="none" w:sz="0" w:space="0" w:color="auto"/>
        <w:right w:val="none" w:sz="0" w:space="0" w:color="auto"/>
      </w:divBdr>
    </w:div>
    <w:div w:id="742527193">
      <w:bodyDiv w:val="1"/>
      <w:marLeft w:val="0"/>
      <w:marRight w:val="0"/>
      <w:marTop w:val="0"/>
      <w:marBottom w:val="0"/>
      <w:divBdr>
        <w:top w:val="none" w:sz="0" w:space="0" w:color="auto"/>
        <w:left w:val="none" w:sz="0" w:space="0" w:color="auto"/>
        <w:bottom w:val="none" w:sz="0" w:space="0" w:color="auto"/>
        <w:right w:val="none" w:sz="0" w:space="0" w:color="auto"/>
      </w:divBdr>
    </w:div>
    <w:div w:id="836456425">
      <w:bodyDiv w:val="1"/>
      <w:marLeft w:val="0"/>
      <w:marRight w:val="0"/>
      <w:marTop w:val="0"/>
      <w:marBottom w:val="0"/>
      <w:divBdr>
        <w:top w:val="none" w:sz="0" w:space="0" w:color="auto"/>
        <w:left w:val="none" w:sz="0" w:space="0" w:color="auto"/>
        <w:bottom w:val="none" w:sz="0" w:space="0" w:color="auto"/>
        <w:right w:val="none" w:sz="0" w:space="0" w:color="auto"/>
      </w:divBdr>
    </w:div>
    <w:div w:id="842478879">
      <w:bodyDiv w:val="1"/>
      <w:marLeft w:val="0"/>
      <w:marRight w:val="0"/>
      <w:marTop w:val="0"/>
      <w:marBottom w:val="0"/>
      <w:divBdr>
        <w:top w:val="none" w:sz="0" w:space="0" w:color="auto"/>
        <w:left w:val="none" w:sz="0" w:space="0" w:color="auto"/>
        <w:bottom w:val="none" w:sz="0" w:space="0" w:color="auto"/>
        <w:right w:val="none" w:sz="0" w:space="0" w:color="auto"/>
      </w:divBdr>
    </w:div>
    <w:div w:id="1228884980">
      <w:bodyDiv w:val="1"/>
      <w:marLeft w:val="0"/>
      <w:marRight w:val="0"/>
      <w:marTop w:val="0"/>
      <w:marBottom w:val="0"/>
      <w:divBdr>
        <w:top w:val="none" w:sz="0" w:space="0" w:color="auto"/>
        <w:left w:val="none" w:sz="0" w:space="0" w:color="auto"/>
        <w:bottom w:val="none" w:sz="0" w:space="0" w:color="auto"/>
        <w:right w:val="none" w:sz="0" w:space="0" w:color="auto"/>
      </w:divBdr>
    </w:div>
    <w:div w:id="1381709487">
      <w:bodyDiv w:val="1"/>
      <w:marLeft w:val="0"/>
      <w:marRight w:val="0"/>
      <w:marTop w:val="0"/>
      <w:marBottom w:val="0"/>
      <w:divBdr>
        <w:top w:val="none" w:sz="0" w:space="0" w:color="auto"/>
        <w:left w:val="none" w:sz="0" w:space="0" w:color="auto"/>
        <w:bottom w:val="none" w:sz="0" w:space="0" w:color="auto"/>
        <w:right w:val="none" w:sz="0" w:space="0" w:color="auto"/>
      </w:divBdr>
    </w:div>
    <w:div w:id="1527599234">
      <w:bodyDiv w:val="1"/>
      <w:marLeft w:val="0"/>
      <w:marRight w:val="0"/>
      <w:marTop w:val="0"/>
      <w:marBottom w:val="0"/>
      <w:divBdr>
        <w:top w:val="none" w:sz="0" w:space="0" w:color="auto"/>
        <w:left w:val="none" w:sz="0" w:space="0" w:color="auto"/>
        <w:bottom w:val="none" w:sz="0" w:space="0" w:color="auto"/>
        <w:right w:val="none" w:sz="0" w:space="0" w:color="auto"/>
      </w:divBdr>
    </w:div>
    <w:div w:id="16227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BCTK 11.3.26 (1).docx</AttachmentName>
  </documentManagement>
</p:properties>
</file>

<file path=customXml/itemProps1.xml><?xml version="1.0" encoding="utf-8"?>
<ds:datastoreItem xmlns:ds="http://schemas.openxmlformats.org/officeDocument/2006/customXml" ds:itemID="{7A1D0B66-01E0-474C-931C-B24B60A94E03}">
  <ds:schemaRefs>
    <ds:schemaRef ds:uri="http://schemas.openxmlformats.org/officeDocument/2006/bibliography"/>
  </ds:schemaRefs>
</ds:datastoreItem>
</file>

<file path=customXml/itemProps2.xml><?xml version="1.0" encoding="utf-8"?>
<ds:datastoreItem xmlns:ds="http://schemas.openxmlformats.org/officeDocument/2006/customXml" ds:itemID="{0C97F3D6-25C8-433E-A860-88B31827BA82}"/>
</file>

<file path=customXml/itemProps3.xml><?xml version="1.0" encoding="utf-8"?>
<ds:datastoreItem xmlns:ds="http://schemas.openxmlformats.org/officeDocument/2006/customXml" ds:itemID="{5B41F51E-001E-4FAB-94DA-16EF3F039593}"/>
</file>

<file path=customXml/itemProps4.xml><?xml version="1.0" encoding="utf-8"?>
<ds:datastoreItem xmlns:ds="http://schemas.openxmlformats.org/officeDocument/2006/customXml" ds:itemID="{C3D0636F-388F-4923-8F2B-232484F0860B}"/>
</file>

<file path=docProps/app.xml><?xml version="1.0" encoding="utf-8"?>
<Properties xmlns="http://schemas.openxmlformats.org/officeDocument/2006/extended-properties" xmlns:vt="http://schemas.openxmlformats.org/officeDocument/2006/docPropsVTypes">
  <Template>Normal.dotm</Template>
  <TotalTime>1742</TotalTime>
  <Pages>63</Pages>
  <Words>22268</Words>
  <Characters>126929</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TCT</Company>
  <LinksUpToDate>false</LinksUpToDate>
  <CharactersWithSpaces>148900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BCTK 11.3.26 (1).docx</dc:title>
  <dc:subject/>
  <dc:creator>Anh, Dang Kieu Anh (CS-CT)</dc:creator>
  <cp:keywords/>
  <dc:description/>
  <cp:lastModifiedBy>Tam, Nguyen Thi Minh Tam (CS-TCT)</cp:lastModifiedBy>
  <cp:revision>38</cp:revision>
  <cp:lastPrinted>2025-09-23T03:03:00Z</cp:lastPrinted>
  <dcterms:created xsi:type="dcterms:W3CDTF">2025-09-22T02:13:00Z</dcterms:created>
  <dcterms:modified xsi:type="dcterms:W3CDTF">2026-03-10T11:15:00Z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