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3429"/>
        <w:gridCol w:w="5643"/>
      </w:tblGrid>
      <w:tr w:rsidR="00944BA3" w:rsidRPr="00DF41B2" w14:paraId="4336343F" w14:textId="77777777" w:rsidTr="00944BA3">
        <w:tc>
          <w:tcPr>
            <w:tcW w:w="1890" w:type="pct"/>
          </w:tcPr>
          <w:p w14:paraId="5F5DC460" w14:textId="2B5A242C" w:rsidR="00944BA3" w:rsidRPr="00380440" w:rsidRDefault="00944BA3" w:rsidP="00944BA3">
            <w:pPr>
              <w:spacing w:after="0" w:line="264" w:lineRule="auto"/>
              <w:jc w:val="center"/>
              <w:rPr>
                <w:rFonts w:cs="Times New Roman"/>
                <w:bCs/>
                <w:color w:val="000000" w:themeColor="text1"/>
                <w:sz w:val="28"/>
                <w:szCs w:val="28"/>
                <w:lang w:val="en-GB"/>
              </w:rPr>
            </w:pPr>
            <w:r w:rsidRPr="00380440">
              <w:rPr>
                <w:rFonts w:cs="Times New Roman"/>
                <w:bCs/>
                <w:color w:val="000000" w:themeColor="text1"/>
                <w:sz w:val="28"/>
                <w:szCs w:val="28"/>
              </w:rPr>
              <w:t>BỘ Y TẾ</w:t>
            </w:r>
          </w:p>
          <w:p w14:paraId="2B43931C" w14:textId="40AF6406" w:rsidR="00944BA3" w:rsidRPr="000B7276" w:rsidRDefault="00944BA3" w:rsidP="00944BA3">
            <w:pPr>
              <w:spacing w:after="0" w:line="264" w:lineRule="auto"/>
              <w:jc w:val="center"/>
              <w:rPr>
                <w:rFonts w:cs="Times New Roman"/>
                <w:b/>
                <w:color w:val="000000" w:themeColor="text1"/>
                <w:sz w:val="26"/>
                <w:szCs w:val="26"/>
                <w:lang w:val="en-GB"/>
              </w:rPr>
            </w:pPr>
            <w:r>
              <w:rPr>
                <w:rFonts w:cs="Times New Roman"/>
                <w:b/>
                <w:color w:val="000000" w:themeColor="text1"/>
                <w:sz w:val="26"/>
                <w:szCs w:val="26"/>
                <w:lang w:val="en-GB"/>
              </w:rPr>
              <w:t>CỤC DÂN SỐ</w:t>
            </w:r>
          </w:p>
        </w:tc>
        <w:tc>
          <w:tcPr>
            <w:tcW w:w="3110" w:type="pct"/>
          </w:tcPr>
          <w:p w14:paraId="5A6F52CA" w14:textId="77777777" w:rsidR="00944BA3" w:rsidRDefault="00944BA3" w:rsidP="00944BA3">
            <w:pPr>
              <w:spacing w:after="0" w:line="264" w:lineRule="auto"/>
              <w:jc w:val="center"/>
              <w:rPr>
                <w:rFonts w:cs="Times New Roman"/>
                <w:b/>
                <w:color w:val="000000" w:themeColor="text1"/>
                <w:sz w:val="26"/>
                <w:szCs w:val="26"/>
              </w:rPr>
            </w:pPr>
            <w:r w:rsidRPr="00DF41B2">
              <w:rPr>
                <w:rFonts w:cs="Times New Roman"/>
                <w:b/>
                <w:color w:val="000000" w:themeColor="text1"/>
                <w:sz w:val="26"/>
                <w:szCs w:val="26"/>
              </w:rPr>
              <w:t>CỘNG HÒA XÃ HỘI CHỦ NGHĨA VIỆT NAM</w:t>
            </w:r>
          </w:p>
          <w:p w14:paraId="7BC8035E" w14:textId="77777777" w:rsidR="00944BA3" w:rsidRPr="00DF41B2" w:rsidRDefault="00944BA3" w:rsidP="00944BA3">
            <w:pPr>
              <w:spacing w:after="0" w:line="264" w:lineRule="auto"/>
              <w:jc w:val="center"/>
              <w:rPr>
                <w:rFonts w:cs="Times New Roman"/>
                <w:b/>
                <w:color w:val="000000" w:themeColor="text1"/>
                <w:sz w:val="26"/>
                <w:szCs w:val="26"/>
              </w:rPr>
            </w:pPr>
            <w:r w:rsidRPr="00DF41B2">
              <w:rPr>
                <w:rFonts w:cs="Times New Roman"/>
                <w:b/>
                <w:color w:val="000000" w:themeColor="text1"/>
                <w:sz w:val="28"/>
                <w:szCs w:val="28"/>
              </w:rPr>
              <w:t>Độc lập - Tự do - Hạnh phúc</w:t>
            </w:r>
          </w:p>
        </w:tc>
      </w:tr>
      <w:tr w:rsidR="00944BA3" w:rsidRPr="00DF41B2" w14:paraId="79284152" w14:textId="77777777" w:rsidTr="00944BA3">
        <w:tc>
          <w:tcPr>
            <w:tcW w:w="1890" w:type="pct"/>
          </w:tcPr>
          <w:p w14:paraId="54508859" w14:textId="0076518A" w:rsidR="00944BA3" w:rsidRPr="00944BA3" w:rsidRDefault="00944BA3" w:rsidP="00944BA3">
            <w:pPr>
              <w:spacing w:before="120"/>
              <w:jc w:val="center"/>
              <w:rPr>
                <w:rFonts w:cs="Times New Roman"/>
                <w:bCs/>
                <w:color w:val="000000" w:themeColor="text1"/>
                <w:sz w:val="26"/>
                <w:szCs w:val="26"/>
                <w:lang w:val="en-GB"/>
              </w:rPr>
            </w:pPr>
            <w:r>
              <w:rPr>
                <w:rFonts w:cs="Times New Roman"/>
                <w:b/>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185EEC17" wp14:editId="104049A4">
                      <wp:simplePos x="0" y="0"/>
                      <wp:positionH relativeFrom="column">
                        <wp:posOffset>746760</wp:posOffset>
                      </wp:positionH>
                      <wp:positionV relativeFrom="paragraph">
                        <wp:posOffset>5080</wp:posOffset>
                      </wp:positionV>
                      <wp:extent cx="514350" cy="0"/>
                      <wp:effectExtent l="0" t="0" r="0" b="0"/>
                      <wp:wrapNone/>
                      <wp:docPr id="194752780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43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7F0839"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8pt,.4pt" to="99.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" strokecolor="black [3200]" strokeweight=".25pt">
                      <v:stroke joinstyle="miter"/>
                      <o:lock v:ext="edit" shapetype="f"/>
                    </v:line>
                  </w:pict>
                </mc:Fallback>
              </mc:AlternateContent>
            </w:r>
            <w:r w:rsidRPr="00DF41B2">
              <w:rPr>
                <w:rFonts w:cs="Times New Roman"/>
                <w:bCs/>
                <w:color w:val="000000" w:themeColor="text1"/>
                <w:sz w:val="26"/>
                <w:szCs w:val="26"/>
              </w:rPr>
              <w:t>Số:           /BC-</w:t>
            </w:r>
            <w:r>
              <w:rPr>
                <w:rFonts w:cs="Times New Roman"/>
                <w:bCs/>
                <w:color w:val="000000" w:themeColor="text1"/>
                <w:sz w:val="26"/>
                <w:szCs w:val="26"/>
                <w:lang w:val="en-GB"/>
              </w:rPr>
              <w:t>CDS</w:t>
            </w:r>
          </w:p>
        </w:tc>
        <w:tc>
          <w:tcPr>
            <w:tcW w:w="3110" w:type="pct"/>
          </w:tcPr>
          <w:p w14:paraId="308BAAE8" w14:textId="78ADF50E" w:rsidR="00944BA3" w:rsidRPr="005C6622" w:rsidRDefault="00944BA3" w:rsidP="00F64B0F">
            <w:pPr>
              <w:spacing w:before="120"/>
              <w:jc w:val="center"/>
              <w:rPr>
                <w:rFonts w:cs="Times New Roman"/>
                <w:i/>
                <w:color w:val="000000" w:themeColor="text1"/>
                <w:sz w:val="28"/>
                <w:szCs w:val="28"/>
                <w:lang w:val="en-GB"/>
              </w:rPr>
            </w:pPr>
            <w:r>
              <w:rPr>
                <w:rFonts w:cs="Times New Roman"/>
                <w:b/>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211A70BE" wp14:editId="0E63E63E">
                      <wp:simplePos x="0" y="0"/>
                      <wp:positionH relativeFrom="column">
                        <wp:posOffset>708660</wp:posOffset>
                      </wp:positionH>
                      <wp:positionV relativeFrom="paragraph">
                        <wp:posOffset>29209</wp:posOffset>
                      </wp:positionV>
                      <wp:extent cx="2115820" cy="0"/>
                      <wp:effectExtent l="0" t="0" r="0" b="0"/>
                      <wp:wrapNone/>
                      <wp:docPr id="71180005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582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E767B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8pt,2.3pt" to="222.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" strokecolor="black [3200]" strokeweight=".25pt">
                      <v:stroke joinstyle="miter"/>
                      <o:lock v:ext="edit" shapetype="f"/>
                    </v:line>
                  </w:pict>
                </mc:Fallback>
              </mc:AlternateContent>
            </w:r>
            <w:r w:rsidRPr="00DF41B2">
              <w:rPr>
                <w:rFonts w:cs="Times New Roman"/>
                <w:i/>
                <w:iCs/>
                <w:color w:val="000000" w:themeColor="text1"/>
                <w:sz w:val="28"/>
                <w:szCs w:val="28"/>
              </w:rPr>
              <w:t>Hà Nội, ngày       tháng</w:t>
            </w:r>
            <w:r>
              <w:rPr>
                <w:rFonts w:cs="Times New Roman"/>
                <w:i/>
                <w:iCs/>
                <w:color w:val="000000" w:themeColor="text1"/>
                <w:sz w:val="28"/>
                <w:szCs w:val="28"/>
                <w:lang w:val="en-GB"/>
              </w:rPr>
              <w:t xml:space="preserve"> </w:t>
            </w:r>
            <w:r>
              <w:rPr>
                <w:rFonts w:cs="Times New Roman"/>
                <w:i/>
                <w:iCs/>
                <w:color w:val="000000" w:themeColor="text1"/>
                <w:sz w:val="28"/>
                <w:szCs w:val="28"/>
                <w:lang w:val="en-GB"/>
              </w:rPr>
              <w:t xml:space="preserve">  </w:t>
            </w:r>
            <w:r>
              <w:rPr>
                <w:rFonts w:cs="Times New Roman"/>
                <w:i/>
                <w:iCs/>
                <w:color w:val="000000" w:themeColor="text1"/>
                <w:sz w:val="28"/>
                <w:szCs w:val="28"/>
                <w:lang w:val="en-GB"/>
              </w:rPr>
              <w:t xml:space="preserve"> </w:t>
            </w:r>
            <w:r w:rsidRPr="00DF41B2">
              <w:rPr>
                <w:rFonts w:cs="Times New Roman"/>
                <w:i/>
                <w:iCs/>
                <w:color w:val="000000" w:themeColor="text1"/>
                <w:sz w:val="28"/>
                <w:szCs w:val="28"/>
              </w:rPr>
              <w:t>năm 202</w:t>
            </w:r>
            <w:r>
              <w:rPr>
                <w:rFonts w:cs="Times New Roman"/>
                <w:i/>
                <w:iCs/>
                <w:color w:val="000000" w:themeColor="text1"/>
                <w:sz w:val="28"/>
                <w:szCs w:val="28"/>
                <w:lang w:val="en-GB"/>
              </w:rPr>
              <w:t>6</w:t>
            </w:r>
          </w:p>
        </w:tc>
      </w:tr>
    </w:tbl>
    <w:p w14:paraId="0A6B1332" w14:textId="3DE951AE" w:rsidR="00A37FE8" w:rsidRPr="00146F85" w:rsidRDefault="00E90BB6" w:rsidP="000C001D">
      <w:pPr>
        <w:spacing w:after="0"/>
        <w:jc w:val="center"/>
        <w:rPr>
          <w:rFonts w:cs="Times New Roman"/>
          <w:b/>
          <w:bCs/>
          <w:sz w:val="28"/>
          <w:szCs w:val="28"/>
        </w:rPr>
      </w:pPr>
      <w:r w:rsidRPr="00F11052">
        <w:rPr>
          <w:noProof/>
          <w:spacing w:val="-8"/>
        </w:rPr>
        <mc:AlternateContent>
          <mc:Choice Requires="wps">
            <w:drawing>
              <wp:anchor distT="0" distB="0" distL="114300" distR="114300" simplePos="0" relativeHeight="251662336" behindDoc="0" locked="0" layoutInCell="1" allowOverlap="1" wp14:anchorId="59540188" wp14:editId="6EF35115">
                <wp:simplePos x="0" y="0"/>
                <wp:positionH relativeFrom="column">
                  <wp:posOffset>-866775</wp:posOffset>
                </wp:positionH>
                <wp:positionV relativeFrom="paragraph">
                  <wp:posOffset>-1351915</wp:posOffset>
                </wp:positionV>
                <wp:extent cx="1485900" cy="514350"/>
                <wp:effectExtent l="0" t="0" r="19050" b="19050"/>
                <wp:wrapNone/>
                <wp:docPr id="18358944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14350"/>
                        </a:xfrm>
                        <a:prstGeom prst="rect">
                          <a:avLst/>
                        </a:prstGeom>
                        <a:solidFill>
                          <a:srgbClr val="FFFFFF"/>
                        </a:solidFill>
                        <a:ln w="9525">
                          <a:solidFill>
                            <a:srgbClr val="000000"/>
                          </a:solidFill>
                          <a:miter lim="800000"/>
                          <a:headEnd/>
                          <a:tailEnd/>
                        </a:ln>
                      </wps:spPr>
                      <wps:txbx>
                        <w:txbxContent>
                          <w:p w14:paraId="1CC8FC5D" w14:textId="77777777" w:rsidR="00CC2663" w:rsidRPr="00027DA8" w:rsidRDefault="00CC2663" w:rsidP="00E90BB6">
                            <w:pPr>
                              <w:spacing w:after="0"/>
                              <w:jc w:val="center"/>
                              <w:rPr>
                                <w:rFonts w:cs="Times New Roman"/>
                                <w:b/>
                                <w:sz w:val="28"/>
                                <w:szCs w:val="28"/>
                              </w:rPr>
                            </w:pPr>
                            <w:r w:rsidRPr="00027DA8">
                              <w:rPr>
                                <w:rFonts w:cs="Times New Roman"/>
                                <w:b/>
                                <w:sz w:val="28"/>
                                <w:szCs w:val="28"/>
                              </w:rPr>
                              <w:t xml:space="preserve">Dự thảo </w:t>
                            </w:r>
                          </w:p>
                          <w:p w14:paraId="65862FDC" w14:textId="77777777" w:rsidR="00CC2663" w:rsidRPr="00027DA8" w:rsidRDefault="00CC2663" w:rsidP="00CC2663">
                            <w:pPr>
                              <w:jc w:val="center"/>
                              <w:rPr>
                                <w:rFonts w:cs="Times New Roman"/>
                                <w:b/>
                                <w:sz w:val="28"/>
                                <w:szCs w:val="28"/>
                              </w:rPr>
                            </w:pPr>
                            <w:r w:rsidRPr="00027DA8">
                              <w:rPr>
                                <w:rFonts w:cs="Times New Roman"/>
                                <w:b/>
                                <w:sz w:val="28"/>
                                <w:szCs w:val="28"/>
                              </w:rPr>
                              <w:t>Ngày 09/3/2026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540188" id="Rectangle 2" o:spid="_x0000_s1026" style="position:absolute;left:0;text-align:left;margin-left:-68.25pt;margin-top:-106.45pt;width:117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">
                <v:textbox>
                  <w:txbxContent>
                    <w:p w14:paraId="1CC8FC5D" w14:textId="77777777" w:rsidR="00CC2663" w:rsidRPr="00027DA8" w:rsidRDefault="00CC2663" w:rsidP="00E90BB6">
                      <w:pPr>
                        <w:spacing w:after="0"/>
                        <w:jc w:val="center"/>
                        <w:rPr>
                          <w:rFonts w:cs="Times New Roman"/>
                          <w:b/>
                          <w:sz w:val="28"/>
                          <w:szCs w:val="28"/>
                        </w:rPr>
                      </w:pPr>
                      <w:r w:rsidRPr="00027DA8">
                        <w:rPr>
                          <w:rFonts w:cs="Times New Roman"/>
                          <w:b/>
                          <w:sz w:val="28"/>
                          <w:szCs w:val="28"/>
                        </w:rPr>
                        <w:t xml:space="preserve">Dự thảo </w:t>
                      </w:r>
                    </w:p>
                    <w:p w14:paraId="65862FDC" w14:textId="77777777" w:rsidR="00CC2663" w:rsidRPr="00027DA8" w:rsidRDefault="00CC2663" w:rsidP="00CC2663">
                      <w:pPr>
                        <w:jc w:val="center"/>
                        <w:rPr>
                          <w:rFonts w:cs="Times New Roman"/>
                          <w:b/>
                          <w:sz w:val="28"/>
                          <w:szCs w:val="28"/>
                        </w:rPr>
                      </w:pPr>
                      <w:r w:rsidRPr="00027DA8">
                        <w:rPr>
                          <w:rFonts w:cs="Times New Roman"/>
                          <w:b/>
                          <w:sz w:val="28"/>
                          <w:szCs w:val="28"/>
                        </w:rPr>
                        <w:t>Ngày 09/3/2026</w:t>
                      </w:r>
                    </w:p>
                  </w:txbxContent>
                </v:textbox>
              </v:rect>
            </w:pict>
          </mc:Fallback>
        </mc:AlternateContent>
      </w:r>
      <w:r w:rsidR="00146F85">
        <w:rPr>
          <w:rFonts w:cs="Times New Roman"/>
          <w:b/>
          <w:bCs/>
          <w:sz w:val="28"/>
          <w:szCs w:val="28"/>
        </w:rPr>
        <w:t>ĐÁNH GIÁ THỦ TỤC HÀNH CHÍNH</w:t>
      </w:r>
      <w:r w:rsidR="006F4E68">
        <w:rPr>
          <w:rFonts w:cs="Times New Roman"/>
          <w:b/>
          <w:bCs/>
          <w:sz w:val="28"/>
          <w:szCs w:val="28"/>
        </w:rPr>
        <w:t xml:space="preserve">, VIỆC PHÂN QUYỀN, PHÂN CẤP, BẢO ĐẢM BÌNH ĐẲNG GIỚI, VIỆC THỰC HIỆN CHÍNH SÁCH DÂN TỘC </w:t>
      </w:r>
      <w:r w:rsidR="00146F85">
        <w:rPr>
          <w:rFonts w:cs="Times New Roman"/>
          <w:b/>
          <w:bCs/>
          <w:sz w:val="28"/>
          <w:szCs w:val="28"/>
        </w:rPr>
        <w:t>TRONG DỰ THẢO THÔNG TƯ BAN HÀNH DANH MỤC CÁC BỆNH DI TRUYỀN LIÊN QUAN ĐẾN GIỚI TÍNH PHỤC VỤ CHẨN ĐOÁN VÀ ĐIỀU TRỊ TRƯỚC SINH VÀ SƠ SINH</w:t>
      </w:r>
    </w:p>
    <w:p w14:paraId="42D90031" w14:textId="77777777" w:rsidR="00FA0E4E" w:rsidRPr="00FA0E4E" w:rsidRDefault="00FA0E4E" w:rsidP="00FE57D8">
      <w:pPr>
        <w:spacing w:before="120" w:after="120" w:line="240" w:lineRule="auto"/>
        <w:ind w:firstLine="720"/>
        <w:jc w:val="both"/>
        <w:rPr>
          <w:rFonts w:cs="Times New Roman"/>
          <w:b/>
          <w:bCs/>
          <w:sz w:val="26"/>
          <w:szCs w:val="26"/>
        </w:rPr>
      </w:pPr>
    </w:p>
    <w:p w14:paraId="5A41B115" w14:textId="189AD496" w:rsidR="00146F85" w:rsidRPr="0027479D" w:rsidRDefault="00146F85" w:rsidP="008D1CB1">
      <w:pPr>
        <w:spacing w:after="0" w:line="240" w:lineRule="auto"/>
        <w:ind w:firstLine="567"/>
        <w:jc w:val="both"/>
        <w:rPr>
          <w:sz w:val="28"/>
          <w:szCs w:val="28"/>
        </w:rPr>
      </w:pPr>
      <w:r w:rsidRPr="0027479D">
        <w:rPr>
          <w:sz w:val="28"/>
          <w:szCs w:val="28"/>
        </w:rPr>
        <w:t>Thực hiện Luật ban hành văn bản quy phạm pháp luật năm 2025 và các văn bản hướng dẫn thi hành Luật</w:t>
      </w:r>
      <w:r w:rsidR="000F78BA">
        <w:rPr>
          <w:sz w:val="28"/>
          <w:szCs w:val="28"/>
        </w:rPr>
        <w:t>;</w:t>
      </w:r>
      <w:r w:rsidRPr="0027479D">
        <w:rPr>
          <w:sz w:val="28"/>
          <w:szCs w:val="28"/>
        </w:rPr>
        <w:t xml:space="preserve"> </w:t>
      </w:r>
      <w:r w:rsidRPr="0027479D">
        <w:rPr>
          <w:iCs/>
          <w:sz w:val="28"/>
          <w:szCs w:val="26"/>
        </w:rPr>
        <w:t>Nghị định số 78/2025/NĐ-CP ngày 01/4/2025 quy định chi tiết một số điều và biện pháp để tổ chức, hướng dẫn thi hành </w:t>
      </w:r>
      <w:bookmarkStart w:id="0" w:name="tvpllink_wmctndtokn_1"/>
      <w:r w:rsidRPr="0027479D">
        <w:rPr>
          <w:iCs/>
          <w:sz w:val="28"/>
          <w:szCs w:val="26"/>
        </w:rPr>
        <w:fldChar w:fldCharType="begin"/>
      </w:r>
      <w:r w:rsidRPr="0027479D">
        <w:rPr>
          <w:iCs/>
          <w:sz w:val="28"/>
          <w:szCs w:val="26"/>
        </w:rPr>
        <w:instrText xml:space="preserve"> HYPERLINK "https://thuvienphapluat.vn/van-ban/Bo-may-hanh-chinh/Luat-ban-hanh-van-ban-quy-pham-phap-luat-2025-so-64-2025-QH15-639239.aspx" \t "_blank" </w:instrText>
      </w:r>
      <w:r w:rsidRPr="0027479D">
        <w:rPr>
          <w:iCs/>
          <w:sz w:val="28"/>
          <w:szCs w:val="26"/>
        </w:rPr>
        <w:fldChar w:fldCharType="separate"/>
      </w:r>
      <w:r w:rsidRPr="0027479D">
        <w:rPr>
          <w:iCs/>
          <w:sz w:val="28"/>
          <w:szCs w:val="26"/>
        </w:rPr>
        <w:t>Luật Ban hành văn bản quy phạm pháp luật</w:t>
      </w:r>
      <w:r w:rsidRPr="0027479D">
        <w:rPr>
          <w:iCs/>
          <w:sz w:val="28"/>
          <w:szCs w:val="26"/>
        </w:rPr>
        <w:fldChar w:fldCharType="end"/>
      </w:r>
      <w:bookmarkEnd w:id="0"/>
      <w:r w:rsidR="000F78BA">
        <w:rPr>
          <w:iCs/>
          <w:sz w:val="28"/>
          <w:szCs w:val="26"/>
        </w:rPr>
        <w:t xml:space="preserve">; </w:t>
      </w:r>
      <w:r w:rsidR="000F78BA" w:rsidRPr="000F78BA">
        <w:rPr>
          <w:iCs/>
          <w:sz w:val="28"/>
          <w:szCs w:val="26"/>
        </w:rPr>
        <w:t>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Pr="0027479D">
        <w:rPr>
          <w:sz w:val="28"/>
          <w:szCs w:val="28"/>
        </w:rPr>
        <w:t xml:space="preserve">. </w:t>
      </w:r>
      <w:r>
        <w:rPr>
          <w:sz w:val="28"/>
          <w:szCs w:val="28"/>
        </w:rPr>
        <w:t xml:space="preserve">Cục Dân số đã </w:t>
      </w:r>
      <w:r w:rsidRPr="0027479D">
        <w:rPr>
          <w:sz w:val="28"/>
          <w:szCs w:val="28"/>
        </w:rPr>
        <w:t xml:space="preserve">thực hiện đánh giá thủ tục hành chính (TTHC) trong dự thảo </w:t>
      </w:r>
      <w:r>
        <w:rPr>
          <w:sz w:val="28"/>
          <w:szCs w:val="28"/>
        </w:rPr>
        <w:t xml:space="preserve">Thông tư ban hành danh mục các bệnh di truyền liên quan đến giới tính phục vụ chẩn đoán và điều trị trước sinh và sơ sinh </w:t>
      </w:r>
      <w:r w:rsidRPr="0027479D">
        <w:rPr>
          <w:sz w:val="28"/>
          <w:szCs w:val="28"/>
        </w:rPr>
        <w:t>(sau đây gọi tắt là dự thảo</w:t>
      </w:r>
      <w:r>
        <w:rPr>
          <w:sz w:val="28"/>
          <w:szCs w:val="28"/>
        </w:rPr>
        <w:t xml:space="preserve"> Thông tư</w:t>
      </w:r>
      <w:r w:rsidRPr="0027479D">
        <w:rPr>
          <w:sz w:val="28"/>
          <w:szCs w:val="28"/>
        </w:rPr>
        <w:t>). Kết quả thực hiện như sau:</w:t>
      </w:r>
    </w:p>
    <w:p w14:paraId="05FC2F0E" w14:textId="09EAF3F4" w:rsidR="00FA0E4E" w:rsidRPr="00146F85" w:rsidRDefault="00FA0E4E" w:rsidP="008D1CB1">
      <w:pPr>
        <w:spacing w:after="0" w:line="240" w:lineRule="auto"/>
        <w:ind w:firstLine="720"/>
        <w:jc w:val="both"/>
        <w:rPr>
          <w:rFonts w:cs="Times New Roman"/>
          <w:b/>
          <w:bCs/>
          <w:sz w:val="28"/>
          <w:szCs w:val="28"/>
        </w:rPr>
      </w:pPr>
      <w:r w:rsidRPr="00146F85">
        <w:rPr>
          <w:rFonts w:cs="Times New Roman"/>
          <w:b/>
          <w:bCs/>
          <w:sz w:val="28"/>
          <w:szCs w:val="28"/>
        </w:rPr>
        <w:t xml:space="preserve">I. </w:t>
      </w:r>
      <w:r w:rsidR="006F4E68">
        <w:rPr>
          <w:rFonts w:cs="Times New Roman"/>
          <w:b/>
          <w:bCs/>
          <w:sz w:val="28"/>
          <w:szCs w:val="28"/>
        </w:rPr>
        <w:t>TỔ CHỨC THỰC HIỆN ĐÁNH GIÁ</w:t>
      </w:r>
    </w:p>
    <w:p w14:paraId="407C65D4" w14:textId="607D7509" w:rsidR="00FA0E4E" w:rsidRPr="00146F85" w:rsidRDefault="00FA0E4E" w:rsidP="008D1CB1">
      <w:pPr>
        <w:spacing w:after="0" w:line="240" w:lineRule="auto"/>
        <w:ind w:firstLine="720"/>
        <w:jc w:val="both"/>
        <w:rPr>
          <w:rFonts w:cs="Times New Roman"/>
          <w:b/>
          <w:bCs/>
          <w:sz w:val="28"/>
          <w:szCs w:val="28"/>
        </w:rPr>
      </w:pPr>
      <w:r w:rsidRPr="00146F85">
        <w:rPr>
          <w:rFonts w:cs="Times New Roman"/>
          <w:b/>
          <w:bCs/>
          <w:sz w:val="28"/>
          <w:szCs w:val="28"/>
        </w:rPr>
        <w:t xml:space="preserve">1. Bối cảnh xây dựng </w:t>
      </w:r>
      <w:r w:rsidR="006F4E68">
        <w:rPr>
          <w:rFonts w:cs="Times New Roman"/>
          <w:b/>
          <w:bCs/>
          <w:sz w:val="28"/>
          <w:szCs w:val="28"/>
        </w:rPr>
        <w:t>dự thảo T</w:t>
      </w:r>
      <w:r w:rsidRPr="00146F85">
        <w:rPr>
          <w:rFonts w:cs="Times New Roman"/>
          <w:b/>
          <w:bCs/>
          <w:sz w:val="28"/>
          <w:szCs w:val="28"/>
        </w:rPr>
        <w:t>hông tư</w:t>
      </w:r>
      <w:r w:rsidR="006F4E68">
        <w:rPr>
          <w:rFonts w:cs="Times New Roman"/>
          <w:b/>
          <w:bCs/>
          <w:sz w:val="28"/>
          <w:szCs w:val="28"/>
        </w:rPr>
        <w:t xml:space="preserve"> ban hành danh mục các bệnh di truyền liên quan đến giới tính phục vụ chẩn đoán và điều trị trước sinh và sơ sinh</w:t>
      </w:r>
    </w:p>
    <w:p w14:paraId="2B4EEA00" w14:textId="3B385985" w:rsidR="00FE57D8" w:rsidRPr="00FE57D8" w:rsidRDefault="00D34F3E" w:rsidP="008D1CB1">
      <w:pPr>
        <w:widowControl w:val="0"/>
        <w:spacing w:after="0" w:line="240" w:lineRule="auto"/>
        <w:ind w:firstLine="720"/>
        <w:jc w:val="both"/>
        <w:rPr>
          <w:sz w:val="28"/>
          <w:szCs w:val="28"/>
          <w:lang w:val="nl-NL"/>
        </w:rPr>
      </w:pPr>
      <w:r>
        <w:rPr>
          <w:sz w:val="28"/>
          <w:szCs w:val="28"/>
          <w:lang w:val="nl-NL"/>
        </w:rPr>
        <w:t xml:space="preserve">Thực thi quy định tại </w:t>
      </w:r>
      <w:r w:rsidR="00FE57D8" w:rsidRPr="00FE57D8">
        <w:rPr>
          <w:sz w:val="28"/>
          <w:szCs w:val="28"/>
          <w:lang w:val="nl-NL"/>
        </w:rPr>
        <w:t>Luật Dân số số 1</w:t>
      </w:r>
      <w:r>
        <w:rPr>
          <w:sz w:val="28"/>
          <w:szCs w:val="28"/>
          <w:lang w:val="nl-NL"/>
        </w:rPr>
        <w:t>1</w:t>
      </w:r>
      <w:r w:rsidR="00FE57D8" w:rsidRPr="00FE57D8">
        <w:rPr>
          <w:sz w:val="28"/>
          <w:szCs w:val="28"/>
          <w:lang w:val="nl-NL"/>
        </w:rPr>
        <w:t>3/2025/QH15 được Quốc hội nước Cộng hòa xã hội chủ nghĩa Việt Nam thông qua khóa XV tại kỳ họp thứ 10 thông qua ngày 10/12/2025 (sau đây gọi là Luật),có hiệu lực thi hành kể từ ngày 01/7/2026 nhằm thể chế hóa các chủ trương, chính sách của Đảng và Nhà nước về công tác dân s</w:t>
      </w:r>
      <w:r>
        <w:rPr>
          <w:sz w:val="28"/>
          <w:szCs w:val="28"/>
          <w:lang w:val="nl-NL"/>
        </w:rPr>
        <w:t>ố.</w:t>
      </w:r>
    </w:p>
    <w:p w14:paraId="132192A8" w14:textId="37A764B2" w:rsidR="00D34F3E" w:rsidRPr="00D34F3E" w:rsidRDefault="00D34F3E" w:rsidP="008D1CB1">
      <w:pPr>
        <w:widowControl w:val="0"/>
        <w:spacing w:after="0" w:line="240" w:lineRule="auto"/>
        <w:ind w:firstLine="720"/>
        <w:jc w:val="both"/>
        <w:rPr>
          <w:sz w:val="28"/>
          <w:szCs w:val="28"/>
          <w:lang w:val="nl-NL"/>
        </w:rPr>
      </w:pPr>
      <w:r w:rsidRPr="00D34F3E">
        <w:rPr>
          <w:sz w:val="28"/>
          <w:szCs w:val="28"/>
          <w:lang w:val="nl-NL"/>
        </w:rPr>
        <w:t>Ngày 31/12/2025, Thủ tướng Chính phủ đã ký Quyết định số 2835/QĐ-TTg ban hành Danh mục và phân công cơ quan chủ trì soạn thảo văn bản quy định chi tiết thi hành các luật, nghị quyết được Quốc hội khóa XV thông qua tại kỳ họp thứ 10, trong đó tại số thứ tự 52, văn bản số 252; trong đó giao Bộ Y tế chủ trì soạn thảo “Thông tư của Bộ trưởng Bộ Y tế ban hành danh mục các bệnh di truyền liên quan đến giới tính phục vụ chẩn đoán và điều trị trước sinh và sơ sinh (khoản 3 Điều 6)”, thời gian trình tháng 4/2026.</w:t>
      </w:r>
    </w:p>
    <w:p w14:paraId="33C607D1" w14:textId="0588BFEE" w:rsidR="00FE57D8" w:rsidRPr="00FE57D8" w:rsidRDefault="00FE57D8" w:rsidP="008D1CB1">
      <w:pPr>
        <w:widowControl w:val="0"/>
        <w:spacing w:after="0" w:line="240" w:lineRule="auto"/>
        <w:ind w:firstLine="720"/>
        <w:jc w:val="both"/>
        <w:rPr>
          <w:bCs/>
          <w:iCs/>
          <w:spacing w:val="-2"/>
          <w:sz w:val="28"/>
          <w:szCs w:val="28"/>
          <w:lang w:val="nl-NL"/>
        </w:rPr>
      </w:pPr>
      <w:r w:rsidRPr="00FE57D8">
        <w:rPr>
          <w:sz w:val="28"/>
          <w:szCs w:val="28"/>
          <w:lang w:val="nl-NL"/>
        </w:rPr>
        <w:t xml:space="preserve">Bộ Y tế xây dựng </w:t>
      </w:r>
      <w:r w:rsidR="00D34F3E">
        <w:rPr>
          <w:sz w:val="28"/>
          <w:szCs w:val="28"/>
          <w:lang w:val="nl-NL"/>
        </w:rPr>
        <w:t xml:space="preserve">Thông tư </w:t>
      </w:r>
      <w:r w:rsidRPr="00FE57D8">
        <w:rPr>
          <w:sz w:val="28"/>
          <w:szCs w:val="28"/>
          <w:lang w:val="nl-NL"/>
        </w:rPr>
        <w:t xml:space="preserve">danh mục các </w:t>
      </w:r>
      <w:r w:rsidR="00D34F3E">
        <w:rPr>
          <w:sz w:val="28"/>
          <w:szCs w:val="28"/>
          <w:lang w:val="nl-NL"/>
        </w:rPr>
        <w:t>bệnh di truyền liên quan đến giới tính phục vụ chẩn đoán và điều trị trước sinh và sơ sinh.</w:t>
      </w:r>
    </w:p>
    <w:p w14:paraId="14AD1B09" w14:textId="77777777" w:rsidR="008D1CB1" w:rsidRDefault="008D1CB1" w:rsidP="008D1CB1">
      <w:pPr>
        <w:spacing w:after="0" w:line="240" w:lineRule="auto"/>
        <w:ind w:firstLine="720"/>
        <w:jc w:val="both"/>
        <w:rPr>
          <w:rFonts w:cs="Times New Roman"/>
          <w:b/>
          <w:bCs/>
          <w:sz w:val="28"/>
          <w:szCs w:val="28"/>
        </w:rPr>
      </w:pPr>
    </w:p>
    <w:p w14:paraId="365D3819" w14:textId="77777777" w:rsidR="008D1CB1" w:rsidRDefault="008D1CB1" w:rsidP="008D1CB1">
      <w:pPr>
        <w:spacing w:after="0" w:line="240" w:lineRule="auto"/>
        <w:ind w:firstLine="720"/>
        <w:jc w:val="both"/>
        <w:rPr>
          <w:rFonts w:cs="Times New Roman"/>
          <w:b/>
          <w:bCs/>
          <w:sz w:val="28"/>
          <w:szCs w:val="28"/>
        </w:rPr>
      </w:pPr>
    </w:p>
    <w:p w14:paraId="2F228CFD" w14:textId="77777777" w:rsidR="008D1CB1" w:rsidRDefault="008D1CB1" w:rsidP="008D1CB1">
      <w:pPr>
        <w:spacing w:after="0" w:line="240" w:lineRule="auto"/>
        <w:ind w:firstLine="720"/>
        <w:jc w:val="both"/>
        <w:rPr>
          <w:rFonts w:cs="Times New Roman"/>
          <w:b/>
          <w:bCs/>
          <w:sz w:val="28"/>
          <w:szCs w:val="28"/>
        </w:rPr>
      </w:pPr>
    </w:p>
    <w:p w14:paraId="7FA82FD9" w14:textId="313DE90E" w:rsidR="00FE57D8" w:rsidRPr="006B2835" w:rsidRDefault="00FE57D8" w:rsidP="008D1CB1">
      <w:pPr>
        <w:spacing w:after="0" w:line="240" w:lineRule="auto"/>
        <w:ind w:firstLine="720"/>
        <w:jc w:val="both"/>
        <w:rPr>
          <w:rFonts w:cs="Times New Roman"/>
          <w:b/>
          <w:bCs/>
          <w:sz w:val="28"/>
          <w:szCs w:val="28"/>
        </w:rPr>
      </w:pPr>
      <w:r w:rsidRPr="006B2835">
        <w:rPr>
          <w:rFonts w:cs="Times New Roman"/>
          <w:b/>
          <w:bCs/>
          <w:sz w:val="28"/>
          <w:szCs w:val="28"/>
        </w:rPr>
        <w:lastRenderedPageBreak/>
        <w:t>2. Mục đích, yêu cầu đánh giá</w:t>
      </w:r>
    </w:p>
    <w:p w14:paraId="3DE2B8A6" w14:textId="77777777" w:rsidR="004F6A20" w:rsidRPr="004F6A20" w:rsidRDefault="004F6A20" w:rsidP="008D1CB1">
      <w:pPr>
        <w:spacing w:after="0" w:line="240" w:lineRule="auto"/>
        <w:ind w:firstLine="720"/>
        <w:jc w:val="both"/>
        <w:rPr>
          <w:sz w:val="28"/>
          <w:szCs w:val="28"/>
        </w:rPr>
      </w:pPr>
      <w:r w:rsidRPr="004F6A20">
        <w:rPr>
          <w:sz w:val="28"/>
          <w:szCs w:val="28"/>
        </w:rPr>
        <w:t>2.1. Mục đích đánh giá</w:t>
      </w:r>
    </w:p>
    <w:p w14:paraId="6E765952" w14:textId="7BB4ECB5" w:rsidR="004F6A20" w:rsidRPr="004F6A20" w:rsidRDefault="004F6A20" w:rsidP="008D1CB1">
      <w:pPr>
        <w:spacing w:after="0" w:line="240" w:lineRule="auto"/>
        <w:ind w:firstLine="720"/>
        <w:jc w:val="both"/>
        <w:rPr>
          <w:sz w:val="28"/>
          <w:szCs w:val="28"/>
        </w:rPr>
      </w:pPr>
      <w:r w:rsidRPr="004F6A20">
        <w:rPr>
          <w:sz w:val="28"/>
          <w:szCs w:val="28"/>
        </w:rPr>
        <w:t>Đánh giá để xác định tính phù hợp của các thủ tục hành chính (TTHC) và quy định phân cấp</w:t>
      </w:r>
      <w:r w:rsidR="00D34F3E">
        <w:rPr>
          <w:sz w:val="28"/>
          <w:szCs w:val="28"/>
        </w:rPr>
        <w:t>, phân quyền</w:t>
      </w:r>
      <w:r w:rsidRPr="004F6A20">
        <w:rPr>
          <w:sz w:val="28"/>
          <w:szCs w:val="28"/>
        </w:rPr>
        <w:t xml:space="preserve"> trong dự thảo Thông tư với thực tiễn hoạt động của các</w:t>
      </w:r>
      <w:r w:rsidR="00D34F3E">
        <w:rPr>
          <w:sz w:val="28"/>
          <w:szCs w:val="28"/>
        </w:rPr>
        <w:t xml:space="preserve"> cơ quan quản lý nhà nước về y tế, dân số; các</w:t>
      </w:r>
      <w:r w:rsidRPr="004F6A20">
        <w:rPr>
          <w:sz w:val="28"/>
          <w:szCs w:val="28"/>
        </w:rPr>
        <w:t xml:space="preserve"> cơ sở</w:t>
      </w:r>
      <w:r w:rsidR="00D34F3E">
        <w:rPr>
          <w:sz w:val="28"/>
          <w:szCs w:val="28"/>
        </w:rPr>
        <w:t xml:space="preserve"> khám bệnh, chữa bệnh</w:t>
      </w:r>
      <w:r w:rsidRPr="004F6A20">
        <w:rPr>
          <w:sz w:val="28"/>
          <w:szCs w:val="28"/>
        </w:rPr>
        <w:t xml:space="preserve"> đảm bảo tính thống nhất với hệ thống pháp luật hiện hành về khám bệnh, chữa bệnh </w:t>
      </w:r>
      <w:r w:rsidR="00D34F3E">
        <w:rPr>
          <w:sz w:val="28"/>
          <w:szCs w:val="28"/>
        </w:rPr>
        <w:t>và dân số</w:t>
      </w:r>
    </w:p>
    <w:p w14:paraId="3068A384" w14:textId="322CD468" w:rsidR="004F6A20" w:rsidRPr="004F6A20" w:rsidRDefault="004F6A20" w:rsidP="008D1CB1">
      <w:pPr>
        <w:spacing w:after="0" w:line="240" w:lineRule="auto"/>
        <w:ind w:firstLine="720"/>
        <w:jc w:val="both"/>
        <w:rPr>
          <w:sz w:val="28"/>
          <w:szCs w:val="28"/>
        </w:rPr>
      </w:pPr>
      <w:r w:rsidRPr="004F6A20">
        <w:rPr>
          <w:sz w:val="28"/>
          <w:szCs w:val="28"/>
        </w:rPr>
        <w:t>2.2. Yêu cầu đánh giá</w:t>
      </w:r>
    </w:p>
    <w:p w14:paraId="67654688" w14:textId="54DBB914" w:rsidR="004F6A20" w:rsidRDefault="004F6A20" w:rsidP="008D1CB1">
      <w:pPr>
        <w:spacing w:after="0" w:line="240" w:lineRule="auto"/>
        <w:ind w:firstLine="720"/>
        <w:jc w:val="both"/>
        <w:rPr>
          <w:sz w:val="28"/>
          <w:szCs w:val="28"/>
        </w:rPr>
      </w:pPr>
      <w:r w:rsidRPr="004F6A20">
        <w:rPr>
          <w:sz w:val="28"/>
          <w:szCs w:val="28"/>
        </w:rPr>
        <w:t>- Việc đánh giá phải dựa trên cơ sở dữ liệu thực tiễn tại các địa phương, phân tích rõ lợi ích và chi phí mà TTHC mang lại cho cơ quan quản lý</w:t>
      </w:r>
      <w:r w:rsidR="00D34F3E">
        <w:rPr>
          <w:sz w:val="28"/>
          <w:szCs w:val="28"/>
        </w:rPr>
        <w:t xml:space="preserve"> về y tế, dân số.</w:t>
      </w:r>
    </w:p>
    <w:p w14:paraId="7BE89AB3" w14:textId="0C5806A7" w:rsidR="004F6A20" w:rsidRDefault="004F6A20" w:rsidP="008D1CB1">
      <w:pPr>
        <w:spacing w:after="0" w:line="240" w:lineRule="auto"/>
        <w:ind w:firstLine="720"/>
        <w:jc w:val="both"/>
        <w:rPr>
          <w:sz w:val="28"/>
          <w:szCs w:val="28"/>
        </w:rPr>
      </w:pPr>
      <w:r>
        <w:rPr>
          <w:sz w:val="28"/>
          <w:szCs w:val="28"/>
        </w:rPr>
        <w:t xml:space="preserve">- </w:t>
      </w:r>
      <w:r w:rsidRPr="004F6A20">
        <w:rPr>
          <w:sz w:val="28"/>
          <w:szCs w:val="28"/>
        </w:rPr>
        <w:t>Tập trung đánh giá kỹ lưỡng vào các nội dung: tính cần thiết của TTHC, sự phù hợp của thành phần hồ sơ, thời hạn giải quyết và đặc biệt là cơ chế phân cấp, phân quyền trong quản lý chuyên môn.</w:t>
      </w:r>
    </w:p>
    <w:p w14:paraId="3E7A5F55" w14:textId="35EEA99E" w:rsidR="00FE57D8" w:rsidRPr="00146F85" w:rsidRDefault="00FE57D8" w:rsidP="008D1CB1">
      <w:pPr>
        <w:spacing w:after="0" w:line="240" w:lineRule="auto"/>
        <w:ind w:firstLine="720"/>
        <w:jc w:val="both"/>
        <w:rPr>
          <w:rFonts w:cs="Times New Roman"/>
          <w:b/>
          <w:bCs/>
          <w:sz w:val="28"/>
          <w:szCs w:val="28"/>
        </w:rPr>
      </w:pPr>
      <w:r w:rsidRPr="00146F85">
        <w:rPr>
          <w:rFonts w:cs="Times New Roman"/>
          <w:b/>
          <w:bCs/>
          <w:sz w:val="28"/>
          <w:szCs w:val="28"/>
        </w:rPr>
        <w:t xml:space="preserve">II. </w:t>
      </w:r>
      <w:r w:rsidR="002409CC">
        <w:rPr>
          <w:rFonts w:cs="Times New Roman"/>
          <w:b/>
          <w:bCs/>
          <w:sz w:val="28"/>
          <w:szCs w:val="28"/>
        </w:rPr>
        <w:t>KẾT QUẢ ĐÁNH GIÁ</w:t>
      </w:r>
    </w:p>
    <w:p w14:paraId="18B9D858" w14:textId="3CE28548" w:rsidR="00FE57D8" w:rsidRPr="00146F85" w:rsidRDefault="00FE57D8" w:rsidP="008D1CB1">
      <w:pPr>
        <w:spacing w:after="0" w:line="240" w:lineRule="auto"/>
        <w:ind w:firstLine="720"/>
        <w:jc w:val="both"/>
        <w:rPr>
          <w:rFonts w:cs="Times New Roman"/>
          <w:b/>
          <w:bCs/>
          <w:sz w:val="28"/>
          <w:szCs w:val="28"/>
        </w:rPr>
      </w:pPr>
      <w:r w:rsidRPr="00146F85">
        <w:rPr>
          <w:rFonts w:cs="Times New Roman"/>
          <w:b/>
          <w:bCs/>
          <w:sz w:val="28"/>
          <w:szCs w:val="28"/>
        </w:rPr>
        <w:t>1. Đánh giá tác động thủ tục hành chính (nếu có)</w:t>
      </w:r>
    </w:p>
    <w:p w14:paraId="58E913BF" w14:textId="1DD9F971" w:rsidR="00A97F1E" w:rsidRPr="003E09A1" w:rsidRDefault="00A97F1E" w:rsidP="008D1CB1">
      <w:pPr>
        <w:spacing w:after="0" w:line="240" w:lineRule="auto"/>
        <w:ind w:firstLine="720"/>
        <w:jc w:val="both"/>
        <w:rPr>
          <w:rFonts w:cs="Times New Roman"/>
          <w:b/>
          <w:bCs/>
          <w:i/>
          <w:iCs/>
          <w:sz w:val="28"/>
          <w:szCs w:val="28"/>
        </w:rPr>
      </w:pPr>
      <w:r w:rsidRPr="003E09A1">
        <w:rPr>
          <w:rFonts w:cs="Times New Roman"/>
          <w:b/>
          <w:bCs/>
          <w:i/>
          <w:iCs/>
          <w:sz w:val="28"/>
          <w:szCs w:val="28"/>
        </w:rPr>
        <w:t>1.1. Về việc phát sinh thủ tục hành chính mới</w:t>
      </w:r>
    </w:p>
    <w:p w14:paraId="1972CC0D" w14:textId="2541C6CB" w:rsidR="00A97F1E" w:rsidRDefault="00A97F1E" w:rsidP="008D1CB1">
      <w:pPr>
        <w:spacing w:after="0" w:line="240" w:lineRule="auto"/>
        <w:ind w:firstLine="720"/>
        <w:jc w:val="both"/>
        <w:rPr>
          <w:rFonts w:cs="Times New Roman"/>
          <w:sz w:val="28"/>
          <w:szCs w:val="28"/>
        </w:rPr>
      </w:pPr>
      <w:r>
        <w:rPr>
          <w:rFonts w:cs="Times New Roman"/>
          <w:sz w:val="28"/>
          <w:szCs w:val="28"/>
        </w:rPr>
        <w:t xml:space="preserve">Dự thảo Thông tư không phát sinh thủ tục hành chính mới; </w:t>
      </w:r>
      <w:r w:rsidRPr="00A97F1E">
        <w:rPr>
          <w:rFonts w:cs="Times New Roman"/>
          <w:sz w:val="28"/>
          <w:szCs w:val="28"/>
        </w:rPr>
        <w:t>không phát sinh trình tự, hồ sơ, thành phần hồ sơ hay yêu cầu điều kiện mà cá nhân, tổ chức phải thực hiện bổ sung</w:t>
      </w:r>
      <w:r>
        <w:rPr>
          <w:rFonts w:cs="Times New Roman"/>
          <w:sz w:val="28"/>
          <w:szCs w:val="28"/>
        </w:rPr>
        <w:t xml:space="preserve">. Trên cơ sở rà soát, các quy định tại dự thảo Thông tư về đặc thù chuyên môn nhằm xác định các bệnh di truyền liên quan đến giới tính được phép thông báo giới tính phục vụ chẩn đoán và điều trị trước sinh và sơ sinh. </w:t>
      </w:r>
    </w:p>
    <w:p w14:paraId="24E1DCBE" w14:textId="77777777" w:rsidR="00D35584" w:rsidRDefault="003E09A1" w:rsidP="008D1CB1">
      <w:pPr>
        <w:spacing w:after="0" w:line="240" w:lineRule="auto"/>
        <w:ind w:firstLine="720"/>
        <w:jc w:val="both"/>
        <w:rPr>
          <w:b/>
          <w:i/>
          <w:color w:val="000000"/>
          <w:sz w:val="28"/>
          <w:szCs w:val="28"/>
        </w:rPr>
      </w:pPr>
      <w:r w:rsidRPr="0027479D">
        <w:rPr>
          <w:b/>
          <w:i/>
          <w:color w:val="000000"/>
          <w:sz w:val="28"/>
          <w:szCs w:val="28"/>
        </w:rPr>
        <w:t>1.2. Sự cần thiết</w:t>
      </w:r>
    </w:p>
    <w:p w14:paraId="0D247396" w14:textId="4AC464BE" w:rsidR="00D35584" w:rsidRDefault="0028729D" w:rsidP="008D1CB1">
      <w:pPr>
        <w:spacing w:after="0" w:line="240" w:lineRule="auto"/>
        <w:ind w:firstLine="720"/>
        <w:jc w:val="both"/>
        <w:rPr>
          <w:rFonts w:cs="Times New Roman"/>
          <w:sz w:val="28"/>
          <w:szCs w:val="28"/>
        </w:rPr>
      </w:pPr>
      <w:r>
        <w:rPr>
          <w:rFonts w:cs="Times New Roman"/>
          <w:sz w:val="28"/>
          <w:szCs w:val="28"/>
        </w:rPr>
        <w:t xml:space="preserve">Dự thảo Thông tư giúp </w:t>
      </w:r>
      <w:r w:rsidRPr="00D35584">
        <w:rPr>
          <w:rFonts w:cs="Times New Roman"/>
          <w:sz w:val="28"/>
          <w:szCs w:val="28"/>
        </w:rPr>
        <w:t>đảm bảo tính minh bạch, loại bỏ các nguy cơ lạm dụng việc xác định giới tính vì mục đích lựa chọn giới tính thai nhi</w:t>
      </w:r>
      <w:r>
        <w:rPr>
          <w:rFonts w:cs="Times New Roman"/>
          <w:sz w:val="28"/>
          <w:szCs w:val="28"/>
        </w:rPr>
        <w:t>.</w:t>
      </w:r>
    </w:p>
    <w:p w14:paraId="7EA322BE" w14:textId="27733777" w:rsidR="00D35584" w:rsidRDefault="0028729D" w:rsidP="008D1CB1">
      <w:pPr>
        <w:shd w:val="clear" w:color="auto" w:fill="FFFFFF"/>
        <w:spacing w:after="0" w:line="240" w:lineRule="auto"/>
        <w:ind w:firstLine="567"/>
        <w:jc w:val="both"/>
        <w:rPr>
          <w:b/>
          <w:i/>
          <w:color w:val="000000"/>
          <w:sz w:val="28"/>
          <w:szCs w:val="28"/>
        </w:rPr>
      </w:pPr>
      <w:r>
        <w:rPr>
          <w:b/>
          <w:i/>
          <w:color w:val="000000"/>
          <w:sz w:val="28"/>
          <w:szCs w:val="28"/>
        </w:rPr>
        <w:t xml:space="preserve"> </w:t>
      </w:r>
      <w:r w:rsidR="00D35584" w:rsidRPr="0027479D">
        <w:rPr>
          <w:b/>
          <w:i/>
          <w:color w:val="000000"/>
          <w:sz w:val="28"/>
          <w:szCs w:val="28"/>
        </w:rPr>
        <w:t>1.3. Tính hợp lý, hợp pháp</w:t>
      </w:r>
    </w:p>
    <w:p w14:paraId="7B312B62" w14:textId="6BECE0BA" w:rsidR="00D35584" w:rsidRPr="0027479D" w:rsidRDefault="00D35584" w:rsidP="008D1CB1">
      <w:pPr>
        <w:shd w:val="clear" w:color="auto" w:fill="FFFFFF"/>
        <w:spacing w:after="0" w:line="240" w:lineRule="auto"/>
        <w:ind w:firstLine="567"/>
        <w:jc w:val="both"/>
        <w:rPr>
          <w:b/>
          <w:i/>
          <w:color w:val="000000"/>
          <w:sz w:val="28"/>
          <w:szCs w:val="28"/>
        </w:rPr>
      </w:pPr>
      <w:r>
        <w:rPr>
          <w:rFonts w:cs="Times New Roman"/>
          <w:sz w:val="28"/>
          <w:szCs w:val="28"/>
        </w:rPr>
        <w:t xml:space="preserve">Dự thảo thông tư </w:t>
      </w:r>
      <w:r w:rsidR="0028729D">
        <w:rPr>
          <w:rFonts w:cs="Times New Roman"/>
          <w:sz w:val="28"/>
          <w:szCs w:val="28"/>
        </w:rPr>
        <w:t>chỉ bao gồm v</w:t>
      </w:r>
      <w:r w:rsidRPr="00D35584">
        <w:rPr>
          <w:rFonts w:cs="Times New Roman"/>
          <w:sz w:val="28"/>
          <w:szCs w:val="28"/>
        </w:rPr>
        <w:t xml:space="preserve">iệc xác lập danh mục giúp các cơ sở khám bệnh, chữa bệnh có căn cứ pháp lý thực hiện việc thông báo giới tính thai nhi trong các trường hợp </w:t>
      </w:r>
      <w:r w:rsidR="0028729D">
        <w:rPr>
          <w:rFonts w:cs="Times New Roman"/>
          <w:sz w:val="28"/>
          <w:szCs w:val="28"/>
        </w:rPr>
        <w:t xml:space="preserve">bệnh di truyền liên quan đến giới tính </w:t>
      </w:r>
      <w:r w:rsidRPr="00D35584">
        <w:rPr>
          <w:rFonts w:cs="Times New Roman"/>
          <w:sz w:val="28"/>
          <w:szCs w:val="28"/>
        </w:rPr>
        <w:t>theo đúng quy định của Luật Dân số</w:t>
      </w:r>
      <w:r w:rsidR="0028729D">
        <w:rPr>
          <w:rFonts w:cs="Times New Roman"/>
          <w:sz w:val="28"/>
          <w:szCs w:val="28"/>
        </w:rPr>
        <w:t>.</w:t>
      </w:r>
    </w:p>
    <w:p w14:paraId="4AF3AB15" w14:textId="77777777" w:rsidR="00D35584" w:rsidRDefault="00D35584" w:rsidP="008D1CB1">
      <w:pPr>
        <w:spacing w:after="0" w:line="240" w:lineRule="auto"/>
        <w:ind w:firstLine="567"/>
        <w:jc w:val="both"/>
        <w:rPr>
          <w:b/>
          <w:i/>
          <w:sz w:val="28"/>
          <w:szCs w:val="28"/>
          <w:lang w:val="fi-FI" w:eastAsia="zh-CN"/>
        </w:rPr>
      </w:pPr>
      <w:r w:rsidRPr="0027479D">
        <w:rPr>
          <w:b/>
          <w:i/>
          <w:sz w:val="28"/>
          <w:szCs w:val="28"/>
          <w:lang w:val="fi-FI" w:eastAsia="zh-CN"/>
        </w:rPr>
        <w:t>1.4. Chi phí tuân thủ TTHC</w:t>
      </w:r>
    </w:p>
    <w:p w14:paraId="4FA16BC4" w14:textId="0185B11A" w:rsidR="00D35584" w:rsidRDefault="00D35584" w:rsidP="008D1CB1">
      <w:pPr>
        <w:spacing w:after="0" w:line="240" w:lineRule="auto"/>
        <w:ind w:firstLine="567"/>
        <w:jc w:val="both"/>
        <w:rPr>
          <w:rFonts w:cs="Times New Roman"/>
          <w:sz w:val="28"/>
          <w:szCs w:val="28"/>
        </w:rPr>
      </w:pPr>
      <w:r w:rsidRPr="00D35584">
        <w:rPr>
          <w:rFonts w:cs="Times New Roman"/>
          <w:sz w:val="28"/>
          <w:szCs w:val="28"/>
        </w:rPr>
        <w:t>Do không quy định thủ tục hành chính, dự thảo không làm phát sinh chi phí tuân thủ</w:t>
      </w:r>
      <w:r>
        <w:rPr>
          <w:rFonts w:cs="Times New Roman"/>
          <w:sz w:val="28"/>
          <w:szCs w:val="28"/>
        </w:rPr>
        <w:t xml:space="preserve"> TTHC với các đối tượng áp dụng tại dự thảo thông tư</w:t>
      </w:r>
      <w:r w:rsidRPr="00D35584">
        <w:rPr>
          <w:rFonts w:cs="Times New Roman"/>
          <w:sz w:val="28"/>
          <w:szCs w:val="28"/>
        </w:rPr>
        <w:t xml:space="preserve">. </w:t>
      </w:r>
    </w:p>
    <w:p w14:paraId="740CE0CD" w14:textId="7A359FF5" w:rsidR="0028729D" w:rsidRPr="002A44FA" w:rsidRDefault="00453203" w:rsidP="008D1CB1">
      <w:pPr>
        <w:spacing w:after="0" w:line="240" w:lineRule="auto"/>
        <w:ind w:firstLine="720"/>
        <w:jc w:val="both"/>
        <w:rPr>
          <w:rFonts w:cs="Times New Roman"/>
          <w:b/>
          <w:bCs/>
          <w:sz w:val="28"/>
          <w:szCs w:val="28"/>
        </w:rPr>
      </w:pPr>
      <w:r w:rsidRPr="00146F85">
        <w:rPr>
          <w:rFonts w:cs="Times New Roman"/>
          <w:b/>
          <w:bCs/>
          <w:sz w:val="28"/>
          <w:szCs w:val="28"/>
        </w:rPr>
        <w:t xml:space="preserve">2. </w:t>
      </w:r>
      <w:r w:rsidR="00FD2CA8" w:rsidRPr="00146F85">
        <w:rPr>
          <w:rFonts w:cs="Times New Roman"/>
          <w:b/>
          <w:bCs/>
          <w:sz w:val="28"/>
          <w:szCs w:val="28"/>
        </w:rPr>
        <w:t>V</w:t>
      </w:r>
      <w:r w:rsidRPr="00146F85">
        <w:rPr>
          <w:rFonts w:cs="Times New Roman"/>
          <w:b/>
          <w:bCs/>
          <w:sz w:val="28"/>
          <w:szCs w:val="28"/>
        </w:rPr>
        <w:t xml:space="preserve">iệc phân cấp, phân quyền </w:t>
      </w:r>
      <w:r w:rsidR="00946565" w:rsidRPr="00146F85">
        <w:rPr>
          <w:rFonts w:cs="Times New Roman"/>
          <w:b/>
          <w:bCs/>
          <w:sz w:val="28"/>
          <w:szCs w:val="28"/>
        </w:rPr>
        <w:t>(nếu có)</w:t>
      </w:r>
    </w:p>
    <w:p w14:paraId="2D1905DF" w14:textId="2CECD04C" w:rsidR="0028729D" w:rsidRPr="0027479D" w:rsidRDefault="0028729D" w:rsidP="008D1CB1">
      <w:pPr>
        <w:spacing w:after="0" w:line="240" w:lineRule="auto"/>
        <w:ind w:firstLine="709"/>
        <w:jc w:val="both"/>
        <w:rPr>
          <w:sz w:val="28"/>
          <w:szCs w:val="28"/>
        </w:rPr>
      </w:pPr>
      <w:r w:rsidRPr="0027479D">
        <w:rPr>
          <w:rFonts w:eastAsia="Cambria Math"/>
          <w:sz w:val="28"/>
        </w:rPr>
        <w:t xml:space="preserve">Trên cơ sở kết quả rà soát việc thực hiện pháp luật về </w:t>
      </w:r>
      <w:r w:rsidR="002A44FA">
        <w:rPr>
          <w:rFonts w:eastAsia="Cambria Math"/>
          <w:sz w:val="28"/>
        </w:rPr>
        <w:t xml:space="preserve">Dân số </w:t>
      </w:r>
      <w:r w:rsidRPr="0027479D">
        <w:rPr>
          <w:rFonts w:eastAsia="Cambria Math"/>
          <w:sz w:val="28"/>
        </w:rPr>
        <w:t xml:space="preserve">và </w:t>
      </w:r>
      <w:r w:rsidRPr="0027479D">
        <w:rPr>
          <w:sz w:val="28"/>
          <w:szCs w:val="28"/>
        </w:rPr>
        <w:t xml:space="preserve">theo yêu cầu đẩy mạnh phân quyền, phân cấp quy định tại Luật Tổ chức Chính phủ và Luật Tổ chức chính quyền địa phương được giao tại Quyết định số 608/QĐ-TTg ngày 15/3/2025 của Thủ tướng </w:t>
      </w:r>
      <w:r w:rsidRPr="002A44FA">
        <w:rPr>
          <w:rFonts w:eastAsia="Cambria Math"/>
          <w:sz w:val="28"/>
        </w:rPr>
        <w:t>Chính phủ; Quyết định của Thủ tướng Chính phủ số 1015/QĐ-TTg ngày 30/8/2022 về phê duyệt phương án phân cấp giải quyết thủ tục hành chính thuộc phạm vi quản lý của các bộ, cơ quan ngang bộ.</w:t>
      </w:r>
      <w:r w:rsidRPr="0027479D">
        <w:rPr>
          <w:sz w:val="28"/>
          <w:szCs w:val="28"/>
        </w:rPr>
        <w:t xml:space="preserve"> </w:t>
      </w:r>
      <w:r w:rsidR="002A44FA">
        <w:rPr>
          <w:sz w:val="28"/>
          <w:szCs w:val="28"/>
        </w:rPr>
        <w:t xml:space="preserve">Cục Dân số </w:t>
      </w:r>
      <w:r w:rsidRPr="0027479D">
        <w:rPr>
          <w:spacing w:val="-2"/>
          <w:sz w:val="28"/>
          <w:szCs w:val="28"/>
        </w:rPr>
        <w:t xml:space="preserve">đã rà soát các quy định của pháp luật về </w:t>
      </w:r>
      <w:r w:rsidR="002A44FA">
        <w:rPr>
          <w:spacing w:val="-2"/>
          <w:sz w:val="28"/>
          <w:szCs w:val="28"/>
        </w:rPr>
        <w:t xml:space="preserve">Dân số; sàng lọc, chẩn đoán và điều trị các bệnh di truyền liên quan đến giới tính </w:t>
      </w:r>
      <w:r w:rsidRPr="0027479D">
        <w:rPr>
          <w:spacing w:val="-2"/>
          <w:sz w:val="28"/>
          <w:szCs w:val="28"/>
        </w:rPr>
        <w:t xml:space="preserve">gắn với yêu cầu phân </w:t>
      </w:r>
      <w:r w:rsidRPr="0027479D">
        <w:rPr>
          <w:sz w:val="28"/>
          <w:szCs w:val="28"/>
        </w:rPr>
        <w:t xml:space="preserve">quyền, phân cấp cho chính quyền địa phương, phân giao quyền quản lý </w:t>
      </w:r>
      <w:r w:rsidR="002A44FA">
        <w:rPr>
          <w:sz w:val="28"/>
          <w:szCs w:val="28"/>
        </w:rPr>
        <w:t xml:space="preserve">công tác y tế, dân số </w:t>
      </w:r>
      <w:r w:rsidRPr="0027479D">
        <w:rPr>
          <w:sz w:val="28"/>
          <w:szCs w:val="28"/>
        </w:rPr>
        <w:t xml:space="preserve">thuộc nhiệm vụ, quyền hạn của </w:t>
      </w:r>
      <w:r w:rsidR="002A44FA">
        <w:rPr>
          <w:sz w:val="28"/>
          <w:szCs w:val="28"/>
        </w:rPr>
        <w:t xml:space="preserve">Bộ Y tế </w:t>
      </w:r>
      <w:r w:rsidRPr="0027479D">
        <w:rPr>
          <w:sz w:val="28"/>
          <w:szCs w:val="28"/>
        </w:rPr>
        <w:t>cho UBND cấp tỉnh thực hiện</w:t>
      </w:r>
      <w:r w:rsidR="002A44FA">
        <w:rPr>
          <w:sz w:val="28"/>
          <w:szCs w:val="28"/>
        </w:rPr>
        <w:t>.</w:t>
      </w:r>
    </w:p>
    <w:p w14:paraId="20C56558" w14:textId="2F47465D" w:rsidR="00946565" w:rsidRPr="002A44FA" w:rsidRDefault="00946565" w:rsidP="008D1CB1">
      <w:pPr>
        <w:spacing w:after="0" w:line="240" w:lineRule="auto"/>
        <w:ind w:firstLine="720"/>
        <w:jc w:val="both"/>
        <w:rPr>
          <w:rFonts w:cs="Times New Roman"/>
          <w:b/>
          <w:bCs/>
          <w:i/>
          <w:iCs/>
          <w:sz w:val="28"/>
          <w:szCs w:val="28"/>
        </w:rPr>
      </w:pPr>
      <w:r w:rsidRPr="002A44FA">
        <w:rPr>
          <w:rFonts w:cs="Times New Roman"/>
          <w:b/>
          <w:bCs/>
          <w:i/>
          <w:iCs/>
          <w:sz w:val="28"/>
          <w:szCs w:val="28"/>
        </w:rPr>
        <w:lastRenderedPageBreak/>
        <w:t>2.1. Về việc thực hiện nhiệm vụ theo phân cấp</w:t>
      </w:r>
      <w:r w:rsidR="002A44FA">
        <w:rPr>
          <w:rFonts w:cs="Times New Roman"/>
          <w:b/>
          <w:bCs/>
          <w:i/>
          <w:iCs/>
          <w:sz w:val="28"/>
          <w:szCs w:val="28"/>
        </w:rPr>
        <w:t>, phân quyền</w:t>
      </w:r>
    </w:p>
    <w:p w14:paraId="17D99D1C" w14:textId="492218E5" w:rsidR="00946565" w:rsidRPr="00146F85" w:rsidRDefault="00946565" w:rsidP="008D1CB1">
      <w:pPr>
        <w:spacing w:after="0" w:line="240" w:lineRule="auto"/>
        <w:ind w:firstLine="720"/>
        <w:jc w:val="both"/>
        <w:rPr>
          <w:rFonts w:cs="Times New Roman"/>
          <w:sz w:val="28"/>
          <w:szCs w:val="28"/>
        </w:rPr>
      </w:pPr>
      <w:r w:rsidRPr="00146F85">
        <w:rPr>
          <w:rFonts w:cs="Times New Roman"/>
          <w:sz w:val="28"/>
          <w:szCs w:val="28"/>
        </w:rPr>
        <w:t xml:space="preserve">Qua rà soát, dự thảo Thông tư không quy định thêm các nội dung về phân cấp, phân quyền mới mà hoàn toàn tuân thủ, kế thừa các quy định hiện hành về chức năng, nhiệm vụ của các cơ quan </w:t>
      </w:r>
      <w:r w:rsidR="002A44FA">
        <w:rPr>
          <w:rFonts w:cs="Times New Roman"/>
          <w:sz w:val="28"/>
          <w:szCs w:val="28"/>
        </w:rPr>
        <w:t xml:space="preserve">có liên quan ở </w:t>
      </w:r>
      <w:r w:rsidRPr="00146F85">
        <w:rPr>
          <w:rFonts w:cs="Times New Roman"/>
          <w:sz w:val="28"/>
          <w:szCs w:val="28"/>
        </w:rPr>
        <w:t xml:space="preserve">Trung ương </w:t>
      </w:r>
      <w:r w:rsidR="002A44FA">
        <w:rPr>
          <w:rFonts w:cs="Times New Roman"/>
          <w:sz w:val="28"/>
          <w:szCs w:val="28"/>
        </w:rPr>
        <w:t>và</w:t>
      </w:r>
      <w:r w:rsidRPr="00146F85">
        <w:rPr>
          <w:rFonts w:cs="Times New Roman"/>
          <w:sz w:val="28"/>
          <w:szCs w:val="28"/>
        </w:rPr>
        <w:t xml:space="preserve"> địa phương.</w:t>
      </w:r>
      <w:r w:rsidR="002A44FA">
        <w:rPr>
          <w:rFonts w:cs="Times New Roman"/>
          <w:sz w:val="28"/>
          <w:szCs w:val="28"/>
        </w:rPr>
        <w:t xml:space="preserve"> </w:t>
      </w:r>
      <w:r w:rsidRPr="00146F85">
        <w:rPr>
          <w:rFonts w:cs="Times New Roman"/>
          <w:sz w:val="28"/>
          <w:szCs w:val="28"/>
        </w:rPr>
        <w:t xml:space="preserve">Dự thảo </w:t>
      </w:r>
      <w:r w:rsidR="002A44FA">
        <w:rPr>
          <w:rFonts w:cs="Times New Roman"/>
          <w:sz w:val="28"/>
          <w:szCs w:val="28"/>
        </w:rPr>
        <w:t>Thông tư quy định nội dung tổ chức thực hiện căn cứ theo chức năng, nhiệm vụ của các Vụ, đơn vị thuộc Bộ Y tế (Cục Dân số, Cục Quản lý Khám, chữa bệnh, Vụ Bảo hiểm Y tế); Sở Y tế các tỉnh, thành phố; các cơ sở khám bệnh, chữa bệnh.</w:t>
      </w:r>
    </w:p>
    <w:p w14:paraId="26414168" w14:textId="77777777" w:rsidR="006E0EFA" w:rsidRPr="002A44FA" w:rsidRDefault="00946565" w:rsidP="008D1CB1">
      <w:pPr>
        <w:spacing w:after="0" w:line="240" w:lineRule="auto"/>
        <w:ind w:firstLine="720"/>
        <w:jc w:val="both"/>
        <w:rPr>
          <w:rFonts w:cs="Times New Roman"/>
          <w:b/>
          <w:bCs/>
          <w:i/>
          <w:iCs/>
          <w:sz w:val="28"/>
          <w:szCs w:val="28"/>
        </w:rPr>
      </w:pPr>
      <w:r w:rsidRPr="002A44FA">
        <w:rPr>
          <w:rFonts w:cs="Times New Roman"/>
          <w:b/>
          <w:bCs/>
          <w:i/>
          <w:iCs/>
          <w:sz w:val="28"/>
          <w:szCs w:val="28"/>
        </w:rPr>
        <w:t>2.2. Đánh giá nguồn lực và tính khả thi khi thực hiện nhiệm vụ được phân cấp</w:t>
      </w:r>
    </w:p>
    <w:p w14:paraId="3B0F09D6" w14:textId="0DF55412" w:rsidR="006E0EFA" w:rsidRPr="00146F85" w:rsidRDefault="006E0EFA" w:rsidP="008D1CB1">
      <w:pPr>
        <w:spacing w:after="0" w:line="240" w:lineRule="auto"/>
        <w:ind w:firstLine="720"/>
        <w:jc w:val="both"/>
        <w:rPr>
          <w:rFonts w:cs="Times New Roman"/>
          <w:sz w:val="28"/>
          <w:szCs w:val="28"/>
        </w:rPr>
      </w:pPr>
      <w:r w:rsidRPr="00146F85">
        <w:rPr>
          <w:sz w:val="28"/>
          <w:szCs w:val="28"/>
        </w:rPr>
        <w:t>Việc t</w:t>
      </w:r>
      <w:r w:rsidR="002A44FA">
        <w:rPr>
          <w:sz w:val="28"/>
          <w:szCs w:val="28"/>
        </w:rPr>
        <w:t>hực hiện các quy định</w:t>
      </w:r>
      <w:r w:rsidRPr="00146F85">
        <w:rPr>
          <w:sz w:val="28"/>
          <w:szCs w:val="28"/>
        </w:rPr>
        <w:t xml:space="preserve"> trong dự thảo Thông tư đảm bảo tính khả thi cao do dựa trên nền tảng nguồn lực sẵn có:</w:t>
      </w:r>
    </w:p>
    <w:p w14:paraId="6B61A866" w14:textId="77777777" w:rsidR="006E0EFA" w:rsidRPr="00146F85" w:rsidRDefault="006E0EFA" w:rsidP="008D1CB1">
      <w:pPr>
        <w:spacing w:after="0" w:line="240" w:lineRule="auto"/>
        <w:ind w:firstLine="720"/>
        <w:jc w:val="both"/>
        <w:rPr>
          <w:sz w:val="28"/>
          <w:szCs w:val="28"/>
        </w:rPr>
      </w:pPr>
      <w:r w:rsidRPr="00146F85">
        <w:rPr>
          <w:rFonts w:cs="Times New Roman"/>
          <w:b/>
          <w:bCs/>
          <w:sz w:val="28"/>
          <w:szCs w:val="28"/>
        </w:rPr>
        <w:t>-</w:t>
      </w:r>
      <w:r w:rsidRPr="00146F85">
        <w:rPr>
          <w:rFonts w:cs="Times New Roman"/>
          <w:sz w:val="28"/>
          <w:szCs w:val="28"/>
        </w:rPr>
        <w:t xml:space="preserve"> Các nhiệm vụ giao cho cơ sở y tế và cơ quan quản lý y tế, dân số tại địa phương hoàn toàn phù hợp với phạm vi chức năng, nhiệm vụ và quyền hạn hiện hành. Việc thực hiện Thông tư không đòi hỏi phải điều chỉnh tổ chức bộ máy, không làm tăng biên chế hay gây áp lực quá tải lên hệ thống thực thi.</w:t>
      </w:r>
    </w:p>
    <w:p w14:paraId="59773A88" w14:textId="3402F6FB" w:rsidR="006E0EFA" w:rsidRDefault="006E0EFA" w:rsidP="008D1CB1">
      <w:pPr>
        <w:spacing w:after="0" w:line="240" w:lineRule="auto"/>
        <w:ind w:firstLine="720"/>
        <w:jc w:val="both"/>
        <w:rPr>
          <w:rFonts w:cs="Times New Roman"/>
          <w:sz w:val="28"/>
          <w:szCs w:val="28"/>
        </w:rPr>
      </w:pPr>
      <w:r w:rsidRPr="00146F85">
        <w:rPr>
          <w:sz w:val="28"/>
          <w:szCs w:val="28"/>
        </w:rPr>
        <w:t xml:space="preserve">- </w:t>
      </w:r>
      <w:r w:rsidRPr="00146F85">
        <w:rPr>
          <w:rFonts w:cs="Times New Roman"/>
          <w:sz w:val="28"/>
          <w:szCs w:val="28"/>
        </w:rPr>
        <w:t>Dự thảo xác lập rõ ranh giới trách nhiệm giữa cơ quan quản lý (hướng dẫn chuyên môn) và cơ sở thực hiện dịch vụ (triển khai kỹ thuật). Sự minh bạch này giúp quy trình phối hợp được thông suốt, đảm bảo mọi đối tượng thụ hưởng đều có khả năng tiếp cận dịch vụ công bằng, hiệu quả mà không cần thiết lập thêm các quy trình quản trị trung gian.</w:t>
      </w:r>
    </w:p>
    <w:p w14:paraId="420C1F85" w14:textId="77777777" w:rsidR="0028729D" w:rsidRPr="0027479D" w:rsidRDefault="0028729D" w:rsidP="008D1CB1">
      <w:pPr>
        <w:spacing w:after="0" w:line="240" w:lineRule="auto"/>
        <w:ind w:firstLine="709"/>
        <w:jc w:val="both"/>
        <w:rPr>
          <w:b/>
          <w:color w:val="000000"/>
          <w:sz w:val="28"/>
          <w:szCs w:val="28"/>
        </w:rPr>
      </w:pPr>
      <w:r w:rsidRPr="0027479D">
        <w:rPr>
          <w:b/>
          <w:color w:val="000000"/>
          <w:sz w:val="28"/>
          <w:szCs w:val="28"/>
        </w:rPr>
        <w:t>3. Việc bảo đảm bình đẳng giới:</w:t>
      </w:r>
    </w:p>
    <w:p w14:paraId="66220443" w14:textId="59CFA5B8" w:rsidR="0028729D" w:rsidRDefault="0028729D" w:rsidP="008D1CB1">
      <w:pPr>
        <w:widowControl w:val="0"/>
        <w:spacing w:after="0" w:line="240" w:lineRule="auto"/>
        <w:ind w:firstLine="720"/>
        <w:jc w:val="both"/>
        <w:rPr>
          <w:sz w:val="28"/>
          <w:szCs w:val="28"/>
        </w:rPr>
      </w:pPr>
      <w:r w:rsidRPr="0027479D">
        <w:rPr>
          <w:sz w:val="28"/>
          <w:szCs w:val="28"/>
        </w:rPr>
        <w:t xml:space="preserve">Dự thảo </w:t>
      </w:r>
      <w:r>
        <w:rPr>
          <w:sz w:val="28"/>
          <w:szCs w:val="28"/>
        </w:rPr>
        <w:t xml:space="preserve">Thông tư </w:t>
      </w:r>
      <w:r w:rsidRPr="0027479D">
        <w:rPr>
          <w:sz w:val="28"/>
          <w:szCs w:val="28"/>
        </w:rPr>
        <w:t xml:space="preserve">không có nội dung quy định đến </w:t>
      </w:r>
      <w:r w:rsidRPr="0027479D">
        <w:rPr>
          <w:color w:val="000000"/>
          <w:sz w:val="28"/>
          <w:szCs w:val="28"/>
        </w:rPr>
        <w:t>bình đẳng giới.</w:t>
      </w:r>
      <w:r w:rsidRPr="0027479D">
        <w:rPr>
          <w:rFonts w:eastAsia="Arial"/>
          <w:sz w:val="28"/>
          <w:szCs w:val="28"/>
          <w:lang w:val="nl-NL" w:eastAsia="ja-JP"/>
        </w:rPr>
        <w:t xml:space="preserve"> Các nội dung trong dự thảo </w:t>
      </w:r>
      <w:r>
        <w:rPr>
          <w:rFonts w:eastAsia="Arial"/>
          <w:sz w:val="28"/>
          <w:szCs w:val="28"/>
          <w:lang w:val="nl-NL" w:eastAsia="ja-JP"/>
        </w:rPr>
        <w:t xml:space="preserve">Thông tư </w:t>
      </w:r>
      <w:r w:rsidRPr="0027479D">
        <w:rPr>
          <w:color w:val="000000"/>
          <w:sz w:val="28"/>
          <w:szCs w:val="28"/>
        </w:rPr>
        <w:t xml:space="preserve">bảo đảm các nguyên tắc bình đẳng giới, </w:t>
      </w:r>
      <w:r w:rsidRPr="0027479D">
        <w:rPr>
          <w:sz w:val="28"/>
          <w:szCs w:val="28"/>
          <w:lang w:val="nl-NL"/>
        </w:rPr>
        <w:t>không ảnh hưởng đến cơ hội, điều kiện, năng lực thực hiện và thụ hưởng các quyền, lợi ích của mỗi giới, không có sự phân biệt về giới</w:t>
      </w:r>
      <w:r w:rsidRPr="0027479D">
        <w:rPr>
          <w:sz w:val="28"/>
          <w:szCs w:val="28"/>
        </w:rPr>
        <w:t>.</w:t>
      </w:r>
    </w:p>
    <w:p w14:paraId="56B499D8" w14:textId="77777777" w:rsidR="002A44FA" w:rsidRPr="0027479D" w:rsidRDefault="002A44FA" w:rsidP="008D1CB1">
      <w:pPr>
        <w:widowControl w:val="0"/>
        <w:spacing w:after="0" w:line="240" w:lineRule="auto"/>
        <w:ind w:firstLine="720"/>
        <w:jc w:val="both"/>
        <w:rPr>
          <w:rFonts w:eastAsia="Arial"/>
          <w:b/>
          <w:sz w:val="28"/>
          <w:szCs w:val="28"/>
          <w:lang w:val="nl-NL" w:eastAsia="ja-JP"/>
        </w:rPr>
      </w:pPr>
      <w:r w:rsidRPr="0027479D">
        <w:rPr>
          <w:rFonts w:eastAsia="Arial"/>
          <w:b/>
          <w:sz w:val="28"/>
          <w:szCs w:val="28"/>
          <w:lang w:val="nl-NL" w:eastAsia="ja-JP"/>
        </w:rPr>
        <w:t>4. Việc thực hiện chính sách dân tộc (nếu có)</w:t>
      </w:r>
    </w:p>
    <w:p w14:paraId="0E155E5C" w14:textId="6D5057FF" w:rsidR="002A44FA" w:rsidRPr="0027479D" w:rsidRDefault="002A44FA" w:rsidP="008D1CB1">
      <w:pPr>
        <w:widowControl w:val="0"/>
        <w:spacing w:after="0" w:line="240" w:lineRule="auto"/>
        <w:ind w:firstLine="720"/>
        <w:jc w:val="both"/>
        <w:rPr>
          <w:sz w:val="28"/>
          <w:szCs w:val="28"/>
          <w:lang w:val="nl-NL"/>
        </w:rPr>
      </w:pPr>
      <w:r w:rsidRPr="0027479D">
        <w:rPr>
          <w:sz w:val="28"/>
          <w:szCs w:val="28"/>
        </w:rPr>
        <w:t xml:space="preserve">Dự thảo </w:t>
      </w:r>
      <w:r>
        <w:rPr>
          <w:sz w:val="28"/>
          <w:szCs w:val="28"/>
        </w:rPr>
        <w:t xml:space="preserve">Thông tư </w:t>
      </w:r>
      <w:r w:rsidRPr="0027479D">
        <w:rPr>
          <w:sz w:val="28"/>
          <w:szCs w:val="28"/>
        </w:rPr>
        <w:t>không sửa đổi, bổ sung các quy định có liên quan đến chính sách dân tộc</w:t>
      </w:r>
      <w:r>
        <w:rPr>
          <w:sz w:val="28"/>
          <w:szCs w:val="28"/>
        </w:rPr>
        <w:t>.</w:t>
      </w:r>
    </w:p>
    <w:p w14:paraId="7313058A" w14:textId="015FD79A" w:rsidR="002A44FA" w:rsidRDefault="002A44FA" w:rsidP="008D1CB1">
      <w:pPr>
        <w:spacing w:after="0" w:line="240" w:lineRule="auto"/>
        <w:ind w:firstLine="567"/>
        <w:jc w:val="both"/>
        <w:rPr>
          <w:color w:val="000000"/>
          <w:sz w:val="28"/>
          <w:szCs w:val="28"/>
        </w:rPr>
      </w:pPr>
      <w:r w:rsidRPr="0027479D">
        <w:rPr>
          <w:sz w:val="28"/>
          <w:szCs w:val="28"/>
          <w:lang w:val="fi-FI"/>
        </w:rPr>
        <w:t xml:space="preserve">Trên đây là Bản đánh giá thủ tục hành chính, việc phân cấp, phân định thẩm quyền trong </w:t>
      </w:r>
      <w:r w:rsidRPr="0027479D">
        <w:rPr>
          <w:sz w:val="28"/>
          <w:szCs w:val="28"/>
        </w:rPr>
        <w:t>dự thảo</w:t>
      </w:r>
      <w:r>
        <w:rPr>
          <w:sz w:val="28"/>
          <w:szCs w:val="28"/>
        </w:rPr>
        <w:t xml:space="preserve"> Thông tư ban hành danh mục các bệnh di truyền liên quan đến giới phục vụ chẩn đoán và điều trị trước sinh và sơ sinh</w:t>
      </w:r>
      <w:r w:rsidRPr="0027479D">
        <w:rPr>
          <w:color w:val="000000"/>
          <w:sz w:val="28"/>
          <w:szCs w:val="28"/>
        </w:rPr>
        <w:t>./.</w:t>
      </w:r>
    </w:p>
    <w:p w14:paraId="54DEDDED" w14:textId="77777777" w:rsidR="006760E1" w:rsidRDefault="006760E1" w:rsidP="006760E1">
      <w:pPr>
        <w:spacing w:after="0" w:line="240" w:lineRule="auto"/>
        <w:ind w:firstLine="567"/>
        <w:jc w:val="both"/>
        <w:rPr>
          <w:color w:val="000000"/>
          <w:sz w:val="28"/>
          <w:szCs w:val="28"/>
        </w:rPr>
      </w:pPr>
    </w:p>
    <w:tbl>
      <w:tblPr>
        <w:tblW w:w="5000" w:type="pct"/>
        <w:tblLook w:val="04A0" w:firstRow="1" w:lastRow="0" w:firstColumn="1" w:lastColumn="0" w:noHBand="0" w:noVBand="1"/>
      </w:tblPr>
      <w:tblGrid>
        <w:gridCol w:w="5069"/>
        <w:gridCol w:w="4003"/>
      </w:tblGrid>
      <w:tr w:rsidR="00683510" w:rsidRPr="00DF41B2" w14:paraId="5923B25B" w14:textId="77777777" w:rsidTr="007278D9">
        <w:trPr>
          <w:trHeight w:val="3194"/>
        </w:trPr>
        <w:tc>
          <w:tcPr>
            <w:tcW w:w="2794" w:type="pct"/>
          </w:tcPr>
          <w:p w14:paraId="69D3FD99" w14:textId="77777777" w:rsidR="00683510" w:rsidRPr="00DF41B2" w:rsidRDefault="00683510" w:rsidP="00F64B0F">
            <w:pPr>
              <w:pStyle w:val="BodyTextIndent"/>
              <w:widowControl w:val="0"/>
              <w:spacing w:before="0" w:beforeAutospacing="0" w:after="0" w:afterAutospacing="0"/>
              <w:rPr>
                <w:b/>
                <w:i/>
                <w:color w:val="000000" w:themeColor="text1"/>
              </w:rPr>
            </w:pPr>
            <w:r w:rsidRPr="00DF41B2">
              <w:rPr>
                <w:b/>
                <w:i/>
                <w:color w:val="000000" w:themeColor="text1"/>
              </w:rPr>
              <w:t>Nơi nhận:</w:t>
            </w:r>
          </w:p>
          <w:p w14:paraId="04B4C422" w14:textId="77777777" w:rsidR="00683510" w:rsidRPr="00DF41B2" w:rsidRDefault="00683510" w:rsidP="00F64B0F">
            <w:pPr>
              <w:pStyle w:val="BodyTextIndent"/>
              <w:widowControl w:val="0"/>
              <w:spacing w:before="0" w:beforeAutospacing="0" w:after="0" w:afterAutospacing="0"/>
              <w:rPr>
                <w:color w:val="000000" w:themeColor="text1"/>
                <w:sz w:val="22"/>
                <w:szCs w:val="22"/>
                <w:lang w:val="en-US" w:eastAsia="en-US"/>
              </w:rPr>
            </w:pPr>
            <w:r w:rsidRPr="00DF41B2">
              <w:rPr>
                <w:color w:val="000000" w:themeColor="text1"/>
                <w:sz w:val="22"/>
                <w:szCs w:val="22"/>
                <w:lang w:eastAsia="en-US"/>
              </w:rPr>
              <w:t xml:space="preserve">- </w:t>
            </w:r>
            <w:r w:rsidRPr="00DF41B2">
              <w:rPr>
                <w:color w:val="000000" w:themeColor="text1"/>
                <w:sz w:val="22"/>
                <w:szCs w:val="22"/>
                <w:lang w:val="en-US" w:eastAsia="en-US"/>
              </w:rPr>
              <w:t>Thứ trưởng</w:t>
            </w:r>
            <w:r>
              <w:rPr>
                <w:color w:val="000000" w:themeColor="text1"/>
                <w:sz w:val="22"/>
                <w:szCs w:val="22"/>
                <w:lang w:val="en-US" w:eastAsia="en-US"/>
              </w:rPr>
              <w:t xml:space="preserve"> Đỗ Xuân Tuyên (để b/c)</w:t>
            </w:r>
            <w:r w:rsidRPr="00DF41B2">
              <w:rPr>
                <w:color w:val="000000" w:themeColor="text1"/>
                <w:sz w:val="22"/>
                <w:szCs w:val="22"/>
                <w:lang w:val="en-US" w:eastAsia="en-US"/>
              </w:rPr>
              <w:t>;</w:t>
            </w:r>
          </w:p>
          <w:p w14:paraId="25D4EEE5" w14:textId="77777777" w:rsidR="00683510" w:rsidRPr="00DF41B2" w:rsidRDefault="00683510" w:rsidP="00F64B0F">
            <w:pPr>
              <w:pStyle w:val="BodyTextIndent"/>
              <w:widowControl w:val="0"/>
              <w:spacing w:before="0" w:beforeAutospacing="0" w:after="0" w:afterAutospacing="0"/>
              <w:rPr>
                <w:b/>
                <w:bCs/>
                <w:color w:val="000000" w:themeColor="text1"/>
                <w:sz w:val="26"/>
                <w:szCs w:val="26"/>
              </w:rPr>
            </w:pPr>
            <w:r w:rsidRPr="00DF41B2">
              <w:rPr>
                <w:color w:val="000000" w:themeColor="text1"/>
                <w:sz w:val="22"/>
                <w:szCs w:val="22"/>
                <w:lang w:val="nl-NL"/>
              </w:rPr>
              <w:t>- Lưu: VT</w:t>
            </w:r>
            <w:r w:rsidRPr="00DF41B2">
              <w:rPr>
                <w:color w:val="000000" w:themeColor="text1"/>
                <w:sz w:val="22"/>
                <w:szCs w:val="22"/>
              </w:rPr>
              <w:t xml:space="preserve">, CDS, </w:t>
            </w:r>
            <w:r w:rsidRPr="00DF41B2">
              <w:rPr>
                <w:color w:val="000000" w:themeColor="text1"/>
                <w:sz w:val="22"/>
                <w:szCs w:val="22"/>
                <w:lang w:val="nl-NL" w:eastAsia="en-US"/>
              </w:rPr>
              <w:t>(03b)</w:t>
            </w:r>
            <w:r w:rsidRPr="00DF41B2">
              <w:rPr>
                <w:color w:val="000000" w:themeColor="text1"/>
                <w:lang w:val="nl-NL" w:eastAsia="en-US"/>
              </w:rPr>
              <w:t>.</w:t>
            </w:r>
            <w:bookmarkStart w:id="1" w:name="_GoBack"/>
            <w:bookmarkEnd w:id="1"/>
          </w:p>
        </w:tc>
        <w:tc>
          <w:tcPr>
            <w:tcW w:w="2206" w:type="pct"/>
          </w:tcPr>
          <w:p w14:paraId="74DD96EA" w14:textId="77777777" w:rsidR="00683510" w:rsidRDefault="00683510" w:rsidP="00F64B0F">
            <w:pPr>
              <w:spacing w:line="360" w:lineRule="exact"/>
              <w:jc w:val="center"/>
              <w:rPr>
                <w:rFonts w:cs="Times New Roman"/>
                <w:b/>
                <w:bCs/>
                <w:color w:val="000000" w:themeColor="text1"/>
                <w:sz w:val="28"/>
                <w:szCs w:val="28"/>
              </w:rPr>
            </w:pPr>
            <w:r>
              <w:rPr>
                <w:rFonts w:cs="Times New Roman"/>
                <w:b/>
                <w:bCs/>
                <w:color w:val="000000" w:themeColor="text1"/>
                <w:sz w:val="28"/>
                <w:szCs w:val="28"/>
              </w:rPr>
              <w:t xml:space="preserve">CỤC </w:t>
            </w:r>
            <w:r w:rsidRPr="00DF41B2">
              <w:rPr>
                <w:rFonts w:cs="Times New Roman"/>
                <w:b/>
                <w:bCs/>
                <w:color w:val="000000" w:themeColor="text1"/>
                <w:sz w:val="28"/>
                <w:szCs w:val="28"/>
              </w:rPr>
              <w:t>TRƯỞNG</w:t>
            </w:r>
          </w:p>
          <w:p w14:paraId="73F37309" w14:textId="77777777" w:rsidR="00683510" w:rsidRDefault="00683510" w:rsidP="00F64B0F">
            <w:pPr>
              <w:spacing w:line="360" w:lineRule="exact"/>
              <w:jc w:val="center"/>
              <w:rPr>
                <w:rFonts w:cs="Times New Roman"/>
                <w:b/>
                <w:bCs/>
                <w:color w:val="000000" w:themeColor="text1"/>
                <w:sz w:val="28"/>
                <w:szCs w:val="28"/>
              </w:rPr>
            </w:pPr>
          </w:p>
          <w:p w14:paraId="20AC3555" w14:textId="77777777" w:rsidR="00683510" w:rsidRDefault="00683510" w:rsidP="00F64B0F">
            <w:pPr>
              <w:spacing w:line="360" w:lineRule="exact"/>
              <w:jc w:val="center"/>
              <w:rPr>
                <w:rFonts w:cs="Times New Roman"/>
                <w:b/>
                <w:bCs/>
                <w:color w:val="000000" w:themeColor="text1"/>
                <w:sz w:val="28"/>
                <w:szCs w:val="28"/>
              </w:rPr>
            </w:pPr>
          </w:p>
          <w:p w14:paraId="0986B52E" w14:textId="77777777" w:rsidR="00683510" w:rsidRDefault="00683510" w:rsidP="00F64B0F">
            <w:pPr>
              <w:spacing w:line="360" w:lineRule="exact"/>
              <w:jc w:val="center"/>
              <w:rPr>
                <w:rFonts w:cs="Times New Roman"/>
                <w:b/>
                <w:bCs/>
                <w:color w:val="000000" w:themeColor="text1"/>
                <w:sz w:val="28"/>
                <w:szCs w:val="28"/>
              </w:rPr>
            </w:pPr>
          </w:p>
          <w:p w14:paraId="0FE15B23" w14:textId="77777777" w:rsidR="00683510" w:rsidRDefault="00683510" w:rsidP="00F64B0F">
            <w:pPr>
              <w:spacing w:line="360" w:lineRule="exact"/>
              <w:jc w:val="center"/>
              <w:rPr>
                <w:rFonts w:cs="Times New Roman"/>
                <w:b/>
                <w:bCs/>
                <w:color w:val="000000" w:themeColor="text1"/>
                <w:sz w:val="28"/>
                <w:szCs w:val="28"/>
              </w:rPr>
            </w:pPr>
          </w:p>
          <w:p w14:paraId="377D9203" w14:textId="1106FE6A" w:rsidR="00683510" w:rsidRPr="00DF41B2" w:rsidRDefault="00683510" w:rsidP="00F64B0F">
            <w:pPr>
              <w:spacing w:line="360" w:lineRule="exact"/>
              <w:jc w:val="center"/>
              <w:rPr>
                <w:rFonts w:cs="Times New Roman"/>
                <w:i/>
                <w:iCs/>
                <w:color w:val="000000" w:themeColor="text1"/>
                <w:sz w:val="28"/>
                <w:szCs w:val="28"/>
              </w:rPr>
            </w:pPr>
            <w:r>
              <w:rPr>
                <w:rFonts w:cs="Times New Roman"/>
                <w:b/>
                <w:bCs/>
                <w:color w:val="000000" w:themeColor="text1"/>
                <w:sz w:val="28"/>
                <w:szCs w:val="28"/>
              </w:rPr>
              <w:t>Lê Thanh Dũng</w:t>
            </w:r>
          </w:p>
          <w:p w14:paraId="1989DE59" w14:textId="77777777" w:rsidR="00683510" w:rsidRPr="00DF41B2" w:rsidRDefault="00683510" w:rsidP="00F64B0F">
            <w:pPr>
              <w:spacing w:line="360" w:lineRule="exact"/>
              <w:jc w:val="center"/>
              <w:rPr>
                <w:rFonts w:cs="Times New Roman"/>
                <w:b/>
                <w:bCs/>
                <w:color w:val="000000" w:themeColor="text1"/>
                <w:sz w:val="26"/>
                <w:szCs w:val="26"/>
              </w:rPr>
            </w:pPr>
          </w:p>
        </w:tc>
      </w:tr>
    </w:tbl>
    <w:p w14:paraId="2E0E9313" w14:textId="5F91A92F" w:rsidR="00FA0E4E" w:rsidRDefault="00FA0E4E" w:rsidP="002A44FA">
      <w:pPr>
        <w:spacing w:before="120" w:after="120" w:line="240" w:lineRule="auto"/>
        <w:jc w:val="both"/>
        <w:rPr>
          <w:rFonts w:cs="Times New Roman"/>
          <w:b/>
          <w:bCs/>
          <w:sz w:val="26"/>
          <w:szCs w:val="26"/>
        </w:rPr>
      </w:pPr>
    </w:p>
    <w:sectPr w:rsidR="00FA0E4E" w:rsidSect="00CC2663">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B8EF0" w14:textId="77777777" w:rsidR="00BE567B" w:rsidRDefault="00BE567B" w:rsidP="00E07882">
      <w:pPr>
        <w:spacing w:after="0" w:line="240" w:lineRule="auto"/>
      </w:pPr>
      <w:r>
        <w:separator/>
      </w:r>
    </w:p>
  </w:endnote>
  <w:endnote w:type="continuationSeparator" w:id="0">
    <w:p w14:paraId="3E2034B6" w14:textId="77777777" w:rsidR="00BE567B" w:rsidRDefault="00BE567B" w:rsidP="00E0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6883A" w14:textId="77777777" w:rsidR="00BE567B" w:rsidRDefault="00BE567B" w:rsidP="00E07882">
      <w:pPr>
        <w:spacing w:after="0" w:line="240" w:lineRule="auto"/>
      </w:pPr>
      <w:r>
        <w:separator/>
      </w:r>
    </w:p>
  </w:footnote>
  <w:footnote w:type="continuationSeparator" w:id="0">
    <w:p w14:paraId="1E30C436" w14:textId="77777777" w:rsidR="00BE567B" w:rsidRDefault="00BE567B" w:rsidP="00E07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1773084"/>
      <w:docPartObj>
        <w:docPartGallery w:val="Page Numbers (Top of Page)"/>
        <w:docPartUnique/>
      </w:docPartObj>
    </w:sdtPr>
    <w:sdtEndPr>
      <w:rPr>
        <w:noProof/>
      </w:rPr>
    </w:sdtEndPr>
    <w:sdtContent>
      <w:p w14:paraId="1FF172CD" w14:textId="50591428" w:rsidR="00E07882" w:rsidRDefault="00E078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C984087" w14:textId="77777777" w:rsidR="00E07882" w:rsidRDefault="00E07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851"/>
    <w:multiLevelType w:val="multilevel"/>
    <w:tmpl w:val="7A20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941A7"/>
    <w:multiLevelType w:val="multilevel"/>
    <w:tmpl w:val="AFB6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C499D"/>
    <w:multiLevelType w:val="multilevel"/>
    <w:tmpl w:val="9C30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176F4C"/>
    <w:multiLevelType w:val="multilevel"/>
    <w:tmpl w:val="17D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21BDC"/>
    <w:multiLevelType w:val="hybridMultilevel"/>
    <w:tmpl w:val="A27AC620"/>
    <w:lvl w:ilvl="0" w:tplc="39E6BA1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605F53"/>
    <w:multiLevelType w:val="hybridMultilevel"/>
    <w:tmpl w:val="37367414"/>
    <w:lvl w:ilvl="0" w:tplc="8D80FC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2D20F5"/>
    <w:multiLevelType w:val="multilevel"/>
    <w:tmpl w:val="0D5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90680"/>
    <w:multiLevelType w:val="multilevel"/>
    <w:tmpl w:val="122C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43F4E"/>
    <w:multiLevelType w:val="multilevel"/>
    <w:tmpl w:val="C0E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93538"/>
    <w:multiLevelType w:val="multilevel"/>
    <w:tmpl w:val="C0C6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2530BA"/>
    <w:multiLevelType w:val="multilevel"/>
    <w:tmpl w:val="1398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B11164"/>
    <w:multiLevelType w:val="multilevel"/>
    <w:tmpl w:val="B292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6CC7"/>
    <w:multiLevelType w:val="multilevel"/>
    <w:tmpl w:val="944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75B74"/>
    <w:multiLevelType w:val="hybridMultilevel"/>
    <w:tmpl w:val="0D5CC0DE"/>
    <w:lvl w:ilvl="0" w:tplc="C80C14AA">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36F6D7F"/>
    <w:multiLevelType w:val="multilevel"/>
    <w:tmpl w:val="DD9E9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F96D93"/>
    <w:multiLevelType w:val="multilevel"/>
    <w:tmpl w:val="BB74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5780B"/>
    <w:multiLevelType w:val="multilevel"/>
    <w:tmpl w:val="39BA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E9008D"/>
    <w:multiLevelType w:val="multilevel"/>
    <w:tmpl w:val="BC6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72414E"/>
    <w:multiLevelType w:val="multilevel"/>
    <w:tmpl w:val="129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C3148"/>
    <w:multiLevelType w:val="multilevel"/>
    <w:tmpl w:val="ABB2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0"/>
  </w:num>
  <w:num w:numId="4">
    <w:abstractNumId w:val="3"/>
  </w:num>
  <w:num w:numId="5">
    <w:abstractNumId w:val="14"/>
  </w:num>
  <w:num w:numId="6">
    <w:abstractNumId w:val="2"/>
  </w:num>
  <w:num w:numId="7">
    <w:abstractNumId w:val="17"/>
  </w:num>
  <w:num w:numId="8">
    <w:abstractNumId w:val="13"/>
  </w:num>
  <w:num w:numId="9">
    <w:abstractNumId w:val="5"/>
  </w:num>
  <w:num w:numId="10">
    <w:abstractNumId w:val="16"/>
  </w:num>
  <w:num w:numId="11">
    <w:abstractNumId w:val="18"/>
  </w:num>
  <w:num w:numId="12">
    <w:abstractNumId w:val="9"/>
  </w:num>
  <w:num w:numId="13">
    <w:abstractNumId w:val="15"/>
  </w:num>
  <w:num w:numId="14">
    <w:abstractNumId w:val="0"/>
  </w:num>
  <w:num w:numId="15">
    <w:abstractNumId w:val="6"/>
  </w:num>
  <w:num w:numId="16">
    <w:abstractNumId w:val="19"/>
  </w:num>
  <w:num w:numId="17">
    <w:abstractNumId w:val="7"/>
  </w:num>
  <w:num w:numId="18">
    <w:abstractNumId w:val="1"/>
  </w:num>
  <w:num w:numId="19">
    <w:abstractNumId w:val="1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E8"/>
    <w:rsid w:val="0000124C"/>
    <w:rsid w:val="00024316"/>
    <w:rsid w:val="000744E3"/>
    <w:rsid w:val="000A2D56"/>
    <w:rsid w:val="000C001D"/>
    <w:rsid w:val="000F78BA"/>
    <w:rsid w:val="00112F36"/>
    <w:rsid w:val="00146F85"/>
    <w:rsid w:val="0018207E"/>
    <w:rsid w:val="001A2899"/>
    <w:rsid w:val="00203BFE"/>
    <w:rsid w:val="00206D0D"/>
    <w:rsid w:val="00223455"/>
    <w:rsid w:val="002409CC"/>
    <w:rsid w:val="00240B8C"/>
    <w:rsid w:val="0026264B"/>
    <w:rsid w:val="00280A70"/>
    <w:rsid w:val="0028729D"/>
    <w:rsid w:val="002A44FA"/>
    <w:rsid w:val="002D2D76"/>
    <w:rsid w:val="002D2F6D"/>
    <w:rsid w:val="002D35B5"/>
    <w:rsid w:val="002F3891"/>
    <w:rsid w:val="00351CB0"/>
    <w:rsid w:val="00357EA9"/>
    <w:rsid w:val="00375F15"/>
    <w:rsid w:val="003D15D3"/>
    <w:rsid w:val="003D7D6D"/>
    <w:rsid w:val="003E09A1"/>
    <w:rsid w:val="00400075"/>
    <w:rsid w:val="0044316B"/>
    <w:rsid w:val="00453203"/>
    <w:rsid w:val="00465CC8"/>
    <w:rsid w:val="0049701E"/>
    <w:rsid w:val="004C77E7"/>
    <w:rsid w:val="004F6A20"/>
    <w:rsid w:val="00500FBE"/>
    <w:rsid w:val="00530121"/>
    <w:rsid w:val="0056140A"/>
    <w:rsid w:val="00564B86"/>
    <w:rsid w:val="005B4207"/>
    <w:rsid w:val="005D3CCB"/>
    <w:rsid w:val="005E5780"/>
    <w:rsid w:val="00615BE1"/>
    <w:rsid w:val="00623A3A"/>
    <w:rsid w:val="00623B88"/>
    <w:rsid w:val="00644D58"/>
    <w:rsid w:val="006760E1"/>
    <w:rsid w:val="00683510"/>
    <w:rsid w:val="006951CA"/>
    <w:rsid w:val="006B2835"/>
    <w:rsid w:val="006B4A47"/>
    <w:rsid w:val="006E0EFA"/>
    <w:rsid w:val="006F4E68"/>
    <w:rsid w:val="007278D9"/>
    <w:rsid w:val="00733944"/>
    <w:rsid w:val="007C634B"/>
    <w:rsid w:val="007E0EE0"/>
    <w:rsid w:val="0080109D"/>
    <w:rsid w:val="00876FE1"/>
    <w:rsid w:val="00883CF4"/>
    <w:rsid w:val="008A2995"/>
    <w:rsid w:val="008C214C"/>
    <w:rsid w:val="008D1CB1"/>
    <w:rsid w:val="008D652B"/>
    <w:rsid w:val="00900CCB"/>
    <w:rsid w:val="00936DCA"/>
    <w:rsid w:val="00944BA3"/>
    <w:rsid w:val="00946565"/>
    <w:rsid w:val="009F2960"/>
    <w:rsid w:val="009F384C"/>
    <w:rsid w:val="00A16958"/>
    <w:rsid w:val="00A23312"/>
    <w:rsid w:val="00A37FE8"/>
    <w:rsid w:val="00A722A3"/>
    <w:rsid w:val="00A82833"/>
    <w:rsid w:val="00A90723"/>
    <w:rsid w:val="00A91CDE"/>
    <w:rsid w:val="00A9747D"/>
    <w:rsid w:val="00A976E5"/>
    <w:rsid w:val="00A97F1E"/>
    <w:rsid w:val="00AA225E"/>
    <w:rsid w:val="00AC58C8"/>
    <w:rsid w:val="00AC7465"/>
    <w:rsid w:val="00AD671F"/>
    <w:rsid w:val="00B354C6"/>
    <w:rsid w:val="00B3685D"/>
    <w:rsid w:val="00B47082"/>
    <w:rsid w:val="00B53193"/>
    <w:rsid w:val="00B62E26"/>
    <w:rsid w:val="00B70978"/>
    <w:rsid w:val="00BC10E7"/>
    <w:rsid w:val="00BC19C6"/>
    <w:rsid w:val="00BE3D3B"/>
    <w:rsid w:val="00BE567B"/>
    <w:rsid w:val="00BF47A2"/>
    <w:rsid w:val="00C430C0"/>
    <w:rsid w:val="00C86176"/>
    <w:rsid w:val="00C87F53"/>
    <w:rsid w:val="00CC2663"/>
    <w:rsid w:val="00D0618D"/>
    <w:rsid w:val="00D1196E"/>
    <w:rsid w:val="00D34F3E"/>
    <w:rsid w:val="00D35584"/>
    <w:rsid w:val="00D67C31"/>
    <w:rsid w:val="00DE7818"/>
    <w:rsid w:val="00DF085B"/>
    <w:rsid w:val="00E07882"/>
    <w:rsid w:val="00E90BB6"/>
    <w:rsid w:val="00F14652"/>
    <w:rsid w:val="00F166AE"/>
    <w:rsid w:val="00F24020"/>
    <w:rsid w:val="00F330F6"/>
    <w:rsid w:val="00F52688"/>
    <w:rsid w:val="00F819BC"/>
    <w:rsid w:val="00FA0E4E"/>
    <w:rsid w:val="00FC0B03"/>
    <w:rsid w:val="00FD2CA8"/>
    <w:rsid w:val="00FE5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3DB4"/>
  <w15:chartTrackingRefBased/>
  <w15:docId w15:val="{A9DAAD65-0357-4D92-9BC9-B6C2D5E39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F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7F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7FE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7FE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37FE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37F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37FE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37FE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37FE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F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7F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7F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7F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7F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7F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7F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7F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7F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7F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7F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7FE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7F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7FE8"/>
    <w:pPr>
      <w:spacing w:before="160"/>
      <w:jc w:val="center"/>
    </w:pPr>
    <w:rPr>
      <w:i/>
      <w:iCs/>
      <w:color w:val="404040" w:themeColor="text1" w:themeTint="BF"/>
    </w:rPr>
  </w:style>
  <w:style w:type="character" w:customStyle="1" w:styleId="QuoteChar">
    <w:name w:val="Quote Char"/>
    <w:basedOn w:val="DefaultParagraphFont"/>
    <w:link w:val="Quote"/>
    <w:uiPriority w:val="29"/>
    <w:rsid w:val="00A37FE8"/>
    <w:rPr>
      <w:i/>
      <w:iCs/>
      <w:color w:val="404040" w:themeColor="text1" w:themeTint="BF"/>
    </w:rPr>
  </w:style>
  <w:style w:type="paragraph" w:styleId="ListParagraph">
    <w:name w:val="List Paragraph"/>
    <w:basedOn w:val="Normal"/>
    <w:uiPriority w:val="34"/>
    <w:qFormat/>
    <w:rsid w:val="00A37FE8"/>
    <w:pPr>
      <w:ind w:left="720"/>
      <w:contextualSpacing/>
    </w:pPr>
  </w:style>
  <w:style w:type="character" w:styleId="IntenseEmphasis">
    <w:name w:val="Intense Emphasis"/>
    <w:basedOn w:val="DefaultParagraphFont"/>
    <w:uiPriority w:val="21"/>
    <w:qFormat/>
    <w:rsid w:val="00A37FE8"/>
    <w:rPr>
      <w:i/>
      <w:iCs/>
      <w:color w:val="0F4761" w:themeColor="accent1" w:themeShade="BF"/>
    </w:rPr>
  </w:style>
  <w:style w:type="paragraph" w:styleId="IntenseQuote">
    <w:name w:val="Intense Quote"/>
    <w:basedOn w:val="Normal"/>
    <w:next w:val="Normal"/>
    <w:link w:val="IntenseQuoteChar"/>
    <w:uiPriority w:val="30"/>
    <w:qFormat/>
    <w:rsid w:val="00A37F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7FE8"/>
    <w:rPr>
      <w:i/>
      <w:iCs/>
      <w:color w:val="0F4761" w:themeColor="accent1" w:themeShade="BF"/>
    </w:rPr>
  </w:style>
  <w:style w:type="character" w:styleId="IntenseReference">
    <w:name w:val="Intense Reference"/>
    <w:basedOn w:val="DefaultParagraphFont"/>
    <w:uiPriority w:val="32"/>
    <w:qFormat/>
    <w:rsid w:val="00A37FE8"/>
    <w:rPr>
      <w:b/>
      <w:bCs/>
      <w:smallCaps/>
      <w:color w:val="0F4761" w:themeColor="accent1" w:themeShade="BF"/>
      <w:spacing w:val="5"/>
    </w:rPr>
  </w:style>
  <w:style w:type="paragraph" w:styleId="NormalWeb">
    <w:name w:val="Normal (Web)"/>
    <w:basedOn w:val="Normal"/>
    <w:uiPriority w:val="99"/>
    <w:semiHidden/>
    <w:unhideWhenUsed/>
    <w:rsid w:val="00A91CDE"/>
    <w:rPr>
      <w:rFonts w:cs="Times New Roman"/>
    </w:rPr>
  </w:style>
  <w:style w:type="table" w:styleId="TableGrid">
    <w:name w:val="Table Grid"/>
    <w:basedOn w:val="TableNormal"/>
    <w:uiPriority w:val="39"/>
    <w:rsid w:val="00FA0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09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9A1"/>
    <w:rPr>
      <w:rFonts w:ascii="Segoe UI" w:hAnsi="Segoe UI" w:cs="Segoe UI"/>
      <w:sz w:val="18"/>
      <w:szCs w:val="18"/>
    </w:rPr>
  </w:style>
  <w:style w:type="paragraph" w:styleId="Header">
    <w:name w:val="header"/>
    <w:basedOn w:val="Normal"/>
    <w:link w:val="HeaderChar"/>
    <w:uiPriority w:val="99"/>
    <w:unhideWhenUsed/>
    <w:rsid w:val="00E07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882"/>
  </w:style>
  <w:style w:type="paragraph" w:styleId="Footer">
    <w:name w:val="footer"/>
    <w:basedOn w:val="Normal"/>
    <w:link w:val="FooterChar"/>
    <w:uiPriority w:val="99"/>
    <w:unhideWhenUsed/>
    <w:rsid w:val="00E07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882"/>
  </w:style>
  <w:style w:type="paragraph" w:styleId="BodyTextIndent">
    <w:name w:val="Body Text Indent"/>
    <w:basedOn w:val="Normal"/>
    <w:link w:val="BodyTextIndentChar"/>
    <w:uiPriority w:val="99"/>
    <w:rsid w:val="00683510"/>
    <w:pPr>
      <w:spacing w:before="100" w:beforeAutospacing="1" w:after="100" w:afterAutospacing="1" w:line="240" w:lineRule="auto"/>
    </w:pPr>
    <w:rPr>
      <w:rFonts w:eastAsia="Times New Roman" w:cs="Times New Roman"/>
      <w:kern w:val="0"/>
      <w:lang w:val="vi-VN" w:eastAsia="vi-VN"/>
      <w14:ligatures w14:val="none"/>
    </w:rPr>
  </w:style>
  <w:style w:type="character" w:customStyle="1" w:styleId="BodyTextIndentChar">
    <w:name w:val="Body Text Indent Char"/>
    <w:basedOn w:val="DefaultParagraphFont"/>
    <w:link w:val="BodyTextIndent"/>
    <w:uiPriority w:val="99"/>
    <w:rsid w:val="00683510"/>
    <w:rPr>
      <w:rFonts w:eastAsia="Times New Roman" w:cs="Times New Roman"/>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937129">
      <w:bodyDiv w:val="1"/>
      <w:marLeft w:val="0"/>
      <w:marRight w:val="0"/>
      <w:marTop w:val="0"/>
      <w:marBottom w:val="0"/>
      <w:divBdr>
        <w:top w:val="none" w:sz="0" w:space="0" w:color="auto"/>
        <w:left w:val="none" w:sz="0" w:space="0" w:color="auto"/>
        <w:bottom w:val="none" w:sz="0" w:space="0" w:color="auto"/>
        <w:right w:val="none" w:sz="0" w:space="0" w:color="auto"/>
      </w:divBdr>
    </w:div>
    <w:div w:id="265815275">
      <w:bodyDiv w:val="1"/>
      <w:marLeft w:val="0"/>
      <w:marRight w:val="0"/>
      <w:marTop w:val="0"/>
      <w:marBottom w:val="0"/>
      <w:divBdr>
        <w:top w:val="none" w:sz="0" w:space="0" w:color="auto"/>
        <w:left w:val="none" w:sz="0" w:space="0" w:color="auto"/>
        <w:bottom w:val="none" w:sz="0" w:space="0" w:color="auto"/>
        <w:right w:val="none" w:sz="0" w:space="0" w:color="auto"/>
      </w:divBdr>
    </w:div>
    <w:div w:id="275336235">
      <w:bodyDiv w:val="1"/>
      <w:marLeft w:val="0"/>
      <w:marRight w:val="0"/>
      <w:marTop w:val="0"/>
      <w:marBottom w:val="0"/>
      <w:divBdr>
        <w:top w:val="none" w:sz="0" w:space="0" w:color="auto"/>
        <w:left w:val="none" w:sz="0" w:space="0" w:color="auto"/>
        <w:bottom w:val="none" w:sz="0" w:space="0" w:color="auto"/>
        <w:right w:val="none" w:sz="0" w:space="0" w:color="auto"/>
      </w:divBdr>
    </w:div>
    <w:div w:id="297613625">
      <w:bodyDiv w:val="1"/>
      <w:marLeft w:val="0"/>
      <w:marRight w:val="0"/>
      <w:marTop w:val="0"/>
      <w:marBottom w:val="0"/>
      <w:divBdr>
        <w:top w:val="none" w:sz="0" w:space="0" w:color="auto"/>
        <w:left w:val="none" w:sz="0" w:space="0" w:color="auto"/>
        <w:bottom w:val="none" w:sz="0" w:space="0" w:color="auto"/>
        <w:right w:val="none" w:sz="0" w:space="0" w:color="auto"/>
      </w:divBdr>
    </w:div>
    <w:div w:id="320351619">
      <w:bodyDiv w:val="1"/>
      <w:marLeft w:val="0"/>
      <w:marRight w:val="0"/>
      <w:marTop w:val="0"/>
      <w:marBottom w:val="0"/>
      <w:divBdr>
        <w:top w:val="none" w:sz="0" w:space="0" w:color="auto"/>
        <w:left w:val="none" w:sz="0" w:space="0" w:color="auto"/>
        <w:bottom w:val="none" w:sz="0" w:space="0" w:color="auto"/>
        <w:right w:val="none" w:sz="0" w:space="0" w:color="auto"/>
      </w:divBdr>
    </w:div>
    <w:div w:id="340358155">
      <w:bodyDiv w:val="1"/>
      <w:marLeft w:val="0"/>
      <w:marRight w:val="0"/>
      <w:marTop w:val="0"/>
      <w:marBottom w:val="0"/>
      <w:divBdr>
        <w:top w:val="none" w:sz="0" w:space="0" w:color="auto"/>
        <w:left w:val="none" w:sz="0" w:space="0" w:color="auto"/>
        <w:bottom w:val="none" w:sz="0" w:space="0" w:color="auto"/>
        <w:right w:val="none" w:sz="0" w:space="0" w:color="auto"/>
      </w:divBdr>
    </w:div>
    <w:div w:id="417556987">
      <w:bodyDiv w:val="1"/>
      <w:marLeft w:val="0"/>
      <w:marRight w:val="0"/>
      <w:marTop w:val="0"/>
      <w:marBottom w:val="0"/>
      <w:divBdr>
        <w:top w:val="none" w:sz="0" w:space="0" w:color="auto"/>
        <w:left w:val="none" w:sz="0" w:space="0" w:color="auto"/>
        <w:bottom w:val="none" w:sz="0" w:space="0" w:color="auto"/>
        <w:right w:val="none" w:sz="0" w:space="0" w:color="auto"/>
      </w:divBdr>
    </w:div>
    <w:div w:id="576746067">
      <w:bodyDiv w:val="1"/>
      <w:marLeft w:val="0"/>
      <w:marRight w:val="0"/>
      <w:marTop w:val="0"/>
      <w:marBottom w:val="0"/>
      <w:divBdr>
        <w:top w:val="none" w:sz="0" w:space="0" w:color="auto"/>
        <w:left w:val="none" w:sz="0" w:space="0" w:color="auto"/>
        <w:bottom w:val="none" w:sz="0" w:space="0" w:color="auto"/>
        <w:right w:val="none" w:sz="0" w:space="0" w:color="auto"/>
      </w:divBdr>
    </w:div>
    <w:div w:id="656417224">
      <w:bodyDiv w:val="1"/>
      <w:marLeft w:val="0"/>
      <w:marRight w:val="0"/>
      <w:marTop w:val="0"/>
      <w:marBottom w:val="0"/>
      <w:divBdr>
        <w:top w:val="none" w:sz="0" w:space="0" w:color="auto"/>
        <w:left w:val="none" w:sz="0" w:space="0" w:color="auto"/>
        <w:bottom w:val="none" w:sz="0" w:space="0" w:color="auto"/>
        <w:right w:val="none" w:sz="0" w:space="0" w:color="auto"/>
      </w:divBdr>
    </w:div>
    <w:div w:id="710496943">
      <w:bodyDiv w:val="1"/>
      <w:marLeft w:val="0"/>
      <w:marRight w:val="0"/>
      <w:marTop w:val="0"/>
      <w:marBottom w:val="0"/>
      <w:divBdr>
        <w:top w:val="none" w:sz="0" w:space="0" w:color="auto"/>
        <w:left w:val="none" w:sz="0" w:space="0" w:color="auto"/>
        <w:bottom w:val="none" w:sz="0" w:space="0" w:color="auto"/>
        <w:right w:val="none" w:sz="0" w:space="0" w:color="auto"/>
      </w:divBdr>
    </w:div>
    <w:div w:id="714892674">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48235861">
      <w:bodyDiv w:val="1"/>
      <w:marLeft w:val="0"/>
      <w:marRight w:val="0"/>
      <w:marTop w:val="0"/>
      <w:marBottom w:val="0"/>
      <w:divBdr>
        <w:top w:val="none" w:sz="0" w:space="0" w:color="auto"/>
        <w:left w:val="none" w:sz="0" w:space="0" w:color="auto"/>
        <w:bottom w:val="none" w:sz="0" w:space="0" w:color="auto"/>
        <w:right w:val="none" w:sz="0" w:space="0" w:color="auto"/>
      </w:divBdr>
    </w:div>
    <w:div w:id="890655536">
      <w:bodyDiv w:val="1"/>
      <w:marLeft w:val="0"/>
      <w:marRight w:val="0"/>
      <w:marTop w:val="0"/>
      <w:marBottom w:val="0"/>
      <w:divBdr>
        <w:top w:val="none" w:sz="0" w:space="0" w:color="auto"/>
        <w:left w:val="none" w:sz="0" w:space="0" w:color="auto"/>
        <w:bottom w:val="none" w:sz="0" w:space="0" w:color="auto"/>
        <w:right w:val="none" w:sz="0" w:space="0" w:color="auto"/>
      </w:divBdr>
    </w:div>
    <w:div w:id="909852680">
      <w:bodyDiv w:val="1"/>
      <w:marLeft w:val="0"/>
      <w:marRight w:val="0"/>
      <w:marTop w:val="0"/>
      <w:marBottom w:val="0"/>
      <w:divBdr>
        <w:top w:val="none" w:sz="0" w:space="0" w:color="auto"/>
        <w:left w:val="none" w:sz="0" w:space="0" w:color="auto"/>
        <w:bottom w:val="none" w:sz="0" w:space="0" w:color="auto"/>
        <w:right w:val="none" w:sz="0" w:space="0" w:color="auto"/>
      </w:divBdr>
    </w:div>
    <w:div w:id="928390815">
      <w:bodyDiv w:val="1"/>
      <w:marLeft w:val="0"/>
      <w:marRight w:val="0"/>
      <w:marTop w:val="0"/>
      <w:marBottom w:val="0"/>
      <w:divBdr>
        <w:top w:val="none" w:sz="0" w:space="0" w:color="auto"/>
        <w:left w:val="none" w:sz="0" w:space="0" w:color="auto"/>
        <w:bottom w:val="none" w:sz="0" w:space="0" w:color="auto"/>
        <w:right w:val="none" w:sz="0" w:space="0" w:color="auto"/>
      </w:divBdr>
    </w:div>
    <w:div w:id="928656202">
      <w:bodyDiv w:val="1"/>
      <w:marLeft w:val="0"/>
      <w:marRight w:val="0"/>
      <w:marTop w:val="0"/>
      <w:marBottom w:val="0"/>
      <w:divBdr>
        <w:top w:val="none" w:sz="0" w:space="0" w:color="auto"/>
        <w:left w:val="none" w:sz="0" w:space="0" w:color="auto"/>
        <w:bottom w:val="none" w:sz="0" w:space="0" w:color="auto"/>
        <w:right w:val="none" w:sz="0" w:space="0" w:color="auto"/>
      </w:divBdr>
    </w:div>
    <w:div w:id="950287526">
      <w:bodyDiv w:val="1"/>
      <w:marLeft w:val="0"/>
      <w:marRight w:val="0"/>
      <w:marTop w:val="0"/>
      <w:marBottom w:val="0"/>
      <w:divBdr>
        <w:top w:val="none" w:sz="0" w:space="0" w:color="auto"/>
        <w:left w:val="none" w:sz="0" w:space="0" w:color="auto"/>
        <w:bottom w:val="none" w:sz="0" w:space="0" w:color="auto"/>
        <w:right w:val="none" w:sz="0" w:space="0" w:color="auto"/>
      </w:divBdr>
    </w:div>
    <w:div w:id="1026253670">
      <w:bodyDiv w:val="1"/>
      <w:marLeft w:val="0"/>
      <w:marRight w:val="0"/>
      <w:marTop w:val="0"/>
      <w:marBottom w:val="0"/>
      <w:divBdr>
        <w:top w:val="none" w:sz="0" w:space="0" w:color="auto"/>
        <w:left w:val="none" w:sz="0" w:space="0" w:color="auto"/>
        <w:bottom w:val="none" w:sz="0" w:space="0" w:color="auto"/>
        <w:right w:val="none" w:sz="0" w:space="0" w:color="auto"/>
      </w:divBdr>
    </w:div>
    <w:div w:id="1031952269">
      <w:bodyDiv w:val="1"/>
      <w:marLeft w:val="0"/>
      <w:marRight w:val="0"/>
      <w:marTop w:val="0"/>
      <w:marBottom w:val="0"/>
      <w:divBdr>
        <w:top w:val="none" w:sz="0" w:space="0" w:color="auto"/>
        <w:left w:val="none" w:sz="0" w:space="0" w:color="auto"/>
        <w:bottom w:val="none" w:sz="0" w:space="0" w:color="auto"/>
        <w:right w:val="none" w:sz="0" w:space="0" w:color="auto"/>
      </w:divBdr>
    </w:div>
    <w:div w:id="1053427388">
      <w:bodyDiv w:val="1"/>
      <w:marLeft w:val="0"/>
      <w:marRight w:val="0"/>
      <w:marTop w:val="0"/>
      <w:marBottom w:val="0"/>
      <w:divBdr>
        <w:top w:val="none" w:sz="0" w:space="0" w:color="auto"/>
        <w:left w:val="none" w:sz="0" w:space="0" w:color="auto"/>
        <w:bottom w:val="none" w:sz="0" w:space="0" w:color="auto"/>
        <w:right w:val="none" w:sz="0" w:space="0" w:color="auto"/>
      </w:divBdr>
    </w:div>
    <w:div w:id="1094400598">
      <w:bodyDiv w:val="1"/>
      <w:marLeft w:val="0"/>
      <w:marRight w:val="0"/>
      <w:marTop w:val="0"/>
      <w:marBottom w:val="0"/>
      <w:divBdr>
        <w:top w:val="none" w:sz="0" w:space="0" w:color="auto"/>
        <w:left w:val="none" w:sz="0" w:space="0" w:color="auto"/>
        <w:bottom w:val="none" w:sz="0" w:space="0" w:color="auto"/>
        <w:right w:val="none" w:sz="0" w:space="0" w:color="auto"/>
      </w:divBdr>
    </w:div>
    <w:div w:id="1174686472">
      <w:bodyDiv w:val="1"/>
      <w:marLeft w:val="0"/>
      <w:marRight w:val="0"/>
      <w:marTop w:val="0"/>
      <w:marBottom w:val="0"/>
      <w:divBdr>
        <w:top w:val="none" w:sz="0" w:space="0" w:color="auto"/>
        <w:left w:val="none" w:sz="0" w:space="0" w:color="auto"/>
        <w:bottom w:val="none" w:sz="0" w:space="0" w:color="auto"/>
        <w:right w:val="none" w:sz="0" w:space="0" w:color="auto"/>
      </w:divBdr>
    </w:div>
    <w:div w:id="1198155897">
      <w:bodyDiv w:val="1"/>
      <w:marLeft w:val="0"/>
      <w:marRight w:val="0"/>
      <w:marTop w:val="0"/>
      <w:marBottom w:val="0"/>
      <w:divBdr>
        <w:top w:val="none" w:sz="0" w:space="0" w:color="auto"/>
        <w:left w:val="none" w:sz="0" w:space="0" w:color="auto"/>
        <w:bottom w:val="none" w:sz="0" w:space="0" w:color="auto"/>
        <w:right w:val="none" w:sz="0" w:space="0" w:color="auto"/>
      </w:divBdr>
    </w:div>
    <w:div w:id="1307737878">
      <w:bodyDiv w:val="1"/>
      <w:marLeft w:val="0"/>
      <w:marRight w:val="0"/>
      <w:marTop w:val="0"/>
      <w:marBottom w:val="0"/>
      <w:divBdr>
        <w:top w:val="none" w:sz="0" w:space="0" w:color="auto"/>
        <w:left w:val="none" w:sz="0" w:space="0" w:color="auto"/>
        <w:bottom w:val="none" w:sz="0" w:space="0" w:color="auto"/>
        <w:right w:val="none" w:sz="0" w:space="0" w:color="auto"/>
      </w:divBdr>
    </w:div>
    <w:div w:id="1340276940">
      <w:bodyDiv w:val="1"/>
      <w:marLeft w:val="0"/>
      <w:marRight w:val="0"/>
      <w:marTop w:val="0"/>
      <w:marBottom w:val="0"/>
      <w:divBdr>
        <w:top w:val="none" w:sz="0" w:space="0" w:color="auto"/>
        <w:left w:val="none" w:sz="0" w:space="0" w:color="auto"/>
        <w:bottom w:val="none" w:sz="0" w:space="0" w:color="auto"/>
        <w:right w:val="none" w:sz="0" w:space="0" w:color="auto"/>
      </w:divBdr>
    </w:div>
    <w:div w:id="1378240899">
      <w:bodyDiv w:val="1"/>
      <w:marLeft w:val="0"/>
      <w:marRight w:val="0"/>
      <w:marTop w:val="0"/>
      <w:marBottom w:val="0"/>
      <w:divBdr>
        <w:top w:val="none" w:sz="0" w:space="0" w:color="auto"/>
        <w:left w:val="none" w:sz="0" w:space="0" w:color="auto"/>
        <w:bottom w:val="none" w:sz="0" w:space="0" w:color="auto"/>
        <w:right w:val="none" w:sz="0" w:space="0" w:color="auto"/>
      </w:divBdr>
    </w:div>
    <w:div w:id="1382486578">
      <w:bodyDiv w:val="1"/>
      <w:marLeft w:val="0"/>
      <w:marRight w:val="0"/>
      <w:marTop w:val="0"/>
      <w:marBottom w:val="0"/>
      <w:divBdr>
        <w:top w:val="none" w:sz="0" w:space="0" w:color="auto"/>
        <w:left w:val="none" w:sz="0" w:space="0" w:color="auto"/>
        <w:bottom w:val="none" w:sz="0" w:space="0" w:color="auto"/>
        <w:right w:val="none" w:sz="0" w:space="0" w:color="auto"/>
      </w:divBdr>
    </w:div>
    <w:div w:id="1555654428">
      <w:bodyDiv w:val="1"/>
      <w:marLeft w:val="0"/>
      <w:marRight w:val="0"/>
      <w:marTop w:val="0"/>
      <w:marBottom w:val="0"/>
      <w:divBdr>
        <w:top w:val="none" w:sz="0" w:space="0" w:color="auto"/>
        <w:left w:val="none" w:sz="0" w:space="0" w:color="auto"/>
        <w:bottom w:val="none" w:sz="0" w:space="0" w:color="auto"/>
        <w:right w:val="none" w:sz="0" w:space="0" w:color="auto"/>
      </w:divBdr>
    </w:div>
    <w:div w:id="1613629138">
      <w:bodyDiv w:val="1"/>
      <w:marLeft w:val="0"/>
      <w:marRight w:val="0"/>
      <w:marTop w:val="0"/>
      <w:marBottom w:val="0"/>
      <w:divBdr>
        <w:top w:val="none" w:sz="0" w:space="0" w:color="auto"/>
        <w:left w:val="none" w:sz="0" w:space="0" w:color="auto"/>
        <w:bottom w:val="none" w:sz="0" w:space="0" w:color="auto"/>
        <w:right w:val="none" w:sz="0" w:space="0" w:color="auto"/>
      </w:divBdr>
    </w:div>
    <w:div w:id="1623462256">
      <w:bodyDiv w:val="1"/>
      <w:marLeft w:val="0"/>
      <w:marRight w:val="0"/>
      <w:marTop w:val="0"/>
      <w:marBottom w:val="0"/>
      <w:divBdr>
        <w:top w:val="none" w:sz="0" w:space="0" w:color="auto"/>
        <w:left w:val="none" w:sz="0" w:space="0" w:color="auto"/>
        <w:bottom w:val="none" w:sz="0" w:space="0" w:color="auto"/>
        <w:right w:val="none" w:sz="0" w:space="0" w:color="auto"/>
      </w:divBdr>
    </w:div>
    <w:div w:id="1660111041">
      <w:bodyDiv w:val="1"/>
      <w:marLeft w:val="0"/>
      <w:marRight w:val="0"/>
      <w:marTop w:val="0"/>
      <w:marBottom w:val="0"/>
      <w:divBdr>
        <w:top w:val="none" w:sz="0" w:space="0" w:color="auto"/>
        <w:left w:val="none" w:sz="0" w:space="0" w:color="auto"/>
        <w:bottom w:val="none" w:sz="0" w:space="0" w:color="auto"/>
        <w:right w:val="none" w:sz="0" w:space="0" w:color="auto"/>
      </w:divBdr>
    </w:div>
    <w:div w:id="1676028498">
      <w:bodyDiv w:val="1"/>
      <w:marLeft w:val="0"/>
      <w:marRight w:val="0"/>
      <w:marTop w:val="0"/>
      <w:marBottom w:val="0"/>
      <w:divBdr>
        <w:top w:val="none" w:sz="0" w:space="0" w:color="auto"/>
        <w:left w:val="none" w:sz="0" w:space="0" w:color="auto"/>
        <w:bottom w:val="none" w:sz="0" w:space="0" w:color="auto"/>
        <w:right w:val="none" w:sz="0" w:space="0" w:color="auto"/>
      </w:divBdr>
    </w:div>
    <w:div w:id="2032678219">
      <w:bodyDiv w:val="1"/>
      <w:marLeft w:val="0"/>
      <w:marRight w:val="0"/>
      <w:marTop w:val="0"/>
      <w:marBottom w:val="0"/>
      <w:divBdr>
        <w:top w:val="none" w:sz="0" w:space="0" w:color="auto"/>
        <w:left w:val="none" w:sz="0" w:space="0" w:color="auto"/>
        <w:bottom w:val="none" w:sz="0" w:space="0" w:color="auto"/>
        <w:right w:val="none" w:sz="0" w:space="0" w:color="auto"/>
      </w:divBdr>
    </w:div>
    <w:div w:id="2059355736">
      <w:bodyDiv w:val="1"/>
      <w:marLeft w:val="0"/>
      <w:marRight w:val="0"/>
      <w:marTop w:val="0"/>
      <w:marBottom w:val="0"/>
      <w:divBdr>
        <w:top w:val="none" w:sz="0" w:space="0" w:color="auto"/>
        <w:left w:val="none" w:sz="0" w:space="0" w:color="auto"/>
        <w:bottom w:val="none" w:sz="0" w:space="0" w:color="auto"/>
        <w:right w:val="none" w:sz="0" w:space="0" w:color="auto"/>
      </w:divBdr>
    </w:div>
    <w:div w:id="206393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CCCLDS-GIANGTT</cp:lastModifiedBy>
  <cp:revision>16</cp:revision>
  <cp:lastPrinted>2026-03-10T09:30:00Z</cp:lastPrinted>
  <dcterms:created xsi:type="dcterms:W3CDTF">2026-03-09T12:24:00Z</dcterms:created>
  <dcterms:modified xsi:type="dcterms:W3CDTF">2026-03-10T11:37:00Z</dcterms:modified>
</cp:coreProperties>
</file>