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936"/>
        <w:gridCol w:w="5670"/>
      </w:tblGrid>
      <w:tr w:rsidR="005B6B34" w:rsidRPr="009F35DD" w:rsidTr="00180BCC">
        <w:tc>
          <w:tcPr>
            <w:tcW w:w="3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F05" w:rsidRPr="00727E46" w:rsidRDefault="00DF14E8" w:rsidP="00A66F05">
            <w:pPr>
              <w:pStyle w:val="normal0020table"/>
              <w:spacing w:before="0" w:beforeAutospacing="0" w:after="0" w:afterAutospacing="0"/>
              <w:ind w:right="102"/>
              <w:jc w:val="center"/>
              <w:rPr>
                <w:rFonts w:ascii=".VnFree" w:hAnsi=".VnFree"/>
                <w:sz w:val="16"/>
                <w:szCs w:val="16"/>
                <w:lang w:val="en-US"/>
              </w:rPr>
            </w:pPr>
            <w:r w:rsidRPr="00DF14E8">
              <w:rPr>
                <w:b/>
                <w:bCs/>
                <w:noProof/>
                <w:sz w:val="26"/>
                <w:szCs w:val="26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1.75pt;margin-top:20pt;width:21.6pt;height:0;z-index:251658240" o:connectortype="straight"/>
              </w:pict>
            </w:r>
            <w:r w:rsidR="005B6B34" w:rsidRPr="009F35DD">
              <w:rPr>
                <w:b/>
                <w:bCs/>
                <w:sz w:val="26"/>
                <w:szCs w:val="26"/>
              </w:rPr>
              <w:t>QUỐC HỘI</w:t>
            </w:r>
            <w:r w:rsidR="005B6B34" w:rsidRPr="009F35DD">
              <w:rPr>
                <w:b/>
                <w:bCs/>
                <w:sz w:val="26"/>
                <w:szCs w:val="26"/>
              </w:rPr>
              <w:br/>
            </w:r>
            <w:r w:rsidR="00D5203C">
              <w:rPr>
                <w:rStyle w:val="normal0020tablechar"/>
                <w:rFonts w:ascii=".VnFree" w:hAnsi=".VnFree"/>
                <w:bCs/>
                <w:sz w:val="12"/>
                <w:szCs w:val="12"/>
                <w:lang w:val="en-US"/>
              </w:rPr>
              <w:t xml:space="preserve"> </w:t>
            </w:r>
          </w:p>
          <w:p w:rsidR="005B6B34" w:rsidRPr="009F35DD" w:rsidRDefault="005B6B34" w:rsidP="00F75234">
            <w:pPr>
              <w:jc w:val="center"/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34" w:rsidRPr="009F35DD" w:rsidRDefault="00DF14E8" w:rsidP="00D5203C">
            <w:pPr>
              <w:jc w:val="center"/>
            </w:pPr>
            <w:r w:rsidRPr="00DF14E8">
              <w:rPr>
                <w:b/>
                <w:noProof/>
                <w:sz w:val="26"/>
                <w:szCs w:val="26"/>
              </w:rPr>
              <w:pict>
                <v:shape id="_x0000_s1027" type="#_x0000_t32" style="position:absolute;left:0;text-align:left;margin-left:53.7pt;margin-top:34.8pt;width:162.5pt;height:.05pt;z-index:251659264;mso-position-horizontal-relative:text;mso-position-vertical-relative:text" o:connectortype="straight"/>
              </w:pict>
            </w:r>
            <w:r w:rsidR="005B6B34" w:rsidRPr="009F35DD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="005B6B34" w:rsidRPr="009F35DD">
              <w:rPr>
                <w:b/>
                <w:bCs/>
                <w:sz w:val="26"/>
                <w:szCs w:val="26"/>
                <w:lang w:val="vi-VN"/>
              </w:rPr>
              <w:br/>
            </w:r>
            <w:r w:rsidR="005B6B34" w:rsidRPr="009F35DD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  <w:r w:rsidR="005B6B34" w:rsidRPr="009F35DD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5B6B34" w:rsidRPr="009F35DD">
              <w:rPr>
                <w:b/>
                <w:bCs/>
                <w:sz w:val="26"/>
                <w:szCs w:val="26"/>
                <w:lang w:val="vi-VN"/>
              </w:rPr>
              <w:br/>
            </w:r>
            <w:r w:rsidR="00D5203C">
              <w:rPr>
                <w:rStyle w:val="normal0020tablechar"/>
                <w:rFonts w:ascii=".VnFree" w:hAnsi=".VnFree"/>
                <w:bCs/>
                <w:sz w:val="12"/>
                <w:szCs w:val="12"/>
              </w:rPr>
              <w:t xml:space="preserve"> </w:t>
            </w:r>
          </w:p>
        </w:tc>
      </w:tr>
      <w:tr w:rsidR="005B6B34" w:rsidRPr="009F35DD" w:rsidTr="00180BC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34" w:rsidRPr="00487786" w:rsidRDefault="005B6B34" w:rsidP="00487786">
            <w:pPr>
              <w:jc w:val="center"/>
              <w:rPr>
                <w:sz w:val="28"/>
                <w:szCs w:val="28"/>
              </w:rPr>
            </w:pPr>
            <w:r w:rsidRPr="001372AE">
              <w:rPr>
                <w:sz w:val="28"/>
                <w:szCs w:val="28"/>
                <w:lang w:val="vi-VN"/>
              </w:rPr>
              <w:t>Nghị quyết số:</w:t>
            </w:r>
            <w:r w:rsidR="00180BCC" w:rsidRPr="001372AE">
              <w:rPr>
                <w:sz w:val="28"/>
                <w:szCs w:val="28"/>
              </w:rPr>
              <w:t xml:space="preserve">  </w:t>
            </w:r>
            <w:r w:rsidR="0077780E" w:rsidRPr="001372AE">
              <w:rPr>
                <w:sz w:val="28"/>
                <w:szCs w:val="28"/>
              </w:rPr>
              <w:t xml:space="preserve">    </w:t>
            </w:r>
            <w:r w:rsidR="00180BCC" w:rsidRPr="001372AE">
              <w:rPr>
                <w:sz w:val="28"/>
                <w:szCs w:val="28"/>
              </w:rPr>
              <w:t xml:space="preserve">  </w:t>
            </w:r>
            <w:r w:rsidRPr="001372AE">
              <w:rPr>
                <w:sz w:val="28"/>
                <w:szCs w:val="28"/>
                <w:lang w:val="vi-VN"/>
              </w:rPr>
              <w:t>/202</w:t>
            </w:r>
            <w:r w:rsidR="00487786">
              <w:rPr>
                <w:sz w:val="28"/>
                <w:szCs w:val="28"/>
              </w:rPr>
              <w:t>6</w:t>
            </w:r>
            <w:r w:rsidRPr="001372AE">
              <w:rPr>
                <w:sz w:val="28"/>
                <w:szCs w:val="28"/>
                <w:lang w:val="vi-VN"/>
              </w:rPr>
              <w:t>/QH1</w:t>
            </w:r>
            <w:r w:rsidR="00487786">
              <w:rPr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34" w:rsidRPr="00F567B9" w:rsidRDefault="005B6B34" w:rsidP="00487786">
            <w:pPr>
              <w:jc w:val="center"/>
              <w:rPr>
                <w:sz w:val="28"/>
                <w:szCs w:val="28"/>
              </w:rPr>
            </w:pPr>
            <w:proofErr w:type="spellStart"/>
            <w:r w:rsidRPr="009F35DD">
              <w:rPr>
                <w:i/>
                <w:iCs/>
                <w:sz w:val="28"/>
                <w:szCs w:val="28"/>
              </w:rPr>
              <w:t>Hà</w:t>
            </w:r>
            <w:proofErr w:type="spellEnd"/>
            <w:r w:rsidRPr="009F35D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F35DD">
              <w:rPr>
                <w:i/>
                <w:iCs/>
                <w:sz w:val="28"/>
                <w:szCs w:val="28"/>
              </w:rPr>
              <w:t>Nội</w:t>
            </w:r>
            <w:proofErr w:type="spellEnd"/>
            <w:r w:rsidRPr="009F35DD">
              <w:rPr>
                <w:i/>
                <w:iCs/>
                <w:sz w:val="28"/>
                <w:szCs w:val="28"/>
              </w:rPr>
              <w:t xml:space="preserve">, </w:t>
            </w:r>
            <w:r w:rsidRPr="009F35DD">
              <w:rPr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="00430B34" w:rsidRPr="009F35DD">
              <w:rPr>
                <w:i/>
                <w:iCs/>
                <w:sz w:val="28"/>
                <w:szCs w:val="28"/>
              </w:rPr>
              <w:t xml:space="preserve">    </w:t>
            </w:r>
            <w:r w:rsidRPr="009F35DD">
              <w:rPr>
                <w:i/>
                <w:iCs/>
                <w:sz w:val="28"/>
                <w:szCs w:val="28"/>
                <w:lang w:val="vi-VN"/>
              </w:rPr>
              <w:t xml:space="preserve"> tháng </w:t>
            </w:r>
            <w:r w:rsidR="00430B34" w:rsidRPr="009F35DD">
              <w:rPr>
                <w:i/>
                <w:iCs/>
                <w:sz w:val="28"/>
                <w:szCs w:val="28"/>
              </w:rPr>
              <w:t xml:space="preserve">   </w:t>
            </w:r>
            <w:r w:rsidRPr="009F35DD">
              <w:rPr>
                <w:i/>
                <w:iCs/>
                <w:sz w:val="28"/>
                <w:szCs w:val="28"/>
                <w:lang w:val="vi-VN"/>
              </w:rPr>
              <w:t xml:space="preserve"> năm 202</w:t>
            </w:r>
            <w:r w:rsidR="00487786">
              <w:rPr>
                <w:i/>
                <w:iCs/>
                <w:sz w:val="28"/>
                <w:szCs w:val="28"/>
              </w:rPr>
              <w:t>6</w:t>
            </w:r>
          </w:p>
        </w:tc>
      </w:tr>
    </w:tbl>
    <w:p w:rsidR="00FF3457" w:rsidRDefault="002A1A62" w:rsidP="002A1A62">
      <w:pPr>
        <w:spacing w:after="120"/>
        <w:rPr>
          <w:b/>
          <w:sz w:val="26"/>
          <w:szCs w:val="26"/>
        </w:rPr>
      </w:pPr>
      <w:bookmarkStart w:id="0" w:name="loai_1"/>
      <w:r>
        <w:rPr>
          <w:b/>
          <w:sz w:val="26"/>
          <w:szCs w:val="26"/>
        </w:rPr>
        <w:t xml:space="preserve">  </w:t>
      </w:r>
    </w:p>
    <w:p w:rsidR="005B6B34" w:rsidRPr="009F35DD" w:rsidRDefault="005B6B34">
      <w:pPr>
        <w:spacing w:after="120"/>
        <w:jc w:val="center"/>
        <w:rPr>
          <w:b/>
          <w:bCs/>
          <w:sz w:val="28"/>
          <w:szCs w:val="28"/>
        </w:rPr>
      </w:pPr>
      <w:r w:rsidRPr="009F35DD">
        <w:rPr>
          <w:b/>
          <w:bCs/>
          <w:sz w:val="28"/>
          <w:szCs w:val="28"/>
          <w:lang w:val="vi-VN"/>
        </w:rPr>
        <w:t>NGHỊ QUYẾT</w:t>
      </w:r>
      <w:bookmarkEnd w:id="0"/>
    </w:p>
    <w:p w:rsidR="00B42301" w:rsidRPr="009F35DD" w:rsidRDefault="00A60E95" w:rsidP="00A60E95">
      <w:pPr>
        <w:jc w:val="center"/>
        <w:rPr>
          <w:b/>
          <w:bCs/>
          <w:sz w:val="28"/>
          <w:szCs w:val="28"/>
        </w:rPr>
      </w:pPr>
      <w:proofErr w:type="spellStart"/>
      <w:r w:rsidRPr="009F35DD">
        <w:rPr>
          <w:b/>
          <w:bCs/>
          <w:sz w:val="28"/>
          <w:szCs w:val="28"/>
        </w:rPr>
        <w:t>Về</w:t>
      </w:r>
      <w:proofErr w:type="spellEnd"/>
      <w:r w:rsidRPr="009F35DD">
        <w:rPr>
          <w:b/>
          <w:bCs/>
          <w:sz w:val="28"/>
          <w:szCs w:val="28"/>
        </w:rPr>
        <w:t xml:space="preserve"> </w:t>
      </w:r>
      <w:proofErr w:type="spellStart"/>
      <w:r w:rsidR="001E4A78">
        <w:rPr>
          <w:b/>
          <w:bCs/>
          <w:sz w:val="28"/>
          <w:szCs w:val="28"/>
        </w:rPr>
        <w:t>điều</w:t>
      </w:r>
      <w:proofErr w:type="spellEnd"/>
      <w:r w:rsidR="001E4A78">
        <w:rPr>
          <w:b/>
          <w:bCs/>
          <w:sz w:val="28"/>
          <w:szCs w:val="28"/>
        </w:rPr>
        <w:t xml:space="preserve"> </w:t>
      </w:r>
      <w:proofErr w:type="spellStart"/>
      <w:r w:rsidR="001E4A78">
        <w:rPr>
          <w:b/>
          <w:bCs/>
          <w:sz w:val="28"/>
          <w:szCs w:val="28"/>
        </w:rPr>
        <w:t>chỉnh</w:t>
      </w:r>
      <w:proofErr w:type="spellEnd"/>
      <w:r w:rsidR="001E4A78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mức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thuế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bảo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vệ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môi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trường</w:t>
      </w:r>
      <w:proofErr w:type="spellEnd"/>
      <w:r w:rsidR="00487786">
        <w:rPr>
          <w:b/>
          <w:bCs/>
          <w:sz w:val="28"/>
          <w:szCs w:val="28"/>
        </w:rPr>
        <w:t xml:space="preserve">, </w:t>
      </w:r>
      <w:proofErr w:type="spellStart"/>
      <w:r w:rsidR="00487786">
        <w:rPr>
          <w:b/>
          <w:bCs/>
          <w:sz w:val="28"/>
          <w:szCs w:val="28"/>
        </w:rPr>
        <w:t>thuế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giá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trị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gia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tăng</w:t>
      </w:r>
      <w:proofErr w:type="spellEnd"/>
      <w:r w:rsidR="00487786">
        <w:rPr>
          <w:b/>
          <w:bCs/>
          <w:sz w:val="28"/>
          <w:szCs w:val="28"/>
        </w:rPr>
        <w:t xml:space="preserve">, </w:t>
      </w:r>
      <w:proofErr w:type="spellStart"/>
      <w:r w:rsidR="00487786">
        <w:rPr>
          <w:b/>
          <w:bCs/>
          <w:sz w:val="28"/>
          <w:szCs w:val="28"/>
        </w:rPr>
        <w:t>thuế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tiêu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thụ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đặc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biệt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đối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với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xăng</w:t>
      </w:r>
      <w:proofErr w:type="spellEnd"/>
      <w:r w:rsidR="00487786">
        <w:rPr>
          <w:b/>
          <w:bCs/>
          <w:sz w:val="28"/>
          <w:szCs w:val="28"/>
        </w:rPr>
        <w:t xml:space="preserve">, </w:t>
      </w:r>
      <w:proofErr w:type="spellStart"/>
      <w:r w:rsidR="00487786">
        <w:rPr>
          <w:b/>
          <w:bCs/>
          <w:sz w:val="28"/>
          <w:szCs w:val="28"/>
        </w:rPr>
        <w:t>dầu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và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nhiên</w:t>
      </w:r>
      <w:proofErr w:type="spellEnd"/>
      <w:r w:rsidR="00487786">
        <w:rPr>
          <w:b/>
          <w:bCs/>
          <w:sz w:val="28"/>
          <w:szCs w:val="28"/>
        </w:rPr>
        <w:t xml:space="preserve"> </w:t>
      </w:r>
      <w:proofErr w:type="spellStart"/>
      <w:r w:rsidR="00487786">
        <w:rPr>
          <w:b/>
          <w:bCs/>
          <w:sz w:val="28"/>
          <w:szCs w:val="28"/>
        </w:rPr>
        <w:t>liệu</w:t>
      </w:r>
      <w:proofErr w:type="spellEnd"/>
      <w:r w:rsidR="00487786">
        <w:rPr>
          <w:b/>
          <w:bCs/>
          <w:sz w:val="28"/>
          <w:szCs w:val="28"/>
        </w:rPr>
        <w:t xml:space="preserve"> bay</w:t>
      </w:r>
    </w:p>
    <w:p w:rsidR="00A60E95" w:rsidRPr="009F35DD" w:rsidRDefault="00A60E95">
      <w:pPr>
        <w:spacing w:after="120"/>
        <w:jc w:val="center"/>
        <w:rPr>
          <w:b/>
          <w:bCs/>
          <w:sz w:val="28"/>
          <w:szCs w:val="28"/>
        </w:rPr>
      </w:pPr>
    </w:p>
    <w:p w:rsidR="005B6B34" w:rsidRPr="009F35DD" w:rsidRDefault="005B6B34">
      <w:pPr>
        <w:spacing w:after="120"/>
        <w:jc w:val="center"/>
        <w:rPr>
          <w:sz w:val="28"/>
          <w:szCs w:val="28"/>
        </w:rPr>
      </w:pPr>
      <w:r w:rsidRPr="009F35DD">
        <w:rPr>
          <w:b/>
          <w:bCs/>
          <w:sz w:val="28"/>
          <w:szCs w:val="28"/>
          <w:lang w:val="vi-VN"/>
        </w:rPr>
        <w:t>QUỐC HỘI</w:t>
      </w:r>
    </w:p>
    <w:p w:rsidR="00175224" w:rsidRPr="009F35DD" w:rsidRDefault="00175224" w:rsidP="00175224">
      <w:pPr>
        <w:spacing w:before="120" w:after="120"/>
        <w:rPr>
          <w:i/>
          <w:iCs/>
          <w:sz w:val="28"/>
          <w:szCs w:val="28"/>
        </w:rPr>
      </w:pPr>
    </w:p>
    <w:p w:rsidR="00487786" w:rsidRPr="00487786" w:rsidRDefault="00487786" w:rsidP="00487786">
      <w:pPr>
        <w:spacing w:before="120" w:after="120"/>
        <w:ind w:firstLine="720"/>
        <w:jc w:val="both"/>
        <w:rPr>
          <w:i/>
          <w:iCs/>
          <w:sz w:val="28"/>
          <w:szCs w:val="28"/>
          <w:lang w:val="vi-VN"/>
        </w:rPr>
      </w:pPr>
      <w:r w:rsidRPr="00487786">
        <w:rPr>
          <w:i/>
          <w:iCs/>
          <w:sz w:val="28"/>
          <w:szCs w:val="28"/>
          <w:lang w:val="vi-VN"/>
        </w:rPr>
        <w:t>Căn cứ Hiến pháp nước Cộng hòa xã hội chủ nghĩa Việt Nam</w:t>
      </w:r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đã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được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sửa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đổi</w:t>
      </w:r>
      <w:proofErr w:type="spellEnd"/>
      <w:r w:rsidRPr="00487786">
        <w:rPr>
          <w:i/>
          <w:iCs/>
          <w:sz w:val="28"/>
          <w:szCs w:val="28"/>
        </w:rPr>
        <w:t xml:space="preserve">, </w:t>
      </w:r>
      <w:proofErr w:type="spellStart"/>
      <w:r w:rsidRPr="00487786">
        <w:rPr>
          <w:i/>
          <w:iCs/>
          <w:sz w:val="28"/>
          <w:szCs w:val="28"/>
        </w:rPr>
        <w:t>bổ</w:t>
      </w:r>
      <w:proofErr w:type="spellEnd"/>
      <w:r w:rsidRPr="00487786">
        <w:rPr>
          <w:i/>
          <w:iCs/>
          <w:sz w:val="28"/>
          <w:szCs w:val="28"/>
        </w:rPr>
        <w:t xml:space="preserve"> sung </w:t>
      </w:r>
      <w:proofErr w:type="spellStart"/>
      <w:r w:rsidRPr="00487786">
        <w:rPr>
          <w:i/>
          <w:iCs/>
          <w:sz w:val="28"/>
          <w:szCs w:val="28"/>
        </w:rPr>
        <w:t>một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số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điều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theo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Nghị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quyết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số</w:t>
      </w:r>
      <w:proofErr w:type="spellEnd"/>
      <w:r w:rsidRPr="00487786">
        <w:rPr>
          <w:i/>
          <w:iCs/>
          <w:sz w:val="28"/>
          <w:szCs w:val="28"/>
        </w:rPr>
        <w:t xml:space="preserve"> 203/2025/QH15</w:t>
      </w:r>
      <w:r w:rsidRPr="00487786">
        <w:rPr>
          <w:i/>
          <w:iCs/>
          <w:sz w:val="28"/>
          <w:szCs w:val="28"/>
          <w:lang w:val="vi-VN"/>
        </w:rPr>
        <w:t>;</w:t>
      </w:r>
    </w:p>
    <w:p w:rsidR="00487786" w:rsidRPr="006E61EC" w:rsidRDefault="00487786" w:rsidP="00487786">
      <w:pPr>
        <w:spacing w:before="120" w:after="120"/>
        <w:ind w:firstLine="720"/>
        <w:jc w:val="both"/>
        <w:rPr>
          <w:i/>
          <w:iCs/>
          <w:sz w:val="28"/>
          <w:szCs w:val="28"/>
          <w:lang w:val="vi-VN"/>
        </w:rPr>
      </w:pPr>
      <w:r w:rsidRPr="00C12F69">
        <w:rPr>
          <w:i/>
          <w:iCs/>
          <w:sz w:val="28"/>
          <w:szCs w:val="28"/>
          <w:lang w:val="vi-VN"/>
        </w:rPr>
        <w:t xml:space="preserve">Căn cứ Luật Tổ chức Quốc hội </w:t>
      </w:r>
      <w:r w:rsidRPr="006E61EC">
        <w:rPr>
          <w:i/>
          <w:iCs/>
          <w:sz w:val="28"/>
          <w:szCs w:val="28"/>
          <w:lang w:val="vi-VN"/>
        </w:rPr>
        <w:t>số 57/2014/QH13 đã được sửa đổi, bổ sung một số điều theo Luật số 65/2020/QH14</w:t>
      </w:r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và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Luật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số</w:t>
      </w:r>
      <w:proofErr w:type="spellEnd"/>
      <w:r>
        <w:rPr>
          <w:i/>
          <w:iCs/>
          <w:sz w:val="28"/>
          <w:szCs w:val="28"/>
        </w:rPr>
        <w:t xml:space="preserve"> 62/2025/QH15</w:t>
      </w:r>
      <w:r w:rsidRPr="006E61EC">
        <w:rPr>
          <w:i/>
          <w:iCs/>
          <w:sz w:val="28"/>
          <w:szCs w:val="28"/>
          <w:lang w:val="vi-VN"/>
        </w:rPr>
        <w:t>;</w:t>
      </w:r>
    </w:p>
    <w:p w:rsidR="00487786" w:rsidRPr="00C12F69" w:rsidRDefault="00487786" w:rsidP="00487786">
      <w:pPr>
        <w:spacing w:before="120" w:after="120"/>
        <w:ind w:firstLine="720"/>
        <w:jc w:val="both"/>
        <w:rPr>
          <w:i/>
          <w:iCs/>
          <w:sz w:val="28"/>
          <w:szCs w:val="28"/>
          <w:lang w:val="vi-VN"/>
        </w:rPr>
      </w:pPr>
      <w:r w:rsidRPr="00C12F69">
        <w:rPr>
          <w:i/>
          <w:iCs/>
          <w:sz w:val="28"/>
          <w:szCs w:val="28"/>
          <w:lang w:val="vi-VN"/>
        </w:rPr>
        <w:t xml:space="preserve">Căn cứ Luật Thuế bảo vệ môi trường </w:t>
      </w:r>
      <w:r w:rsidRPr="008F47E4">
        <w:rPr>
          <w:i/>
          <w:iCs/>
          <w:sz w:val="28"/>
          <w:szCs w:val="28"/>
          <w:lang w:val="vi-VN"/>
        </w:rPr>
        <w:t>số 57/2010/QH12</w:t>
      </w:r>
      <w:r w:rsidRPr="00C12F69">
        <w:rPr>
          <w:i/>
          <w:iCs/>
          <w:sz w:val="28"/>
          <w:szCs w:val="28"/>
          <w:lang w:val="vi-VN"/>
        </w:rPr>
        <w:t>;</w:t>
      </w:r>
    </w:p>
    <w:p w:rsidR="00487786" w:rsidRPr="00487786" w:rsidRDefault="00487786" w:rsidP="00487786">
      <w:pPr>
        <w:pStyle w:val="Vnbnnidung0"/>
        <w:tabs>
          <w:tab w:val="left" w:pos="11373"/>
        </w:tabs>
        <w:adjustRightInd w:val="0"/>
        <w:snapToGrid w:val="0"/>
        <w:ind w:firstLine="720"/>
        <w:jc w:val="both"/>
        <w:rPr>
          <w:i/>
          <w:iCs/>
          <w:sz w:val="28"/>
          <w:szCs w:val="28"/>
        </w:rPr>
      </w:pPr>
      <w:r w:rsidRPr="00487786">
        <w:rPr>
          <w:i/>
          <w:iCs/>
          <w:sz w:val="28"/>
          <w:szCs w:val="28"/>
          <w:lang w:val="vi-VN"/>
        </w:rPr>
        <w:t>Căn cứ Luật Thuế giá trị gia tăng</w:t>
      </w:r>
      <w:r w:rsidRPr="00487786">
        <w:rPr>
          <w:i/>
          <w:iCs/>
          <w:sz w:val="28"/>
          <w:szCs w:val="28"/>
          <w:lang w:val="nl-NL"/>
        </w:rPr>
        <w:t xml:space="preserve"> </w:t>
      </w:r>
      <w:r w:rsidRPr="00487786">
        <w:rPr>
          <w:i/>
          <w:iCs/>
          <w:sz w:val="28"/>
          <w:szCs w:val="28"/>
          <w:lang w:val="vi-VN"/>
        </w:rPr>
        <w:t>số 48/2024/QH15</w:t>
      </w:r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đã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được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sửa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đổi</w:t>
      </w:r>
      <w:proofErr w:type="spellEnd"/>
      <w:r w:rsidRPr="00487786">
        <w:rPr>
          <w:i/>
          <w:iCs/>
          <w:sz w:val="28"/>
          <w:szCs w:val="28"/>
        </w:rPr>
        <w:t xml:space="preserve">, </w:t>
      </w:r>
      <w:proofErr w:type="spellStart"/>
      <w:r w:rsidRPr="00487786">
        <w:rPr>
          <w:i/>
          <w:iCs/>
          <w:sz w:val="28"/>
          <w:szCs w:val="28"/>
        </w:rPr>
        <w:t>bổ</w:t>
      </w:r>
      <w:proofErr w:type="spellEnd"/>
      <w:r w:rsidRPr="00487786">
        <w:rPr>
          <w:i/>
          <w:iCs/>
          <w:sz w:val="28"/>
          <w:szCs w:val="28"/>
        </w:rPr>
        <w:t xml:space="preserve"> sung </w:t>
      </w:r>
      <w:proofErr w:type="spellStart"/>
      <w:r w:rsidRPr="00487786">
        <w:rPr>
          <w:i/>
          <w:iCs/>
          <w:sz w:val="28"/>
          <w:szCs w:val="28"/>
        </w:rPr>
        <w:t>một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số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điều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="00435C92">
        <w:rPr>
          <w:i/>
          <w:iCs/>
          <w:sz w:val="28"/>
          <w:szCs w:val="28"/>
        </w:rPr>
        <w:t>theo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Luật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số</w:t>
      </w:r>
      <w:proofErr w:type="spellEnd"/>
      <w:r w:rsidRPr="00487786">
        <w:rPr>
          <w:i/>
          <w:iCs/>
          <w:sz w:val="28"/>
          <w:szCs w:val="28"/>
        </w:rPr>
        <w:t xml:space="preserve"> 90/2025/QH15 </w:t>
      </w:r>
      <w:proofErr w:type="spellStart"/>
      <w:r w:rsidRPr="00487786">
        <w:rPr>
          <w:i/>
          <w:iCs/>
          <w:sz w:val="28"/>
          <w:szCs w:val="28"/>
        </w:rPr>
        <w:t>và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Luật</w:t>
      </w:r>
      <w:proofErr w:type="spellEnd"/>
      <w:r w:rsidRPr="00487786">
        <w:rPr>
          <w:i/>
          <w:iCs/>
          <w:sz w:val="28"/>
          <w:szCs w:val="28"/>
        </w:rPr>
        <w:t xml:space="preserve"> </w:t>
      </w:r>
      <w:proofErr w:type="spellStart"/>
      <w:r w:rsidRPr="00487786">
        <w:rPr>
          <w:i/>
          <w:iCs/>
          <w:sz w:val="28"/>
          <w:szCs w:val="28"/>
        </w:rPr>
        <w:t>số</w:t>
      </w:r>
      <w:proofErr w:type="spellEnd"/>
      <w:r w:rsidRPr="00487786">
        <w:rPr>
          <w:i/>
          <w:iCs/>
          <w:sz w:val="28"/>
          <w:szCs w:val="28"/>
        </w:rPr>
        <w:t xml:space="preserve"> 149/2025/QH15;</w:t>
      </w:r>
    </w:p>
    <w:p w:rsidR="00487786" w:rsidRPr="009F35DD" w:rsidRDefault="00487786" w:rsidP="00487786">
      <w:pPr>
        <w:pStyle w:val="Vnbnnidung0"/>
        <w:tabs>
          <w:tab w:val="left" w:pos="11373"/>
        </w:tabs>
        <w:adjustRightInd w:val="0"/>
        <w:snapToGrid w:val="0"/>
        <w:spacing w:before="120" w:line="240" w:lineRule="auto"/>
        <w:ind w:firstLine="720"/>
        <w:jc w:val="both"/>
        <w:rPr>
          <w:rStyle w:val="Vnbnnidung"/>
          <w:i/>
          <w:iCs/>
          <w:sz w:val="28"/>
          <w:szCs w:val="28"/>
        </w:rPr>
      </w:pPr>
      <w:proofErr w:type="spellStart"/>
      <w:r>
        <w:rPr>
          <w:rStyle w:val="Vnbnnidung"/>
          <w:i/>
          <w:iCs/>
          <w:sz w:val="28"/>
          <w:szCs w:val="28"/>
        </w:rPr>
        <w:t>Căn</w:t>
      </w:r>
      <w:proofErr w:type="spellEnd"/>
      <w:r>
        <w:rPr>
          <w:rStyle w:val="Vnbnnidung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i/>
          <w:iCs/>
          <w:sz w:val="28"/>
          <w:szCs w:val="28"/>
        </w:rPr>
        <w:t>cứ</w:t>
      </w:r>
      <w:proofErr w:type="spellEnd"/>
      <w:r>
        <w:rPr>
          <w:rStyle w:val="Vnbnnidung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i/>
          <w:iCs/>
          <w:sz w:val="28"/>
          <w:szCs w:val="28"/>
        </w:rPr>
        <w:t>Luật</w:t>
      </w:r>
      <w:proofErr w:type="spellEnd"/>
      <w:r>
        <w:rPr>
          <w:rStyle w:val="Vnbnnidung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i/>
          <w:iCs/>
          <w:sz w:val="28"/>
          <w:szCs w:val="28"/>
        </w:rPr>
        <w:t>Thuế</w:t>
      </w:r>
      <w:proofErr w:type="spellEnd"/>
      <w:r>
        <w:rPr>
          <w:rStyle w:val="Vnbnnidung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i/>
          <w:iCs/>
          <w:sz w:val="28"/>
          <w:szCs w:val="28"/>
        </w:rPr>
        <w:t>tiêu</w:t>
      </w:r>
      <w:proofErr w:type="spellEnd"/>
      <w:r>
        <w:rPr>
          <w:rStyle w:val="Vnbnnidung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i/>
          <w:iCs/>
          <w:sz w:val="28"/>
          <w:szCs w:val="28"/>
        </w:rPr>
        <w:t>thụ</w:t>
      </w:r>
      <w:proofErr w:type="spellEnd"/>
      <w:r>
        <w:rPr>
          <w:rStyle w:val="Vnbnnidung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i/>
          <w:iCs/>
          <w:sz w:val="28"/>
          <w:szCs w:val="28"/>
        </w:rPr>
        <w:t>đặc</w:t>
      </w:r>
      <w:proofErr w:type="spellEnd"/>
      <w:r>
        <w:rPr>
          <w:rStyle w:val="Vnbnnidung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i/>
          <w:iCs/>
          <w:sz w:val="28"/>
          <w:szCs w:val="28"/>
        </w:rPr>
        <w:t>biệt</w:t>
      </w:r>
      <w:proofErr w:type="spellEnd"/>
      <w:r>
        <w:rPr>
          <w:rStyle w:val="Vnbnnidung"/>
          <w:i/>
          <w:iCs/>
          <w:sz w:val="28"/>
          <w:szCs w:val="28"/>
        </w:rPr>
        <w:t xml:space="preserve"> </w:t>
      </w:r>
      <w:proofErr w:type="spellStart"/>
      <w:r>
        <w:rPr>
          <w:rStyle w:val="Vnbnnidung"/>
          <w:i/>
          <w:iCs/>
          <w:sz w:val="28"/>
          <w:szCs w:val="28"/>
        </w:rPr>
        <w:t>số</w:t>
      </w:r>
      <w:proofErr w:type="spellEnd"/>
      <w:r>
        <w:rPr>
          <w:rStyle w:val="Vnbnnidung"/>
          <w:i/>
          <w:iCs/>
          <w:sz w:val="28"/>
          <w:szCs w:val="28"/>
        </w:rPr>
        <w:t xml:space="preserve"> 66/2025/QH15;</w:t>
      </w:r>
    </w:p>
    <w:p w:rsidR="00190ADD" w:rsidRDefault="00190ADD">
      <w:pPr>
        <w:spacing w:after="120"/>
        <w:jc w:val="center"/>
        <w:rPr>
          <w:b/>
          <w:bCs/>
          <w:sz w:val="28"/>
          <w:szCs w:val="28"/>
        </w:rPr>
      </w:pPr>
    </w:p>
    <w:p w:rsidR="00A672FE" w:rsidRDefault="005B6B34" w:rsidP="00487786">
      <w:pPr>
        <w:spacing w:after="120"/>
        <w:jc w:val="center"/>
        <w:rPr>
          <w:b/>
          <w:bCs/>
          <w:sz w:val="28"/>
          <w:szCs w:val="28"/>
        </w:rPr>
      </w:pPr>
      <w:r w:rsidRPr="009F35DD">
        <w:rPr>
          <w:b/>
          <w:bCs/>
          <w:sz w:val="28"/>
          <w:szCs w:val="28"/>
          <w:lang w:val="vi-VN"/>
        </w:rPr>
        <w:t>QUYẾT NGHỊ:</w:t>
      </w:r>
      <w:bookmarkStart w:id="1" w:name="dieu_3"/>
      <w:bookmarkStart w:id="2" w:name="bookmark3"/>
      <w:bookmarkStart w:id="3" w:name="dieu_8"/>
    </w:p>
    <w:p w:rsidR="00487786" w:rsidRPr="00487786" w:rsidRDefault="00487786" w:rsidP="00487786">
      <w:pPr>
        <w:spacing w:after="120"/>
        <w:jc w:val="center"/>
        <w:rPr>
          <w:b/>
          <w:bCs/>
          <w:sz w:val="28"/>
          <w:szCs w:val="28"/>
        </w:rPr>
      </w:pPr>
    </w:p>
    <w:bookmarkEnd w:id="1"/>
    <w:bookmarkEnd w:id="2"/>
    <w:bookmarkEnd w:id="3"/>
    <w:p w:rsidR="00487786" w:rsidRPr="001E4A78" w:rsidRDefault="0022700F" w:rsidP="00487786">
      <w:pPr>
        <w:spacing w:before="120" w:after="120"/>
        <w:ind w:firstLine="706"/>
        <w:jc w:val="both"/>
        <w:rPr>
          <w:b/>
          <w:sz w:val="28"/>
          <w:szCs w:val="28"/>
        </w:rPr>
      </w:pPr>
      <w:r w:rsidRPr="001E4A78">
        <w:rPr>
          <w:b/>
          <w:sz w:val="28"/>
          <w:szCs w:val="28"/>
          <w:lang w:val="nl-NL"/>
        </w:rPr>
        <w:t xml:space="preserve">Điều 1. </w:t>
      </w:r>
      <w:r w:rsidR="001E4A78" w:rsidRPr="001E4A78">
        <w:rPr>
          <w:b/>
          <w:sz w:val="28"/>
          <w:szCs w:val="28"/>
          <w:lang w:val="nl-NL"/>
        </w:rPr>
        <w:t xml:space="preserve">Điều chỉnh </w:t>
      </w:r>
      <w:r w:rsidR="001E4A78" w:rsidRPr="001E4A78">
        <w:rPr>
          <w:b/>
          <w:sz w:val="28"/>
          <w:szCs w:val="28"/>
        </w:rPr>
        <w:t>m</w:t>
      </w:r>
      <w:r w:rsidR="00487786" w:rsidRPr="001E4A78">
        <w:rPr>
          <w:b/>
          <w:sz w:val="28"/>
          <w:szCs w:val="28"/>
          <w:lang w:val="vi-VN"/>
        </w:rPr>
        <w:t xml:space="preserve">ức </w:t>
      </w:r>
      <w:proofErr w:type="spellStart"/>
      <w:r w:rsidR="00487786" w:rsidRPr="001E4A78">
        <w:rPr>
          <w:b/>
          <w:sz w:val="28"/>
          <w:szCs w:val="28"/>
        </w:rPr>
        <w:t>thuế</w:t>
      </w:r>
      <w:proofErr w:type="spellEnd"/>
      <w:r w:rsidR="00487786" w:rsidRPr="001E4A78">
        <w:rPr>
          <w:b/>
          <w:sz w:val="28"/>
          <w:szCs w:val="28"/>
          <w:lang w:val="nl-NL"/>
        </w:rPr>
        <w:t xml:space="preserve"> bảo vệ môi trường, thuế giá trị gia tăng, thuế tiêu thụ đặc biệt đối với xăng, dầu và nhiên liệu bay</w:t>
      </w:r>
    </w:p>
    <w:p w:rsidR="00487786" w:rsidRDefault="00487786" w:rsidP="00487786">
      <w:pPr>
        <w:spacing w:before="120" w:after="120"/>
        <w:ind w:right="-86" w:firstLine="706"/>
        <w:jc w:val="both"/>
        <w:rPr>
          <w:sz w:val="28"/>
          <w:szCs w:val="28"/>
        </w:rPr>
      </w:pPr>
      <w:r>
        <w:rPr>
          <w:sz w:val="28"/>
          <w:szCs w:val="28"/>
        </w:rPr>
        <w:t>1. M</w:t>
      </w:r>
      <w:r w:rsidRPr="008A6ED5">
        <w:rPr>
          <w:sz w:val="28"/>
          <w:szCs w:val="28"/>
          <w:lang w:val="vi-VN"/>
        </w:rPr>
        <w:t>ức thuế bảo vệ môi trường đối với xăng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trừ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etanol</w:t>
      </w:r>
      <w:proofErr w:type="spellEnd"/>
      <w:r>
        <w:rPr>
          <w:sz w:val="28"/>
          <w:szCs w:val="28"/>
        </w:rPr>
        <w:t>)</w:t>
      </w:r>
      <w:r w:rsidRPr="008A6ED5">
        <w:rPr>
          <w:sz w:val="28"/>
          <w:szCs w:val="28"/>
          <w:lang w:val="vi-VN"/>
        </w:rPr>
        <w:t xml:space="preserve">, dầu </w:t>
      </w:r>
      <w:proofErr w:type="spellStart"/>
      <w:r w:rsidR="00EE5E7F">
        <w:rPr>
          <w:sz w:val="28"/>
          <w:szCs w:val="28"/>
        </w:rPr>
        <w:t>diezel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bay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0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lít</w:t>
      </w:r>
      <w:proofErr w:type="spellEnd"/>
      <w:r>
        <w:rPr>
          <w:sz w:val="28"/>
          <w:szCs w:val="28"/>
        </w:rPr>
        <w:t>.</w:t>
      </w:r>
    </w:p>
    <w:p w:rsidR="00487786" w:rsidRPr="00E459D6" w:rsidRDefault="00487786" w:rsidP="00487786">
      <w:pPr>
        <w:spacing w:before="120" w:after="120"/>
        <w:ind w:right="-86" w:firstLine="706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 w:rsidRPr="00D87995">
        <w:rPr>
          <w:sz w:val="28"/>
          <w:szCs w:val="28"/>
          <w:lang w:val="nl-NL"/>
        </w:rPr>
        <w:t xml:space="preserve">ăng, dầu </w:t>
      </w:r>
      <w:r w:rsidR="00EE5E7F">
        <w:rPr>
          <w:sz w:val="28"/>
          <w:szCs w:val="28"/>
          <w:lang w:val="vi-VN"/>
        </w:rPr>
        <w:t>diezel</w:t>
      </w:r>
      <w:r w:rsidRPr="00D87995"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bay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đối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tượng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không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phải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kê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khai</w:t>
      </w:r>
      <w:proofErr w:type="spellEnd"/>
      <w:r w:rsidRPr="00D87995">
        <w:rPr>
          <w:sz w:val="28"/>
          <w:szCs w:val="28"/>
        </w:rPr>
        <w:t xml:space="preserve">, </w:t>
      </w:r>
      <w:proofErr w:type="spellStart"/>
      <w:r w:rsidRPr="00D87995">
        <w:rPr>
          <w:sz w:val="28"/>
          <w:szCs w:val="28"/>
        </w:rPr>
        <w:t>tính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nộp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thuế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nhưng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được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khấu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trừ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thuế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giá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trị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gia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tăng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đầu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>.</w:t>
      </w:r>
    </w:p>
    <w:p w:rsidR="00487786" w:rsidRDefault="00487786" w:rsidP="00487786">
      <w:pPr>
        <w:spacing w:before="120" w:after="120"/>
        <w:ind w:right="-86" w:firstLine="706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Pr="00E459D6">
        <w:rPr>
          <w:bCs/>
          <w:sz w:val="28"/>
          <w:szCs w:val="28"/>
        </w:rPr>
        <w:t xml:space="preserve"> </w:t>
      </w:r>
      <w:r w:rsidRPr="00E459D6">
        <w:rPr>
          <w:sz w:val="28"/>
          <w:szCs w:val="28"/>
          <w:lang w:val="vi-VN"/>
        </w:rPr>
        <w:t>Mức</w:t>
      </w:r>
      <w:r w:rsidRPr="00A83125">
        <w:rPr>
          <w:sz w:val="28"/>
          <w:szCs w:val="28"/>
          <w:lang w:val="vi-VN"/>
        </w:rPr>
        <w:t xml:space="preserve"> thuế </w:t>
      </w:r>
      <w:proofErr w:type="spellStart"/>
      <w:r>
        <w:rPr>
          <w:sz w:val="28"/>
          <w:szCs w:val="28"/>
        </w:rPr>
        <w:t>suất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 w:rsidRPr="00A83125">
        <w:rPr>
          <w:sz w:val="28"/>
          <w:szCs w:val="28"/>
          <w:lang w:val="vi-VN"/>
        </w:rPr>
        <w:t xml:space="preserve"> đối với xăng</w:t>
      </w:r>
      <w:r w:rsidRPr="00A83125">
        <w:rPr>
          <w:sz w:val="28"/>
          <w:szCs w:val="28"/>
        </w:rPr>
        <w:t xml:space="preserve"> </w:t>
      </w:r>
      <w:proofErr w:type="spellStart"/>
      <w:r w:rsidR="00346403">
        <w:rPr>
          <w:sz w:val="28"/>
          <w:szCs w:val="28"/>
        </w:rPr>
        <w:t>các</w:t>
      </w:r>
      <w:proofErr w:type="spellEnd"/>
      <w:r w:rsidR="00346403">
        <w:rPr>
          <w:sz w:val="28"/>
          <w:szCs w:val="28"/>
        </w:rPr>
        <w:t xml:space="preserve"> </w:t>
      </w:r>
      <w:proofErr w:type="spellStart"/>
      <w:r w:rsidR="00346403">
        <w:rPr>
          <w:sz w:val="28"/>
          <w:szCs w:val="28"/>
        </w:rPr>
        <w:t>loại</w:t>
      </w:r>
      <w:proofErr w:type="spellEnd"/>
      <w:r w:rsidR="003464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0%.</w:t>
      </w:r>
    </w:p>
    <w:p w:rsidR="0022700F" w:rsidRDefault="0022700F" w:rsidP="00487786">
      <w:pPr>
        <w:pStyle w:val="phead"/>
        <w:shd w:val="clear" w:color="auto" w:fill="FFFFFF"/>
        <w:spacing w:before="120" w:beforeAutospacing="0" w:after="120" w:afterAutospacing="0"/>
        <w:ind w:firstLine="720"/>
        <w:jc w:val="both"/>
        <w:rPr>
          <w:sz w:val="28"/>
          <w:szCs w:val="28"/>
          <w:lang w:val="nl-NL"/>
        </w:rPr>
      </w:pPr>
      <w:r w:rsidRPr="00377B2D">
        <w:rPr>
          <w:b/>
          <w:sz w:val="28"/>
          <w:szCs w:val="28"/>
          <w:lang w:val="nl-NL"/>
        </w:rPr>
        <w:t>Điều 2</w:t>
      </w:r>
      <w:r w:rsidRPr="00377B2D">
        <w:rPr>
          <w:sz w:val="28"/>
          <w:szCs w:val="28"/>
          <w:lang w:val="nl-NL"/>
        </w:rPr>
        <w:t xml:space="preserve">. </w:t>
      </w:r>
      <w:r w:rsidR="00487786">
        <w:rPr>
          <w:b/>
          <w:sz w:val="28"/>
          <w:szCs w:val="28"/>
          <w:lang w:val="nl-NL"/>
        </w:rPr>
        <w:t>Điều khoản thi hành</w:t>
      </w:r>
    </w:p>
    <w:p w:rsidR="0022700F" w:rsidRDefault="0022700F" w:rsidP="0022700F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1. </w:t>
      </w:r>
      <w:r w:rsidRPr="009F35DD">
        <w:rPr>
          <w:sz w:val="28"/>
          <w:szCs w:val="28"/>
          <w:lang w:val="nl-NL"/>
        </w:rPr>
        <w:t>Nghị quyết này có hiệu lực thi hành kể từ ngày</w:t>
      </w:r>
      <w:r w:rsidR="00346403">
        <w:rPr>
          <w:sz w:val="28"/>
          <w:szCs w:val="28"/>
          <w:lang w:val="nl-NL"/>
        </w:rPr>
        <w:t xml:space="preserve"> 16 </w:t>
      </w:r>
      <w:r w:rsidRPr="009F35DD">
        <w:rPr>
          <w:sz w:val="28"/>
          <w:szCs w:val="28"/>
          <w:lang w:val="nl-NL"/>
        </w:rPr>
        <w:t>tháng</w:t>
      </w:r>
      <w:r w:rsidR="00346403">
        <w:rPr>
          <w:sz w:val="28"/>
          <w:szCs w:val="28"/>
          <w:lang w:val="nl-NL"/>
        </w:rPr>
        <w:t xml:space="preserve"> 4 </w:t>
      </w:r>
      <w:r w:rsidR="00487786">
        <w:rPr>
          <w:sz w:val="28"/>
          <w:szCs w:val="28"/>
          <w:lang w:val="nl-NL"/>
        </w:rPr>
        <w:t xml:space="preserve">năm 2026 đến </w:t>
      </w:r>
      <w:r w:rsidR="0027277E">
        <w:rPr>
          <w:sz w:val="28"/>
          <w:szCs w:val="28"/>
          <w:lang w:val="nl-NL"/>
        </w:rPr>
        <w:t xml:space="preserve">hết </w:t>
      </w:r>
      <w:r w:rsidR="00487786">
        <w:rPr>
          <w:sz w:val="28"/>
          <w:szCs w:val="28"/>
          <w:lang w:val="nl-NL"/>
        </w:rPr>
        <w:t>ngày</w:t>
      </w:r>
      <w:r w:rsidR="0027277E">
        <w:rPr>
          <w:sz w:val="28"/>
          <w:szCs w:val="28"/>
          <w:lang w:val="nl-NL"/>
        </w:rPr>
        <w:t xml:space="preserve"> 30 tháng </w:t>
      </w:r>
      <w:r w:rsidR="00346403">
        <w:rPr>
          <w:sz w:val="28"/>
          <w:szCs w:val="28"/>
          <w:lang w:val="nl-NL"/>
        </w:rPr>
        <w:t>6</w:t>
      </w:r>
      <w:r w:rsidR="0027277E">
        <w:rPr>
          <w:sz w:val="28"/>
          <w:szCs w:val="28"/>
          <w:lang w:val="nl-NL"/>
        </w:rPr>
        <w:t xml:space="preserve"> </w:t>
      </w:r>
      <w:r w:rsidR="00487786">
        <w:rPr>
          <w:sz w:val="28"/>
          <w:szCs w:val="28"/>
          <w:lang w:val="nl-NL"/>
        </w:rPr>
        <w:t>năm 2026</w:t>
      </w:r>
      <w:r w:rsidR="00D16AAA">
        <w:rPr>
          <w:sz w:val="28"/>
          <w:szCs w:val="28"/>
          <w:lang w:val="nl-NL"/>
        </w:rPr>
        <w:t>, trừ trường hợp quy định tại khoản 2 Điều này.</w:t>
      </w:r>
    </w:p>
    <w:p w:rsidR="00487786" w:rsidRDefault="00487786" w:rsidP="00487786">
      <w:pPr>
        <w:widowControl w:val="0"/>
        <w:spacing w:before="120" w:after="120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2. </w:t>
      </w:r>
      <w:r>
        <w:rPr>
          <w:sz w:val="28"/>
          <w:szCs w:val="28"/>
          <w:lang w:val="sv-SE"/>
        </w:rPr>
        <w:t>Trường hợp đáp ứng yêu cầu cấp bách về đảm bảo phát triển kinh tế - xã hội, ổn định thị trường xăng, dầu</w:t>
      </w:r>
      <w:r w:rsidR="00D16AAA">
        <w:rPr>
          <w:sz w:val="28"/>
          <w:szCs w:val="28"/>
          <w:lang w:val="sv-SE"/>
        </w:rPr>
        <w:t>,</w:t>
      </w:r>
      <w:r>
        <w:rPr>
          <w:sz w:val="28"/>
          <w:szCs w:val="28"/>
          <w:lang w:val="sv-SE"/>
        </w:rPr>
        <w:t xml:space="preserve"> Chính phủ </w:t>
      </w:r>
      <w:r w:rsidR="00D16AAA">
        <w:rPr>
          <w:sz w:val="28"/>
          <w:szCs w:val="28"/>
          <w:lang w:val="sv-SE"/>
        </w:rPr>
        <w:t>ban hành Nghị quyết điều chỉnh thời gian áp dụng quy định tại</w:t>
      </w:r>
      <w:r>
        <w:rPr>
          <w:sz w:val="28"/>
          <w:szCs w:val="28"/>
          <w:lang w:val="sv-SE"/>
        </w:rPr>
        <w:t xml:space="preserve"> Nghị quyết này</w:t>
      </w:r>
      <w:r w:rsidR="00D16AAA">
        <w:rPr>
          <w:sz w:val="28"/>
          <w:szCs w:val="28"/>
          <w:lang w:val="nl-NL"/>
        </w:rPr>
        <w:t xml:space="preserve"> cho phù hợp.</w:t>
      </w:r>
    </w:p>
    <w:p w:rsidR="00DC5254" w:rsidRDefault="00DC5254" w:rsidP="00487786">
      <w:pPr>
        <w:spacing w:before="120" w:after="120"/>
        <w:ind w:firstLine="709"/>
        <w:jc w:val="both"/>
        <w:rPr>
          <w:sz w:val="28"/>
          <w:szCs w:val="28"/>
          <w:lang w:val="nl-NL"/>
        </w:rPr>
      </w:pPr>
    </w:p>
    <w:p w:rsidR="00487786" w:rsidRDefault="00487786" w:rsidP="00487786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nl-NL"/>
        </w:rPr>
        <w:lastRenderedPageBreak/>
        <w:t>3</w:t>
      </w:r>
      <w:r w:rsidRPr="003C7AF8">
        <w:rPr>
          <w:sz w:val="28"/>
          <w:szCs w:val="28"/>
          <w:lang w:val="nl-NL"/>
        </w:rPr>
        <w:t xml:space="preserve">. </w:t>
      </w:r>
      <w:r>
        <w:rPr>
          <w:sz w:val="28"/>
          <w:szCs w:val="28"/>
          <w:lang w:val="sv-SE"/>
        </w:rPr>
        <w:t>Trong thời gian</w:t>
      </w:r>
      <w:r w:rsidRPr="003C7AF8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Nghị quyết</w:t>
      </w:r>
      <w:r w:rsidRPr="003C7AF8">
        <w:rPr>
          <w:sz w:val="28"/>
          <w:szCs w:val="28"/>
          <w:lang w:val="sv-SE"/>
        </w:rPr>
        <w:t xml:space="preserve"> này có hiệu lực</w:t>
      </w:r>
      <w:r>
        <w:rPr>
          <w:sz w:val="28"/>
          <w:szCs w:val="28"/>
          <w:lang w:val="sv-SE"/>
        </w:rPr>
        <w:t xml:space="preserve"> thi hành</w:t>
      </w:r>
      <w:r>
        <w:rPr>
          <w:sz w:val="28"/>
          <w:szCs w:val="28"/>
        </w:rPr>
        <w:t>:</w:t>
      </w:r>
    </w:p>
    <w:p w:rsidR="00487786" w:rsidRDefault="00487786" w:rsidP="00487786">
      <w:pPr>
        <w:spacing w:before="120" w:after="120"/>
        <w:ind w:firstLine="709"/>
        <w:jc w:val="both"/>
        <w:rPr>
          <w:iCs/>
          <w:sz w:val="28"/>
          <w:szCs w:val="28"/>
          <w:lang w:val="nl-NL"/>
        </w:rPr>
      </w:pPr>
      <w:r>
        <w:rPr>
          <w:sz w:val="28"/>
          <w:szCs w:val="28"/>
        </w:rPr>
        <w:t xml:space="preserve">a)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r w:rsidRPr="00E309B8">
        <w:rPr>
          <w:iCs/>
          <w:sz w:val="28"/>
          <w:szCs w:val="28"/>
          <w:lang w:val="nl-NL"/>
        </w:rPr>
        <w:t>mức thuế bảo vệ môi trường, thuế giá trị gia tăng, thuế tiêu thụ đặc biệt đối với xăng, dầu và nhiên liệu bay</w:t>
      </w:r>
      <w:r>
        <w:rPr>
          <w:iCs/>
          <w:sz w:val="28"/>
          <w:szCs w:val="28"/>
          <w:lang w:val="nl-NL"/>
        </w:rPr>
        <w:t xml:space="preserve"> khác quy định tại </w:t>
      </w:r>
      <w:r>
        <w:rPr>
          <w:sz w:val="28"/>
          <w:szCs w:val="28"/>
          <w:lang w:val="sv-SE"/>
        </w:rPr>
        <w:t>Nghị quyết</w:t>
      </w:r>
      <w:r w:rsidRPr="003C7AF8">
        <w:rPr>
          <w:sz w:val="28"/>
          <w:szCs w:val="28"/>
          <w:lang w:val="sv-SE"/>
        </w:rPr>
        <w:t xml:space="preserve"> </w:t>
      </w:r>
      <w:r>
        <w:rPr>
          <w:iCs/>
          <w:sz w:val="28"/>
          <w:szCs w:val="28"/>
          <w:lang w:val="nl-NL"/>
        </w:rPr>
        <w:t xml:space="preserve">này thì thực hiện theo quy định của </w:t>
      </w:r>
      <w:r>
        <w:rPr>
          <w:sz w:val="28"/>
          <w:szCs w:val="28"/>
          <w:lang w:val="sv-SE"/>
        </w:rPr>
        <w:t>Nghị quyết</w:t>
      </w:r>
      <w:r w:rsidRPr="003C7AF8">
        <w:rPr>
          <w:sz w:val="28"/>
          <w:szCs w:val="28"/>
          <w:lang w:val="sv-SE"/>
        </w:rPr>
        <w:t xml:space="preserve"> </w:t>
      </w:r>
      <w:r>
        <w:rPr>
          <w:iCs/>
          <w:sz w:val="28"/>
          <w:szCs w:val="28"/>
          <w:lang w:val="nl-NL"/>
        </w:rPr>
        <w:t>này.</w:t>
      </w:r>
    </w:p>
    <w:p w:rsidR="00487786" w:rsidRDefault="00487786" w:rsidP="00487786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  <w:lang w:val="nl-NL"/>
        </w:rPr>
        <w:t xml:space="preserve">b) Cơ sở kinh doanh, người nhập khẩu xăng, dầu </w:t>
      </w:r>
      <w:r w:rsidR="00EE5E7F">
        <w:rPr>
          <w:iCs/>
          <w:sz w:val="28"/>
          <w:szCs w:val="28"/>
          <w:lang w:val="nl-NL"/>
        </w:rPr>
        <w:t>diezel</w:t>
      </w:r>
      <w:r>
        <w:rPr>
          <w:iCs/>
          <w:sz w:val="28"/>
          <w:szCs w:val="28"/>
          <w:lang w:val="nl-NL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bay </w:t>
      </w:r>
      <w:proofErr w:type="spellStart"/>
      <w:r w:rsidRPr="00D87995">
        <w:rPr>
          <w:sz w:val="28"/>
          <w:szCs w:val="28"/>
        </w:rPr>
        <w:t>không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phải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kê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khai</w:t>
      </w:r>
      <w:proofErr w:type="spellEnd"/>
      <w:r w:rsidRPr="00D87995">
        <w:rPr>
          <w:sz w:val="28"/>
          <w:szCs w:val="28"/>
        </w:rPr>
        <w:t xml:space="preserve">, </w:t>
      </w:r>
      <w:proofErr w:type="spellStart"/>
      <w:r w:rsidRPr="00D87995">
        <w:rPr>
          <w:sz w:val="28"/>
          <w:szCs w:val="28"/>
        </w:rPr>
        <w:t>tính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nộp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 w:rsidRPr="00D87995">
        <w:rPr>
          <w:sz w:val="28"/>
          <w:szCs w:val="28"/>
        </w:rPr>
        <w:t>thuế</w:t>
      </w:r>
      <w:proofErr w:type="spellEnd"/>
      <w:r w:rsidRPr="00D8799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khâu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khẩu</w:t>
      </w:r>
      <w:proofErr w:type="spellEnd"/>
      <w:r>
        <w:rPr>
          <w:sz w:val="28"/>
          <w:szCs w:val="28"/>
        </w:rPr>
        <w:t>.</w:t>
      </w:r>
    </w:p>
    <w:p w:rsidR="00487786" w:rsidRDefault="00487786" w:rsidP="00487786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sv-SE"/>
        </w:rPr>
        <w:t>Nghị quyết</w:t>
      </w:r>
      <w:r w:rsidRPr="003C7AF8">
        <w:rPr>
          <w:sz w:val="28"/>
          <w:szCs w:val="28"/>
          <w:lang w:val="sv-SE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>.</w:t>
      </w:r>
    </w:p>
    <w:p w:rsidR="00D16AAA" w:rsidRPr="00D65813" w:rsidRDefault="00D16AAA" w:rsidP="00487786">
      <w:pPr>
        <w:spacing w:before="120" w:after="120"/>
        <w:ind w:firstLine="709"/>
        <w:jc w:val="both"/>
        <w:rPr>
          <w:iCs/>
          <w:sz w:val="28"/>
          <w:szCs w:val="28"/>
          <w:lang w:val="nl-NL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thuế.</w:t>
      </w:r>
    </w:p>
    <w:p w:rsidR="00E97D6A" w:rsidRDefault="00DF14E8" w:rsidP="0022700F">
      <w:pPr>
        <w:spacing w:before="120" w:after="120"/>
        <w:ind w:firstLine="720"/>
        <w:jc w:val="both"/>
        <w:rPr>
          <w:sz w:val="28"/>
          <w:szCs w:val="28"/>
          <w:lang w:val="nl-NL"/>
        </w:rPr>
      </w:pPr>
      <w:r>
        <w:rPr>
          <w:noProof/>
          <w:sz w:val="28"/>
          <w:szCs w:val="28"/>
        </w:rPr>
        <w:pict>
          <v:shape id="_x0000_s1029" type="#_x0000_t32" style="position:absolute;left:0;text-align:left;margin-left:6.95pt;margin-top:8.65pt;width:438.35pt;height:0;z-index:251660288" o:connectortype="straight"/>
        </w:pict>
      </w:r>
    </w:p>
    <w:p w:rsidR="005B6B34" w:rsidRPr="00E97D6A" w:rsidRDefault="005B6B34" w:rsidP="00E97D6A">
      <w:pPr>
        <w:spacing w:before="120" w:after="120"/>
        <w:ind w:firstLine="720"/>
        <w:jc w:val="both"/>
        <w:rPr>
          <w:i/>
          <w:sz w:val="28"/>
          <w:szCs w:val="28"/>
          <w:lang w:val="nl-NL"/>
        </w:rPr>
      </w:pPr>
      <w:r w:rsidRPr="00E97D6A">
        <w:rPr>
          <w:i/>
          <w:sz w:val="28"/>
          <w:szCs w:val="28"/>
          <w:lang w:val="vi-VN"/>
        </w:rPr>
        <w:t>Nghị quyết này được Quốc hội nước Cộng hòa x</w:t>
      </w:r>
      <w:r w:rsidR="00487786">
        <w:rPr>
          <w:i/>
          <w:sz w:val="28"/>
          <w:szCs w:val="28"/>
          <w:lang w:val="vi-VN"/>
        </w:rPr>
        <w:t>ã hội chủ nghĩa Việt Nam khóa X</w:t>
      </w:r>
      <w:r w:rsidR="00487786">
        <w:rPr>
          <w:i/>
          <w:sz w:val="28"/>
          <w:szCs w:val="28"/>
        </w:rPr>
        <w:t>VI</w:t>
      </w:r>
      <w:r w:rsidRPr="00E97D6A">
        <w:rPr>
          <w:i/>
          <w:sz w:val="28"/>
          <w:szCs w:val="28"/>
          <w:lang w:val="vi-VN"/>
        </w:rPr>
        <w:t xml:space="preserve">, kỳ họp </w:t>
      </w:r>
      <w:r w:rsidR="00C87293" w:rsidRPr="00E97D6A">
        <w:rPr>
          <w:i/>
          <w:sz w:val="28"/>
          <w:szCs w:val="28"/>
          <w:lang w:val="vi-VN"/>
        </w:rPr>
        <w:t xml:space="preserve">thứ </w:t>
      </w:r>
      <w:r w:rsidR="00487786">
        <w:rPr>
          <w:i/>
          <w:sz w:val="28"/>
          <w:szCs w:val="28"/>
        </w:rPr>
        <w:t>1</w:t>
      </w:r>
      <w:r w:rsidRPr="00E97D6A">
        <w:rPr>
          <w:i/>
          <w:sz w:val="28"/>
          <w:szCs w:val="28"/>
          <w:lang w:val="vi-VN"/>
        </w:rPr>
        <w:t xml:space="preserve"> thông qua ngày </w:t>
      </w:r>
      <w:r w:rsidR="00BF5004" w:rsidRPr="00E97D6A">
        <w:rPr>
          <w:i/>
          <w:sz w:val="28"/>
          <w:szCs w:val="28"/>
          <w:lang w:val="vi-VN"/>
        </w:rPr>
        <w:t xml:space="preserve">    </w:t>
      </w:r>
      <w:r w:rsidRPr="00E97D6A">
        <w:rPr>
          <w:i/>
          <w:sz w:val="28"/>
          <w:szCs w:val="28"/>
          <w:lang w:val="vi-VN"/>
        </w:rPr>
        <w:t xml:space="preserve"> tháng </w:t>
      </w:r>
      <w:r w:rsidR="00BF5004" w:rsidRPr="00E97D6A">
        <w:rPr>
          <w:i/>
          <w:sz w:val="28"/>
          <w:szCs w:val="28"/>
          <w:lang w:val="vi-VN"/>
        </w:rPr>
        <w:t xml:space="preserve">  </w:t>
      </w:r>
      <w:r w:rsidRPr="00E97D6A">
        <w:rPr>
          <w:i/>
          <w:sz w:val="28"/>
          <w:szCs w:val="28"/>
          <w:lang w:val="vi-VN"/>
        </w:rPr>
        <w:t xml:space="preserve"> năm 202</w:t>
      </w:r>
      <w:r w:rsidR="00487786">
        <w:rPr>
          <w:i/>
          <w:sz w:val="28"/>
          <w:szCs w:val="28"/>
        </w:rPr>
        <w:t>6</w:t>
      </w:r>
      <w:r w:rsidRPr="00E97D6A">
        <w:rPr>
          <w:i/>
          <w:sz w:val="28"/>
          <w:szCs w:val="28"/>
          <w:lang w:val="vi-VN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68"/>
        <w:gridCol w:w="4788"/>
      </w:tblGrid>
      <w:tr w:rsidR="005B6B34" w:rsidRPr="00373BE5" w:rsidTr="00190ADD">
        <w:tc>
          <w:tcPr>
            <w:tcW w:w="40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34" w:rsidRPr="009F35DD" w:rsidRDefault="005B6B34">
            <w:pPr>
              <w:rPr>
                <w:lang w:val="vi-VN"/>
              </w:rPr>
            </w:pPr>
            <w:r w:rsidRPr="009F35DD">
              <w:rPr>
                <w:b/>
                <w:bCs/>
                <w:lang w:val="vi-VN"/>
              </w:rPr>
              <w:t> </w:t>
            </w:r>
          </w:p>
        </w:tc>
        <w:tc>
          <w:tcPr>
            <w:tcW w:w="4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ADD" w:rsidRDefault="005B6B34" w:rsidP="00190ADD">
            <w:pPr>
              <w:jc w:val="center"/>
              <w:rPr>
                <w:b/>
                <w:bCs/>
                <w:sz w:val="28"/>
                <w:szCs w:val="28"/>
              </w:rPr>
            </w:pPr>
            <w:r w:rsidRPr="00324AD0">
              <w:rPr>
                <w:b/>
                <w:bCs/>
                <w:sz w:val="26"/>
                <w:szCs w:val="26"/>
                <w:lang w:val="vi-VN"/>
              </w:rPr>
              <w:t>CHỦ TỊCH QUỐC HỘI</w:t>
            </w:r>
            <w:r w:rsidRPr="00324AD0">
              <w:rPr>
                <w:b/>
                <w:bCs/>
                <w:sz w:val="26"/>
                <w:szCs w:val="26"/>
                <w:lang w:val="vi-VN"/>
              </w:rPr>
              <w:br/>
            </w:r>
          </w:p>
          <w:p w:rsidR="005B6B34" w:rsidRPr="00190ADD" w:rsidRDefault="005B6B34" w:rsidP="00190A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6B34" w:rsidRPr="00190ADD" w:rsidRDefault="005B6B34" w:rsidP="00190ADD">
      <w:pPr>
        <w:jc w:val="both"/>
      </w:pPr>
    </w:p>
    <w:sectPr w:rsidR="005B6B34" w:rsidRPr="00190ADD" w:rsidSect="00190A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52" w:right="1440" w:bottom="284" w:left="172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77E" w:rsidRDefault="0027277E" w:rsidP="009F35DD">
      <w:r>
        <w:separator/>
      </w:r>
    </w:p>
  </w:endnote>
  <w:endnote w:type="continuationSeparator" w:id="0">
    <w:p w:rsidR="0027277E" w:rsidRDefault="0027277E" w:rsidP="009F3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Fre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77E" w:rsidRDefault="002727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77E" w:rsidRDefault="0027277E">
    <w:pPr>
      <w:pStyle w:val="Footer"/>
      <w:jc w:val="right"/>
    </w:pPr>
  </w:p>
  <w:p w:rsidR="0027277E" w:rsidRDefault="0027277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77E" w:rsidRDefault="002727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77E" w:rsidRDefault="0027277E" w:rsidP="009F35DD">
      <w:r>
        <w:separator/>
      </w:r>
    </w:p>
  </w:footnote>
  <w:footnote w:type="continuationSeparator" w:id="0">
    <w:p w:rsidR="0027277E" w:rsidRDefault="0027277E" w:rsidP="009F3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77E" w:rsidRDefault="0027277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77E" w:rsidRDefault="00DF14E8">
    <w:pPr>
      <w:pStyle w:val="Header"/>
      <w:jc w:val="center"/>
    </w:pPr>
    <w:fldSimple w:instr=" PAGE   \* MERGEFORMAT ">
      <w:r w:rsidR="00D16AAA">
        <w:rPr>
          <w:noProof/>
        </w:rPr>
        <w:t>2</w:t>
      </w:r>
    </w:fldSimple>
  </w:p>
  <w:p w:rsidR="0027277E" w:rsidRDefault="0027277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77E" w:rsidRDefault="002727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F0993"/>
    <w:multiLevelType w:val="hybridMultilevel"/>
    <w:tmpl w:val="DEE4766E"/>
    <w:lvl w:ilvl="0" w:tplc="F1249F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EC34A3"/>
    <w:multiLevelType w:val="hybridMultilevel"/>
    <w:tmpl w:val="ADE6FA14"/>
    <w:lvl w:ilvl="0" w:tplc="8DAC8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SortMethod w:val="00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9DF"/>
    <w:rsid w:val="00003820"/>
    <w:rsid w:val="00016F2D"/>
    <w:rsid w:val="00022A37"/>
    <w:rsid w:val="000250E6"/>
    <w:rsid w:val="000318D3"/>
    <w:rsid w:val="0004724B"/>
    <w:rsid w:val="00070329"/>
    <w:rsid w:val="00093B0F"/>
    <w:rsid w:val="000A0B63"/>
    <w:rsid w:val="000A20E3"/>
    <w:rsid w:val="000A2D09"/>
    <w:rsid w:val="000B6D68"/>
    <w:rsid w:val="000C4A65"/>
    <w:rsid w:val="000D3FE8"/>
    <w:rsid w:val="00114F0A"/>
    <w:rsid w:val="00136832"/>
    <w:rsid w:val="001372AE"/>
    <w:rsid w:val="00141329"/>
    <w:rsid w:val="00147326"/>
    <w:rsid w:val="00172AA4"/>
    <w:rsid w:val="001749F4"/>
    <w:rsid w:val="00175224"/>
    <w:rsid w:val="00180BCC"/>
    <w:rsid w:val="00190ADD"/>
    <w:rsid w:val="00193F6A"/>
    <w:rsid w:val="001C1136"/>
    <w:rsid w:val="001D30B7"/>
    <w:rsid w:val="001E4A78"/>
    <w:rsid w:val="00214477"/>
    <w:rsid w:val="0021479F"/>
    <w:rsid w:val="00225E2A"/>
    <w:rsid w:val="0022700F"/>
    <w:rsid w:val="00240759"/>
    <w:rsid w:val="002503EC"/>
    <w:rsid w:val="00254E73"/>
    <w:rsid w:val="0027277E"/>
    <w:rsid w:val="00291E5A"/>
    <w:rsid w:val="00292E3D"/>
    <w:rsid w:val="00293E72"/>
    <w:rsid w:val="00295AEC"/>
    <w:rsid w:val="00297E5E"/>
    <w:rsid w:val="002A1A62"/>
    <w:rsid w:val="002A5427"/>
    <w:rsid w:val="002D17AA"/>
    <w:rsid w:val="002D3858"/>
    <w:rsid w:val="002D5B66"/>
    <w:rsid w:val="00322060"/>
    <w:rsid w:val="00324AD0"/>
    <w:rsid w:val="003305C8"/>
    <w:rsid w:val="00331471"/>
    <w:rsid w:val="00346403"/>
    <w:rsid w:val="0035503C"/>
    <w:rsid w:val="003674EE"/>
    <w:rsid w:val="00371CDD"/>
    <w:rsid w:val="00373BE5"/>
    <w:rsid w:val="00377B2D"/>
    <w:rsid w:val="00383256"/>
    <w:rsid w:val="003B16FC"/>
    <w:rsid w:val="003B42C0"/>
    <w:rsid w:val="003B5BF2"/>
    <w:rsid w:val="003C2DBE"/>
    <w:rsid w:val="003C6A96"/>
    <w:rsid w:val="003D382E"/>
    <w:rsid w:val="003D7ADC"/>
    <w:rsid w:val="003E51EA"/>
    <w:rsid w:val="003E7356"/>
    <w:rsid w:val="003F6C79"/>
    <w:rsid w:val="00404448"/>
    <w:rsid w:val="00404F11"/>
    <w:rsid w:val="00407D9A"/>
    <w:rsid w:val="00430B34"/>
    <w:rsid w:val="00435C92"/>
    <w:rsid w:val="00443B0F"/>
    <w:rsid w:val="00487786"/>
    <w:rsid w:val="004D0A7A"/>
    <w:rsid w:val="004F159F"/>
    <w:rsid w:val="004F29C5"/>
    <w:rsid w:val="004F4E4B"/>
    <w:rsid w:val="004F5D6A"/>
    <w:rsid w:val="005610CA"/>
    <w:rsid w:val="005A3612"/>
    <w:rsid w:val="005A48BD"/>
    <w:rsid w:val="005B6232"/>
    <w:rsid w:val="005B6B34"/>
    <w:rsid w:val="005C0D06"/>
    <w:rsid w:val="005D2C94"/>
    <w:rsid w:val="005D652E"/>
    <w:rsid w:val="005E7A17"/>
    <w:rsid w:val="00664591"/>
    <w:rsid w:val="00670ED9"/>
    <w:rsid w:val="006A7853"/>
    <w:rsid w:val="006C0C18"/>
    <w:rsid w:val="006C73CD"/>
    <w:rsid w:val="006D4CBF"/>
    <w:rsid w:val="006D4E80"/>
    <w:rsid w:val="006E0648"/>
    <w:rsid w:val="006F2E91"/>
    <w:rsid w:val="007026DC"/>
    <w:rsid w:val="00704E47"/>
    <w:rsid w:val="00745C0E"/>
    <w:rsid w:val="007563F6"/>
    <w:rsid w:val="00772EAC"/>
    <w:rsid w:val="0077780E"/>
    <w:rsid w:val="007A465F"/>
    <w:rsid w:val="007B4878"/>
    <w:rsid w:val="007B7C02"/>
    <w:rsid w:val="007C35E8"/>
    <w:rsid w:val="007D551C"/>
    <w:rsid w:val="007F3154"/>
    <w:rsid w:val="008028B8"/>
    <w:rsid w:val="008032DD"/>
    <w:rsid w:val="0082379E"/>
    <w:rsid w:val="00844D1C"/>
    <w:rsid w:val="0086217D"/>
    <w:rsid w:val="008642B0"/>
    <w:rsid w:val="00866F25"/>
    <w:rsid w:val="00894450"/>
    <w:rsid w:val="00896EDD"/>
    <w:rsid w:val="008C69C8"/>
    <w:rsid w:val="008D3643"/>
    <w:rsid w:val="008E10F2"/>
    <w:rsid w:val="008F75B4"/>
    <w:rsid w:val="009123E0"/>
    <w:rsid w:val="00913561"/>
    <w:rsid w:val="00932A70"/>
    <w:rsid w:val="00951F56"/>
    <w:rsid w:val="00952ED2"/>
    <w:rsid w:val="0096408A"/>
    <w:rsid w:val="009721F9"/>
    <w:rsid w:val="00985D63"/>
    <w:rsid w:val="009949F6"/>
    <w:rsid w:val="009A3F43"/>
    <w:rsid w:val="009A7D49"/>
    <w:rsid w:val="009B5D63"/>
    <w:rsid w:val="009D636B"/>
    <w:rsid w:val="009E00AD"/>
    <w:rsid w:val="009E7218"/>
    <w:rsid w:val="009F35DD"/>
    <w:rsid w:val="009F38B5"/>
    <w:rsid w:val="00A07117"/>
    <w:rsid w:val="00A119DF"/>
    <w:rsid w:val="00A36548"/>
    <w:rsid w:val="00A415CE"/>
    <w:rsid w:val="00A4175D"/>
    <w:rsid w:val="00A46291"/>
    <w:rsid w:val="00A53FB9"/>
    <w:rsid w:val="00A60E5E"/>
    <w:rsid w:val="00A60E95"/>
    <w:rsid w:val="00A66F05"/>
    <w:rsid w:val="00A672FE"/>
    <w:rsid w:val="00A72148"/>
    <w:rsid w:val="00A775EA"/>
    <w:rsid w:val="00AA7F52"/>
    <w:rsid w:val="00AD4E1D"/>
    <w:rsid w:val="00B10DDB"/>
    <w:rsid w:val="00B151AB"/>
    <w:rsid w:val="00B42301"/>
    <w:rsid w:val="00B45F33"/>
    <w:rsid w:val="00B60375"/>
    <w:rsid w:val="00B60C88"/>
    <w:rsid w:val="00B60DF0"/>
    <w:rsid w:val="00B63ED8"/>
    <w:rsid w:val="00B65472"/>
    <w:rsid w:val="00B80A7C"/>
    <w:rsid w:val="00B80D52"/>
    <w:rsid w:val="00B929E4"/>
    <w:rsid w:val="00B96FD6"/>
    <w:rsid w:val="00BA580E"/>
    <w:rsid w:val="00BC2476"/>
    <w:rsid w:val="00BF5004"/>
    <w:rsid w:val="00C0186A"/>
    <w:rsid w:val="00C405A5"/>
    <w:rsid w:val="00C56141"/>
    <w:rsid w:val="00C672A9"/>
    <w:rsid w:val="00C7526A"/>
    <w:rsid w:val="00C87293"/>
    <w:rsid w:val="00C92865"/>
    <w:rsid w:val="00CC20C0"/>
    <w:rsid w:val="00CD4023"/>
    <w:rsid w:val="00D06E09"/>
    <w:rsid w:val="00D16AAA"/>
    <w:rsid w:val="00D21638"/>
    <w:rsid w:val="00D22ECA"/>
    <w:rsid w:val="00D2507D"/>
    <w:rsid w:val="00D37F5A"/>
    <w:rsid w:val="00D47D58"/>
    <w:rsid w:val="00D5203C"/>
    <w:rsid w:val="00D67F2C"/>
    <w:rsid w:val="00D765C0"/>
    <w:rsid w:val="00DA52DD"/>
    <w:rsid w:val="00DC4EBD"/>
    <w:rsid w:val="00DC5254"/>
    <w:rsid w:val="00DE2CDF"/>
    <w:rsid w:val="00DF14E8"/>
    <w:rsid w:val="00E005E1"/>
    <w:rsid w:val="00E02101"/>
    <w:rsid w:val="00E028FA"/>
    <w:rsid w:val="00E27143"/>
    <w:rsid w:val="00E45E69"/>
    <w:rsid w:val="00E5653D"/>
    <w:rsid w:val="00E702DD"/>
    <w:rsid w:val="00E863B0"/>
    <w:rsid w:val="00E9732F"/>
    <w:rsid w:val="00E97D6A"/>
    <w:rsid w:val="00EA01ED"/>
    <w:rsid w:val="00EA0CD5"/>
    <w:rsid w:val="00EC68C6"/>
    <w:rsid w:val="00ED33B0"/>
    <w:rsid w:val="00EE44A7"/>
    <w:rsid w:val="00EE5E7F"/>
    <w:rsid w:val="00EF0748"/>
    <w:rsid w:val="00F032E2"/>
    <w:rsid w:val="00F12FA3"/>
    <w:rsid w:val="00F21E31"/>
    <w:rsid w:val="00F567B9"/>
    <w:rsid w:val="00F75234"/>
    <w:rsid w:val="00F77AAD"/>
    <w:rsid w:val="00F8452D"/>
    <w:rsid w:val="00F940B5"/>
    <w:rsid w:val="00FC3304"/>
    <w:rsid w:val="00FD1FAE"/>
    <w:rsid w:val="00FF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ead">
    <w:name w:val="phead"/>
    <w:basedOn w:val="Normal"/>
    <w:rsid w:val="00A72148"/>
    <w:pPr>
      <w:spacing w:before="100" w:beforeAutospacing="1" w:after="100" w:afterAutospacing="1"/>
    </w:pPr>
  </w:style>
  <w:style w:type="character" w:customStyle="1" w:styleId="Vnbnnidung">
    <w:name w:val="Văn bản nội dung_"/>
    <w:link w:val="Vnbnnidung0"/>
    <w:uiPriority w:val="99"/>
    <w:rsid w:val="00175224"/>
    <w:rPr>
      <w:sz w:val="32"/>
      <w:szCs w:val="32"/>
    </w:rPr>
  </w:style>
  <w:style w:type="paragraph" w:customStyle="1" w:styleId="Vnbnnidung0">
    <w:name w:val="Văn bản nội dung"/>
    <w:basedOn w:val="Normal"/>
    <w:link w:val="Vnbnnidung"/>
    <w:uiPriority w:val="99"/>
    <w:rsid w:val="00175224"/>
    <w:pPr>
      <w:widowControl w:val="0"/>
      <w:spacing w:after="120" w:line="266" w:lineRule="auto"/>
      <w:ind w:firstLine="400"/>
    </w:pPr>
    <w:rPr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F3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5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3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5DD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3C2DBE"/>
    <w:pPr>
      <w:ind w:left="720"/>
      <w:contextualSpacing/>
    </w:pPr>
  </w:style>
  <w:style w:type="paragraph" w:customStyle="1" w:styleId="normal0020table">
    <w:name w:val="normal_0020table"/>
    <w:basedOn w:val="Normal"/>
    <w:rsid w:val="00A66F05"/>
    <w:pPr>
      <w:spacing w:before="100" w:beforeAutospacing="1" w:after="100" w:afterAutospacing="1"/>
    </w:pPr>
    <w:rPr>
      <w:lang w:val="vi-VN" w:eastAsia="vi-VN"/>
    </w:rPr>
  </w:style>
  <w:style w:type="character" w:customStyle="1" w:styleId="normal0020tablechar">
    <w:name w:val="normal_0020table__char"/>
    <w:basedOn w:val="DefaultParagraphFont"/>
    <w:rsid w:val="00A66F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2</Pages>
  <Words>547</Words>
  <Characters>2048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tranthituyet</dc:creator>
  <cp:lastModifiedBy>nguyenngocanh3</cp:lastModifiedBy>
  <cp:revision>39</cp:revision>
  <cp:lastPrinted>2026-03-27T01:39:00Z</cp:lastPrinted>
  <dcterms:created xsi:type="dcterms:W3CDTF">2024-11-14T02:33:00Z</dcterms:created>
  <dcterms:modified xsi:type="dcterms:W3CDTF">2026-03-27T02:28:00Z</dcterms:modified>
</cp:coreProperties>
</file>