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99" w:type="dxa"/>
        <w:tblInd w:w="-851" w:type="dxa"/>
        <w:tblCellMar>
          <w:left w:w="10" w:type="dxa"/>
          <w:right w:w="10" w:type="dxa"/>
        </w:tblCellMar>
        <w:tblLook w:val="04A0"/>
      </w:tblPr>
      <w:tblGrid>
        <w:gridCol w:w="4253"/>
        <w:gridCol w:w="6946"/>
      </w:tblGrid>
      <w:tr w:rsidR="00E1468F" w:rsidTr="00781CA8">
        <w:tc>
          <w:tcPr>
            <w:tcW w:w="4253" w:type="dxa"/>
          </w:tcPr>
          <w:p w:rsidR="00E1468F" w:rsidRPr="00244801" w:rsidRDefault="004A6A32" w:rsidP="00244801">
            <w:pPr>
              <w:jc w:val="center"/>
              <w:rPr>
                <w:sz w:val="28"/>
                <w:szCs w:val="28"/>
              </w:rPr>
            </w:pPr>
            <w:r w:rsidRPr="00244801">
              <w:rPr>
                <w:sz w:val="28"/>
                <w:szCs w:val="28"/>
              </w:rPr>
              <w:t>BỘ TÀI CHÍNH</w:t>
            </w:r>
          </w:p>
          <w:p w:rsidR="00E1468F" w:rsidRPr="00244801" w:rsidRDefault="004A6A32" w:rsidP="00244801">
            <w:pPr>
              <w:jc w:val="center"/>
              <w:rPr>
                <w:sz w:val="28"/>
                <w:szCs w:val="28"/>
              </w:rPr>
            </w:pPr>
            <w:r w:rsidRPr="00244801">
              <w:rPr>
                <w:b/>
                <w:bCs/>
                <w:sz w:val="28"/>
                <w:szCs w:val="28"/>
              </w:rPr>
              <w:t>CỤC CÔNG NGHỆ THÔNG TIN</w:t>
            </w:r>
          </w:p>
          <w:p w:rsidR="00E1468F" w:rsidRPr="00244801" w:rsidRDefault="004A6A32" w:rsidP="00244801">
            <w:pPr>
              <w:jc w:val="center"/>
              <w:rPr>
                <w:sz w:val="28"/>
                <w:szCs w:val="28"/>
              </w:rPr>
            </w:pPr>
            <w:r w:rsidRPr="00244801">
              <w:rPr>
                <w:b/>
                <w:bCs/>
                <w:sz w:val="28"/>
                <w:szCs w:val="28"/>
              </w:rPr>
              <w:t>VÀ CHUYỂN ĐỔI SỐ</w:t>
            </w:r>
          </w:p>
          <w:p w:rsidR="00E1468F" w:rsidRDefault="004A6A32" w:rsidP="00244801">
            <w:pPr>
              <w:jc w:val="center"/>
            </w:pPr>
            <w:r>
              <w:t>———————</w:t>
            </w:r>
          </w:p>
        </w:tc>
        <w:tc>
          <w:tcPr>
            <w:tcW w:w="6946" w:type="dxa"/>
          </w:tcPr>
          <w:p w:rsidR="00E1468F" w:rsidRPr="00244801" w:rsidRDefault="004A6A32" w:rsidP="00244801">
            <w:pPr>
              <w:jc w:val="center"/>
              <w:rPr>
                <w:sz w:val="28"/>
                <w:szCs w:val="28"/>
              </w:rPr>
            </w:pPr>
            <w:r w:rsidRPr="00244801">
              <w:rPr>
                <w:b/>
                <w:bCs/>
                <w:sz w:val="28"/>
                <w:szCs w:val="28"/>
              </w:rPr>
              <w:t>CỘNG HÒA XÃ HỘI CHỦ NGHĨA VIỆT NAM</w:t>
            </w:r>
          </w:p>
          <w:p w:rsidR="00E1468F" w:rsidRPr="00244801" w:rsidRDefault="004A6A32" w:rsidP="00244801">
            <w:pPr>
              <w:jc w:val="center"/>
              <w:rPr>
                <w:sz w:val="28"/>
                <w:szCs w:val="28"/>
              </w:rPr>
            </w:pPr>
            <w:r w:rsidRPr="00244801">
              <w:rPr>
                <w:b/>
                <w:bCs/>
                <w:sz w:val="28"/>
                <w:szCs w:val="28"/>
              </w:rPr>
              <w:t>Độc lập - Tự do - Hạnh phúc</w:t>
            </w:r>
          </w:p>
          <w:p w:rsidR="00E1468F" w:rsidRPr="00244801" w:rsidRDefault="004A6A32" w:rsidP="00244801">
            <w:pPr>
              <w:jc w:val="center"/>
              <w:rPr>
                <w:sz w:val="28"/>
                <w:szCs w:val="28"/>
              </w:rPr>
            </w:pPr>
            <w:r w:rsidRPr="00244801">
              <w:rPr>
                <w:sz w:val="28"/>
                <w:szCs w:val="28"/>
              </w:rPr>
              <w:t>————————————</w:t>
            </w:r>
          </w:p>
          <w:p w:rsidR="00E1468F" w:rsidRDefault="004A6A32" w:rsidP="00244801">
            <w:pPr>
              <w:jc w:val="center"/>
            </w:pPr>
            <w:r w:rsidRPr="00244801">
              <w:rPr>
                <w:i/>
                <w:iCs/>
                <w:sz w:val="28"/>
                <w:szCs w:val="28"/>
              </w:rPr>
              <w:t>Hà Nội, ngày      tháng      năm 2026</w:t>
            </w:r>
          </w:p>
        </w:tc>
      </w:tr>
    </w:tbl>
    <w:p w:rsidR="00244801" w:rsidRDefault="00244801">
      <w:pPr>
        <w:spacing w:after="40" w:line="320" w:lineRule="auto"/>
        <w:jc w:val="center"/>
        <w:rPr>
          <w:b/>
          <w:bCs/>
          <w:sz w:val="30"/>
          <w:szCs w:val="30"/>
        </w:rPr>
      </w:pPr>
    </w:p>
    <w:p w:rsidR="00E1468F" w:rsidRPr="00244801" w:rsidRDefault="004A6A32">
      <w:pPr>
        <w:spacing w:after="40" w:line="320" w:lineRule="auto"/>
        <w:jc w:val="center"/>
        <w:rPr>
          <w:sz w:val="28"/>
          <w:szCs w:val="28"/>
        </w:rPr>
      </w:pPr>
      <w:r w:rsidRPr="00244801">
        <w:rPr>
          <w:b/>
          <w:bCs/>
          <w:sz w:val="28"/>
          <w:szCs w:val="28"/>
        </w:rPr>
        <w:t>BÁO CÁO</w:t>
      </w:r>
    </w:p>
    <w:p w:rsidR="00E1468F" w:rsidRPr="00244801" w:rsidRDefault="004A6A32" w:rsidP="008E0B11">
      <w:pPr>
        <w:spacing w:before="120" w:line="320" w:lineRule="atLeast"/>
        <w:jc w:val="center"/>
        <w:rPr>
          <w:sz w:val="28"/>
          <w:szCs w:val="28"/>
        </w:rPr>
      </w:pPr>
      <w:r w:rsidRPr="00244801">
        <w:rPr>
          <w:b/>
          <w:bCs/>
          <w:sz w:val="28"/>
          <w:szCs w:val="28"/>
        </w:rPr>
        <w:t>Tổng kết việc thi hành Thông tư số 185/2015/TT-BTC ngày 17/11/2015 của Bộ trưởng Bộ Tài chính hướng dẫn đăng ký, cấp và sử dụng mã số đơn vị có quan hệ với ngân sách</w:t>
      </w:r>
    </w:p>
    <w:p w:rsidR="00E1468F" w:rsidRPr="00244801" w:rsidRDefault="004A6A32" w:rsidP="008E0B11">
      <w:pPr>
        <w:spacing w:before="120" w:line="320" w:lineRule="atLeast"/>
        <w:ind w:firstLine="500"/>
        <w:jc w:val="both"/>
        <w:rPr>
          <w:sz w:val="28"/>
          <w:szCs w:val="28"/>
        </w:rPr>
      </w:pPr>
      <w:r w:rsidRPr="00244801">
        <w:rPr>
          <w:sz w:val="28"/>
          <w:szCs w:val="28"/>
        </w:rPr>
        <w:t>Thực hiện nhiệm vụ được giao tại Chương trình xây dựng văn bản quy phạm pháp luật năm 2026 của Bộ Tài chính, Cục Công nghệ thông tin và chuyển đổi số (sau đây gọi là Cục CNTT) được giao chủ trì xây dựng Thông tư hướng dẫn đăng ký, cấp và sử dụng mã số đơn vị có quan hệ với ngân sách (sau đây gọi là mã số ĐVQHNS) thay thế Thông tư số 185/2015/TT-BTC ngày 17/11/2015 của Bộ trưởng Bộ Tài chính.</w:t>
      </w:r>
    </w:p>
    <w:p w:rsidR="00E1468F" w:rsidRPr="00244801" w:rsidRDefault="004A6A32" w:rsidP="008E0B11">
      <w:pPr>
        <w:spacing w:before="120" w:line="320" w:lineRule="atLeast"/>
        <w:ind w:firstLine="500"/>
        <w:jc w:val="both"/>
        <w:rPr>
          <w:sz w:val="28"/>
          <w:szCs w:val="28"/>
        </w:rPr>
      </w:pPr>
      <w:r w:rsidRPr="00244801">
        <w:rPr>
          <w:sz w:val="28"/>
          <w:szCs w:val="28"/>
        </w:rPr>
        <w:t xml:space="preserve">Việc ban hành Thông tư thay thế là cần thiết nhằm cụ thể hóa các quy định mới của Luật Ngân sách nhà nước số 89/2025/QH15, Luật Đầu tư công số 58/2024/QH15, Luật Đầu tư theo phương thức đối tác công tư số 64/2020/QH14, Luật Dữ liệu số 60/2024/QH15, Luật Giao dịch điện tử số 20/2023/QH15 và các văn bản quy định chi tiết thi hành; đồng thời bảo đảm đồng bộ với chức năng, nhiệm vụ và cơ cấu tổ chức mới của Bộ Tài chính tại Nghị định số </w:t>
      </w:r>
      <w:r w:rsidR="00C03FEB">
        <w:rPr>
          <w:sz w:val="28"/>
          <w:szCs w:val="28"/>
        </w:rPr>
        <w:t>376/2026</w:t>
      </w:r>
      <w:r w:rsidRPr="00244801">
        <w:rPr>
          <w:sz w:val="28"/>
          <w:szCs w:val="28"/>
        </w:rPr>
        <w:t>/NĐ-CP và Nghị định số 166/2025/NĐ-CP của Chính phủ, và với mô hình chính quyền địa phương 02 cấp.</w:t>
      </w:r>
    </w:p>
    <w:p w:rsidR="00E1468F" w:rsidRPr="00244801" w:rsidRDefault="004A6A32" w:rsidP="008E0B11">
      <w:pPr>
        <w:spacing w:before="120" w:line="320" w:lineRule="atLeast"/>
        <w:ind w:firstLine="500"/>
        <w:jc w:val="both"/>
        <w:rPr>
          <w:sz w:val="28"/>
          <w:szCs w:val="28"/>
        </w:rPr>
      </w:pPr>
      <w:r w:rsidRPr="00244801">
        <w:rPr>
          <w:sz w:val="28"/>
          <w:szCs w:val="28"/>
        </w:rPr>
        <w:t>Cục CNTT báo cáo tổng kết việc thi hành Thông tư số 185/2015/TT-BTC như sau:</w:t>
      </w:r>
    </w:p>
    <w:p w:rsidR="00E1468F" w:rsidRPr="00244801" w:rsidRDefault="004A6A32" w:rsidP="00217E5D">
      <w:pPr>
        <w:spacing w:before="120" w:line="320" w:lineRule="atLeast"/>
        <w:ind w:firstLine="567"/>
        <w:jc w:val="both"/>
        <w:rPr>
          <w:sz w:val="28"/>
          <w:szCs w:val="28"/>
        </w:rPr>
      </w:pPr>
      <w:r w:rsidRPr="00244801">
        <w:rPr>
          <w:b/>
          <w:bCs/>
          <w:sz w:val="28"/>
          <w:szCs w:val="28"/>
        </w:rPr>
        <w:t>I. CƠ SỞ VÀ PHƯƠNG PHÁP TỔNG KẾT</w:t>
      </w:r>
    </w:p>
    <w:p w:rsidR="00E1468F" w:rsidRPr="00244801" w:rsidRDefault="004A6A32" w:rsidP="00217E5D">
      <w:pPr>
        <w:spacing w:before="120" w:line="320" w:lineRule="atLeast"/>
        <w:ind w:firstLine="567"/>
        <w:jc w:val="both"/>
        <w:rPr>
          <w:sz w:val="28"/>
          <w:szCs w:val="28"/>
        </w:rPr>
      </w:pPr>
      <w:r w:rsidRPr="00244801">
        <w:rPr>
          <w:b/>
          <w:bCs/>
          <w:sz w:val="28"/>
          <w:szCs w:val="28"/>
        </w:rPr>
        <w:t>1. Cơ sở tổng kết</w:t>
      </w:r>
    </w:p>
    <w:p w:rsidR="00E1468F" w:rsidRPr="00244801" w:rsidRDefault="0045095D" w:rsidP="0045095D">
      <w:pPr>
        <w:spacing w:before="120" w:line="320" w:lineRule="atLeast"/>
        <w:ind w:firstLine="500"/>
        <w:jc w:val="both"/>
        <w:rPr>
          <w:sz w:val="28"/>
          <w:szCs w:val="28"/>
        </w:rPr>
      </w:pPr>
      <w:r w:rsidRPr="0045095D">
        <w:rPr>
          <w:sz w:val="28"/>
          <w:szCs w:val="28"/>
        </w:rPr>
        <w:t>Căn cứ Luật Ban hành văn bản quy phạm pháp luật số 64/2025/QH15 ngày 19/02/2025 (quy định trách nhiệm của cơ quan nhà nước trong việc rà soát, hệ thống hóa và đề xuất sửa đổi, bổ sung, thay thế văn bản quy phạm pháp luật không còn phù hợp); đồng thời thực hiện chỉ đạo của Lãnh đạo Bộ Tài chính, Cục Công nghệ thông tin và chuyển đổi số (CNTT&amp;CĐS) đã tiến hành đánh giá mức độ tương thích của Thông tư số 185/2015/TT-BTC đối với hệ thống pháp luật mới ban hành về ngân sách nhà nước, đầu tư công, dữ liệu số, giao dịch điện tử và an ninh mạng.</w:t>
      </w:r>
    </w:p>
    <w:p w:rsidR="00E1468F" w:rsidRPr="00244801" w:rsidRDefault="004A6A32" w:rsidP="00217E5D">
      <w:pPr>
        <w:spacing w:before="120" w:line="320" w:lineRule="atLeast"/>
        <w:ind w:firstLine="567"/>
        <w:jc w:val="both"/>
        <w:rPr>
          <w:sz w:val="28"/>
          <w:szCs w:val="28"/>
        </w:rPr>
      </w:pPr>
      <w:r w:rsidRPr="00244801">
        <w:rPr>
          <w:b/>
          <w:bCs/>
          <w:sz w:val="28"/>
          <w:szCs w:val="28"/>
        </w:rPr>
        <w:t>2. Phạm vi và phương pháp tổng kết</w:t>
      </w:r>
    </w:p>
    <w:p w:rsidR="0045095D" w:rsidRPr="0045095D" w:rsidRDefault="0045095D" w:rsidP="0045095D">
      <w:pPr>
        <w:spacing w:before="120" w:line="320" w:lineRule="atLeast"/>
        <w:ind w:firstLine="567"/>
        <w:jc w:val="both"/>
        <w:rPr>
          <w:sz w:val="28"/>
          <w:szCs w:val="28"/>
        </w:rPr>
      </w:pPr>
      <w:r w:rsidRPr="0045095D">
        <w:rPr>
          <w:sz w:val="28"/>
          <w:szCs w:val="28"/>
        </w:rPr>
        <w:t>Quá trình tổng kết được thực hiện toàn diện thông qua việc thu thập số liệu vận hành, đánh giá vướng mắc thực tiễn và lấy ý kiến các cơ quan liên quan, cụ thể như sau:</w:t>
      </w:r>
    </w:p>
    <w:p w:rsidR="0045095D" w:rsidRPr="0045095D" w:rsidRDefault="0045095D" w:rsidP="0045095D">
      <w:pPr>
        <w:spacing w:before="120" w:line="320" w:lineRule="atLeast"/>
        <w:ind w:firstLine="567"/>
        <w:jc w:val="both"/>
        <w:rPr>
          <w:sz w:val="28"/>
          <w:szCs w:val="28"/>
        </w:rPr>
      </w:pPr>
      <w:r w:rsidRPr="0045095D">
        <w:rPr>
          <w:sz w:val="28"/>
          <w:szCs w:val="28"/>
        </w:rPr>
        <w:t>2.1. Đánh giá thực trạng thi hành Thông tư số 185/2015/TT-BTC:</w:t>
      </w:r>
    </w:p>
    <w:p w:rsidR="0045095D" w:rsidRDefault="0045095D" w:rsidP="0045095D">
      <w:pPr>
        <w:pStyle w:val="ListParagraph"/>
        <w:numPr>
          <w:ilvl w:val="0"/>
          <w:numId w:val="4"/>
        </w:numPr>
        <w:spacing w:before="120" w:line="320" w:lineRule="atLeast"/>
        <w:ind w:left="0" w:firstLine="567"/>
        <w:jc w:val="both"/>
        <w:rPr>
          <w:sz w:val="28"/>
          <w:szCs w:val="28"/>
        </w:rPr>
      </w:pPr>
      <w:r w:rsidRPr="0045095D">
        <w:rPr>
          <w:sz w:val="28"/>
          <w:szCs w:val="28"/>
        </w:rPr>
        <w:lastRenderedPageBreak/>
        <w:t>Ngày 21/10/2025, Cục CNTT&amp;CĐS ban hành Công văn số 1936/CNTT-TK đề nghị các đơn vị thuộc Bộ và Sở Tài chính các địa phương báo cáo tình hình thực hiện và đề xuất nội dung sửa đổi.</w:t>
      </w:r>
    </w:p>
    <w:p w:rsidR="0045095D" w:rsidRPr="0045095D" w:rsidRDefault="0045095D" w:rsidP="0045095D">
      <w:pPr>
        <w:pStyle w:val="ListParagraph"/>
        <w:numPr>
          <w:ilvl w:val="0"/>
          <w:numId w:val="4"/>
        </w:numPr>
        <w:spacing w:before="120" w:line="320" w:lineRule="atLeast"/>
        <w:ind w:left="0" w:firstLine="567"/>
        <w:jc w:val="both"/>
        <w:rPr>
          <w:sz w:val="28"/>
          <w:szCs w:val="28"/>
        </w:rPr>
      </w:pPr>
      <w:r w:rsidRPr="0045095D">
        <w:rPr>
          <w:sz w:val="28"/>
          <w:szCs w:val="28"/>
        </w:rPr>
        <w:t xml:space="preserve">Cục đã nhận được phản hồi của </w:t>
      </w:r>
      <w:r w:rsidRPr="0045095D">
        <w:rPr>
          <w:b/>
          <w:bCs/>
          <w:sz w:val="28"/>
          <w:szCs w:val="28"/>
        </w:rPr>
        <w:t>12/13 đơn vị thuộc Bộ</w:t>
      </w:r>
      <w:r w:rsidRPr="0045095D">
        <w:rPr>
          <w:sz w:val="28"/>
          <w:szCs w:val="28"/>
        </w:rPr>
        <w:t xml:space="preserve"> </w:t>
      </w:r>
      <w:r w:rsidRPr="0045095D">
        <w:rPr>
          <w:i/>
          <w:iCs/>
          <w:sz w:val="28"/>
          <w:szCs w:val="28"/>
        </w:rPr>
        <w:t>(10 đơn vị có đề xuất: Vụ Phát triển hạ tầng, Văn phòng Bộ, Cục Quản lý đầu tư, Kho bạc Nhà nước, Vụ Ngân sách nhà nước, Cục Thống kê, Vụ Kinh tế ngành, Cục Quản lý nợ và Kinh tế đối ngoại, Cục Hải quan, Bảo hiểm xã hội Việt Nam; 02 đơn vị không có đề xuất: Cục Phát triển doanh nghiệp nhà nước, Vụ I)</w:t>
      </w:r>
      <w:r w:rsidRPr="0045095D">
        <w:rPr>
          <w:sz w:val="28"/>
          <w:szCs w:val="28"/>
        </w:rPr>
        <w:t xml:space="preserve"> và </w:t>
      </w:r>
      <w:r w:rsidRPr="0045095D">
        <w:rPr>
          <w:b/>
          <w:bCs/>
          <w:sz w:val="28"/>
          <w:szCs w:val="28"/>
        </w:rPr>
        <w:t>24 Sở Tài chính các tỉnh, thành phố</w:t>
      </w:r>
      <w:r w:rsidRPr="0045095D">
        <w:rPr>
          <w:sz w:val="28"/>
          <w:szCs w:val="28"/>
        </w:rPr>
        <w:t xml:space="preserve"> </w:t>
      </w:r>
      <w:r w:rsidRPr="0045095D">
        <w:rPr>
          <w:i/>
          <w:iCs/>
          <w:sz w:val="28"/>
          <w:szCs w:val="28"/>
        </w:rPr>
        <w:t>(TP. Hồ Chí Minh, Hà Nội, Đà Nẵng, Quảng Trị, Nghệ An, Cao Bằng, Tuyên Quang, Cà Mau, Hà Tĩnh, Phú Thọ, Thanh Hóa, Vĩnh Long, Lạng Sơn, Lào Cai, Thái Nguyên, Điện Biên, Sơn La, Đắk Lắk, Đồng Tháp, Lai Châu, Ninh Bình, Hưng Yên, Quảng Ninh, Tây Ninh).</w:t>
      </w:r>
    </w:p>
    <w:p w:rsidR="0045095D" w:rsidRDefault="0045095D" w:rsidP="0045095D">
      <w:pPr>
        <w:pStyle w:val="ListParagraph"/>
        <w:spacing w:before="120" w:line="320" w:lineRule="atLeast"/>
        <w:ind w:firstLine="567"/>
        <w:jc w:val="both"/>
        <w:rPr>
          <w:sz w:val="28"/>
          <w:szCs w:val="28"/>
        </w:rPr>
      </w:pPr>
      <w:r>
        <w:rPr>
          <w:sz w:val="28"/>
          <w:szCs w:val="28"/>
        </w:rPr>
        <w:t xml:space="preserve">2.2. </w:t>
      </w:r>
      <w:r w:rsidRPr="0045095D">
        <w:rPr>
          <w:sz w:val="28"/>
          <w:szCs w:val="28"/>
        </w:rPr>
        <w:t>Bên cạnh đó, Cục đã tổ chức lấy ý kiến trực tiếp các Sở Tài chính về tình hình cấp mã số ĐVQHNS tại Hội nghị tập huấn công tác mã số vào tháng 8/2026.</w:t>
      </w:r>
    </w:p>
    <w:p w:rsidR="0045095D" w:rsidRPr="0045095D" w:rsidRDefault="0045095D" w:rsidP="0045095D">
      <w:pPr>
        <w:pStyle w:val="ListParagraph"/>
        <w:spacing w:before="120" w:line="320" w:lineRule="atLeast"/>
        <w:ind w:firstLine="567"/>
        <w:jc w:val="both"/>
        <w:rPr>
          <w:sz w:val="28"/>
          <w:szCs w:val="28"/>
        </w:rPr>
      </w:pPr>
      <w:r w:rsidRPr="0045095D">
        <w:rPr>
          <w:sz w:val="28"/>
          <w:szCs w:val="28"/>
        </w:rPr>
        <w:t>2.3. Lấy ý kiến hoàn thiện dự thảo Thông tư thay thế</w:t>
      </w:r>
      <w:r w:rsidRPr="0045095D">
        <w:rPr>
          <w:b/>
          <w:bCs/>
          <w:sz w:val="28"/>
          <w:szCs w:val="28"/>
        </w:rPr>
        <w:t>:</w:t>
      </w:r>
    </w:p>
    <w:p w:rsidR="0045095D" w:rsidRPr="0045095D" w:rsidRDefault="0045095D" w:rsidP="0045095D">
      <w:pPr>
        <w:numPr>
          <w:ilvl w:val="1"/>
          <w:numId w:val="5"/>
        </w:numPr>
        <w:spacing w:before="120" w:line="320" w:lineRule="atLeast"/>
        <w:ind w:left="0" w:firstLine="567"/>
        <w:jc w:val="both"/>
        <w:rPr>
          <w:sz w:val="28"/>
          <w:szCs w:val="28"/>
        </w:rPr>
      </w:pPr>
      <w:bookmarkStart w:id="0" w:name="_Hlk242330902"/>
      <w:r w:rsidRPr="0045095D">
        <w:rPr>
          <w:sz w:val="28"/>
          <w:szCs w:val="28"/>
        </w:rPr>
        <w:t>Ngày 14/8/2026, Cục CNTT ban hành Công văn số 225</w:t>
      </w:r>
      <w:r w:rsidR="00382902">
        <w:rPr>
          <w:sz w:val="28"/>
          <w:szCs w:val="28"/>
        </w:rPr>
        <w:t>6</w:t>
      </w:r>
      <w:r w:rsidRPr="0045095D">
        <w:rPr>
          <w:sz w:val="28"/>
          <w:szCs w:val="28"/>
        </w:rPr>
        <w:t>/CNTT-TK xin ý kiến các đơn vị thuộc Bộ, Sở Tài chính các địa phương</w:t>
      </w:r>
      <w:r w:rsidR="00140BB6">
        <w:rPr>
          <w:sz w:val="28"/>
          <w:szCs w:val="28"/>
        </w:rPr>
        <w:t xml:space="preserve"> và c</w:t>
      </w:r>
      <w:r w:rsidR="00140BB6" w:rsidRPr="00140BB6">
        <w:rPr>
          <w:sz w:val="28"/>
          <w:szCs w:val="28"/>
        </w:rPr>
        <w:t>ác đồng chí Thành viên Tổ soạn thảo</w:t>
      </w:r>
      <w:r w:rsidR="00140BB6">
        <w:rPr>
          <w:sz w:val="28"/>
          <w:szCs w:val="28"/>
        </w:rPr>
        <w:t xml:space="preserve"> Thông tư</w:t>
      </w:r>
      <w:r w:rsidRPr="0045095D">
        <w:rPr>
          <w:sz w:val="28"/>
          <w:szCs w:val="28"/>
        </w:rPr>
        <w:t xml:space="preserve"> đối với dự thảo Thông tư hướng dẫn đăng ký, cấp và sử dụng mã số ĐVQHNS.</w:t>
      </w:r>
    </w:p>
    <w:bookmarkEnd w:id="0"/>
    <w:p w:rsidR="0045095D" w:rsidRDefault="0045095D" w:rsidP="0045095D">
      <w:pPr>
        <w:numPr>
          <w:ilvl w:val="1"/>
          <w:numId w:val="5"/>
        </w:numPr>
        <w:spacing w:before="120" w:line="320" w:lineRule="atLeast"/>
        <w:ind w:left="0" w:firstLine="567"/>
        <w:jc w:val="both"/>
        <w:rPr>
          <w:sz w:val="28"/>
          <w:szCs w:val="28"/>
        </w:rPr>
      </w:pPr>
      <w:r w:rsidRPr="0045095D">
        <w:rPr>
          <w:sz w:val="28"/>
          <w:szCs w:val="28"/>
        </w:rPr>
        <w:t>Kết quả, Cục đã nhận được ý kiến tham gia của 16 đơn vị thuộc Bộ và 23 UBND, Sở Tài chính các tỉnh, thành phố.</w:t>
      </w:r>
    </w:p>
    <w:p w:rsidR="0045095D" w:rsidRDefault="0045095D" w:rsidP="0045095D">
      <w:pPr>
        <w:spacing w:before="120" w:line="320" w:lineRule="atLeast"/>
        <w:ind w:firstLine="567"/>
        <w:jc w:val="both"/>
        <w:rPr>
          <w:sz w:val="28"/>
          <w:szCs w:val="28"/>
        </w:rPr>
      </w:pPr>
      <w:r>
        <w:rPr>
          <w:b/>
          <w:bCs/>
          <w:sz w:val="28"/>
          <w:szCs w:val="28"/>
        </w:rPr>
        <w:t>2.4.</w:t>
      </w:r>
      <w:r w:rsidR="008E36F4">
        <w:rPr>
          <w:b/>
          <w:bCs/>
          <w:sz w:val="28"/>
          <w:szCs w:val="28"/>
        </w:rPr>
        <w:t xml:space="preserve"> </w:t>
      </w:r>
      <w:r w:rsidRPr="0045095D">
        <w:rPr>
          <w:b/>
          <w:bCs/>
          <w:sz w:val="28"/>
          <w:szCs w:val="28"/>
        </w:rPr>
        <w:t>Tổng hợp và hoàn thiện:</w:t>
      </w:r>
      <w:r w:rsidRPr="0045095D">
        <w:rPr>
          <w:sz w:val="28"/>
          <w:szCs w:val="28"/>
        </w:rPr>
        <w:t xml:space="preserve"> </w:t>
      </w:r>
    </w:p>
    <w:p w:rsidR="0045095D" w:rsidRPr="0045095D" w:rsidRDefault="0045095D" w:rsidP="0045095D">
      <w:pPr>
        <w:spacing w:before="120" w:line="320" w:lineRule="atLeast"/>
        <w:ind w:firstLine="567"/>
        <w:jc w:val="both"/>
        <w:rPr>
          <w:sz w:val="28"/>
          <w:szCs w:val="28"/>
        </w:rPr>
      </w:pPr>
      <w:r w:rsidRPr="0045095D">
        <w:rPr>
          <w:sz w:val="28"/>
          <w:szCs w:val="28"/>
        </w:rPr>
        <w:t>Trên cơ sở số liệu vận hành hệ thống, các khó khăn, vướng mắc thực tiễn và ý kiến đóng góp của các cơ quan, Cục CNTT&amp;CĐS đã tổng hợp, tiếp thu và rà soát tổng thể kỹ thuật lập quy để hoàn thiện dự thảo Thông tư thay thế Thông tư số 185/2015/TT-BTC.</w:t>
      </w:r>
    </w:p>
    <w:p w:rsidR="00E1468F" w:rsidRPr="00244801" w:rsidRDefault="004A6A32" w:rsidP="00217E5D">
      <w:pPr>
        <w:spacing w:before="120" w:line="320" w:lineRule="atLeast"/>
        <w:ind w:firstLine="567"/>
        <w:jc w:val="both"/>
        <w:rPr>
          <w:sz w:val="28"/>
          <w:szCs w:val="28"/>
        </w:rPr>
      </w:pPr>
      <w:r w:rsidRPr="00244801">
        <w:rPr>
          <w:b/>
          <w:bCs/>
          <w:sz w:val="28"/>
          <w:szCs w:val="28"/>
        </w:rPr>
        <w:t>II. KẾT QUẢ THI HÀNH THÔNG TƯ SỐ 185/2015/TT-BTC</w:t>
      </w:r>
    </w:p>
    <w:p w:rsidR="00E1468F" w:rsidRPr="00244801" w:rsidRDefault="004A6A32" w:rsidP="00217E5D">
      <w:pPr>
        <w:spacing w:before="120" w:line="320" w:lineRule="atLeast"/>
        <w:ind w:firstLine="567"/>
        <w:jc w:val="both"/>
        <w:rPr>
          <w:sz w:val="28"/>
          <w:szCs w:val="28"/>
        </w:rPr>
      </w:pPr>
      <w:r w:rsidRPr="00244801">
        <w:rPr>
          <w:b/>
          <w:bCs/>
          <w:sz w:val="28"/>
          <w:szCs w:val="28"/>
        </w:rPr>
        <w:t>1. Công tác tổ chức thi hành</w:t>
      </w:r>
    </w:p>
    <w:p w:rsidR="00E1468F" w:rsidRPr="00244801" w:rsidRDefault="004A6A32" w:rsidP="008E0B11">
      <w:pPr>
        <w:spacing w:before="120" w:line="320" w:lineRule="atLeast"/>
        <w:ind w:firstLine="500"/>
        <w:jc w:val="both"/>
        <w:rPr>
          <w:sz w:val="28"/>
          <w:szCs w:val="28"/>
        </w:rPr>
      </w:pPr>
      <w:r w:rsidRPr="00244801">
        <w:rPr>
          <w:b/>
          <w:bCs/>
          <w:i/>
          <w:iCs/>
          <w:sz w:val="28"/>
          <w:szCs w:val="28"/>
        </w:rPr>
        <w:t>a) Đối tượng áp dụng</w:t>
      </w:r>
    </w:p>
    <w:p w:rsidR="00E1468F" w:rsidRPr="00244801" w:rsidRDefault="004A6A32" w:rsidP="008E0B11">
      <w:pPr>
        <w:spacing w:before="120" w:line="320" w:lineRule="atLeast"/>
        <w:ind w:firstLine="500"/>
        <w:jc w:val="both"/>
        <w:rPr>
          <w:sz w:val="28"/>
          <w:szCs w:val="28"/>
        </w:rPr>
      </w:pPr>
      <w:r w:rsidRPr="00244801">
        <w:rPr>
          <w:sz w:val="28"/>
          <w:szCs w:val="28"/>
        </w:rPr>
        <w:t>Các cơ quan nhà nước, đơn vị sự nghiệp công lập, tổ chức chính trị - xã hội, chủ đầu tư, Ban quản lý dự án và các cơ quan tài chính, Kho bạc Nhà nước, cơ quan thuế, cơ quan hải quan các cấp đã chấp hành nghiêm túc các quy định về đăng ký, cấp và sử dụng mã số ĐVQHNS.</w:t>
      </w:r>
    </w:p>
    <w:p w:rsidR="00E1468F" w:rsidRPr="00244801" w:rsidRDefault="004A6A32" w:rsidP="008E0B11">
      <w:pPr>
        <w:spacing w:before="120" w:line="320" w:lineRule="atLeast"/>
        <w:ind w:firstLine="500"/>
        <w:jc w:val="both"/>
        <w:rPr>
          <w:sz w:val="28"/>
          <w:szCs w:val="28"/>
        </w:rPr>
      </w:pPr>
      <w:r w:rsidRPr="00244801">
        <w:rPr>
          <w:b/>
          <w:bCs/>
          <w:i/>
          <w:iCs/>
          <w:sz w:val="28"/>
          <w:szCs w:val="28"/>
        </w:rPr>
        <w:t>b) Phân định thẩm quyền cấp mã số ĐVQHNS</w:t>
      </w:r>
    </w:p>
    <w:p w:rsidR="00E1468F" w:rsidRPr="00244801" w:rsidRDefault="004A6A32" w:rsidP="008E0B11">
      <w:pPr>
        <w:spacing w:before="120" w:line="320" w:lineRule="atLeast"/>
        <w:ind w:firstLine="500"/>
        <w:jc w:val="both"/>
        <w:rPr>
          <w:sz w:val="28"/>
          <w:szCs w:val="28"/>
        </w:rPr>
      </w:pPr>
      <w:r w:rsidRPr="00244801">
        <w:rPr>
          <w:sz w:val="28"/>
          <w:szCs w:val="28"/>
        </w:rPr>
        <w:t xml:space="preserve">Cục CNTT cấp mã số cho các đơn vị, nhiệm vụ, dự án đầu tư thuộc cấp ngân sách Trung ương; Sở Tài chính các tỉnh, thành phố trực thuộc Trung ương cấp mã số cho các đối tượng thuộc cấp ngân sách địa phương. Việc phân định </w:t>
      </w:r>
      <w:r w:rsidRPr="00244801">
        <w:rPr>
          <w:sz w:val="28"/>
          <w:szCs w:val="28"/>
        </w:rPr>
        <w:lastRenderedPageBreak/>
        <w:t>này được các đơn vị đánh giá là rõ ràng, ổn định và tiếp tục được kế thừa trong dự thảo Thông tư thay thế.</w:t>
      </w:r>
    </w:p>
    <w:p w:rsidR="00E1468F" w:rsidRPr="00244801" w:rsidRDefault="004A6A32" w:rsidP="000B627B">
      <w:pPr>
        <w:spacing w:before="120" w:line="320" w:lineRule="atLeast"/>
        <w:ind w:firstLine="500"/>
        <w:jc w:val="both"/>
        <w:rPr>
          <w:sz w:val="28"/>
          <w:szCs w:val="28"/>
        </w:rPr>
      </w:pPr>
      <w:r w:rsidRPr="00244801">
        <w:rPr>
          <w:b/>
          <w:bCs/>
          <w:sz w:val="28"/>
          <w:szCs w:val="28"/>
        </w:rPr>
        <w:t>2. Kết quả đạt được</w:t>
      </w:r>
    </w:p>
    <w:p w:rsidR="001E7A09" w:rsidRDefault="004A6A32" w:rsidP="00244801">
      <w:pPr>
        <w:spacing w:before="120" w:line="320" w:lineRule="atLeast"/>
        <w:ind w:firstLine="500"/>
        <w:jc w:val="both"/>
        <w:rPr>
          <w:sz w:val="28"/>
          <w:szCs w:val="28"/>
        </w:rPr>
      </w:pPr>
      <w:bookmarkStart w:id="1" w:name="_Hlk242329987"/>
      <w:r w:rsidRPr="008E0B11">
        <w:rPr>
          <w:sz w:val="28"/>
          <w:szCs w:val="28"/>
        </w:rPr>
        <w:t>a) Thông tư số 185/2015/TT-BTC đã hướng dẫn chi tiết việc đăng ký, cấp và sử dụng mã số ĐVQHNS; quy định rõ phạm vi điều chỉnh, đối tượng áp dụng, hồ sơ, trình tự đăng ký và cấp mã số, tạo thuận lợi cho công tác quản lý, giám sát, tổng hợp, bảo đảm minh bạch và thống nhất từ khâu lập dự toán đến quyết toán ngân sách.</w:t>
      </w:r>
    </w:p>
    <w:p w:rsidR="00244801" w:rsidRPr="008E0B11" w:rsidRDefault="004A6A32" w:rsidP="00244801">
      <w:pPr>
        <w:spacing w:before="120" w:line="320" w:lineRule="atLeast"/>
        <w:ind w:firstLine="500"/>
        <w:jc w:val="both"/>
        <w:rPr>
          <w:sz w:val="28"/>
          <w:szCs w:val="28"/>
        </w:rPr>
      </w:pPr>
      <w:r w:rsidRPr="008E0B11">
        <w:rPr>
          <w:sz w:val="28"/>
          <w:szCs w:val="28"/>
        </w:rPr>
        <w:t xml:space="preserve">b) Khối lượng hồ sơ được xử lý trên ứng dụng cấp mã số trực tuyến rất lớn. Bộ Tài chính và 34 Sở Tài chính các tỉnh, thành phố trực thuộc Trung ương đã </w:t>
      </w:r>
      <w:r w:rsidR="00244801">
        <w:rPr>
          <w:sz w:val="28"/>
          <w:szCs w:val="28"/>
        </w:rPr>
        <w:t>cấp</w:t>
      </w:r>
      <w:r w:rsidR="00074D13" w:rsidRPr="00244801">
        <w:rPr>
          <w:b/>
          <w:bCs/>
          <w:sz w:val="28"/>
          <w:szCs w:val="28"/>
        </w:rPr>
        <w:t xml:space="preserve"> 1.421.983</w:t>
      </w:r>
      <w:r w:rsidR="00DA4430" w:rsidRPr="00244801">
        <w:rPr>
          <w:b/>
          <w:bCs/>
          <w:sz w:val="28"/>
          <w:szCs w:val="28"/>
        </w:rPr>
        <w:t xml:space="preserve"> </w:t>
      </w:r>
      <w:r w:rsidR="00244801" w:rsidRPr="00244801">
        <w:rPr>
          <w:b/>
          <w:bCs/>
          <w:sz w:val="28"/>
          <w:szCs w:val="28"/>
        </w:rPr>
        <w:t>mã số</w:t>
      </w:r>
      <w:r w:rsidRPr="008E0B11">
        <w:rPr>
          <w:sz w:val="28"/>
          <w:szCs w:val="28"/>
        </w:rPr>
        <w:t xml:space="preserve">, </w:t>
      </w:r>
      <w:r w:rsidR="00CE6014">
        <w:rPr>
          <w:sz w:val="28"/>
          <w:szCs w:val="28"/>
        </w:rPr>
        <w:t xml:space="preserve">theo đó </w:t>
      </w:r>
      <w:r w:rsidR="00CE6014" w:rsidRPr="00CE6014">
        <w:rPr>
          <w:sz w:val="28"/>
          <w:szCs w:val="28"/>
        </w:rPr>
        <w:t xml:space="preserve">34 Sở Tài chính cấp </w:t>
      </w:r>
      <w:r w:rsidR="00CE6014" w:rsidRPr="00CE6014">
        <w:rPr>
          <w:b/>
          <w:bCs/>
          <w:sz w:val="28"/>
          <w:szCs w:val="28"/>
        </w:rPr>
        <w:t>1.391.772 mã</w:t>
      </w:r>
      <w:r w:rsidR="00CE6014">
        <w:rPr>
          <w:b/>
          <w:bCs/>
          <w:sz w:val="28"/>
          <w:szCs w:val="28"/>
        </w:rPr>
        <w:t xml:space="preserve"> số</w:t>
      </w:r>
      <w:r w:rsidR="00CE6014" w:rsidRPr="00CE6014">
        <w:rPr>
          <w:sz w:val="28"/>
          <w:szCs w:val="28"/>
        </w:rPr>
        <w:t>, chiếm khoảng 97,</w:t>
      </w:r>
      <w:r w:rsidR="00CE6014">
        <w:rPr>
          <w:sz w:val="28"/>
          <w:szCs w:val="28"/>
        </w:rPr>
        <w:t>88</w:t>
      </w:r>
      <w:r w:rsidR="00CE6014" w:rsidRPr="00CE6014">
        <w:rPr>
          <w:sz w:val="28"/>
          <w:szCs w:val="28"/>
        </w:rPr>
        <w:t>%. Bộ Tài chính</w:t>
      </w:r>
      <w:r w:rsidR="00CE6014">
        <w:rPr>
          <w:sz w:val="28"/>
          <w:szCs w:val="28"/>
        </w:rPr>
        <w:t xml:space="preserve"> (Cục CNTT &amp;CĐS)</w:t>
      </w:r>
      <w:r w:rsidR="00CE6014" w:rsidRPr="00CE6014">
        <w:rPr>
          <w:sz w:val="28"/>
          <w:szCs w:val="28"/>
        </w:rPr>
        <w:t xml:space="preserve"> cấp </w:t>
      </w:r>
      <w:r w:rsidR="00CE6014" w:rsidRPr="00CE6014">
        <w:rPr>
          <w:b/>
          <w:bCs/>
          <w:sz w:val="28"/>
          <w:szCs w:val="28"/>
        </w:rPr>
        <w:t>30.211</w:t>
      </w:r>
      <w:r w:rsidR="00CE6014" w:rsidRPr="00CE6014">
        <w:rPr>
          <w:sz w:val="28"/>
          <w:szCs w:val="28"/>
        </w:rPr>
        <w:t xml:space="preserve"> mã</w:t>
      </w:r>
      <w:r w:rsidR="00CE6014">
        <w:rPr>
          <w:sz w:val="28"/>
          <w:szCs w:val="28"/>
        </w:rPr>
        <w:t xml:space="preserve"> số</w:t>
      </w:r>
      <w:r w:rsidR="00CE6014" w:rsidRPr="00CE6014">
        <w:rPr>
          <w:sz w:val="28"/>
          <w:szCs w:val="28"/>
        </w:rPr>
        <w:t>, khoảng 2,</w:t>
      </w:r>
      <w:r w:rsidR="00CE6014">
        <w:rPr>
          <w:sz w:val="28"/>
          <w:szCs w:val="28"/>
        </w:rPr>
        <w:t>12</w:t>
      </w:r>
      <w:r w:rsidR="00CE6014" w:rsidRPr="00CE6014">
        <w:rPr>
          <w:sz w:val="28"/>
          <w:szCs w:val="28"/>
        </w:rPr>
        <w:t>%.</w:t>
      </w:r>
      <w:r w:rsidR="00CE6014">
        <w:rPr>
          <w:sz w:val="28"/>
          <w:szCs w:val="28"/>
        </w:rPr>
        <w:t xml:space="preserve"> Cụ thể: </w:t>
      </w:r>
    </w:p>
    <w:tbl>
      <w:tblPr>
        <w:tblStyle w:val="TableGrid"/>
        <w:tblW w:w="9209" w:type="dxa"/>
        <w:jc w:val="center"/>
        <w:tblLook w:val="04A0"/>
      </w:tblPr>
      <w:tblGrid>
        <w:gridCol w:w="3114"/>
        <w:gridCol w:w="3118"/>
        <w:gridCol w:w="2977"/>
      </w:tblGrid>
      <w:tr w:rsidR="00074D13" w:rsidTr="00781CA8">
        <w:trPr>
          <w:jc w:val="center"/>
        </w:trPr>
        <w:tc>
          <w:tcPr>
            <w:tcW w:w="3114" w:type="dxa"/>
            <w:vAlign w:val="center"/>
          </w:tcPr>
          <w:p w:rsidR="00074D13" w:rsidRDefault="00074D13" w:rsidP="00C74DC0">
            <w:pPr>
              <w:spacing w:before="120" w:line="320" w:lineRule="atLeast"/>
              <w:jc w:val="center"/>
              <w:rPr>
                <w:sz w:val="28"/>
                <w:szCs w:val="28"/>
              </w:rPr>
            </w:pPr>
            <w:r w:rsidRPr="00074D13">
              <w:rPr>
                <w:sz w:val="28"/>
                <w:szCs w:val="28"/>
              </w:rPr>
              <w:t>Đơn vị</w:t>
            </w:r>
          </w:p>
        </w:tc>
        <w:tc>
          <w:tcPr>
            <w:tcW w:w="3118" w:type="dxa"/>
            <w:vAlign w:val="center"/>
          </w:tcPr>
          <w:p w:rsidR="00074D13" w:rsidRDefault="00244801" w:rsidP="00CE6014">
            <w:pPr>
              <w:spacing w:before="120" w:line="320" w:lineRule="atLeast"/>
              <w:jc w:val="center"/>
              <w:rPr>
                <w:sz w:val="28"/>
                <w:szCs w:val="28"/>
              </w:rPr>
            </w:pPr>
            <w:r>
              <w:rPr>
                <w:b/>
                <w:bCs/>
                <w:color w:val="000000"/>
              </w:rPr>
              <w:t xml:space="preserve">Số lượng mã số </w:t>
            </w:r>
            <w:r w:rsidR="00074D13">
              <w:rPr>
                <w:b/>
                <w:bCs/>
                <w:color w:val="000000"/>
              </w:rPr>
              <w:t xml:space="preserve">Đơn vị </w:t>
            </w:r>
            <w:r>
              <w:rPr>
                <w:b/>
                <w:bCs/>
                <w:color w:val="000000"/>
              </w:rPr>
              <w:t xml:space="preserve">dự toán, đơn vị </w:t>
            </w:r>
            <w:r w:rsidR="00074D13">
              <w:rPr>
                <w:b/>
                <w:bCs/>
                <w:color w:val="000000"/>
              </w:rPr>
              <w:t>sử dụng ngân sách</w:t>
            </w:r>
          </w:p>
        </w:tc>
        <w:tc>
          <w:tcPr>
            <w:tcW w:w="2977" w:type="dxa"/>
            <w:vAlign w:val="center"/>
          </w:tcPr>
          <w:p w:rsidR="00074D13" w:rsidRDefault="00244801" w:rsidP="00CE6014">
            <w:pPr>
              <w:spacing w:before="120" w:line="320" w:lineRule="atLeast"/>
              <w:jc w:val="center"/>
              <w:rPr>
                <w:sz w:val="28"/>
                <w:szCs w:val="28"/>
              </w:rPr>
            </w:pPr>
            <w:r>
              <w:rPr>
                <w:b/>
                <w:bCs/>
                <w:color w:val="000000"/>
              </w:rPr>
              <w:t xml:space="preserve">Cấp cho các </w:t>
            </w:r>
            <w:r w:rsidR="00074D13">
              <w:rPr>
                <w:b/>
                <w:bCs/>
                <w:color w:val="000000"/>
              </w:rPr>
              <w:t>Dự án</w:t>
            </w:r>
            <w:r>
              <w:rPr>
                <w:b/>
                <w:bCs/>
                <w:color w:val="000000"/>
              </w:rPr>
              <w:t xml:space="preserve"> đầu tư</w:t>
            </w:r>
          </w:p>
        </w:tc>
      </w:tr>
      <w:tr w:rsidR="00941C04" w:rsidTr="00781CA8">
        <w:trPr>
          <w:jc w:val="center"/>
        </w:trPr>
        <w:tc>
          <w:tcPr>
            <w:tcW w:w="3114" w:type="dxa"/>
            <w:vAlign w:val="bottom"/>
          </w:tcPr>
          <w:p w:rsidR="00941C04" w:rsidRDefault="00941C04" w:rsidP="00C74DC0">
            <w:pPr>
              <w:spacing w:before="120" w:line="320" w:lineRule="atLeast"/>
              <w:rPr>
                <w:sz w:val="28"/>
                <w:szCs w:val="28"/>
              </w:rPr>
            </w:pPr>
            <w:r>
              <w:rPr>
                <w:color w:val="000000"/>
              </w:rPr>
              <w:t>Bộ Tài Chính</w:t>
            </w:r>
            <w:r w:rsidR="00CE6014">
              <w:rPr>
                <w:color w:val="000000"/>
              </w:rPr>
              <w:t xml:space="preserve"> (Cục CNTT và Chuyển đổi số)</w:t>
            </w:r>
          </w:p>
        </w:tc>
        <w:tc>
          <w:tcPr>
            <w:tcW w:w="3118" w:type="dxa"/>
            <w:vAlign w:val="bottom"/>
          </w:tcPr>
          <w:p w:rsidR="00941C04" w:rsidRDefault="00941C04" w:rsidP="00CE6014">
            <w:pPr>
              <w:spacing w:before="120" w:line="320" w:lineRule="atLeast"/>
              <w:jc w:val="center"/>
              <w:rPr>
                <w:sz w:val="28"/>
                <w:szCs w:val="28"/>
              </w:rPr>
            </w:pPr>
            <w:r>
              <w:rPr>
                <w:color w:val="000000"/>
              </w:rPr>
              <w:t>17.139</w:t>
            </w:r>
          </w:p>
        </w:tc>
        <w:tc>
          <w:tcPr>
            <w:tcW w:w="2977" w:type="dxa"/>
            <w:vAlign w:val="bottom"/>
          </w:tcPr>
          <w:p w:rsidR="00941C04" w:rsidRDefault="00CE6014" w:rsidP="00CE6014">
            <w:pPr>
              <w:spacing w:before="120" w:line="320" w:lineRule="atLeast"/>
              <w:jc w:val="center"/>
              <w:rPr>
                <w:sz w:val="28"/>
                <w:szCs w:val="28"/>
              </w:rPr>
            </w:pPr>
            <w:r>
              <w:rPr>
                <w:color w:val="000000"/>
              </w:rPr>
              <w:t>13.072</w:t>
            </w:r>
          </w:p>
        </w:tc>
      </w:tr>
      <w:tr w:rsidR="00941C04" w:rsidTr="00781CA8">
        <w:trPr>
          <w:jc w:val="center"/>
        </w:trPr>
        <w:tc>
          <w:tcPr>
            <w:tcW w:w="3114" w:type="dxa"/>
            <w:vAlign w:val="bottom"/>
          </w:tcPr>
          <w:p w:rsidR="00941C04" w:rsidRPr="00941C04" w:rsidRDefault="00941C04" w:rsidP="00C74DC0">
            <w:pPr>
              <w:spacing w:before="120" w:line="320" w:lineRule="atLeast"/>
              <w:rPr>
                <w:color w:val="000000"/>
              </w:rPr>
            </w:pPr>
            <w:r>
              <w:rPr>
                <w:color w:val="000000"/>
              </w:rPr>
              <w:t>Các Sở Tài chính</w:t>
            </w:r>
          </w:p>
        </w:tc>
        <w:tc>
          <w:tcPr>
            <w:tcW w:w="3118" w:type="dxa"/>
            <w:vAlign w:val="bottom"/>
          </w:tcPr>
          <w:p w:rsidR="00941C04" w:rsidRPr="00074D13" w:rsidRDefault="00941C04" w:rsidP="00CE6014">
            <w:pPr>
              <w:spacing w:before="120" w:line="320" w:lineRule="atLeast"/>
              <w:jc w:val="center"/>
              <w:rPr>
                <w:color w:val="000000"/>
              </w:rPr>
            </w:pPr>
            <w:r>
              <w:rPr>
                <w:color w:val="000000"/>
              </w:rPr>
              <w:t>194.117</w:t>
            </w:r>
          </w:p>
        </w:tc>
        <w:tc>
          <w:tcPr>
            <w:tcW w:w="2977" w:type="dxa"/>
            <w:vAlign w:val="bottom"/>
          </w:tcPr>
          <w:p w:rsidR="00941C04" w:rsidRPr="00074D13" w:rsidRDefault="00941C04" w:rsidP="00CE6014">
            <w:pPr>
              <w:spacing w:before="120" w:line="320" w:lineRule="atLeast"/>
              <w:jc w:val="center"/>
              <w:rPr>
                <w:color w:val="000000"/>
              </w:rPr>
            </w:pPr>
            <w:r>
              <w:rPr>
                <w:color w:val="000000"/>
              </w:rPr>
              <w:t>1.197.655</w:t>
            </w:r>
          </w:p>
        </w:tc>
      </w:tr>
    </w:tbl>
    <w:bookmarkEnd w:id="1"/>
    <w:p w:rsidR="00074D13" w:rsidRPr="00CE6014" w:rsidRDefault="00CE6014" w:rsidP="00244801">
      <w:pPr>
        <w:spacing w:before="120" w:line="320" w:lineRule="atLeast"/>
        <w:ind w:firstLine="500"/>
        <w:jc w:val="center"/>
        <w:rPr>
          <w:b/>
          <w:bCs/>
          <w:sz w:val="28"/>
          <w:szCs w:val="28"/>
        </w:rPr>
      </w:pPr>
      <w:r>
        <w:rPr>
          <w:b/>
          <w:bCs/>
          <w:sz w:val="28"/>
          <w:szCs w:val="28"/>
        </w:rPr>
        <w:t>(</w:t>
      </w:r>
      <w:r w:rsidR="00511AD4" w:rsidRPr="00CE6014">
        <w:rPr>
          <w:b/>
          <w:bCs/>
          <w:sz w:val="28"/>
          <w:szCs w:val="28"/>
        </w:rPr>
        <w:t xml:space="preserve">Chi tiết </w:t>
      </w:r>
      <w:r w:rsidR="00244801" w:rsidRPr="00CE6014">
        <w:rPr>
          <w:b/>
          <w:bCs/>
          <w:sz w:val="28"/>
          <w:szCs w:val="28"/>
        </w:rPr>
        <w:t xml:space="preserve">số lượng mã số cấp </w:t>
      </w:r>
      <w:r w:rsidR="00511AD4" w:rsidRPr="00CE6014">
        <w:rPr>
          <w:b/>
          <w:bCs/>
          <w:sz w:val="28"/>
          <w:szCs w:val="28"/>
        </w:rPr>
        <w:t>tại phụ lục 01</w:t>
      </w:r>
      <w:r>
        <w:rPr>
          <w:b/>
          <w:bCs/>
          <w:sz w:val="28"/>
          <w:szCs w:val="28"/>
        </w:rPr>
        <w:t>)</w:t>
      </w:r>
    </w:p>
    <w:p w:rsidR="00E1468F" w:rsidRPr="008E0B11" w:rsidRDefault="004A6A32" w:rsidP="008E0B11">
      <w:pPr>
        <w:spacing w:before="120" w:line="320" w:lineRule="atLeast"/>
        <w:ind w:firstLine="500"/>
        <w:jc w:val="both"/>
        <w:rPr>
          <w:sz w:val="28"/>
          <w:szCs w:val="28"/>
        </w:rPr>
      </w:pPr>
      <w:r w:rsidRPr="008E0B11">
        <w:rPr>
          <w:sz w:val="28"/>
          <w:szCs w:val="28"/>
        </w:rPr>
        <w:t>Việc cấp mã số trực tuyến đã góp phần nâng cao tính công khai, minh bạch, chính xác, rút ngắn thời gian và chi phí xử lý hồ sơ cho cả cơ quan cấp mã số và đơn vị đăng ký.</w:t>
      </w:r>
    </w:p>
    <w:p w:rsidR="00E1468F" w:rsidRPr="008E0B11" w:rsidRDefault="004A6A32" w:rsidP="008E0B11">
      <w:pPr>
        <w:spacing w:before="120" w:line="320" w:lineRule="atLeast"/>
        <w:ind w:firstLine="500"/>
        <w:jc w:val="both"/>
        <w:rPr>
          <w:sz w:val="28"/>
          <w:szCs w:val="28"/>
        </w:rPr>
      </w:pPr>
      <w:r w:rsidRPr="008E0B11">
        <w:rPr>
          <w:sz w:val="28"/>
          <w:szCs w:val="28"/>
        </w:rPr>
        <w:t>c) Các đơn vị đánh giá cao ba nội dung cốt lõi của Thông tư: cấu trúc mã số và nguyên tắc mỗi đơn vị, mỗi dự án chỉ có một mã số duy nhất; phân định thẩm quyền cấp mã số giữa Trung ương và địa phương; và việc từng bước điện tử hóa giao dịch đăng ký, cấp mã số, phù hợp với pháp luật về giao dịch điện tử và yêu cầu chuyển đổi số.</w:t>
      </w:r>
    </w:p>
    <w:p w:rsidR="00E1468F" w:rsidRPr="008E0B11" w:rsidRDefault="004A6A32" w:rsidP="000B627B">
      <w:pPr>
        <w:spacing w:before="120" w:line="320" w:lineRule="atLeast"/>
        <w:ind w:firstLine="500"/>
        <w:jc w:val="both"/>
        <w:rPr>
          <w:sz w:val="28"/>
          <w:szCs w:val="28"/>
        </w:rPr>
      </w:pPr>
      <w:r w:rsidRPr="008E0B11">
        <w:rPr>
          <w:b/>
          <w:bCs/>
          <w:sz w:val="28"/>
          <w:szCs w:val="28"/>
        </w:rPr>
        <w:t>3. Những tồn tại, hạn chế</w:t>
      </w:r>
    </w:p>
    <w:p w:rsidR="00E1468F" w:rsidRPr="008E0B11" w:rsidRDefault="004A6A32" w:rsidP="008E0B11">
      <w:pPr>
        <w:spacing w:before="120" w:line="320" w:lineRule="atLeast"/>
        <w:ind w:firstLine="500"/>
        <w:jc w:val="both"/>
        <w:rPr>
          <w:sz w:val="28"/>
          <w:szCs w:val="28"/>
        </w:rPr>
      </w:pPr>
      <w:r w:rsidRPr="008E0B11">
        <w:rPr>
          <w:b/>
          <w:bCs/>
          <w:i/>
          <w:iCs/>
          <w:sz w:val="28"/>
          <w:szCs w:val="28"/>
        </w:rPr>
        <w:t>a) Về phạm vi điều chỉnh và đối tượng được cấp mã số</w:t>
      </w:r>
    </w:p>
    <w:p w:rsidR="00E1468F" w:rsidRPr="008E0B11" w:rsidRDefault="004A6A32" w:rsidP="008E0B11">
      <w:pPr>
        <w:spacing w:before="120" w:line="320" w:lineRule="atLeast"/>
        <w:ind w:firstLine="500"/>
        <w:jc w:val="both"/>
        <w:rPr>
          <w:sz w:val="28"/>
          <w:szCs w:val="28"/>
        </w:rPr>
      </w:pPr>
      <w:r w:rsidRPr="008E0B11">
        <w:rPr>
          <w:sz w:val="28"/>
          <w:szCs w:val="28"/>
        </w:rPr>
        <w:t>- Chưa có quy định về cấp mã số ĐVQHNS cho nhiệm vụ chuẩn bị đầu tư, nhiệm vụ quy hoạch và dự án đầu tư theo phương thức đối tác công tư (PPP), trong khi đây là các đối tượng có sử dụng vốn ngân sách nhà nước và cần được theo dõi từ giai đoạn tiền đầu tư.</w:t>
      </w:r>
    </w:p>
    <w:p w:rsidR="00E1468F" w:rsidRPr="008E0B11" w:rsidRDefault="004A6A32" w:rsidP="008E0B11">
      <w:pPr>
        <w:spacing w:before="120" w:line="320" w:lineRule="atLeast"/>
        <w:ind w:firstLine="500"/>
        <w:jc w:val="both"/>
        <w:rPr>
          <w:sz w:val="28"/>
          <w:szCs w:val="28"/>
        </w:rPr>
      </w:pPr>
      <w:r w:rsidRPr="008E0B11">
        <w:rPr>
          <w:sz w:val="28"/>
          <w:szCs w:val="28"/>
        </w:rPr>
        <w:t>- Chưa quy định rõ điều kiện cấp mã số cho dự án đã được phê duyệt trong kế hoạch đầu tư công trung hạn 05 năm.</w:t>
      </w:r>
    </w:p>
    <w:p w:rsidR="00E1468F" w:rsidRPr="008E0B11" w:rsidRDefault="004A6A32" w:rsidP="008E0B11">
      <w:pPr>
        <w:spacing w:before="120" w:line="320" w:lineRule="atLeast"/>
        <w:ind w:firstLine="500"/>
        <w:jc w:val="both"/>
        <w:rPr>
          <w:sz w:val="28"/>
          <w:szCs w:val="28"/>
        </w:rPr>
      </w:pPr>
      <w:r w:rsidRPr="008E0B11">
        <w:rPr>
          <w:sz w:val="28"/>
          <w:szCs w:val="28"/>
        </w:rPr>
        <w:t xml:space="preserve">- Chưa quy định rõ thẩm quyền cấp mã số đối với dự án của Bộ, cơ quan trung ương sử dụng vốn ngân sách địa phương và dự án của Bộ, cơ quan trung </w:t>
      </w:r>
      <w:r w:rsidRPr="008E0B11">
        <w:rPr>
          <w:sz w:val="28"/>
          <w:szCs w:val="28"/>
        </w:rPr>
        <w:lastRenderedPageBreak/>
        <w:t>ương có dự án thành phần độc lập do địa phương thực hiện; thực tế phát sinh nhiều cách hiểu khác nhau giữa các địa phương.</w:t>
      </w:r>
    </w:p>
    <w:p w:rsidR="00E1468F" w:rsidRPr="008E0B11" w:rsidRDefault="004A6A32" w:rsidP="008E0B11">
      <w:pPr>
        <w:spacing w:before="120" w:line="320" w:lineRule="atLeast"/>
        <w:ind w:firstLine="500"/>
        <w:jc w:val="both"/>
        <w:rPr>
          <w:sz w:val="28"/>
          <w:szCs w:val="28"/>
        </w:rPr>
      </w:pPr>
      <w:r w:rsidRPr="008E0B11">
        <w:rPr>
          <w:sz w:val="28"/>
          <w:szCs w:val="28"/>
        </w:rPr>
        <w:t>- Quan hệ “mã số cha - mã số con” mới được thiết lập ở mức thuộc tính trên hệ thống, không có quy phạm ràng buộc. Thực tế phát sinh trường hợp mã số con được cấp trước mã số cha, hoặc người kê khai không biết mã số cha nên kê khai không chính xác hoặc không kê khai, dẫn đến dữ liệu quan hệ cha - con không đầy đủ.</w:t>
      </w:r>
    </w:p>
    <w:p w:rsidR="00E1468F" w:rsidRPr="008E0B11" w:rsidRDefault="004A6A32" w:rsidP="008E0B11">
      <w:pPr>
        <w:spacing w:before="120" w:line="320" w:lineRule="atLeast"/>
        <w:ind w:firstLine="500"/>
        <w:jc w:val="both"/>
        <w:rPr>
          <w:sz w:val="28"/>
          <w:szCs w:val="28"/>
        </w:rPr>
      </w:pPr>
      <w:r w:rsidRPr="008E0B11">
        <w:rPr>
          <w:b/>
          <w:bCs/>
          <w:i/>
          <w:iCs/>
          <w:sz w:val="28"/>
          <w:szCs w:val="28"/>
        </w:rPr>
        <w:t>b) Về hồ sơ và trình tự giải quyết</w:t>
      </w:r>
    </w:p>
    <w:p w:rsidR="00E1468F" w:rsidRPr="008E0B11" w:rsidRDefault="004A6A32" w:rsidP="008E0B11">
      <w:pPr>
        <w:spacing w:before="120" w:line="320" w:lineRule="atLeast"/>
        <w:ind w:firstLine="500"/>
        <w:jc w:val="both"/>
        <w:rPr>
          <w:sz w:val="28"/>
          <w:szCs w:val="28"/>
        </w:rPr>
      </w:pPr>
      <w:r w:rsidRPr="008E0B11">
        <w:rPr>
          <w:sz w:val="28"/>
          <w:szCs w:val="28"/>
        </w:rPr>
        <w:t>- Thời hạn cấp mã số (03 ngày làm việc đối với hình thức nộp trực tiếp, 02 ngày làm việc đối với hình thức trực tuyến) và thời hạn bổ sung hồ sơ (10 ngày làm việc) không còn phù hợp với yêu cầu rút ngắn thời gian giải quyết trong môi trường điện tử.</w:t>
      </w:r>
    </w:p>
    <w:p w:rsidR="00E1468F" w:rsidRPr="008E0B11" w:rsidRDefault="004A6A32" w:rsidP="008E0B11">
      <w:pPr>
        <w:spacing w:before="120" w:line="320" w:lineRule="atLeast"/>
        <w:ind w:firstLine="500"/>
        <w:jc w:val="both"/>
        <w:rPr>
          <w:sz w:val="28"/>
          <w:szCs w:val="28"/>
        </w:rPr>
      </w:pPr>
      <w:r w:rsidRPr="008E0B11">
        <w:rPr>
          <w:sz w:val="28"/>
          <w:szCs w:val="28"/>
        </w:rPr>
        <w:t>- Biểu mẫu tờ khai được thiết kế chung, chưa phân biệt theo loại hình dự án (ODA, đầu tư công khác, PPP) và theo loại nhiệm vụ, nên cơ quan tài chính thiếu căn cứ để phân loại và kiểm tra hồ sơ.</w:t>
      </w:r>
    </w:p>
    <w:p w:rsidR="00E1468F" w:rsidRPr="008E0B11" w:rsidRDefault="004A6A32" w:rsidP="008E0B11">
      <w:pPr>
        <w:spacing w:before="120" w:line="320" w:lineRule="atLeast"/>
        <w:ind w:firstLine="500"/>
        <w:jc w:val="both"/>
        <w:rPr>
          <w:sz w:val="28"/>
          <w:szCs w:val="28"/>
        </w:rPr>
      </w:pPr>
      <w:r w:rsidRPr="008E0B11">
        <w:rPr>
          <w:sz w:val="28"/>
          <w:szCs w:val="28"/>
        </w:rPr>
        <w:t>- Chưa có quy định về chuyển cơ quan quản lý mã số ĐVQHNS khi có thay đổi do sắp xếp tổ chức bộ máy, điều chỉnh phân cấp quản lý, chia tách, sáp nhập đơn vị hoặc khi mã số được cấp không đúng cơ quan tài chính có thẩm quyền.</w:t>
      </w:r>
    </w:p>
    <w:p w:rsidR="00E1468F" w:rsidRPr="008E0B11" w:rsidRDefault="004A6A32" w:rsidP="008E0B11">
      <w:pPr>
        <w:spacing w:before="120" w:line="320" w:lineRule="atLeast"/>
        <w:ind w:firstLine="500"/>
        <w:jc w:val="both"/>
        <w:rPr>
          <w:sz w:val="28"/>
          <w:szCs w:val="28"/>
        </w:rPr>
      </w:pPr>
      <w:r w:rsidRPr="008E0B11">
        <w:rPr>
          <w:sz w:val="28"/>
          <w:szCs w:val="28"/>
        </w:rPr>
        <w:t>- Thông tư còn quy định theo mô hình chính quyền địa phương 03 cấp (có cấp huyện), không còn phù hợp sau khi tổ chức chính quyền địa phương 02 cấp.</w:t>
      </w:r>
    </w:p>
    <w:p w:rsidR="00E1468F" w:rsidRPr="008E0B11" w:rsidRDefault="004A6A32" w:rsidP="008E0B11">
      <w:pPr>
        <w:spacing w:before="120" w:line="320" w:lineRule="atLeast"/>
        <w:ind w:firstLine="500"/>
        <w:jc w:val="both"/>
        <w:rPr>
          <w:sz w:val="28"/>
          <w:szCs w:val="28"/>
        </w:rPr>
      </w:pPr>
      <w:r w:rsidRPr="008E0B11">
        <w:rPr>
          <w:b/>
          <w:bCs/>
          <w:i/>
          <w:iCs/>
          <w:sz w:val="28"/>
          <w:szCs w:val="28"/>
        </w:rPr>
        <w:t>c) Về hạ tầng kỹ thuật và dịch vụ công trực tuyến</w:t>
      </w:r>
    </w:p>
    <w:p w:rsidR="00E1468F" w:rsidRPr="008E0B11" w:rsidRDefault="004A6A32" w:rsidP="008E0B11">
      <w:pPr>
        <w:spacing w:before="120" w:line="320" w:lineRule="atLeast"/>
        <w:ind w:firstLine="500"/>
        <w:jc w:val="both"/>
        <w:rPr>
          <w:sz w:val="28"/>
          <w:szCs w:val="28"/>
        </w:rPr>
      </w:pPr>
      <w:r w:rsidRPr="008E0B11">
        <w:rPr>
          <w:sz w:val="28"/>
          <w:szCs w:val="28"/>
        </w:rPr>
        <w:t>- Hệ thống thường quá tải; giới hạn ký tự của trường tên dự án không đủ cho các tên dự án dài; hạn chế dung lượng tệp đính kèm làm kéo dài thời gian xử lý; thông tin địa chỉ trên Giấy chứng nhận có trường hợp không khớp với hồ sơ đăng ký.</w:t>
      </w:r>
    </w:p>
    <w:p w:rsidR="00E1468F" w:rsidRPr="008E0B11" w:rsidRDefault="004A6A32" w:rsidP="008E0B11">
      <w:pPr>
        <w:spacing w:before="120" w:line="320" w:lineRule="atLeast"/>
        <w:ind w:firstLine="500"/>
        <w:jc w:val="both"/>
        <w:rPr>
          <w:sz w:val="28"/>
          <w:szCs w:val="28"/>
        </w:rPr>
      </w:pPr>
      <w:r w:rsidRPr="008E0B11">
        <w:rPr>
          <w:sz w:val="28"/>
          <w:szCs w:val="28"/>
        </w:rPr>
        <w:t>- Việc đồng bộ mã số từ hệ thống cấp mã sang TABMIS còn chậm và không ổn định.</w:t>
      </w:r>
    </w:p>
    <w:p w:rsidR="00E1468F" w:rsidRPr="008E0B11" w:rsidRDefault="004A6A32" w:rsidP="008E0B11">
      <w:pPr>
        <w:spacing w:before="120" w:line="320" w:lineRule="atLeast"/>
        <w:ind w:firstLine="500"/>
        <w:jc w:val="both"/>
        <w:rPr>
          <w:sz w:val="28"/>
          <w:szCs w:val="28"/>
        </w:rPr>
      </w:pPr>
      <w:r w:rsidRPr="008E0B11">
        <w:rPr>
          <w:sz w:val="28"/>
          <w:szCs w:val="28"/>
        </w:rPr>
        <w:t>- Hồ sơ nộp qua Cổng Dịch vụ công quốc gia bị chậm do hệ thống chưa liên kết trực tiếp với hệ thống cấp mã số của Bộ Tài chính; giới hạn dung lượng tệp đính kèm khiến đơn vị khó nộp đầy đủ thành phần hồ sơ, cơ quan tài chính thiếu thông tin kiểm tra và phải hỗ trợ thủ công.</w:t>
      </w:r>
    </w:p>
    <w:p w:rsidR="00E1468F" w:rsidRPr="008E0B11" w:rsidRDefault="004A6A32" w:rsidP="008E0B11">
      <w:pPr>
        <w:spacing w:before="120" w:line="320" w:lineRule="atLeast"/>
        <w:ind w:firstLine="500"/>
        <w:jc w:val="both"/>
        <w:rPr>
          <w:sz w:val="28"/>
          <w:szCs w:val="28"/>
        </w:rPr>
      </w:pPr>
      <w:r w:rsidRPr="008E0B11">
        <w:rPr>
          <w:sz w:val="28"/>
          <w:szCs w:val="28"/>
        </w:rPr>
        <w:t>- Hai hệ thống không thống nhất đơn vị tính thời hạn: Cổng Dịch vụ công quốc gia theo dõi đến giờ, phút trong khi quy trình cấp mã số tính theo ngày, nên hồ sơ gửi vào cuối giờ làm việc vẫn bị tính trọn 01 ngày, ảnh hưởng đến độ chính xác khi đánh giá tiến độ.</w:t>
      </w:r>
    </w:p>
    <w:p w:rsidR="00E1468F" w:rsidRPr="008E0B11" w:rsidRDefault="004A6A32" w:rsidP="008E0B11">
      <w:pPr>
        <w:spacing w:before="120" w:line="320" w:lineRule="atLeast"/>
        <w:ind w:firstLine="500"/>
        <w:jc w:val="both"/>
        <w:rPr>
          <w:sz w:val="28"/>
          <w:szCs w:val="28"/>
        </w:rPr>
      </w:pPr>
      <w:r w:rsidRPr="008E0B11">
        <w:rPr>
          <w:sz w:val="28"/>
          <w:szCs w:val="28"/>
        </w:rPr>
        <w:t>- Một hồ sơ dự án có hai mã hồ sơ khác nhau: mã 09 ký tự ở bước tiếp nhận và mã 07 ký tự ở bước xem xét, gây khó khăn cho công tác theo dõi.</w:t>
      </w:r>
    </w:p>
    <w:p w:rsidR="00E1468F" w:rsidRPr="008E0B11" w:rsidRDefault="004A6A32" w:rsidP="008E0B11">
      <w:pPr>
        <w:spacing w:before="120" w:line="320" w:lineRule="atLeast"/>
        <w:ind w:firstLine="500"/>
        <w:jc w:val="both"/>
        <w:rPr>
          <w:sz w:val="28"/>
          <w:szCs w:val="28"/>
        </w:rPr>
      </w:pPr>
      <w:r w:rsidRPr="008E0B11">
        <w:rPr>
          <w:sz w:val="28"/>
          <w:szCs w:val="28"/>
        </w:rPr>
        <w:lastRenderedPageBreak/>
        <w:t>- Hệ thống chưa lưu vết đầy đủ các mốc xử lý (ngày đăng ký, ngày tiếp nhận, ngày từ chối, ngày tiếp nhận lại), mới hiển thị ngày đăng ký và ngày phê duyệt cấp mã số.</w:t>
      </w:r>
    </w:p>
    <w:p w:rsidR="00E1468F" w:rsidRPr="008E0B11" w:rsidRDefault="004A6A32" w:rsidP="008E0B11">
      <w:pPr>
        <w:spacing w:before="120" w:line="320" w:lineRule="atLeast"/>
        <w:ind w:firstLine="500"/>
        <w:jc w:val="both"/>
        <w:rPr>
          <w:sz w:val="28"/>
          <w:szCs w:val="28"/>
        </w:rPr>
      </w:pPr>
      <w:r w:rsidRPr="008E0B11">
        <w:rPr>
          <w:b/>
          <w:bCs/>
          <w:i/>
          <w:iCs/>
          <w:sz w:val="28"/>
          <w:szCs w:val="28"/>
        </w:rPr>
        <w:t>d) Về chế độ báo cáo</w:t>
      </w:r>
    </w:p>
    <w:p w:rsidR="00E1468F" w:rsidRPr="008E0B11" w:rsidRDefault="004A6A32" w:rsidP="008E0B11">
      <w:pPr>
        <w:spacing w:before="120" w:line="320" w:lineRule="atLeast"/>
        <w:ind w:firstLine="500"/>
        <w:jc w:val="both"/>
        <w:rPr>
          <w:sz w:val="28"/>
          <w:szCs w:val="28"/>
        </w:rPr>
      </w:pPr>
      <w:r w:rsidRPr="008E0B11">
        <w:rPr>
          <w:sz w:val="28"/>
          <w:szCs w:val="28"/>
        </w:rPr>
        <w:t>Phần mềm cấp mã số mới cung cấp được tổng số mã số đã cấp, ngày đăng ký và ngày cấp mã số; chưa kết xuất được số liệu theo tiêu chí quản lý như số mã số đã cấp đúng hạn và quá hạn, số hồ sơ chưa cấp mã số trong hạn và quá hạn.</w:t>
      </w:r>
    </w:p>
    <w:p w:rsidR="00E1468F" w:rsidRPr="008E0B11" w:rsidRDefault="004A6A32" w:rsidP="008E0B11">
      <w:pPr>
        <w:spacing w:before="120" w:line="320" w:lineRule="atLeast"/>
        <w:ind w:firstLine="500"/>
        <w:jc w:val="both"/>
        <w:rPr>
          <w:sz w:val="28"/>
          <w:szCs w:val="28"/>
        </w:rPr>
      </w:pPr>
      <w:r w:rsidRPr="008E0B11">
        <w:rPr>
          <w:b/>
          <w:bCs/>
          <w:i/>
          <w:iCs/>
          <w:sz w:val="28"/>
          <w:szCs w:val="28"/>
        </w:rPr>
        <w:t>đ) Về định danh và xác thực điện tử</w:t>
      </w:r>
    </w:p>
    <w:p w:rsidR="00E1468F" w:rsidRPr="008E0B11" w:rsidRDefault="004A6A32" w:rsidP="008E0B11">
      <w:pPr>
        <w:spacing w:before="120" w:line="320" w:lineRule="atLeast"/>
        <w:ind w:firstLine="500"/>
        <w:jc w:val="both"/>
        <w:rPr>
          <w:sz w:val="28"/>
          <w:szCs w:val="28"/>
        </w:rPr>
      </w:pPr>
      <w:r w:rsidRPr="008E0B11">
        <w:rPr>
          <w:sz w:val="28"/>
          <w:szCs w:val="28"/>
        </w:rPr>
        <w:t>Chưa tích hợp tài khoản định danh điện tử (VNeID) trong giao dịch trực tuyến, gây bất tiện cho người đại diện của đơn vị khi nộp và tra cứu hồ sơ, đồng thời chưa khai thác được dữ liệu đã được xác thực.</w:t>
      </w:r>
    </w:p>
    <w:p w:rsidR="00E1468F" w:rsidRPr="008E0B11" w:rsidRDefault="004A6A32" w:rsidP="000B627B">
      <w:pPr>
        <w:spacing w:before="120" w:line="320" w:lineRule="atLeast"/>
        <w:ind w:firstLine="500"/>
        <w:jc w:val="both"/>
        <w:rPr>
          <w:sz w:val="28"/>
          <w:szCs w:val="28"/>
        </w:rPr>
      </w:pPr>
      <w:r w:rsidRPr="008E0B11">
        <w:rPr>
          <w:b/>
          <w:bCs/>
          <w:sz w:val="28"/>
          <w:szCs w:val="28"/>
        </w:rPr>
        <w:t>4. Nguyên nhân</w:t>
      </w:r>
    </w:p>
    <w:p w:rsidR="00E1468F" w:rsidRPr="008E0B11" w:rsidRDefault="004A6A32" w:rsidP="008E0B11">
      <w:pPr>
        <w:spacing w:before="120" w:line="320" w:lineRule="atLeast"/>
        <w:ind w:firstLine="500"/>
        <w:jc w:val="both"/>
        <w:rPr>
          <w:sz w:val="28"/>
          <w:szCs w:val="28"/>
        </w:rPr>
      </w:pPr>
      <w:r w:rsidRPr="008E0B11">
        <w:rPr>
          <w:sz w:val="28"/>
          <w:szCs w:val="28"/>
        </w:rPr>
        <w:t>a) Nguyên nhân khách quan: căn cứ pháp lý của Thông tư số 185/2015/TT-BTC đã thay đổi căn bản. Luật Đầu tư công số 58/2024/QH15 và Luật Ngân sách nhà nước số 89/2025/QH15 thay đổi nhiều nội dung quản lý ngân sách liên quan đến dự án đầu tư nguồn ngân sách nhà nước và chi thường xuyên của các đơn vị có quan hệ với ngân sách. Luật Quy hoạch và Nghị quyết số 69/NQ-CP ngày 13/9/2019 của Chính phủ đặt ra yêu cầu quản lý, thanh toán vốn đầu tư công bố trí cho việc lập, thẩm định, phê duyệt và điều chỉnh quy hoạch. Luật Giao dịch điện tử số 20/2023/QH15, Luật Dữ liệu số 60/2024/QH15 và pháp luật về định danh, xác thực điện tử đặt ra yêu cầu mới về giá trị pháp lý của hồ sơ điện tử, kết nối và chia sẻ dữ liệu. Việc sắp xếp tổ chức bộ máy và tổ chức chính quyền địa phương 02 cấp làm thay đổi chủ thể thực hiện ở nhiều quy định.</w:t>
      </w:r>
    </w:p>
    <w:p w:rsidR="00E1468F" w:rsidRPr="008E0B11" w:rsidRDefault="004A6A32" w:rsidP="008E0B11">
      <w:pPr>
        <w:spacing w:before="120" w:line="320" w:lineRule="atLeast"/>
        <w:ind w:firstLine="500"/>
        <w:jc w:val="both"/>
        <w:rPr>
          <w:sz w:val="28"/>
          <w:szCs w:val="28"/>
        </w:rPr>
      </w:pPr>
      <w:r w:rsidRPr="008E0B11">
        <w:rPr>
          <w:sz w:val="28"/>
          <w:szCs w:val="28"/>
        </w:rPr>
        <w:t>b) Nguyên nhân chủ quan: ứng dụng cấp mã số được xây dựng theo mô hình phần mềm nghiệp vụ riêng lẻ, chưa được thiết kế như một nền tảng số có khả năng kết nối, chia sẻ dữ liệu với các hệ thống thông tin, cơ sở dữ liệu quốc gia; do đó chưa đáp ứng được yêu cầu kế thừa dữ liệu, lưu vết, báo cáo và xác thực điện tử.</w:t>
      </w:r>
    </w:p>
    <w:p w:rsidR="00E1468F" w:rsidRPr="008E0B11" w:rsidRDefault="004A6A32" w:rsidP="000B627B">
      <w:pPr>
        <w:spacing w:before="120" w:line="320" w:lineRule="atLeast"/>
        <w:ind w:firstLine="500"/>
        <w:jc w:val="both"/>
        <w:rPr>
          <w:sz w:val="28"/>
          <w:szCs w:val="28"/>
        </w:rPr>
      </w:pPr>
      <w:r w:rsidRPr="008E0B11">
        <w:rPr>
          <w:b/>
          <w:bCs/>
          <w:sz w:val="28"/>
          <w:szCs w:val="28"/>
        </w:rPr>
        <w:t>III. SỰ CẦN THIẾT BAN HÀNH THÔNG TƯ THAY THẾ</w:t>
      </w:r>
    </w:p>
    <w:p w:rsidR="00E1468F" w:rsidRPr="008E0B11" w:rsidRDefault="004A6A32" w:rsidP="008E0B11">
      <w:pPr>
        <w:spacing w:before="120" w:line="320" w:lineRule="atLeast"/>
        <w:ind w:firstLine="500"/>
        <w:jc w:val="both"/>
        <w:rPr>
          <w:sz w:val="28"/>
          <w:szCs w:val="28"/>
        </w:rPr>
      </w:pPr>
      <w:r w:rsidRPr="008E0B11">
        <w:rPr>
          <w:sz w:val="28"/>
          <w:szCs w:val="28"/>
        </w:rPr>
        <w:t>Từ kết quả tổng kết nêu trên, việc ban hành Thông tư thay thế Thông tư số 185/2015/TT-BTC là cần thiết, nhằm giải quyết các yêu cầu sau:</w:t>
      </w:r>
    </w:p>
    <w:p w:rsidR="00E1468F" w:rsidRPr="008E0B11" w:rsidRDefault="004A6A32" w:rsidP="008E0B11">
      <w:pPr>
        <w:spacing w:before="120" w:line="320" w:lineRule="atLeast"/>
        <w:ind w:firstLine="500"/>
        <w:jc w:val="both"/>
        <w:rPr>
          <w:sz w:val="28"/>
          <w:szCs w:val="28"/>
        </w:rPr>
      </w:pPr>
      <w:r w:rsidRPr="008E0B11">
        <w:rPr>
          <w:sz w:val="28"/>
          <w:szCs w:val="28"/>
        </w:rPr>
        <w:t>1. Cập nhật đối tượng áp dụng phù hợp với khoản 4 Điều 4 Luật Đầu tư công, bao gồm doanh nghiệp nhà nước, cơ quan, tổ chức và doanh nghiệp khác được cơ quan nhà nước có thẩm quyền giao bằng văn bản thực hiện nhiệm vụ, dự án đầu tư công; bổ sung nhiệm vụ chuẩn bị đầu tư, nhiệm vụ quy hoạch và dự án PPP vào phạm vi được cấp mã số.</w:t>
      </w:r>
    </w:p>
    <w:p w:rsidR="00E1468F" w:rsidRPr="008E0B11" w:rsidRDefault="004A6A32" w:rsidP="008E0B11">
      <w:pPr>
        <w:spacing w:before="120" w:line="320" w:lineRule="atLeast"/>
        <w:ind w:firstLine="500"/>
        <w:jc w:val="both"/>
        <w:rPr>
          <w:sz w:val="28"/>
          <w:szCs w:val="28"/>
        </w:rPr>
      </w:pPr>
      <w:r w:rsidRPr="008E0B11">
        <w:rPr>
          <w:sz w:val="28"/>
          <w:szCs w:val="28"/>
        </w:rPr>
        <w:t xml:space="preserve">2. Xác định rõ thẩm quyền cấp mã số ĐVQHNS cho nhiệm vụ, dự án đầu tư, kể cả các trường hợp đặc thù: dự án của Bộ, cơ quan trung ương sử dụng vốn </w:t>
      </w:r>
      <w:r w:rsidRPr="008E0B11">
        <w:rPr>
          <w:sz w:val="28"/>
          <w:szCs w:val="28"/>
        </w:rPr>
        <w:lastRenderedPageBreak/>
        <w:t>ngân sách địa phương; dự án có dự án thành phần độc lập do địa phương thực hiện; dự án có nhiều dự án thành phần, tiểu dự án.</w:t>
      </w:r>
    </w:p>
    <w:p w:rsidR="00E1468F" w:rsidRPr="008E0B11" w:rsidRDefault="004A6A32" w:rsidP="008E0B11">
      <w:pPr>
        <w:spacing w:before="120" w:line="320" w:lineRule="atLeast"/>
        <w:ind w:firstLine="500"/>
        <w:jc w:val="both"/>
        <w:rPr>
          <w:sz w:val="28"/>
          <w:szCs w:val="28"/>
        </w:rPr>
      </w:pPr>
      <w:r w:rsidRPr="008E0B11">
        <w:rPr>
          <w:sz w:val="28"/>
          <w:szCs w:val="28"/>
        </w:rPr>
        <w:t>3. Thiết lập quan hệ mã số ĐVQHNS cha - con bằng quy phạm, làm cơ sở tổng hợp, theo dõi và báo cáo số liệu đầu tư công chính xác, tránh trùng lặp.</w:t>
      </w:r>
    </w:p>
    <w:p w:rsidR="00E1468F" w:rsidRPr="008E0B11" w:rsidRDefault="004A6A32" w:rsidP="008E0B11">
      <w:pPr>
        <w:spacing w:before="120" w:line="320" w:lineRule="atLeast"/>
        <w:ind w:firstLine="500"/>
        <w:jc w:val="both"/>
        <w:rPr>
          <w:sz w:val="28"/>
          <w:szCs w:val="28"/>
        </w:rPr>
      </w:pPr>
      <w:r w:rsidRPr="008E0B11">
        <w:rPr>
          <w:sz w:val="28"/>
          <w:szCs w:val="28"/>
        </w:rPr>
        <w:t>4. Bổ sung quy định về chuyển cơ quan quản lý mã số ĐVQHNS khi sắp xếp tổ chức bộ máy, điều chỉnh phân cấp quản lý, chia tách, sáp nhập đơn vị, hoặc khi mã số được cấp không đúng cơ quan tài chính có thẩm quyền; bổ sung quy định cấp mã số cho dự án đầu tư được phê duyệt sau khi nhiệm vụ chuẩn bị đầu tư kết thúc.</w:t>
      </w:r>
    </w:p>
    <w:p w:rsidR="00E1468F" w:rsidRPr="008E0B11" w:rsidRDefault="004A6A32" w:rsidP="008E0B11">
      <w:pPr>
        <w:spacing w:before="120" w:line="320" w:lineRule="atLeast"/>
        <w:ind w:firstLine="500"/>
        <w:jc w:val="both"/>
        <w:rPr>
          <w:sz w:val="28"/>
          <w:szCs w:val="28"/>
        </w:rPr>
      </w:pPr>
      <w:r w:rsidRPr="008E0B11">
        <w:rPr>
          <w:sz w:val="28"/>
          <w:szCs w:val="28"/>
        </w:rPr>
        <w:t>5. Rà soát, bãi bỏ các quy định gắn với cấp huyện và xử lý các vướng mắc phát sinh khi tổ chức chính quyền địa phương 02 cấp.</w:t>
      </w:r>
    </w:p>
    <w:p w:rsidR="00E1468F" w:rsidRPr="008E0B11" w:rsidRDefault="004A6A32" w:rsidP="008E0B11">
      <w:pPr>
        <w:spacing w:before="120" w:line="320" w:lineRule="atLeast"/>
        <w:ind w:firstLine="500"/>
        <w:jc w:val="both"/>
        <w:rPr>
          <w:sz w:val="28"/>
          <w:szCs w:val="28"/>
        </w:rPr>
      </w:pPr>
      <w:r w:rsidRPr="008E0B11">
        <w:rPr>
          <w:sz w:val="28"/>
          <w:szCs w:val="28"/>
        </w:rPr>
        <w:t>6. Rút ngắn thời hạn giải quyết: thời hạn cấp mã số theo phương thức trực tuyến từ 02 ngày xuống 01 ngày làm việc, theo phương thức trực tiếp từ 03 ngày xuống 02 ngày làm việc; thời hạn bổ sung hồ sơ từ 10 ngày làm việc xuống 03 ngày làm việc.</w:t>
      </w:r>
    </w:p>
    <w:p w:rsidR="00E1468F" w:rsidRPr="008E0B11" w:rsidRDefault="004A6A32" w:rsidP="008E0B11">
      <w:pPr>
        <w:spacing w:before="120" w:line="320" w:lineRule="atLeast"/>
        <w:ind w:firstLine="500"/>
        <w:jc w:val="both"/>
        <w:rPr>
          <w:sz w:val="28"/>
          <w:szCs w:val="28"/>
        </w:rPr>
      </w:pPr>
      <w:r w:rsidRPr="008E0B11">
        <w:rPr>
          <w:sz w:val="28"/>
          <w:szCs w:val="28"/>
        </w:rPr>
        <w:t>7. Chuyển ứng dụng cấp mã số thành Nền tảng số cấp mã số ĐVQHNS, cho phép đăng nhập bằng tài khoản định danh điện tử, kế thừa dữ liệu từ các hệ thống thông tin và cơ sở dữ liệu quốc gia, lưu vết toàn bộ quá trình xử lý, và xác lập giá trị pháp lý của hồ sơ điện tử; bổ sung các quy định về quản trị, an toàn và bảo mật hệ thống.</w:t>
      </w:r>
    </w:p>
    <w:p w:rsidR="00E1468F" w:rsidRPr="008E0B11" w:rsidRDefault="004A6A32" w:rsidP="008E0B11">
      <w:pPr>
        <w:spacing w:before="120" w:line="320" w:lineRule="atLeast"/>
        <w:ind w:firstLine="500"/>
        <w:jc w:val="both"/>
        <w:rPr>
          <w:sz w:val="28"/>
          <w:szCs w:val="28"/>
        </w:rPr>
      </w:pPr>
      <w:r w:rsidRPr="008E0B11">
        <w:rPr>
          <w:sz w:val="28"/>
          <w:szCs w:val="28"/>
        </w:rPr>
        <w:t>8. Chuẩn hóa hệ thống biểu mẫu theo từng loại hình nhiệm vụ, dự án đầu tư; bổ sung mẫu tờ khai cho nhiệm vụ chuẩn bị đầu tư, nhiệm vụ quy hoạch, dự án ODA, dự án PPP và dự án đầu tư công khác.</w:t>
      </w:r>
    </w:p>
    <w:p w:rsidR="00E1468F" w:rsidRPr="008E0B11" w:rsidRDefault="004A6A32" w:rsidP="008E0B11">
      <w:pPr>
        <w:spacing w:before="120" w:line="320" w:lineRule="atLeast"/>
        <w:ind w:firstLine="500"/>
        <w:jc w:val="both"/>
        <w:rPr>
          <w:sz w:val="28"/>
          <w:szCs w:val="28"/>
        </w:rPr>
      </w:pPr>
      <w:r w:rsidRPr="008E0B11">
        <w:rPr>
          <w:sz w:val="28"/>
          <w:szCs w:val="28"/>
        </w:rPr>
        <w:t>9. Cập nhật tên cơ quan thực hiện cấp mã số ở Trung ương từ Cục Tin học và Thống kê tài chính thành Cục Công nghệ thông tin và chuyển đổi số, phù hợp với cơ cấu tổ chức mới của Bộ Tài chính.</w:t>
      </w:r>
    </w:p>
    <w:p w:rsidR="00E1468F" w:rsidRPr="008E0B11" w:rsidRDefault="004A6A32" w:rsidP="000B627B">
      <w:pPr>
        <w:spacing w:before="120" w:line="320" w:lineRule="atLeast"/>
        <w:ind w:firstLine="500"/>
        <w:jc w:val="both"/>
        <w:rPr>
          <w:sz w:val="28"/>
          <w:szCs w:val="28"/>
        </w:rPr>
      </w:pPr>
      <w:r w:rsidRPr="008E0B11">
        <w:rPr>
          <w:b/>
          <w:bCs/>
          <w:sz w:val="28"/>
          <w:szCs w:val="28"/>
        </w:rPr>
        <w:t>IV. QUAN ĐIỂM XÂY DỰNG THÔNG TƯ THAY THẾ</w:t>
      </w:r>
    </w:p>
    <w:p w:rsidR="00E1468F" w:rsidRPr="008E0B11" w:rsidRDefault="004A6A32" w:rsidP="008E0B11">
      <w:pPr>
        <w:spacing w:before="120" w:line="320" w:lineRule="atLeast"/>
        <w:ind w:firstLine="500"/>
        <w:jc w:val="both"/>
        <w:rPr>
          <w:sz w:val="28"/>
          <w:szCs w:val="28"/>
        </w:rPr>
      </w:pPr>
      <w:r w:rsidRPr="008E0B11">
        <w:rPr>
          <w:b/>
          <w:bCs/>
          <w:sz w:val="28"/>
          <w:szCs w:val="28"/>
        </w:rPr>
        <w:t xml:space="preserve">1. Bảo đảm tính đồng bộ, khoa học và hệ thống. </w:t>
      </w:r>
      <w:r w:rsidRPr="008E0B11">
        <w:rPr>
          <w:sz w:val="28"/>
          <w:szCs w:val="28"/>
        </w:rPr>
        <w:t>Thông tư được xây dựng trên khung khổ pháp lý thống nhất, không chồng chéo với pháp luật về ngân sách nhà nước, đầu tư công, kế toán, giao dịch điện tử và quản lý, kết nối dữ liệu; các nội dung được thiết kế theo trình tự nghiệp vụ, phù hợp với thực tiễn quản lý tài chính công từ Trung ương đến địa phương.</w:t>
      </w:r>
    </w:p>
    <w:p w:rsidR="00E1468F" w:rsidRPr="008E0B11" w:rsidRDefault="004A6A32" w:rsidP="008E0B11">
      <w:pPr>
        <w:spacing w:before="120" w:line="320" w:lineRule="atLeast"/>
        <w:ind w:firstLine="500"/>
        <w:jc w:val="both"/>
        <w:rPr>
          <w:sz w:val="28"/>
          <w:szCs w:val="28"/>
        </w:rPr>
      </w:pPr>
      <w:r w:rsidRPr="008E0B11">
        <w:rPr>
          <w:b/>
          <w:bCs/>
          <w:sz w:val="28"/>
          <w:szCs w:val="28"/>
        </w:rPr>
        <w:t xml:space="preserve">2. Cắt giảm thành phần hồ sơ và đẩy mạnh phân cấp, phân quyền. </w:t>
      </w:r>
      <w:r w:rsidRPr="008E0B11">
        <w:rPr>
          <w:sz w:val="28"/>
          <w:szCs w:val="28"/>
        </w:rPr>
        <w:t>Các quy định phản ánh đúng bản chất giao dịch giữa các cơ quan nhà nước; cắt giảm triệt để thành phần hồ sơ, giảm thời gian và chi phí cho cơ quan, đơn vị; đồng thời bảo đảm tính khả thi, phù hợp với năng lực hạ tầng công nghệ thông tin tại các bộ, ngành, địa phương.</w:t>
      </w:r>
    </w:p>
    <w:p w:rsidR="00E1468F" w:rsidRPr="008E0B11" w:rsidRDefault="004A6A32" w:rsidP="008E0B11">
      <w:pPr>
        <w:spacing w:before="120" w:line="320" w:lineRule="atLeast"/>
        <w:ind w:firstLine="500"/>
        <w:jc w:val="both"/>
        <w:rPr>
          <w:sz w:val="28"/>
          <w:szCs w:val="28"/>
        </w:rPr>
      </w:pPr>
      <w:r w:rsidRPr="008E0B11">
        <w:rPr>
          <w:b/>
          <w:bCs/>
          <w:sz w:val="28"/>
          <w:szCs w:val="28"/>
        </w:rPr>
        <w:t xml:space="preserve">3. Kế thừa, phát triển và đáp ứng yêu cầu chuyển đổi số. </w:t>
      </w:r>
      <w:r w:rsidRPr="008E0B11">
        <w:rPr>
          <w:sz w:val="28"/>
          <w:szCs w:val="28"/>
        </w:rPr>
        <w:t xml:space="preserve">Thông tư kế thừa các nội dung cốt lõi còn phù hợp của Thông tư số 185/2015/TT-BTC (cấu trúc mã số, nguyên tắc một mã số duy nhất, phân định thẩm quyền cấp mã số), </w:t>
      </w:r>
      <w:r w:rsidRPr="008E0B11">
        <w:rPr>
          <w:sz w:val="28"/>
          <w:szCs w:val="28"/>
        </w:rPr>
        <w:lastRenderedPageBreak/>
        <w:t>đồng thời cập nhật toàn diện các yêu cầu về số hóa, chữ ký số, định danh và xác thực điện tử, an toàn thông tin mạng và quản trị dữ liệu.</w:t>
      </w:r>
    </w:p>
    <w:p w:rsidR="00E1468F" w:rsidRPr="008E0B11" w:rsidRDefault="004A6A32" w:rsidP="008E0B11">
      <w:pPr>
        <w:spacing w:before="120" w:line="320" w:lineRule="atLeast"/>
        <w:ind w:firstLine="500"/>
        <w:jc w:val="both"/>
        <w:rPr>
          <w:sz w:val="28"/>
          <w:szCs w:val="28"/>
        </w:rPr>
      </w:pPr>
      <w:r w:rsidRPr="008E0B11">
        <w:rPr>
          <w:b/>
          <w:bCs/>
          <w:sz w:val="28"/>
          <w:szCs w:val="28"/>
        </w:rPr>
        <w:t xml:space="preserve">4. Quy định theo kết quả thực hiện, không phụ thuộc hình thức thủ tục. </w:t>
      </w:r>
      <w:r w:rsidRPr="008E0B11">
        <w:rPr>
          <w:sz w:val="28"/>
          <w:szCs w:val="28"/>
        </w:rPr>
        <w:t>Các quy định của Thông tư xác định rõ nghĩa vụ, thời hạn và kết quả phải đạt được của từng chủ thể, bảo đảm Thông tư vận hành ổn định và không phải sửa đổi khi có thay đổi về cách thức tổ chức thực hiện.</w:t>
      </w:r>
    </w:p>
    <w:p w:rsidR="00E1468F" w:rsidRPr="008E0B11" w:rsidRDefault="004A6A32" w:rsidP="000B627B">
      <w:pPr>
        <w:spacing w:before="120" w:line="320" w:lineRule="atLeast"/>
        <w:ind w:firstLine="500"/>
        <w:jc w:val="both"/>
        <w:rPr>
          <w:sz w:val="28"/>
          <w:szCs w:val="28"/>
        </w:rPr>
      </w:pPr>
      <w:r w:rsidRPr="008E0B11">
        <w:rPr>
          <w:b/>
          <w:bCs/>
          <w:sz w:val="28"/>
          <w:szCs w:val="28"/>
        </w:rPr>
        <w:t>V. BỐ CỤC VÀ NHỮNG NỘI DUNG MỚI CỦA DỰ THẢO THÔNG TƯ</w:t>
      </w:r>
    </w:p>
    <w:p w:rsidR="00E1468F" w:rsidRPr="008E0B11" w:rsidRDefault="004A6A32" w:rsidP="000B627B">
      <w:pPr>
        <w:spacing w:before="120" w:line="320" w:lineRule="atLeast"/>
        <w:ind w:firstLine="500"/>
        <w:jc w:val="both"/>
        <w:rPr>
          <w:sz w:val="28"/>
          <w:szCs w:val="28"/>
        </w:rPr>
      </w:pPr>
      <w:r w:rsidRPr="008E0B11">
        <w:rPr>
          <w:b/>
          <w:bCs/>
          <w:sz w:val="28"/>
          <w:szCs w:val="28"/>
        </w:rPr>
        <w:t>1. Bố cục</w:t>
      </w:r>
    </w:p>
    <w:p w:rsidR="00E1468F" w:rsidRPr="008E0B11" w:rsidRDefault="004A6A32" w:rsidP="00781CA8">
      <w:pPr>
        <w:spacing w:before="120" w:after="120" w:line="320" w:lineRule="atLeast"/>
        <w:ind w:firstLine="500"/>
        <w:jc w:val="both"/>
        <w:rPr>
          <w:sz w:val="28"/>
          <w:szCs w:val="28"/>
        </w:rPr>
      </w:pPr>
      <w:r w:rsidRPr="008E0B11">
        <w:rPr>
          <w:sz w:val="28"/>
          <w:szCs w:val="28"/>
        </w:rPr>
        <w:t>Dự thảo Thông tư gồm 05 Chương, 26 Điều và Phụ lục biểu mẫu kèm theo, cụ thể:</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157"/>
        <w:gridCol w:w="6068"/>
        <w:gridCol w:w="2275"/>
      </w:tblGrid>
      <w:tr w:rsidR="00E1468F" w:rsidRPr="008E0B11" w:rsidTr="00781CA8">
        <w:trPr>
          <w:tblHeader/>
        </w:trPr>
        <w:tc>
          <w:tcPr>
            <w:tcW w:w="1157"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b/>
                <w:bCs/>
                <w:sz w:val="28"/>
                <w:szCs w:val="28"/>
              </w:rPr>
              <w:t>Chương</w:t>
            </w:r>
          </w:p>
        </w:tc>
        <w:tc>
          <w:tcPr>
            <w:tcW w:w="6068" w:type="dxa"/>
            <w:shd w:val="clear" w:color="auto" w:fill="auto"/>
            <w:tcMar>
              <w:top w:w="70" w:type="dxa"/>
              <w:left w:w="90" w:type="dxa"/>
              <w:bottom w:w="70" w:type="dxa"/>
              <w:right w:w="90" w:type="dxa"/>
            </w:tcMar>
          </w:tcPr>
          <w:p w:rsidR="00E1468F" w:rsidRPr="008E0B11" w:rsidRDefault="004A6A32" w:rsidP="008E0B11">
            <w:pPr>
              <w:spacing w:before="120" w:line="320" w:lineRule="atLeast"/>
              <w:jc w:val="both"/>
              <w:rPr>
                <w:sz w:val="28"/>
                <w:szCs w:val="28"/>
              </w:rPr>
            </w:pPr>
            <w:r w:rsidRPr="008E0B11">
              <w:rPr>
                <w:b/>
                <w:bCs/>
                <w:sz w:val="28"/>
                <w:szCs w:val="28"/>
              </w:rPr>
              <w:t>Tên chương</w:t>
            </w:r>
          </w:p>
        </w:tc>
        <w:tc>
          <w:tcPr>
            <w:tcW w:w="2275"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b/>
                <w:bCs/>
                <w:sz w:val="28"/>
                <w:szCs w:val="28"/>
              </w:rPr>
              <w:t>Phạm vi điều</w:t>
            </w:r>
          </w:p>
        </w:tc>
      </w:tr>
      <w:tr w:rsidR="00E1468F" w:rsidRPr="008E0B11" w:rsidTr="00781CA8">
        <w:tc>
          <w:tcPr>
            <w:tcW w:w="1157"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I</w:t>
            </w:r>
          </w:p>
        </w:tc>
        <w:tc>
          <w:tcPr>
            <w:tcW w:w="6068" w:type="dxa"/>
            <w:shd w:val="clear" w:color="auto" w:fill="auto"/>
            <w:tcMar>
              <w:top w:w="70" w:type="dxa"/>
              <w:left w:w="90" w:type="dxa"/>
              <w:bottom w:w="70" w:type="dxa"/>
              <w:right w:w="90" w:type="dxa"/>
            </w:tcMar>
          </w:tcPr>
          <w:p w:rsidR="00E1468F" w:rsidRPr="008E0B11" w:rsidRDefault="004A6A32" w:rsidP="008E0B11">
            <w:pPr>
              <w:spacing w:before="120" w:line="320" w:lineRule="atLeast"/>
              <w:jc w:val="both"/>
              <w:rPr>
                <w:sz w:val="28"/>
                <w:szCs w:val="28"/>
              </w:rPr>
            </w:pPr>
            <w:r w:rsidRPr="008E0B11">
              <w:rPr>
                <w:sz w:val="28"/>
                <w:szCs w:val="28"/>
              </w:rPr>
              <w:t>Quy định chung</w:t>
            </w:r>
          </w:p>
        </w:tc>
        <w:tc>
          <w:tcPr>
            <w:tcW w:w="2275"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Điều 1 - Điều 7</w:t>
            </w:r>
          </w:p>
        </w:tc>
      </w:tr>
      <w:tr w:rsidR="00E1468F" w:rsidRPr="008E0B11" w:rsidTr="00781CA8">
        <w:tc>
          <w:tcPr>
            <w:tcW w:w="1157"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II</w:t>
            </w:r>
          </w:p>
        </w:tc>
        <w:tc>
          <w:tcPr>
            <w:tcW w:w="6068" w:type="dxa"/>
            <w:shd w:val="clear" w:color="auto" w:fill="auto"/>
            <w:tcMar>
              <w:top w:w="70" w:type="dxa"/>
              <w:left w:w="90" w:type="dxa"/>
              <w:bottom w:w="70" w:type="dxa"/>
              <w:right w:w="90" w:type="dxa"/>
            </w:tcMar>
          </w:tcPr>
          <w:p w:rsidR="00E1468F" w:rsidRPr="008E0B11" w:rsidRDefault="004A6A32" w:rsidP="008E0B11">
            <w:pPr>
              <w:spacing w:before="120" w:line="320" w:lineRule="atLeast"/>
              <w:jc w:val="both"/>
              <w:rPr>
                <w:sz w:val="28"/>
                <w:szCs w:val="28"/>
              </w:rPr>
            </w:pPr>
            <w:r w:rsidRPr="008E0B11">
              <w:rPr>
                <w:sz w:val="28"/>
                <w:szCs w:val="28"/>
              </w:rPr>
              <w:t>Hồ sơ, trình tự, thủ tục đăng ký, cấp và quản lý mã số đơn vị có quan hệ với ngân sách</w:t>
            </w:r>
          </w:p>
        </w:tc>
        <w:tc>
          <w:tcPr>
            <w:tcW w:w="2275"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Điều 8 - Điều 15</w:t>
            </w:r>
          </w:p>
        </w:tc>
      </w:tr>
      <w:tr w:rsidR="00E1468F" w:rsidRPr="008E0B11" w:rsidTr="00781CA8">
        <w:tc>
          <w:tcPr>
            <w:tcW w:w="1157"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III</w:t>
            </w:r>
          </w:p>
        </w:tc>
        <w:tc>
          <w:tcPr>
            <w:tcW w:w="6068" w:type="dxa"/>
            <w:shd w:val="clear" w:color="auto" w:fill="auto"/>
            <w:tcMar>
              <w:top w:w="70" w:type="dxa"/>
              <w:left w:w="90" w:type="dxa"/>
              <w:bottom w:w="70" w:type="dxa"/>
              <w:right w:w="90" w:type="dxa"/>
            </w:tcMar>
          </w:tcPr>
          <w:p w:rsidR="00E1468F" w:rsidRPr="008E0B11" w:rsidRDefault="004A6A32" w:rsidP="008E0B11">
            <w:pPr>
              <w:spacing w:before="120" w:line="320" w:lineRule="atLeast"/>
              <w:jc w:val="both"/>
              <w:rPr>
                <w:sz w:val="28"/>
                <w:szCs w:val="28"/>
              </w:rPr>
            </w:pPr>
            <w:r w:rsidRPr="008E0B11">
              <w:rPr>
                <w:sz w:val="28"/>
                <w:szCs w:val="28"/>
              </w:rPr>
              <w:t>Đăng ký mã số đơn vị có quan hệ với ngân sách qua Nền tảng số cấp mã số ĐVQHNS</w:t>
            </w:r>
          </w:p>
        </w:tc>
        <w:tc>
          <w:tcPr>
            <w:tcW w:w="2275"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Điều 16 - Điều 21</w:t>
            </w:r>
          </w:p>
        </w:tc>
      </w:tr>
      <w:tr w:rsidR="00E1468F" w:rsidRPr="008E0B11" w:rsidTr="00781CA8">
        <w:tc>
          <w:tcPr>
            <w:tcW w:w="1157"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IV</w:t>
            </w:r>
          </w:p>
        </w:tc>
        <w:tc>
          <w:tcPr>
            <w:tcW w:w="6068" w:type="dxa"/>
            <w:shd w:val="clear" w:color="auto" w:fill="auto"/>
            <w:tcMar>
              <w:top w:w="70" w:type="dxa"/>
              <w:left w:w="90" w:type="dxa"/>
              <w:bottom w:w="70" w:type="dxa"/>
              <w:right w:w="90" w:type="dxa"/>
            </w:tcMar>
          </w:tcPr>
          <w:p w:rsidR="00E1468F" w:rsidRPr="008E0B11" w:rsidRDefault="004A6A32" w:rsidP="008E0B11">
            <w:pPr>
              <w:spacing w:before="120" w:line="320" w:lineRule="atLeast"/>
              <w:jc w:val="both"/>
              <w:rPr>
                <w:sz w:val="28"/>
                <w:szCs w:val="28"/>
              </w:rPr>
            </w:pPr>
            <w:r w:rsidRPr="008E0B11">
              <w:rPr>
                <w:sz w:val="28"/>
                <w:szCs w:val="28"/>
              </w:rPr>
              <w:t>Nhiệm vụ, quyền hạn của các đơn vị liên quan</w:t>
            </w:r>
          </w:p>
        </w:tc>
        <w:tc>
          <w:tcPr>
            <w:tcW w:w="2275"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Điều 22 - Điều 24</w:t>
            </w:r>
          </w:p>
        </w:tc>
      </w:tr>
      <w:tr w:rsidR="00E1468F" w:rsidRPr="008E0B11" w:rsidTr="00781CA8">
        <w:tc>
          <w:tcPr>
            <w:tcW w:w="1157"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V</w:t>
            </w:r>
          </w:p>
        </w:tc>
        <w:tc>
          <w:tcPr>
            <w:tcW w:w="6068" w:type="dxa"/>
            <w:shd w:val="clear" w:color="auto" w:fill="auto"/>
            <w:tcMar>
              <w:top w:w="70" w:type="dxa"/>
              <w:left w:w="90" w:type="dxa"/>
              <w:bottom w:w="70" w:type="dxa"/>
              <w:right w:w="90" w:type="dxa"/>
            </w:tcMar>
          </w:tcPr>
          <w:p w:rsidR="00E1468F" w:rsidRPr="008E0B11" w:rsidRDefault="004A6A32" w:rsidP="008E0B11">
            <w:pPr>
              <w:spacing w:before="120" w:line="320" w:lineRule="atLeast"/>
              <w:jc w:val="both"/>
              <w:rPr>
                <w:sz w:val="28"/>
                <w:szCs w:val="28"/>
              </w:rPr>
            </w:pPr>
            <w:r w:rsidRPr="008E0B11">
              <w:rPr>
                <w:sz w:val="28"/>
                <w:szCs w:val="28"/>
              </w:rPr>
              <w:t>Điều khoản thi hành</w:t>
            </w:r>
          </w:p>
        </w:tc>
        <w:tc>
          <w:tcPr>
            <w:tcW w:w="2275" w:type="dxa"/>
            <w:shd w:val="clear" w:color="auto" w:fill="auto"/>
            <w:tcMar>
              <w:top w:w="70" w:type="dxa"/>
              <w:left w:w="90" w:type="dxa"/>
              <w:bottom w:w="70" w:type="dxa"/>
              <w:right w:w="90" w:type="dxa"/>
            </w:tcMar>
          </w:tcPr>
          <w:p w:rsidR="00E1468F" w:rsidRPr="008E0B11" w:rsidRDefault="004A6A32" w:rsidP="008E0B11">
            <w:pPr>
              <w:spacing w:before="120" w:line="320" w:lineRule="atLeast"/>
              <w:jc w:val="center"/>
              <w:rPr>
                <w:sz w:val="28"/>
                <w:szCs w:val="28"/>
              </w:rPr>
            </w:pPr>
            <w:r w:rsidRPr="008E0B11">
              <w:rPr>
                <w:sz w:val="28"/>
                <w:szCs w:val="28"/>
              </w:rPr>
              <w:t>Điều 25 - Điều 26</w:t>
            </w:r>
          </w:p>
        </w:tc>
      </w:tr>
    </w:tbl>
    <w:p w:rsidR="00E1468F" w:rsidRPr="008E0B11" w:rsidRDefault="004A6A32" w:rsidP="008E36F4">
      <w:pPr>
        <w:spacing w:before="120" w:after="120"/>
        <w:ind w:firstLine="500"/>
        <w:jc w:val="both"/>
        <w:rPr>
          <w:sz w:val="28"/>
          <w:szCs w:val="28"/>
        </w:rPr>
      </w:pPr>
      <w:r w:rsidRPr="008E0B11">
        <w:rPr>
          <w:sz w:val="28"/>
          <w:szCs w:val="28"/>
        </w:rPr>
        <w:t>So với Thông tư số 185/2015/TT-BTC (05 Chương, 27 Điều) và so với dự thảo gửi lấy ý kiến (05 Chương, 27 Điều), dự thảo trình ký có 26 Điều do hợp nhất quy định về tổ chức thực hiện vào Điều 26 về hiệu lực thi hành, đồng thời lược bỏ các khoản chỉ dẫn không chứa quy phạm.</w:t>
      </w:r>
    </w:p>
    <w:p w:rsidR="00E1468F" w:rsidRPr="008E0B11" w:rsidRDefault="004A6A32" w:rsidP="008E36F4">
      <w:pPr>
        <w:spacing w:before="120" w:after="120"/>
        <w:ind w:firstLine="500"/>
        <w:jc w:val="both"/>
        <w:rPr>
          <w:sz w:val="28"/>
          <w:szCs w:val="28"/>
        </w:rPr>
      </w:pPr>
      <w:r w:rsidRPr="008E0B11">
        <w:rPr>
          <w:b/>
          <w:bCs/>
          <w:sz w:val="28"/>
          <w:szCs w:val="28"/>
        </w:rPr>
        <w:t>2. Những nội dung mới, sửa đổi, bổ sung theo từng điều</w:t>
      </w:r>
    </w:p>
    <w:p w:rsidR="00E1468F" w:rsidRPr="008E0B11" w:rsidRDefault="004A6A32" w:rsidP="008E36F4">
      <w:pPr>
        <w:spacing w:before="120" w:after="120"/>
        <w:ind w:firstLine="500"/>
        <w:jc w:val="both"/>
        <w:rPr>
          <w:sz w:val="28"/>
          <w:szCs w:val="28"/>
        </w:rPr>
      </w:pPr>
      <w:r w:rsidRPr="008E0B11">
        <w:rPr>
          <w:b/>
          <w:bCs/>
          <w:i/>
          <w:iCs/>
          <w:sz w:val="28"/>
          <w:szCs w:val="28"/>
        </w:rPr>
        <w:t>2.1. Điều 1. Phạm vi điều chỉnh</w:t>
      </w:r>
    </w:p>
    <w:p w:rsidR="00E1468F" w:rsidRPr="008E0B11" w:rsidRDefault="004A6A32" w:rsidP="008E36F4">
      <w:pPr>
        <w:spacing w:before="120" w:after="120"/>
        <w:ind w:firstLine="500"/>
        <w:jc w:val="both"/>
        <w:rPr>
          <w:sz w:val="28"/>
          <w:szCs w:val="28"/>
        </w:rPr>
      </w:pPr>
      <w:r w:rsidRPr="008E0B11">
        <w:rPr>
          <w:sz w:val="28"/>
          <w:szCs w:val="28"/>
        </w:rPr>
        <w:t>Phạm vi điều chỉnh được xác định theo 08 nhóm nội dung, bổ sung so với Thông tư số 185/2015/TT-BTC các nhóm: quan hệ giữa mã số ĐVQHNS cha và mã số ĐVQHNS con; đăng ký, cấp mã số trực tuyến qua Nền tảng số cấp mã số ĐVQHNS cùng với tài khoản truy cập, xác thực và bảo mật thông tin; kết nối, chia sẻ, tích hợp và đồng bộ dữ liệu mã số ĐVQHNS với các hệ thống thông tin, cơ sở dữ liệu quốc gia và cơ sở dữ liệu chuyên ngành. Khoản 2 Điều 1 loại trừ khỏi phạm vi điều chỉnh các đối tượng, nhiệm vụ, dự án đầu tư thuộc lĩnh vực quốc phòng, an ninh và có thông tin thuộc phạm vi bí mật nhà nước; các trường hợp này thực hiện theo quy định riêng của Bộ Tài chính.</w:t>
      </w:r>
    </w:p>
    <w:p w:rsidR="00E1468F" w:rsidRPr="008E0B11" w:rsidRDefault="004A6A32" w:rsidP="008E36F4">
      <w:pPr>
        <w:spacing w:before="120" w:after="120"/>
        <w:ind w:firstLine="500"/>
        <w:jc w:val="both"/>
        <w:rPr>
          <w:sz w:val="28"/>
          <w:szCs w:val="28"/>
        </w:rPr>
      </w:pPr>
      <w:r w:rsidRPr="008E0B11">
        <w:rPr>
          <w:b/>
          <w:bCs/>
          <w:i/>
          <w:iCs/>
          <w:sz w:val="28"/>
          <w:szCs w:val="28"/>
        </w:rPr>
        <w:t>2.2. Điều 2. Đối tượng áp dụng</w:t>
      </w:r>
    </w:p>
    <w:p w:rsidR="00E1468F" w:rsidRPr="008E0B11" w:rsidRDefault="004A6A32" w:rsidP="008E36F4">
      <w:pPr>
        <w:spacing w:before="120" w:after="120"/>
        <w:ind w:firstLine="500"/>
        <w:jc w:val="both"/>
        <w:rPr>
          <w:sz w:val="28"/>
          <w:szCs w:val="28"/>
        </w:rPr>
      </w:pPr>
      <w:r w:rsidRPr="008E0B11">
        <w:rPr>
          <w:sz w:val="28"/>
          <w:szCs w:val="28"/>
        </w:rPr>
        <w:lastRenderedPageBreak/>
        <w:t>Đối tượng áp dụng được xác định theo nguyên tắc bao phủ toàn bộ chủ thể tham gia vào luồng tiền và dữ liệu ngân sách, thay cho cách liệt kê danh mục đơn vị hành chính sự nghiệp trước đây. Khoản 1 liệt kê 08 nhóm đối tượng được cấp mã số, trong đó bổ sung cơ quan, tổ chức được giao bằng văn bản thực hiện nhiệm vụ, dự án đầu tư theo pháp luật về đầu tư công và pháp luật về đầu tư theo phương thức đối tác công tư (việc cấp mã số chỉ áp dụng đối với nhiệm vụ, dự án và nguồn kinh phí được giao); Ban quản lý dự án có tư cách pháp nhân; quỹ tài chính nhà nước ngoài ngân sách. Khoản 2 xác định rõ cơ quan thực hiện việc cấp, quản lý và sử dụng mã số ĐVQHNS gồm Cơ quan Tài chính và Kho bạc Nhà nước.</w:t>
      </w:r>
    </w:p>
    <w:p w:rsidR="00E1468F" w:rsidRPr="008E0B11" w:rsidRDefault="004A6A32" w:rsidP="008E36F4">
      <w:pPr>
        <w:spacing w:before="120" w:after="120"/>
        <w:ind w:firstLine="500"/>
        <w:jc w:val="both"/>
        <w:rPr>
          <w:sz w:val="28"/>
          <w:szCs w:val="28"/>
        </w:rPr>
      </w:pPr>
      <w:r w:rsidRPr="008E0B11">
        <w:rPr>
          <w:b/>
          <w:bCs/>
          <w:i/>
          <w:iCs/>
          <w:sz w:val="28"/>
          <w:szCs w:val="28"/>
        </w:rPr>
        <w:t>2.3. Điều 3. Giải thích thuật ngữ</w:t>
      </w:r>
    </w:p>
    <w:p w:rsidR="00E1468F" w:rsidRPr="008E0B11" w:rsidRDefault="004A6A32" w:rsidP="008E36F4">
      <w:pPr>
        <w:spacing w:before="120" w:after="120"/>
        <w:ind w:firstLine="500"/>
        <w:jc w:val="both"/>
        <w:rPr>
          <w:sz w:val="28"/>
          <w:szCs w:val="28"/>
        </w:rPr>
      </w:pPr>
      <w:r w:rsidRPr="008E0B11">
        <w:rPr>
          <w:sz w:val="28"/>
          <w:szCs w:val="28"/>
        </w:rPr>
        <w:t>Điều 3 kế thừa các thuật ngữ còn phù hợp của Thông tư số 185/2015/TT-BTC và bổ sung các thuật ngữ mới: dự án đầu tư (bao hàm dự án ODA, dự án đầu tư công khác và dự án PPP); dự án ODA; dự án đầu tư công khác; nhiệm vụ (gồm nhiệm vụ chuẩn bị đầu tư và nhiệm vụ quy hoạch); mã số ĐVQHNS cha; mã số ĐVQHNS con; Nền tảng số cấp mã số ĐVQHNS; hồ sơ đăng ký mã số ĐVQHNS trực tuyến; Hệ thống thông tin và cơ sở dữ liệu quốc gia về đầu tư công. Thuật ngữ “Nền tảng số cấp mã số ĐVQHNS” thay thế cho các khái niệm riêng lẻ “phần mềm cấp mã số ĐVQHNS” và “dịch vụ công trực tuyến đăng ký mã số ĐVQHNS” được dùng trước đây.</w:t>
      </w:r>
    </w:p>
    <w:p w:rsidR="00E1468F" w:rsidRPr="008E0B11" w:rsidRDefault="004A6A32" w:rsidP="008E36F4">
      <w:pPr>
        <w:spacing w:before="120" w:after="120"/>
        <w:ind w:firstLine="500"/>
        <w:jc w:val="both"/>
        <w:rPr>
          <w:sz w:val="28"/>
          <w:szCs w:val="28"/>
        </w:rPr>
      </w:pPr>
      <w:r w:rsidRPr="008E0B11">
        <w:rPr>
          <w:b/>
          <w:bCs/>
          <w:i/>
          <w:iCs/>
          <w:sz w:val="28"/>
          <w:szCs w:val="28"/>
        </w:rPr>
        <w:t>2.4. Điều 4. Nguyên tắc đăng ký, cấp và sử dụng mã số ĐVQHNS</w:t>
      </w:r>
    </w:p>
    <w:p w:rsidR="00E1468F" w:rsidRPr="008E0B11" w:rsidRDefault="004A6A32" w:rsidP="008E36F4">
      <w:pPr>
        <w:spacing w:before="120" w:after="120"/>
        <w:ind w:firstLine="500"/>
        <w:jc w:val="both"/>
        <w:rPr>
          <w:sz w:val="28"/>
          <w:szCs w:val="28"/>
        </w:rPr>
      </w:pPr>
      <w:r w:rsidRPr="008E0B11">
        <w:rPr>
          <w:sz w:val="28"/>
          <w:szCs w:val="28"/>
        </w:rPr>
        <w:t>Điều 4 chuyển từ mô hình đơn vị tự kê khai - cơ quan tài chính tiếp nhận hồ sơ giấy sang mô hình kế thừa dữ liệu từ các hệ thống thông tin, cơ sở dữ liệu quốc gia. Các nội dung chính: thẩm quyền cấp mã số theo cấp ngân sách; nguyên tắc xác định thẩm quyền cấp mã số cho nhiệm vụ, dự án đầu tư theo cấp ngân sách của cơ quan phê duyệt quyết định đầu tư, không phụ thuộc nguồn vốn bố trí và cơ quan chủ quản của chủ đầu tư; thông tin đăng ký đối với nhiệm vụ, dự án đầu tư được kế thừa và khai thác trực tiếp từ Hệ thống thông tin và cơ sở dữ liệu quốc gia về đầu tư công; nguyên tắc mỗi đơn vị, mỗi nhiệm vụ, mỗi dự án đầu tư chỉ được cấp một mã số duy nhất và mã số đã cấp không được dùng lại cho đối tượng khác; các trường hợp giữ nguyên mã số đã cấp; và nguyên tắc sử dụng mã số ĐVQHNS xuyên suốt từ lập dự toán, phân bổ dự toán, chấp hành đến quyết toán ngân sách.</w:t>
      </w:r>
    </w:p>
    <w:p w:rsidR="00E1468F" w:rsidRPr="008E0B11" w:rsidRDefault="004A6A32" w:rsidP="008E36F4">
      <w:pPr>
        <w:spacing w:before="120" w:after="120"/>
        <w:ind w:firstLine="500"/>
        <w:jc w:val="both"/>
        <w:rPr>
          <w:sz w:val="28"/>
          <w:szCs w:val="28"/>
        </w:rPr>
      </w:pPr>
      <w:r w:rsidRPr="008E0B11">
        <w:rPr>
          <w:b/>
          <w:bCs/>
          <w:i/>
          <w:iCs/>
          <w:sz w:val="28"/>
          <w:szCs w:val="28"/>
        </w:rPr>
        <w:t>2.5. Điều 5. Mã số đơn vị có quan hệ với ngân sách</w:t>
      </w:r>
    </w:p>
    <w:p w:rsidR="00E1468F" w:rsidRPr="008E0B11" w:rsidRDefault="004A6A32" w:rsidP="008E36F4">
      <w:pPr>
        <w:spacing w:before="120" w:after="120"/>
        <w:ind w:firstLine="500"/>
        <w:jc w:val="both"/>
        <w:rPr>
          <w:sz w:val="28"/>
          <w:szCs w:val="28"/>
        </w:rPr>
      </w:pPr>
      <w:r w:rsidRPr="008E0B11">
        <w:rPr>
          <w:sz w:val="28"/>
          <w:szCs w:val="28"/>
        </w:rPr>
        <w:t xml:space="preserve">Điều 5 giữ cấu trúc 07 ký tự N X1...X6 và bổ sung ba nội dung: (i) tách mã số thành phần định danh và các chỉ tiêu quản lý, bảo đảm từ một phần định danh luôn tra cứu được đầy đủ các chỉ tiêu quản lý tương ứng; (ii) cơ chế dự phòng khi sử dụng hết dải số thứ tự, theo đó X1 được sử dụng là chữ cái in hoa La-tinh từ A đến Z, giải quyết triệt để giới hạn về quy mô cấp mã số; (iii) dành riêng một phần dải mã số có N = 2 để thiết lập Mã tổ chức ngân sách và Mã ngân sách toàn địa bàn, tránh trùng mã khi cấp tuần tự. Đối tượng được cấp mã số cũng </w:t>
      </w:r>
      <w:r w:rsidRPr="008E0B11">
        <w:rPr>
          <w:sz w:val="28"/>
          <w:szCs w:val="28"/>
        </w:rPr>
        <w:lastRenderedPageBreak/>
        <w:t>được mở rộng đến nhiệm vụ chuẩn bị đầu tư và nhiệm vụ quy hoạch, cho phép theo dõi nguồn vốn ngay từ giai đoạn tiền đầu tư.</w:t>
      </w:r>
    </w:p>
    <w:p w:rsidR="00E1468F" w:rsidRPr="008E0B11" w:rsidRDefault="004A6A32" w:rsidP="008E36F4">
      <w:pPr>
        <w:spacing w:before="120" w:after="120"/>
        <w:ind w:firstLine="500"/>
        <w:jc w:val="both"/>
        <w:rPr>
          <w:sz w:val="28"/>
          <w:szCs w:val="28"/>
        </w:rPr>
      </w:pPr>
      <w:r w:rsidRPr="008E0B11">
        <w:rPr>
          <w:b/>
          <w:bCs/>
          <w:i/>
          <w:iCs/>
          <w:sz w:val="28"/>
          <w:szCs w:val="28"/>
        </w:rPr>
        <w:t>2.6. Điều 6. Giấy chứng nhận mã số ĐVQHNS điện tử</w:t>
      </w:r>
    </w:p>
    <w:p w:rsidR="00E1468F" w:rsidRPr="008E0B11" w:rsidRDefault="004A6A32" w:rsidP="008E36F4">
      <w:pPr>
        <w:spacing w:before="120" w:after="120"/>
        <w:ind w:firstLine="500"/>
        <w:jc w:val="both"/>
        <w:rPr>
          <w:sz w:val="28"/>
          <w:szCs w:val="28"/>
        </w:rPr>
      </w:pPr>
      <w:r w:rsidRPr="008E0B11">
        <w:rPr>
          <w:sz w:val="28"/>
          <w:szCs w:val="28"/>
        </w:rPr>
        <w:t>Điều 6 xác lập Giấy chứng nhận mã số ĐVQHNS dưới dạng văn bản điện tử do Cơ quan Tài chính ký số, có giá trị pháp lý như Giấy chứng nhận bằng bản giấy; được lưu dưới dạng dữ liệu điện tử trên Nền tảng số và được cấp lại khi có thay đổi thông tin. Mỗi Giấy chứng nhận được gắn một mã QR để tra cứu, đối chiếu. Đơn vị khai thác, sử dụng Giấy chứng nhận trên Nền tảng số để thực hiện các giao dịch về ngân sách nhà nước; trường hợp cần thiết thì in bản giấy từ Nền tảng số. Bổ sung mẫu Giấy chứng nhận cho nhiệm vụ chuẩn bị đầu tư (Mẫu số 05C-MSNS-BTC) và nhiệm vụ quy hoạch (Mẫu số 05D-MSNS-BTC).</w:t>
      </w:r>
    </w:p>
    <w:p w:rsidR="00E1468F" w:rsidRPr="008E0B11" w:rsidRDefault="004A6A32" w:rsidP="008E36F4">
      <w:pPr>
        <w:spacing w:before="120" w:after="120"/>
        <w:ind w:firstLine="500"/>
        <w:jc w:val="both"/>
        <w:rPr>
          <w:sz w:val="28"/>
          <w:szCs w:val="28"/>
        </w:rPr>
      </w:pPr>
      <w:r w:rsidRPr="008E0B11">
        <w:rPr>
          <w:b/>
          <w:bCs/>
          <w:i/>
          <w:iCs/>
          <w:sz w:val="28"/>
          <w:szCs w:val="28"/>
        </w:rPr>
        <w:t>2.7. Điều 7. Số lượng hồ sơ và phương thức nộp hồ sơ</w:t>
      </w:r>
    </w:p>
    <w:p w:rsidR="00E1468F" w:rsidRPr="008E0B11" w:rsidRDefault="004A6A32" w:rsidP="008E36F4">
      <w:pPr>
        <w:spacing w:before="120" w:after="120"/>
        <w:ind w:firstLine="500"/>
        <w:jc w:val="both"/>
        <w:rPr>
          <w:sz w:val="28"/>
          <w:szCs w:val="28"/>
        </w:rPr>
      </w:pPr>
      <w:r w:rsidRPr="008E0B11">
        <w:rPr>
          <w:sz w:val="28"/>
          <w:szCs w:val="28"/>
        </w:rPr>
        <w:t>Đơn vị nộp 01 bộ hồ sơ cho cả ba loại việc: đăng ký mã số, đăng ký thay đổi thông tin và đăng ký thông tin chuyển giai đoạn dự án đầu tư. Hồ sơ được nộp theo một trong ba phương thức: trực tuyến qua Nền tảng số cấp mã số ĐVQHNS, trực tiếp tại Cơ quan Tài chính, hoặc qua đường bưu chính; trong đó phương thức trực tuyến được xếp trước và được khuyến khích áp dụng. Khoản 4 khẳng định không thu phí, lệ phí đối với việc đăng ký, cấp và sử dụng mã số ĐVQHNS.</w:t>
      </w:r>
    </w:p>
    <w:p w:rsidR="00E1468F" w:rsidRPr="008E0B11" w:rsidRDefault="004A6A32" w:rsidP="008E36F4">
      <w:pPr>
        <w:spacing w:before="120" w:after="120"/>
        <w:ind w:firstLine="500"/>
        <w:jc w:val="both"/>
        <w:rPr>
          <w:sz w:val="28"/>
          <w:szCs w:val="28"/>
        </w:rPr>
      </w:pPr>
      <w:r w:rsidRPr="008E0B11">
        <w:rPr>
          <w:b/>
          <w:bCs/>
          <w:i/>
          <w:iCs/>
          <w:sz w:val="28"/>
          <w:szCs w:val="28"/>
        </w:rPr>
        <w:t>2.8. Điều 8. Hồ sơ đăng ký mã số ĐVQHNS</w:t>
      </w:r>
    </w:p>
    <w:p w:rsidR="00E1468F" w:rsidRPr="008E0B11" w:rsidRDefault="004A6A32" w:rsidP="008E36F4">
      <w:pPr>
        <w:spacing w:before="120" w:after="120"/>
        <w:ind w:firstLine="500"/>
        <w:jc w:val="both"/>
        <w:rPr>
          <w:sz w:val="28"/>
          <w:szCs w:val="28"/>
        </w:rPr>
      </w:pPr>
      <w:r w:rsidRPr="008E0B11">
        <w:rPr>
          <w:sz w:val="28"/>
          <w:szCs w:val="28"/>
        </w:rPr>
        <w:t>Thành phần hồ sơ được chuẩn hóa theo từng nhóm đối tượng, với hệ thống tờ khai riêng cho đơn vị, dự án ODA, dự án đầu tư công khác, dự án PPP, nhiệm vụ chuẩn bị đầu tư và nhiệm vụ quy hoạch. Khoản 3 quy định nguyên tắc cắt giảm giấy tờ: đơn vị không phải kê khai lại hoặc nộp lại các thông tin, giấy tờ đã có trên Nền tảng số cấp mã số ĐVQHNS hoặc trên các cơ sở dữ liệu được kết nối, trong đó có Hệ thống thông tin và cơ sở dữ liệu quốc gia về đầu tư công; Cơ quan Tài chính khai thác trực tiếp các thông tin này.</w:t>
      </w:r>
    </w:p>
    <w:p w:rsidR="00E1468F" w:rsidRPr="008E0B11" w:rsidRDefault="004A6A32" w:rsidP="008E36F4">
      <w:pPr>
        <w:spacing w:before="120" w:after="120"/>
        <w:ind w:firstLine="500"/>
        <w:jc w:val="both"/>
        <w:rPr>
          <w:sz w:val="28"/>
          <w:szCs w:val="28"/>
        </w:rPr>
      </w:pPr>
      <w:r w:rsidRPr="008E0B11">
        <w:rPr>
          <w:b/>
          <w:bCs/>
          <w:i/>
          <w:iCs/>
          <w:sz w:val="28"/>
          <w:szCs w:val="28"/>
        </w:rPr>
        <w:t>2.9. Điều 9 và Điều 10. Tiếp nhận, xử lý hồ sơ và thời hạn cấp mã số</w:t>
      </w:r>
    </w:p>
    <w:p w:rsidR="00E1468F" w:rsidRPr="008E0B11" w:rsidRDefault="004A6A32" w:rsidP="008E36F4">
      <w:pPr>
        <w:spacing w:before="120" w:after="120"/>
        <w:ind w:firstLine="500"/>
        <w:jc w:val="both"/>
        <w:rPr>
          <w:sz w:val="28"/>
          <w:szCs w:val="28"/>
        </w:rPr>
      </w:pPr>
      <w:r w:rsidRPr="008E0B11">
        <w:rPr>
          <w:sz w:val="28"/>
          <w:szCs w:val="28"/>
        </w:rPr>
        <w:t>Điều 9 phân định rõ hai tiêu chí kiểm tra hồ sơ là tính đầy đủ và tính hợp lệ, với ba hướng xử lý tương ứng: tiếp nhận; tiếp nhận kèm đề nghị bổ sung trong thời hạn 03 ngày làm việc (rút từ 10 ngày làm việc); và trả lại hồ sơ không hợp lệ kèm lý do. Cơ quan Tài chính số hóa và cập nhật vào Nền tảng số các hồ sơ tiếp nhận theo phương thức trực tiếp và qua bưu chính. Điều 10 rút thời hạn cấp mã số đối với hồ sơ nộp trực tiếp từ 03 ngày xuống 02 ngày làm việc, bổ sung bốn trường hợp cấp lại Giấy chứng nhận, và quy định Nền tảng số tự động gửi thông báo đến địa chỉ thư điện tử của cán bộ nộp hồ sơ ngay sau khi cấp hoặc cấp lại Giấy chứng nhận.</w:t>
      </w:r>
    </w:p>
    <w:p w:rsidR="00E1468F" w:rsidRPr="008E0B11" w:rsidRDefault="004A6A32" w:rsidP="008E36F4">
      <w:pPr>
        <w:spacing w:before="120" w:after="120"/>
        <w:ind w:firstLine="500"/>
        <w:jc w:val="both"/>
        <w:rPr>
          <w:sz w:val="28"/>
          <w:szCs w:val="28"/>
        </w:rPr>
      </w:pPr>
      <w:r w:rsidRPr="008E0B11">
        <w:rPr>
          <w:b/>
          <w:bCs/>
          <w:i/>
          <w:iCs/>
          <w:sz w:val="28"/>
          <w:szCs w:val="28"/>
        </w:rPr>
        <w:t>2.10. Điều 11. Đăng ký thay đổi thông tin</w:t>
      </w:r>
    </w:p>
    <w:p w:rsidR="00E1468F" w:rsidRPr="008E0B11" w:rsidRDefault="004A6A32" w:rsidP="008E36F4">
      <w:pPr>
        <w:spacing w:before="120" w:after="120"/>
        <w:ind w:firstLine="500"/>
        <w:jc w:val="both"/>
        <w:rPr>
          <w:sz w:val="28"/>
          <w:szCs w:val="28"/>
        </w:rPr>
      </w:pPr>
      <w:r w:rsidRPr="008E0B11">
        <w:rPr>
          <w:sz w:val="28"/>
          <w:szCs w:val="28"/>
        </w:rPr>
        <w:t xml:space="preserve">Điều 11 quy định thời hạn 10 ngày làm việc kể từ ngày văn bản của cấp có thẩm quyền về việc thay đổi có hiệu lực để đơn vị gửi hồ sơ; nguyên tắc giữ </w:t>
      </w:r>
      <w:r w:rsidRPr="008E0B11">
        <w:rPr>
          <w:sz w:val="28"/>
          <w:szCs w:val="28"/>
        </w:rPr>
        <w:lastRenderedPageBreak/>
        <w:t>nguyên mã số đã cấp và chỉ cấp lại Giấy chứng nhận khi thay đổi làm thay đổi chỉ tiêu trên Giấy chứng nhận. Khoản 4 bổ sung quy định Nền tảng số lưu trữ toàn bộ thông tin đăng ký trước khi thay đổi; khi tra cứu hiển thị đầy đủ thông tin hiện hành, thông tin trước khi thay đổi và thời điểm thay đổi, bảo đảm truy xuất được dữ liệu lịch sử của mã số.</w:t>
      </w:r>
    </w:p>
    <w:p w:rsidR="00E1468F" w:rsidRPr="008E0B11" w:rsidRDefault="004A6A32" w:rsidP="008E36F4">
      <w:pPr>
        <w:spacing w:before="120" w:after="120"/>
        <w:ind w:firstLine="500"/>
        <w:jc w:val="both"/>
        <w:rPr>
          <w:sz w:val="28"/>
          <w:szCs w:val="28"/>
        </w:rPr>
      </w:pPr>
      <w:r w:rsidRPr="008E0B11">
        <w:rPr>
          <w:b/>
          <w:bCs/>
          <w:i/>
          <w:iCs/>
          <w:sz w:val="28"/>
          <w:szCs w:val="28"/>
        </w:rPr>
        <w:t>2.11. Điều 12. Đăng ký thông tin chuyển giai đoạn dự án đầu tư</w:t>
      </w:r>
    </w:p>
    <w:p w:rsidR="00E1468F" w:rsidRPr="008E0B11" w:rsidRDefault="004A6A32" w:rsidP="008E36F4">
      <w:pPr>
        <w:spacing w:before="120" w:after="120"/>
        <w:ind w:firstLine="500"/>
        <w:jc w:val="both"/>
        <w:rPr>
          <w:sz w:val="28"/>
          <w:szCs w:val="28"/>
        </w:rPr>
      </w:pPr>
      <w:r w:rsidRPr="008E0B11">
        <w:rPr>
          <w:sz w:val="28"/>
          <w:szCs w:val="28"/>
        </w:rPr>
        <w:t>Điều 12 xác định rõ khi nào dự án được cấp mã số riêng cho từng giai đoạn và khi nào chỉ cấp một mã số chung cho tất cả các giai đoạn. Đối với dự án được cấp một mã số chung, chủ đầu tư phải lập hồ sơ đăng ký thông tin chuyển giai đoạn trong thời hạn 10 ngày làm việc kể từ ngày văn bản phê duyệt dự án đầu tư có hiệu lực; đây là nội dung mới nhằm khắc phục tình trạng dự án đã chuyển giai đoạn nhưng vẫn sử dụng mã số của giai đoạn trước. Hồ sơ được chuẩn hóa theo loại hình dự án bằng ba mẫu thông báo: Mẫu số 04A-MSNS-BTC (dự án ODA), Mẫu số 04B-MSNS-BTC (dự án đầu tư công khác), Mẫu số 04C-MSNS-BTC (dự án PPP).</w:t>
      </w:r>
    </w:p>
    <w:p w:rsidR="00E1468F" w:rsidRPr="008E0B11" w:rsidRDefault="004A6A32" w:rsidP="008E36F4">
      <w:pPr>
        <w:spacing w:before="120" w:after="120"/>
        <w:ind w:firstLine="500"/>
        <w:jc w:val="both"/>
        <w:rPr>
          <w:sz w:val="28"/>
          <w:szCs w:val="28"/>
        </w:rPr>
      </w:pPr>
      <w:r w:rsidRPr="008E0B11">
        <w:rPr>
          <w:b/>
          <w:bCs/>
          <w:i/>
          <w:iCs/>
          <w:sz w:val="28"/>
          <w:szCs w:val="28"/>
        </w:rPr>
        <w:t>2.12. Điều 13. Đóng và mở lại mã số ĐVQHNS</w:t>
      </w:r>
    </w:p>
    <w:p w:rsidR="00E1468F" w:rsidRPr="008E0B11" w:rsidRDefault="004A6A32" w:rsidP="008E36F4">
      <w:pPr>
        <w:spacing w:before="120" w:after="120"/>
        <w:ind w:firstLine="500"/>
        <w:jc w:val="both"/>
        <w:rPr>
          <w:sz w:val="28"/>
          <w:szCs w:val="28"/>
        </w:rPr>
      </w:pPr>
      <w:r w:rsidRPr="008E0B11">
        <w:rPr>
          <w:sz w:val="28"/>
          <w:szCs w:val="28"/>
        </w:rPr>
        <w:t>Điều 13 được cơ cấu lại theo ba con đường đóng mã số. Khoản 2 liệt kê các trường hợp đóng mã số, mở rộng sang nhiệm vụ chuẩn bị đầu tư và nhiệm vụ quy hoạch. Khoản 3 đặt điều kiện mã số cha chỉ được đóng khi toàn bộ mã số con trực thuộc đã được đóng hoặc không còn hiệu lực. Khoản 4 là nội dung hoàn toàn mới: đơn vị hoặc cơ quan chủ quản được chủ động đề nghị đóng mã số theo Mẫu số 10-MSNS-BTC, Cơ quan Tài chính giải quyết trong 02 ngày làm việc và phải nêu rõ lý do nếu chưa đủ căn cứ. Khoản 5 chuyển mốc rà soát hằng năm vào Quý I (thay cho ngày đầu tháng 02), giao cơ quan chủ quản chủ trì và Kho bạc Nhà nước phối hợp, và bổ sung bước thông báo trước cho đơn vị, cơ quan chủ quản; sau 15 ngày làm việc không có phản hồi mới thực hiện đóng mã số, nhằm tránh đóng nhầm mã số của dự án ODA, dự án chậm tiến độ chưa bố trí vốn hoặc đơn vị mới kiện toàn sau sắp xếp tổ chức bộ máy.</w:t>
      </w:r>
    </w:p>
    <w:p w:rsidR="00E1468F" w:rsidRPr="008E0B11" w:rsidRDefault="004A6A32" w:rsidP="008E36F4">
      <w:pPr>
        <w:spacing w:before="120" w:after="120"/>
        <w:ind w:firstLine="500"/>
        <w:jc w:val="both"/>
        <w:rPr>
          <w:sz w:val="28"/>
          <w:szCs w:val="28"/>
        </w:rPr>
      </w:pPr>
      <w:r w:rsidRPr="008E0B11">
        <w:rPr>
          <w:b/>
          <w:bCs/>
          <w:i/>
          <w:iCs/>
          <w:sz w:val="28"/>
          <w:szCs w:val="28"/>
        </w:rPr>
        <w:t>2.13. Điều 14. Xử lý mã số khi chia, tách, hợp nhất, sáp nhập đơn vị</w:t>
      </w:r>
    </w:p>
    <w:p w:rsidR="00E1468F" w:rsidRPr="008E0B11" w:rsidRDefault="004A6A32" w:rsidP="008E36F4">
      <w:pPr>
        <w:spacing w:before="120" w:after="120"/>
        <w:ind w:firstLine="500"/>
        <w:jc w:val="both"/>
        <w:rPr>
          <w:sz w:val="28"/>
          <w:szCs w:val="28"/>
        </w:rPr>
      </w:pPr>
      <w:r w:rsidRPr="008E0B11">
        <w:rPr>
          <w:sz w:val="28"/>
          <w:szCs w:val="28"/>
        </w:rPr>
        <w:t>Đây là điều mới, quy định tách bạch bốn trường hợp theo đúng Mục 6 Chương II Luật Kế toán: chia đơn vị và hợp nhất đơn vị thì đóng mã số cũ và cấp mã số mới; tách đơn vị thì đơn vị bị tách giữ nguyên mã số và đơn vị mới được cấp mã số mới; sáp nhập đơn vị thì đơn vị nhận sáp nhập giữ nguyên mã số và mã số của đơn vị bị sáp nhập được đóng. Quy định này khắc phục tình trạng mỗi địa phương xử lý một cách khác nhau khi sắp xếp tổ chức bộ máy.</w:t>
      </w:r>
    </w:p>
    <w:p w:rsidR="00E1468F" w:rsidRPr="008E0B11" w:rsidRDefault="004A6A32" w:rsidP="008E36F4">
      <w:pPr>
        <w:spacing w:before="120" w:after="120"/>
        <w:ind w:firstLine="500"/>
        <w:jc w:val="both"/>
        <w:rPr>
          <w:sz w:val="28"/>
          <w:szCs w:val="28"/>
        </w:rPr>
      </w:pPr>
      <w:r w:rsidRPr="008E0B11">
        <w:rPr>
          <w:b/>
          <w:bCs/>
          <w:i/>
          <w:iCs/>
          <w:sz w:val="28"/>
          <w:szCs w:val="28"/>
        </w:rPr>
        <w:t>2.14. Điều 15. Cấp và xử lý mã số trong một số trường hợp cụ thể</w:t>
      </w:r>
    </w:p>
    <w:p w:rsidR="00E1468F" w:rsidRPr="008E0B11" w:rsidRDefault="004A6A32" w:rsidP="008E36F4">
      <w:pPr>
        <w:spacing w:before="120" w:after="120"/>
        <w:ind w:firstLine="500"/>
        <w:jc w:val="both"/>
        <w:rPr>
          <w:sz w:val="28"/>
          <w:szCs w:val="28"/>
        </w:rPr>
      </w:pPr>
      <w:r w:rsidRPr="008E0B11">
        <w:rPr>
          <w:sz w:val="28"/>
          <w:szCs w:val="28"/>
        </w:rPr>
        <w:t xml:space="preserve">Điều 15 gồm 10 khoản, kế thừa Điều 15 Thông tư số 185/2015/TT-BTC và bổ sung các trường hợp chưa được quy định trước đây: thẩm quyền cấp mã số cho nhiệm vụ, dự án đầu tư (khoản 3); dự án đầu tư có dự án thành phần hoặc nhiều tiểu dự án, trong đó xác lập quan hệ mã số cha - con, nguyên tắc kê khai tổng mức đầu tư và nguyên tắc không cộng gộp số liệu khi tổng hợp (khoản 4); </w:t>
      </w:r>
      <w:r w:rsidRPr="008E0B11">
        <w:rPr>
          <w:sz w:val="28"/>
          <w:szCs w:val="28"/>
        </w:rPr>
        <w:lastRenderedPageBreak/>
        <w:t>xử lý mã số của nhiệm vụ chuẩn bị đầu tư khi hoàn thành hoặc chuyển giai đoạn (khoản 5); dự án thay đổi chủ đầu tư do sắp xếp tổ chức bộ máy (khoản 6); chuyển cơ quan quản lý mã số ĐVQHNS (khoản 7); phân quyền tiếp nhận, nhập hồ sơ cho cơ quan chuyên môn thuộc Ủy ban nhân dân cấp xã (khoản 8); mã ngân sách toàn địa bàn và mã tổ chức ngân sách (khoản 9); cấp mã số làm mã cơ quan thu (khoản 10). Khoản 8 xác định thời điểm cơ quan chuyên môn cấp xã tiếp nhận hồ sơ chính là thời điểm tiếp nhận của Sở Tài chính; cấp xã chịu trách nhiệm về tính đầy đủ, chính xác của dữ liệu đã nhập; Sở Tài chính kiểm tra, đối chiếu và cấp mã số. Đồng thời, toàn bộ quy định gắn với cấp huyện đã được rà soát, bãi bỏ; ngân sách địa phương chỉ gồm ngân sách cấp tỉnh và ngân sách cấp xã.</w:t>
      </w:r>
    </w:p>
    <w:p w:rsidR="00E1468F" w:rsidRPr="008E0B11" w:rsidRDefault="004A6A32" w:rsidP="008E36F4">
      <w:pPr>
        <w:spacing w:before="120" w:after="120"/>
        <w:ind w:firstLine="500"/>
        <w:jc w:val="both"/>
        <w:rPr>
          <w:sz w:val="28"/>
          <w:szCs w:val="28"/>
        </w:rPr>
      </w:pPr>
      <w:r w:rsidRPr="008E0B11">
        <w:rPr>
          <w:b/>
          <w:bCs/>
          <w:i/>
          <w:iCs/>
          <w:sz w:val="28"/>
          <w:szCs w:val="28"/>
        </w:rPr>
        <w:t>2.15. Điều 16. Đăng ký mã số ĐVQHNS trực tuyến</w:t>
      </w:r>
    </w:p>
    <w:p w:rsidR="00E1468F" w:rsidRPr="008E0B11" w:rsidRDefault="004A6A32" w:rsidP="008E36F4">
      <w:pPr>
        <w:spacing w:before="120" w:after="120"/>
        <w:ind w:firstLine="500"/>
        <w:jc w:val="both"/>
        <w:rPr>
          <w:sz w:val="28"/>
          <w:szCs w:val="28"/>
        </w:rPr>
      </w:pPr>
      <w:r w:rsidRPr="008E0B11">
        <w:rPr>
          <w:sz w:val="28"/>
          <w:szCs w:val="28"/>
        </w:rPr>
        <w:t>Điều 16 xác lập nguyên tắc toàn trình: khi nộp hồ sơ theo phương thức trực tuyến, toàn bộ các bước nộp, tiếp nhận, giải quyết và trả kết quả được thực hiện trên Nền tảng số; đơn vị không phải nộp hồ sơ bằng bản giấy. Khoản 2 liệt kê năm quy trình đơn vị thực hiện trên Nền tảng số. Khoản 4 trao cho đơn vị quyền lựa chọn ký số hoặc không ký số đối với Tờ khai và các văn bản điện tử do đơn vị lập; trường hợp không ký số, hồ sơ được xác thực thông qua tài khoản truy cập. Khoản 5 khẳng định hồ sơ trực tuyến có giá trị pháp lý như hồ sơ bằng bản giấy.</w:t>
      </w:r>
    </w:p>
    <w:p w:rsidR="00E1468F" w:rsidRPr="008E0B11" w:rsidRDefault="004A6A32" w:rsidP="008E36F4">
      <w:pPr>
        <w:spacing w:before="120" w:after="120"/>
        <w:ind w:firstLine="500"/>
        <w:jc w:val="both"/>
        <w:rPr>
          <w:sz w:val="28"/>
          <w:szCs w:val="28"/>
        </w:rPr>
      </w:pPr>
      <w:r w:rsidRPr="008E0B11">
        <w:rPr>
          <w:b/>
          <w:bCs/>
          <w:i/>
          <w:iCs/>
          <w:sz w:val="28"/>
          <w:szCs w:val="28"/>
        </w:rPr>
        <w:t>2.16. Điều 17. Tài khoản truy cập, xác thực và sử dụng Nền tảng số</w:t>
      </w:r>
    </w:p>
    <w:p w:rsidR="00E1468F" w:rsidRPr="008E0B11" w:rsidRDefault="004A6A32" w:rsidP="008E36F4">
      <w:pPr>
        <w:spacing w:before="120" w:after="120"/>
        <w:ind w:firstLine="500"/>
        <w:jc w:val="both"/>
        <w:rPr>
          <w:sz w:val="28"/>
          <w:szCs w:val="28"/>
        </w:rPr>
      </w:pPr>
      <w:r w:rsidRPr="008E0B11">
        <w:rPr>
          <w:sz w:val="28"/>
          <w:szCs w:val="28"/>
        </w:rPr>
        <w:t>Điều 17 chuyển từ cơ chế đăng ký và cấp tài khoản thủ công qua thư điện tử, tin nhắn sang cơ chế xác thực điện tử: người sử dụng truy cập bằng tài khoản định danh điện tử theo pháp luật về định danh và xác thực điện tử hoặc bằng tài khoản do Cơ quan Tài chính cấp; Nền tảng số kết nối với Hệ thống định danh và xác thực điện tử để xác thực danh tính và khai thác thông tin đã được xác thực. Điều này cũng quy định rõ việc cấp, phân quyền và thu hồi tài khoản; việc Nền tảng số tự động điền thông tin từ các cơ sở dữ liệu kết nối và giá trị sử dụng của thông tin được điền tự động; việc lưu vết thao tác của người sử dụng phục vụ kiểm tra, thanh tra, kiểm toán; và quy tắc xác định chủ thể thực hiện giao dịch qua tài khoản truy cập, kèm cơ chế thông báo, khóa tài khoản khi tài khoản bị lộ hoặc bị sử dụng trái phép.</w:t>
      </w:r>
    </w:p>
    <w:p w:rsidR="00E1468F" w:rsidRPr="008E0B11" w:rsidRDefault="004A6A32" w:rsidP="008E36F4">
      <w:pPr>
        <w:spacing w:before="120" w:after="120"/>
        <w:ind w:firstLine="500"/>
        <w:jc w:val="both"/>
        <w:rPr>
          <w:sz w:val="28"/>
          <w:szCs w:val="28"/>
        </w:rPr>
      </w:pPr>
      <w:r w:rsidRPr="008E0B11">
        <w:rPr>
          <w:b/>
          <w:bCs/>
          <w:i/>
          <w:iCs/>
          <w:sz w:val="28"/>
          <w:szCs w:val="28"/>
        </w:rPr>
        <w:t>2.17. Điều 18. Hồ sơ đăng ký mã số ĐVQHNS trực tuyến</w:t>
      </w:r>
    </w:p>
    <w:p w:rsidR="00E1468F" w:rsidRPr="008E0B11" w:rsidRDefault="004A6A32" w:rsidP="008E36F4">
      <w:pPr>
        <w:spacing w:before="120" w:after="120"/>
        <w:ind w:firstLine="500"/>
        <w:jc w:val="both"/>
        <w:rPr>
          <w:sz w:val="28"/>
          <w:szCs w:val="28"/>
        </w:rPr>
      </w:pPr>
      <w:r w:rsidRPr="008E0B11">
        <w:rPr>
          <w:sz w:val="28"/>
          <w:szCs w:val="28"/>
        </w:rPr>
        <w:t>Điều 18 tách bạch hai tiêu chí “đầy đủ” và “hợp lệ” để tương thích với hai hướng xử lý tại Điều 19. Hồ sơ hợp lệ khi thông tin kê khai đủ các trường bắt buộc và thống nhất với văn bản điện tử kèm theo; văn bản điện tử được số hóa từ bản chính hoặc bản sao hợp lệ, bảo đảm toàn vẹn và đọc được; mỗi văn bản điện tử kèm theo thông tin về tên loại giấy tờ, số, ký hiệu, cơ quan cấp và ngày cấp để phục vụ tra cứu, đối chiếu và sử dụng lại trong các lần đăng ký sau. Khoản 4 quy định đơn vị không phải kê khai lại hoặc nộp lại các thông tin, giấy tờ đã có, Cơ quan Tài chính khai thác trực tiếp trên Nền tảng số và các cơ sở dữ liệu kết nối.</w:t>
      </w:r>
    </w:p>
    <w:p w:rsidR="00E1468F" w:rsidRPr="008E0B11" w:rsidRDefault="004A6A32" w:rsidP="008E36F4">
      <w:pPr>
        <w:spacing w:before="120" w:after="120"/>
        <w:ind w:firstLine="500"/>
        <w:jc w:val="both"/>
        <w:rPr>
          <w:sz w:val="28"/>
          <w:szCs w:val="28"/>
        </w:rPr>
      </w:pPr>
      <w:r w:rsidRPr="008E0B11">
        <w:rPr>
          <w:b/>
          <w:bCs/>
          <w:i/>
          <w:iCs/>
          <w:sz w:val="28"/>
          <w:szCs w:val="28"/>
        </w:rPr>
        <w:lastRenderedPageBreak/>
        <w:t>2.18. Điều 19. Trình tự đăng ký mã số ĐVQHNS trực tuyến</w:t>
      </w:r>
    </w:p>
    <w:p w:rsidR="00E1468F" w:rsidRPr="008E0B11" w:rsidRDefault="004A6A32" w:rsidP="008E36F4">
      <w:pPr>
        <w:spacing w:before="120" w:after="120"/>
        <w:ind w:firstLine="500"/>
        <w:jc w:val="both"/>
        <w:rPr>
          <w:sz w:val="28"/>
          <w:szCs w:val="28"/>
        </w:rPr>
      </w:pPr>
      <w:r w:rsidRPr="008E0B11">
        <w:rPr>
          <w:sz w:val="28"/>
          <w:szCs w:val="28"/>
        </w:rPr>
        <w:t>Thời hạn cấp Giấy chứng nhận đối với hồ sơ trực tuyến đầy đủ, hợp lệ được rút từ 02 ngày xuống 01 ngày làm việc; thời hạn bổ sung hồ sơ rút từ 10 ngày làm việc xuống 03 ngày làm việc. Nền tảng số ghi nhận thời điểm gửi hồ sơ, cấp Giấy biên nhận hồ sơ điện tử theo Mẫu số 09-MSNS-BTC và tự động gửi thông báo đến tài khoản truy cập của đơn vị và địa chỉ thư điện tử của cán bộ nộp hồ sơ; thời điểm gửi thông báo được ghi nhận trên Nền tảng số.</w:t>
      </w:r>
    </w:p>
    <w:p w:rsidR="00E1468F" w:rsidRPr="008E0B11" w:rsidRDefault="004A6A32" w:rsidP="008E36F4">
      <w:pPr>
        <w:spacing w:before="120" w:after="120"/>
        <w:ind w:firstLine="500"/>
        <w:jc w:val="both"/>
        <w:rPr>
          <w:sz w:val="28"/>
          <w:szCs w:val="28"/>
        </w:rPr>
      </w:pPr>
      <w:r w:rsidRPr="008E0B11">
        <w:rPr>
          <w:b/>
          <w:bCs/>
          <w:i/>
          <w:iCs/>
          <w:sz w:val="28"/>
          <w:szCs w:val="28"/>
        </w:rPr>
        <w:t>2.19. Điều 20. Xử lý sự cố</w:t>
      </w:r>
    </w:p>
    <w:p w:rsidR="00E1468F" w:rsidRPr="008E0B11" w:rsidRDefault="004A6A32" w:rsidP="008E36F4">
      <w:pPr>
        <w:spacing w:before="120" w:after="120"/>
        <w:ind w:firstLine="500"/>
        <w:jc w:val="both"/>
        <w:rPr>
          <w:sz w:val="28"/>
          <w:szCs w:val="28"/>
        </w:rPr>
      </w:pPr>
      <w:r w:rsidRPr="008E0B11">
        <w:rPr>
          <w:sz w:val="28"/>
          <w:szCs w:val="28"/>
        </w:rPr>
        <w:t>Điều 20 được viết lại theo hướng xác lập một cơ chế xử lý sự cố có hiệu lực pháp lý, thay cho quy định mang tính hỗ trợ kỹ thuật trước đây. Sự cố được phân thành hai loại gắn với hai đầu mối xử lý. Đơn vị quản lý, vận hành Nền tảng số có nghĩa vụ công bố thời điểm bắt đầu và kết thúc sự cố. Thời gian sự cố đã công bố không tính vào thời hạn bổ sung hồ sơ của đơn vị và thời hạn cấp mã số của Cơ quan Tài chính. Trong thời gian sự cố, đơn vị nộp hồ sơ theo phương thức trực tiếp hoặc qua bưu chính; hồ sơ đã nộp trực tuyến trước khi xảy ra sự cố vẫn có hiệu lực và đơn vị không phải nộp lại. Sau khi khắc phục, Cơ quan Tài chính cập nhật hồ sơ đã tiếp nhận trong thời gian sự cố vào Nền tảng số.</w:t>
      </w:r>
    </w:p>
    <w:p w:rsidR="00E1468F" w:rsidRPr="008E0B11" w:rsidRDefault="004A6A32" w:rsidP="008E36F4">
      <w:pPr>
        <w:spacing w:before="120" w:after="120"/>
        <w:ind w:firstLine="500"/>
        <w:jc w:val="both"/>
        <w:rPr>
          <w:sz w:val="28"/>
          <w:szCs w:val="28"/>
        </w:rPr>
      </w:pPr>
      <w:r w:rsidRPr="008E0B11">
        <w:rPr>
          <w:b/>
          <w:bCs/>
          <w:i/>
          <w:iCs/>
          <w:sz w:val="28"/>
          <w:szCs w:val="28"/>
        </w:rPr>
        <w:t>2.20. Điều 21. Bảo mật, lưu trữ và khai thác dữ liệu</w:t>
      </w:r>
    </w:p>
    <w:p w:rsidR="00E1468F" w:rsidRPr="008E0B11" w:rsidRDefault="004A6A32" w:rsidP="008E36F4">
      <w:pPr>
        <w:spacing w:before="120" w:after="120"/>
        <w:ind w:firstLine="500"/>
        <w:jc w:val="both"/>
        <w:rPr>
          <w:sz w:val="28"/>
          <w:szCs w:val="28"/>
        </w:rPr>
      </w:pPr>
      <w:r w:rsidRPr="008E0B11">
        <w:rPr>
          <w:sz w:val="28"/>
          <w:szCs w:val="28"/>
        </w:rPr>
        <w:t>Điều 21 được bổ sung các quy phạm có nội dung cụ thể thay cho quy định chung về bảo mật trước đây: trách nhiệm bảo đảm an toàn, bảo mật, chính xác và toàn vẹn dữ liệu của mọi chủ thể tham gia; phạm vi khai thác dữ liệu của công chức được cấp tài khoản giới hạn trong nhiệm vụ được phân công; thời hạn lưu trữ dữ liệu điện tử, văn bản điện tử và dữ liệu lưu vết theo pháp luật về lưu trữ; căn cứ cung cấp, chia sẻ dữ liệu ra ngoài theo pháp luật về dữ liệu và bảo vệ dữ liệu cá nhân, đồng thời xác định rõ phạm vi thông tin được tra cứu công khai là các chỉ tiêu trên Giấy chứng nhận mã số ĐVQHNS điện tử.</w:t>
      </w:r>
    </w:p>
    <w:p w:rsidR="00E1468F" w:rsidRPr="008E0B11" w:rsidRDefault="004A6A32" w:rsidP="008E36F4">
      <w:pPr>
        <w:spacing w:before="120" w:after="120"/>
        <w:ind w:firstLine="500"/>
        <w:jc w:val="both"/>
        <w:rPr>
          <w:sz w:val="28"/>
          <w:szCs w:val="28"/>
        </w:rPr>
      </w:pPr>
      <w:r w:rsidRPr="008E0B11">
        <w:rPr>
          <w:b/>
          <w:bCs/>
          <w:i/>
          <w:iCs/>
          <w:sz w:val="28"/>
          <w:szCs w:val="28"/>
        </w:rPr>
        <w:t>2.21. Điều 22, Điều 23 và Điều 24. Nhiệm vụ, quyền hạn của các đơn vị liên quan</w:t>
      </w:r>
    </w:p>
    <w:p w:rsidR="00E1468F" w:rsidRPr="008E0B11" w:rsidRDefault="004A6A32" w:rsidP="008E36F4">
      <w:pPr>
        <w:spacing w:before="120" w:after="120"/>
        <w:ind w:firstLine="500"/>
        <w:jc w:val="both"/>
        <w:rPr>
          <w:sz w:val="28"/>
          <w:szCs w:val="28"/>
        </w:rPr>
      </w:pPr>
      <w:r w:rsidRPr="008E0B11">
        <w:rPr>
          <w:sz w:val="28"/>
          <w:szCs w:val="28"/>
        </w:rPr>
        <w:t>Ba điều của Chương IV được cơ cấu lại theo chủ thể, mỗi điều tách thành nhóm nhiệm vụ và nhóm quyền. Điều 22 phân biệt nhiệm vụ của đơn vị có quan hệ với ngân sách và nhiệm vụ của cơ quan chủ quản; bổ sung quyền lựa chọn phương thức nộp hồ sơ, quyền lựa chọn ký số và quyền đề nghị đóng mã số ĐVQHNS. Điều 23 tách nhiệm vụ của Cơ quan Tài chính nơi cấp mã số và nhiệm vụ của đơn vị quản lý, vận hành Nền tảng số; bổ sung các nhiệm vụ mới phát sinh từ Chương III gồm số hóa hồ sơ giấy, cấp và thu hồi tài khoản truy cập, công bố sự cố, bảo đảm an toàn hệ thống thông tin theo cấp độ. Điều 24 bổ sung nhiệm vụ của Kho bạc Nhà nước trong việc thông báo và yêu cầu đơn vị đăng ký chuyển giai đoạn khi phát hiện dự án đã chuyển giai đoạn nhưng vẫn dùng mã số của giai đoạn trước; đồng thời tách thẩm quyền từ chối chi trả thành ba trường hợp: từ chối theo căn cứ khách quan từ dữ liệu kết nối, từ chối theo đề nghị bằng văn bản của Cơ quan Tài chính, và quyền đề nghị Cơ quan Tài chính kiểm tra, xác minh khi phát hiện thông tin không thống nhất.</w:t>
      </w:r>
    </w:p>
    <w:p w:rsidR="00E1468F" w:rsidRPr="008E0B11" w:rsidRDefault="004A6A32" w:rsidP="008E36F4">
      <w:pPr>
        <w:spacing w:before="120" w:after="120"/>
        <w:ind w:firstLine="500"/>
        <w:jc w:val="both"/>
        <w:rPr>
          <w:sz w:val="28"/>
          <w:szCs w:val="28"/>
        </w:rPr>
      </w:pPr>
      <w:r w:rsidRPr="008E0B11">
        <w:rPr>
          <w:b/>
          <w:bCs/>
          <w:i/>
          <w:iCs/>
          <w:sz w:val="28"/>
          <w:szCs w:val="28"/>
        </w:rPr>
        <w:lastRenderedPageBreak/>
        <w:t>2.22. Điều 25. Điều khoản chuyển tiếp</w:t>
      </w:r>
    </w:p>
    <w:p w:rsidR="00E1468F" w:rsidRPr="008E0B11" w:rsidRDefault="004A6A32" w:rsidP="008E36F4">
      <w:pPr>
        <w:spacing w:before="120" w:after="120"/>
        <w:ind w:firstLine="500"/>
        <w:jc w:val="both"/>
        <w:rPr>
          <w:sz w:val="28"/>
          <w:szCs w:val="28"/>
        </w:rPr>
      </w:pPr>
      <w:r w:rsidRPr="008E0B11">
        <w:rPr>
          <w:sz w:val="28"/>
          <w:szCs w:val="28"/>
        </w:rPr>
        <w:t>Điều 25 bảo lưu giá trị của các kết quả đã phát sinh trước ngày Thông tư có hiệu lực: mã số ĐVQHNS đã cấp tiếp tục được sử dụng; Giấy chứng nhận đã cấp tiếp tục có giá trị; hồ sơ đã được tiếp nhận trước ngày Thông tư có hiệu lực được tiếp tục giải quyết theo quy định tại thời điểm tiếp nhận; tài khoản truy cập đã cấp cho đơn vị và công chức tiếp tục được sử dụng. Nhờ đó, việc chuyển đổi không làm gián đoạn công tác lập, phân bổ, chấp hành và quyết toán ngân sách.</w:t>
      </w:r>
    </w:p>
    <w:p w:rsidR="00E1468F" w:rsidRPr="008E0B11" w:rsidRDefault="004A6A32" w:rsidP="008E36F4">
      <w:pPr>
        <w:spacing w:before="120" w:after="120"/>
        <w:ind w:firstLine="500"/>
        <w:jc w:val="both"/>
        <w:rPr>
          <w:sz w:val="28"/>
          <w:szCs w:val="28"/>
        </w:rPr>
      </w:pPr>
      <w:r w:rsidRPr="008E0B11">
        <w:rPr>
          <w:b/>
          <w:bCs/>
          <w:i/>
          <w:iCs/>
          <w:sz w:val="28"/>
          <w:szCs w:val="28"/>
        </w:rPr>
        <w:t>2.23. Điều 26. Hiệu lực thi hành</w:t>
      </w:r>
    </w:p>
    <w:p w:rsidR="00E1468F" w:rsidRPr="008E0B11" w:rsidRDefault="004A6A32" w:rsidP="008E36F4">
      <w:pPr>
        <w:spacing w:before="120" w:after="120"/>
        <w:ind w:firstLine="500"/>
        <w:jc w:val="both"/>
        <w:rPr>
          <w:sz w:val="28"/>
          <w:szCs w:val="28"/>
        </w:rPr>
      </w:pPr>
      <w:r w:rsidRPr="008E0B11">
        <w:rPr>
          <w:sz w:val="28"/>
          <w:szCs w:val="28"/>
        </w:rPr>
        <w:t>Điều 26 hợp nhất nội dung hiệu lực thi hành và tổ chức thực hiện. Ngoài quy định về ngày có hiệu lực và việc thay thế Thông tư số 185/2015/TT-BTC, Điều này bổ sung nguyên tắc áp dụng khi văn bản được dẫn chiếu trong Thông tư được sửa đổi, bổ sung hoặc thay thế; xác định trách nhiệm tổ chức triển khai, hướng dẫn và kiểm tra việc thi hành của Thủ trưởng các đơn vị thuộc Bộ Tài chính, Giám đốc Sở Tài chính, Giám đốc Kho bạc Nhà nước khu vực trong phạm vi chức năng, nhiệm vụ của mình.</w:t>
      </w:r>
    </w:p>
    <w:p w:rsidR="00E1468F" w:rsidRPr="008E0B11" w:rsidRDefault="004A6A32" w:rsidP="008E36F4">
      <w:pPr>
        <w:spacing w:before="120" w:after="120"/>
        <w:ind w:firstLine="500"/>
        <w:jc w:val="both"/>
        <w:rPr>
          <w:sz w:val="28"/>
          <w:szCs w:val="28"/>
        </w:rPr>
      </w:pPr>
      <w:r w:rsidRPr="008E0B11">
        <w:rPr>
          <w:b/>
          <w:bCs/>
          <w:i/>
          <w:iCs/>
          <w:sz w:val="28"/>
          <w:szCs w:val="28"/>
        </w:rPr>
        <w:t>2.24. Phụ lục biểu mẫu</w:t>
      </w:r>
    </w:p>
    <w:p w:rsidR="00E1468F" w:rsidRPr="008E0B11" w:rsidRDefault="004A6A32" w:rsidP="008E36F4">
      <w:pPr>
        <w:spacing w:before="120" w:after="120"/>
        <w:ind w:firstLine="500"/>
        <w:jc w:val="both"/>
        <w:rPr>
          <w:sz w:val="28"/>
          <w:szCs w:val="28"/>
        </w:rPr>
      </w:pPr>
      <w:r w:rsidRPr="008E0B11">
        <w:rPr>
          <w:sz w:val="28"/>
          <w:szCs w:val="28"/>
        </w:rPr>
        <w:t>Phụ lục của dự thảo Thông tư gồm 2</w:t>
      </w:r>
      <w:r w:rsidR="00FA059E">
        <w:rPr>
          <w:sz w:val="28"/>
          <w:szCs w:val="28"/>
        </w:rPr>
        <w:t>0</w:t>
      </w:r>
      <w:r w:rsidRPr="008E0B11">
        <w:rPr>
          <w:sz w:val="28"/>
          <w:szCs w:val="28"/>
        </w:rPr>
        <w:t xml:space="preserve"> biểu mẫu, trong đó: thay đổi 07 biểu mẫu (01, 02B, 03B, 04B, 05B, 07, 08-MSNS-BTC); giữ nguyên 03 biểu mẫu (05A, 06, 09-MSNS-BTC); bổ sung mới 1</w:t>
      </w:r>
      <w:r w:rsidR="00424783">
        <w:rPr>
          <w:sz w:val="28"/>
          <w:szCs w:val="28"/>
        </w:rPr>
        <w:t>0</w:t>
      </w:r>
      <w:r w:rsidRPr="008E0B11">
        <w:rPr>
          <w:sz w:val="28"/>
          <w:szCs w:val="28"/>
        </w:rPr>
        <w:t xml:space="preserve"> biểu mẫu (02A, 03A, 02C</w:t>
      </w:r>
      <w:r w:rsidR="00FA059E">
        <w:rPr>
          <w:sz w:val="28"/>
          <w:szCs w:val="28"/>
        </w:rPr>
        <w:t xml:space="preserve">, 03C, 02D, 02E, 04A, 04C, 05C </w:t>
      </w:r>
      <w:r w:rsidRPr="008E0B11">
        <w:rPr>
          <w:sz w:val="28"/>
          <w:szCs w:val="28"/>
        </w:rPr>
        <w:t>và 10-MSNS-BTC). Mẫu số 10-MSNS-BTC là mẫu mới hoàn toàn, ban hành để thực hiện quyền đề nghị đóng mã số ĐVQHNS của đơn vị và cơ quan chủ quản tại khoản 4 Điều 13.</w:t>
      </w:r>
    </w:p>
    <w:p w:rsidR="00E1468F" w:rsidRPr="008E0B11" w:rsidRDefault="004A6A32" w:rsidP="008E36F4">
      <w:pPr>
        <w:spacing w:before="120" w:after="120"/>
        <w:ind w:firstLine="500"/>
        <w:jc w:val="both"/>
        <w:rPr>
          <w:sz w:val="28"/>
          <w:szCs w:val="28"/>
        </w:rPr>
      </w:pPr>
      <w:r w:rsidRPr="008E0B11">
        <w:rPr>
          <w:b/>
          <w:bCs/>
          <w:sz w:val="28"/>
          <w:szCs w:val="28"/>
        </w:rPr>
        <w:t>VI. ĐỀ XUẤT, KIẾN NGHỊ</w:t>
      </w:r>
    </w:p>
    <w:p w:rsidR="00E1468F" w:rsidRPr="008E0B11" w:rsidRDefault="004A6A32" w:rsidP="008E36F4">
      <w:pPr>
        <w:spacing w:before="120" w:after="120"/>
        <w:ind w:firstLine="500"/>
        <w:jc w:val="both"/>
        <w:rPr>
          <w:sz w:val="28"/>
          <w:szCs w:val="28"/>
        </w:rPr>
      </w:pPr>
      <w:r w:rsidRPr="008E0B11">
        <w:rPr>
          <w:b/>
          <w:bCs/>
          <w:sz w:val="28"/>
          <w:szCs w:val="28"/>
        </w:rPr>
        <w:t>1. Về việc ban hành Thông tư</w:t>
      </w:r>
    </w:p>
    <w:p w:rsidR="00E1468F" w:rsidRPr="008E0B11" w:rsidRDefault="004A6A32" w:rsidP="008E36F4">
      <w:pPr>
        <w:spacing w:before="120" w:after="120"/>
        <w:ind w:firstLine="500"/>
        <w:jc w:val="both"/>
        <w:rPr>
          <w:sz w:val="28"/>
          <w:szCs w:val="28"/>
        </w:rPr>
      </w:pPr>
      <w:r w:rsidRPr="008E0B11">
        <w:rPr>
          <w:sz w:val="28"/>
          <w:szCs w:val="28"/>
        </w:rPr>
        <w:t>Kính đề nghị Lãnh đạo Bộ xem xét, cho ý kiến chỉ đạo để Cục CNTT hoàn thiện dự thảo Thông tư hướng dẫn đăng ký, cấp và sử dụng mã số đơn vị có quan hệ với ngân sách thay thế Thông tư số 185/2015/TT-BTC, trình Bộ ký ban hành theo quy định.</w:t>
      </w:r>
    </w:p>
    <w:p w:rsidR="00E1468F" w:rsidRPr="008E0B11" w:rsidRDefault="004A6A32" w:rsidP="008E36F4">
      <w:pPr>
        <w:spacing w:before="120" w:after="120"/>
        <w:ind w:firstLine="500"/>
        <w:jc w:val="both"/>
        <w:rPr>
          <w:sz w:val="28"/>
          <w:szCs w:val="28"/>
        </w:rPr>
      </w:pPr>
      <w:r w:rsidRPr="008E0B11">
        <w:rPr>
          <w:b/>
          <w:bCs/>
          <w:sz w:val="28"/>
          <w:szCs w:val="28"/>
        </w:rPr>
        <w:t>2. Về các nội dung triển khai kèm theo</w:t>
      </w:r>
    </w:p>
    <w:p w:rsidR="00E1468F" w:rsidRPr="008E0B11" w:rsidRDefault="004A6A32" w:rsidP="008E36F4">
      <w:pPr>
        <w:spacing w:before="120" w:after="120"/>
        <w:ind w:firstLine="500"/>
        <w:jc w:val="both"/>
        <w:rPr>
          <w:sz w:val="28"/>
          <w:szCs w:val="28"/>
        </w:rPr>
      </w:pPr>
      <w:r w:rsidRPr="008E0B11">
        <w:rPr>
          <w:sz w:val="28"/>
          <w:szCs w:val="28"/>
        </w:rPr>
        <w:t>a) Nâng cấp Nền tảng số cấp mã số ĐVQHNS để đáp ứng các yêu cầu mới của Thông tư, gồm: kết nối với Hệ thống định danh và xác thực điện tử; kết nối với Hệ thống thông tin và cơ sở dữ liệu quốc gia về đầu tư công để kế thừa dữ liệu; quản lý quan hệ mã số cha - con; thống nhất một mã hồ sơ duy nhất trong toàn bộ quá trình xử lý; lưu vết đầy đủ các mốc xử lý; mở rộng giới hạn ký tự của trường tên nhiệm vụ, dự án và dung lượng tệp đính kèm; công bố sự cố và tạm dừng tính thời hạn; kết xuất báo cáo theo các tiêu chí đúng hạn, quá hạn.</w:t>
      </w:r>
    </w:p>
    <w:p w:rsidR="00E1468F" w:rsidRPr="008E0B11" w:rsidRDefault="004A6A32" w:rsidP="008E36F4">
      <w:pPr>
        <w:spacing w:before="120" w:after="120"/>
        <w:ind w:firstLine="500"/>
        <w:jc w:val="both"/>
        <w:rPr>
          <w:sz w:val="28"/>
          <w:szCs w:val="28"/>
        </w:rPr>
      </w:pPr>
      <w:r w:rsidRPr="008E0B11">
        <w:rPr>
          <w:sz w:val="28"/>
          <w:szCs w:val="28"/>
        </w:rPr>
        <w:t>b) Đề nghị Kho bạc Nhà nước phối hợp với Cục CNTT nâng cấp hệ thống TABMIS hoặc hệ thống thay thế để nhận diện quan hệ mã số ĐVQHNS cha - con, phục vụ quản lý, giải ngân vốn cho từng nhiệm vụ, dự án đầu tư và đáp ứng yêu cầu chế độ báo cáo.</w:t>
      </w:r>
    </w:p>
    <w:p w:rsidR="00E1468F" w:rsidRPr="008E0B11" w:rsidRDefault="004A6A32" w:rsidP="008E36F4">
      <w:pPr>
        <w:spacing w:before="120" w:after="120"/>
        <w:ind w:firstLine="500"/>
        <w:jc w:val="both"/>
        <w:rPr>
          <w:sz w:val="28"/>
          <w:szCs w:val="28"/>
        </w:rPr>
      </w:pPr>
      <w:r w:rsidRPr="008E0B11">
        <w:rPr>
          <w:sz w:val="28"/>
          <w:szCs w:val="28"/>
        </w:rPr>
        <w:lastRenderedPageBreak/>
        <w:t>c) Đề nghị rà soát dải mã số ĐVQHNS đã sử dụng và chưa sử dụng để đánh giá, đề xuất phương án về việc có cần thiết mở rộng số lượng ký tự của mã số hay không; trước mắt, cơ chế dự phòng bằng chữ cái in hoa tại khoản 3 Điều 5 dự thảo Thông tư đã bảo đảm không gián đoạn việc cấp mã số.</w:t>
      </w:r>
    </w:p>
    <w:p w:rsidR="00E1468F" w:rsidRPr="008E0B11" w:rsidRDefault="004A6A32" w:rsidP="008E36F4">
      <w:pPr>
        <w:spacing w:before="120" w:after="120"/>
        <w:ind w:firstLine="500"/>
        <w:jc w:val="both"/>
        <w:rPr>
          <w:sz w:val="28"/>
          <w:szCs w:val="28"/>
        </w:rPr>
      </w:pPr>
      <w:r w:rsidRPr="008E0B11">
        <w:rPr>
          <w:sz w:val="28"/>
          <w:szCs w:val="28"/>
        </w:rPr>
        <w:t>d) Tổ chức tập huấn nghiệp vụ cho Sở Tài chính các tỉnh, thành phố và cơ quan chuyên môn thuộc Ủy ban nhân dân cấp xã được phân quyền tiếp nhận, nhập hồ sơ, bảo đảm Thông tư được thi hành thống nhất ngay từ ngày có hiệu lực.</w:t>
      </w:r>
    </w:p>
    <w:p w:rsidR="00E1468F" w:rsidRPr="008E0B11" w:rsidRDefault="004A6A32" w:rsidP="008E36F4">
      <w:pPr>
        <w:spacing w:before="120" w:after="120"/>
        <w:ind w:firstLine="500"/>
        <w:jc w:val="both"/>
        <w:rPr>
          <w:sz w:val="28"/>
          <w:szCs w:val="28"/>
        </w:rPr>
      </w:pPr>
      <w:r w:rsidRPr="008E0B11">
        <w:rPr>
          <w:sz w:val="28"/>
          <w:szCs w:val="28"/>
        </w:rPr>
        <w:t>Trên đây là báo cáo tổng kết việc thi hành Thông tư số 185/2015/TT-BTC ngày 17/11/2015 của Bộ trưởng Bộ Tài chính, Cục Công nghệ thông tin và chuyển đổi số kính báo cáo Lãnh đạo Bộ</w:t>
      </w:r>
      <w:proofErr w:type="gramStart"/>
      <w:r w:rsidRPr="008E0B11">
        <w:rPr>
          <w:sz w:val="28"/>
          <w:szCs w:val="28"/>
        </w:rPr>
        <w:t>./</w:t>
      </w:r>
      <w:proofErr w:type="gramEnd"/>
      <w:r w:rsidRPr="008E0B11">
        <w:rPr>
          <w:sz w:val="28"/>
          <w:szCs w:val="28"/>
        </w:rPr>
        <w:t>.</w:t>
      </w:r>
    </w:p>
    <w:tbl>
      <w:tblPr>
        <w:tblW w:w="9500" w:type="dxa"/>
        <w:tblCellMar>
          <w:left w:w="10" w:type="dxa"/>
          <w:right w:w="10" w:type="dxa"/>
        </w:tblCellMar>
        <w:tblLook w:val="04A0"/>
      </w:tblPr>
      <w:tblGrid>
        <w:gridCol w:w="4600"/>
        <w:gridCol w:w="4900"/>
      </w:tblGrid>
      <w:tr w:rsidR="00E1468F">
        <w:tc>
          <w:tcPr>
            <w:tcW w:w="4600" w:type="dxa"/>
          </w:tcPr>
          <w:p w:rsidR="00E1468F" w:rsidRDefault="00E1468F">
            <w:pPr>
              <w:spacing w:after="110" w:line="320" w:lineRule="auto"/>
              <w:jc w:val="both"/>
            </w:pPr>
          </w:p>
        </w:tc>
        <w:tc>
          <w:tcPr>
            <w:tcW w:w="4900" w:type="dxa"/>
          </w:tcPr>
          <w:p w:rsidR="00E1468F" w:rsidRPr="00781CA8" w:rsidRDefault="004A6A32" w:rsidP="009A18D2">
            <w:pPr>
              <w:spacing w:before="120" w:line="320" w:lineRule="auto"/>
              <w:jc w:val="center"/>
              <w:rPr>
                <w:b/>
                <w:bCs/>
                <w:sz w:val="28"/>
                <w:szCs w:val="28"/>
              </w:rPr>
            </w:pPr>
            <w:r w:rsidRPr="00781CA8">
              <w:rPr>
                <w:b/>
                <w:bCs/>
                <w:sz w:val="28"/>
                <w:szCs w:val="28"/>
              </w:rPr>
              <w:t>CỤC TRƯỞNG</w:t>
            </w:r>
          </w:p>
          <w:p w:rsidR="008E0B11" w:rsidRPr="00781CA8" w:rsidRDefault="008E0B11">
            <w:pPr>
              <w:spacing w:line="320" w:lineRule="auto"/>
              <w:jc w:val="center"/>
              <w:rPr>
                <w:b/>
                <w:bCs/>
                <w:sz w:val="28"/>
                <w:szCs w:val="28"/>
              </w:rPr>
            </w:pPr>
          </w:p>
          <w:p w:rsidR="008E0B11" w:rsidRPr="00781CA8" w:rsidRDefault="008E0B11">
            <w:pPr>
              <w:spacing w:line="320" w:lineRule="auto"/>
              <w:jc w:val="center"/>
              <w:rPr>
                <w:b/>
                <w:bCs/>
                <w:sz w:val="28"/>
                <w:szCs w:val="28"/>
              </w:rPr>
            </w:pPr>
          </w:p>
          <w:p w:rsidR="008E0B11" w:rsidRPr="00781CA8" w:rsidRDefault="008E0B11">
            <w:pPr>
              <w:spacing w:line="320" w:lineRule="auto"/>
              <w:jc w:val="center"/>
              <w:rPr>
                <w:b/>
                <w:bCs/>
                <w:sz w:val="28"/>
                <w:szCs w:val="28"/>
              </w:rPr>
            </w:pPr>
          </w:p>
          <w:p w:rsidR="008E0B11" w:rsidRPr="008E0B11" w:rsidRDefault="008E0B11">
            <w:pPr>
              <w:spacing w:line="320" w:lineRule="auto"/>
              <w:jc w:val="center"/>
              <w:rPr>
                <w:b/>
                <w:bCs/>
              </w:rPr>
            </w:pPr>
            <w:r w:rsidRPr="00781CA8">
              <w:rPr>
                <w:b/>
                <w:bCs/>
                <w:sz w:val="28"/>
                <w:szCs w:val="28"/>
              </w:rPr>
              <w:t>Nguyễn Việt Hà</w:t>
            </w:r>
          </w:p>
        </w:tc>
      </w:tr>
    </w:tbl>
    <w:p w:rsidR="00355E4B" w:rsidRDefault="00355E4B"/>
    <w:p w:rsidR="00355E4B" w:rsidRDefault="00355E4B">
      <w:r>
        <w:br w:type="page"/>
      </w:r>
    </w:p>
    <w:p w:rsidR="00D76480" w:rsidRDefault="00355E4B" w:rsidP="00C74DC0">
      <w:pPr>
        <w:jc w:val="center"/>
        <w:rPr>
          <w:b/>
        </w:rPr>
      </w:pPr>
      <w:r w:rsidRPr="00244801">
        <w:rPr>
          <w:b/>
        </w:rPr>
        <w:lastRenderedPageBreak/>
        <w:t>PHỤ LỤC</w:t>
      </w:r>
      <w:r w:rsidR="00941C04" w:rsidRPr="00244801">
        <w:rPr>
          <w:b/>
        </w:rPr>
        <w:t xml:space="preserve"> I: SỐ LƯỢNG</w:t>
      </w:r>
      <w:r w:rsidR="00244801" w:rsidRPr="00244801">
        <w:rPr>
          <w:b/>
        </w:rPr>
        <w:t xml:space="preserve"> MÃ SỐ</w:t>
      </w:r>
      <w:r w:rsidR="00941C04" w:rsidRPr="00244801">
        <w:rPr>
          <w:b/>
        </w:rPr>
        <w:t xml:space="preserve"> </w:t>
      </w:r>
      <w:r w:rsidR="00244801" w:rsidRPr="00244801">
        <w:rPr>
          <w:b/>
        </w:rPr>
        <w:t xml:space="preserve">ĐÃ CẤP </w:t>
      </w:r>
    </w:p>
    <w:p w:rsidR="002A63EC" w:rsidRPr="00244801" w:rsidRDefault="002A63EC" w:rsidP="00C74DC0">
      <w:pPr>
        <w:jc w:val="center"/>
        <w:rPr>
          <w:b/>
        </w:rPr>
      </w:pPr>
    </w:p>
    <w:tbl>
      <w:tblPr>
        <w:tblW w:w="0" w:type="auto"/>
        <w:tblInd w:w="-147" w:type="dxa"/>
        <w:tblLayout w:type="fixed"/>
        <w:tblLook w:val="04A0"/>
      </w:tblPr>
      <w:tblGrid>
        <w:gridCol w:w="851"/>
        <w:gridCol w:w="4111"/>
        <w:gridCol w:w="2551"/>
        <w:gridCol w:w="1985"/>
      </w:tblGrid>
      <w:tr w:rsidR="00355E4B" w:rsidRPr="00355E4B" w:rsidTr="00CE6014">
        <w:trPr>
          <w:trHeight w:val="398"/>
        </w:trPr>
        <w:tc>
          <w:tcPr>
            <w:tcW w:w="851" w:type="dxa"/>
            <w:vMerge w:val="restart"/>
            <w:tcBorders>
              <w:top w:val="single" w:sz="4" w:space="0" w:color="auto"/>
              <w:left w:val="single" w:sz="4" w:space="0" w:color="auto"/>
              <w:right w:val="single" w:sz="4" w:space="0" w:color="auto"/>
            </w:tcBorders>
            <w:vAlign w:val="center"/>
          </w:tcPr>
          <w:p w:rsidR="00355E4B" w:rsidRPr="00355E4B" w:rsidRDefault="00355E4B" w:rsidP="00355E4B">
            <w:pPr>
              <w:jc w:val="center"/>
              <w:rPr>
                <w:b/>
                <w:bCs/>
                <w:color w:val="000000"/>
                <w:sz w:val="28"/>
                <w:szCs w:val="28"/>
              </w:rPr>
            </w:pPr>
            <w:r>
              <w:rPr>
                <w:b/>
                <w:bCs/>
                <w:color w:val="000000"/>
                <w:sz w:val="28"/>
                <w:szCs w:val="28"/>
              </w:rPr>
              <w:t>STT</w:t>
            </w:r>
          </w:p>
        </w:tc>
        <w:tc>
          <w:tcPr>
            <w:tcW w:w="4111" w:type="dxa"/>
            <w:vMerge w:val="restart"/>
            <w:tcBorders>
              <w:top w:val="single" w:sz="4" w:space="0" w:color="auto"/>
              <w:left w:val="single" w:sz="4" w:space="0" w:color="auto"/>
              <w:bottom w:val="single" w:sz="4" w:space="0" w:color="auto"/>
              <w:right w:val="single" w:sz="4" w:space="0" w:color="auto"/>
            </w:tcBorders>
            <w:noWrap/>
            <w:vAlign w:val="center"/>
            <w:hideMark/>
          </w:tcPr>
          <w:p w:rsidR="00355E4B" w:rsidRPr="00C74DC0" w:rsidRDefault="00355E4B" w:rsidP="00355E4B">
            <w:pPr>
              <w:jc w:val="center"/>
              <w:rPr>
                <w:b/>
                <w:bCs/>
                <w:color w:val="000000"/>
                <w:sz w:val="28"/>
                <w:szCs w:val="28"/>
              </w:rPr>
            </w:pPr>
            <w:r w:rsidRPr="00C74DC0">
              <w:rPr>
                <w:b/>
                <w:bCs/>
                <w:color w:val="000000"/>
                <w:sz w:val="28"/>
                <w:szCs w:val="28"/>
              </w:rPr>
              <w:t>Đơn vị</w:t>
            </w:r>
          </w:p>
        </w:tc>
        <w:tc>
          <w:tcPr>
            <w:tcW w:w="4536" w:type="dxa"/>
            <w:gridSpan w:val="2"/>
            <w:tcBorders>
              <w:top w:val="single" w:sz="4" w:space="0" w:color="auto"/>
              <w:left w:val="nil"/>
              <w:bottom w:val="single" w:sz="4" w:space="0" w:color="auto"/>
              <w:right w:val="single" w:sz="4" w:space="0" w:color="auto"/>
            </w:tcBorders>
            <w:noWrap/>
            <w:vAlign w:val="center"/>
            <w:hideMark/>
          </w:tcPr>
          <w:p w:rsidR="00355E4B" w:rsidRPr="00C74DC0" w:rsidRDefault="00355E4B" w:rsidP="002A63EC">
            <w:pPr>
              <w:jc w:val="center"/>
              <w:rPr>
                <w:b/>
                <w:bCs/>
                <w:color w:val="000000"/>
                <w:sz w:val="28"/>
                <w:szCs w:val="28"/>
              </w:rPr>
            </w:pPr>
            <w:r w:rsidRPr="00C74DC0">
              <w:rPr>
                <w:b/>
                <w:bCs/>
                <w:color w:val="000000"/>
                <w:sz w:val="28"/>
                <w:szCs w:val="28"/>
              </w:rPr>
              <w:t>Số lượng</w:t>
            </w:r>
            <w:r w:rsidR="00244801">
              <w:rPr>
                <w:b/>
                <w:bCs/>
                <w:color w:val="000000"/>
                <w:sz w:val="28"/>
                <w:szCs w:val="28"/>
              </w:rPr>
              <w:t xml:space="preserve"> mã số cấp cho</w:t>
            </w:r>
          </w:p>
        </w:tc>
      </w:tr>
      <w:tr w:rsidR="00355E4B" w:rsidRPr="00355E4B" w:rsidTr="002A63EC">
        <w:trPr>
          <w:trHeight w:val="702"/>
        </w:trPr>
        <w:tc>
          <w:tcPr>
            <w:tcW w:w="851" w:type="dxa"/>
            <w:vMerge/>
            <w:tcBorders>
              <w:left w:val="single" w:sz="4" w:space="0" w:color="auto"/>
              <w:bottom w:val="single" w:sz="4" w:space="0" w:color="auto"/>
              <w:right w:val="single" w:sz="4" w:space="0" w:color="auto"/>
            </w:tcBorders>
          </w:tcPr>
          <w:p w:rsidR="00355E4B" w:rsidRPr="00355E4B" w:rsidRDefault="00355E4B" w:rsidP="00355E4B">
            <w:pPr>
              <w:rPr>
                <w:b/>
                <w:bCs/>
                <w:color w:val="000000"/>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355E4B" w:rsidRPr="00C74DC0" w:rsidRDefault="00355E4B" w:rsidP="00355E4B">
            <w:pPr>
              <w:rPr>
                <w:b/>
                <w:bCs/>
                <w:color w:val="000000"/>
                <w:sz w:val="28"/>
                <w:szCs w:val="28"/>
              </w:rPr>
            </w:pPr>
          </w:p>
        </w:tc>
        <w:tc>
          <w:tcPr>
            <w:tcW w:w="2551" w:type="dxa"/>
            <w:tcBorders>
              <w:top w:val="nil"/>
              <w:left w:val="nil"/>
              <w:bottom w:val="single" w:sz="4" w:space="0" w:color="auto"/>
              <w:right w:val="single" w:sz="4" w:space="0" w:color="auto"/>
            </w:tcBorders>
            <w:vAlign w:val="center"/>
            <w:hideMark/>
          </w:tcPr>
          <w:p w:rsidR="00355E4B" w:rsidRPr="00C74DC0" w:rsidRDefault="00355E4B" w:rsidP="002A63EC">
            <w:pPr>
              <w:jc w:val="center"/>
              <w:rPr>
                <w:b/>
                <w:bCs/>
                <w:color w:val="000000"/>
                <w:sz w:val="28"/>
                <w:szCs w:val="28"/>
              </w:rPr>
            </w:pPr>
            <w:r w:rsidRPr="00C74DC0">
              <w:rPr>
                <w:b/>
                <w:bCs/>
                <w:color w:val="000000"/>
                <w:sz w:val="28"/>
                <w:szCs w:val="28"/>
              </w:rPr>
              <w:t xml:space="preserve">Đơn vị </w:t>
            </w:r>
            <w:r w:rsidR="005E7FB1">
              <w:rPr>
                <w:b/>
                <w:bCs/>
                <w:color w:val="000000"/>
                <w:sz w:val="28"/>
                <w:szCs w:val="28"/>
              </w:rPr>
              <w:t>dự toán</w:t>
            </w:r>
            <w:bookmarkStart w:id="2" w:name="_GoBack"/>
            <w:bookmarkEnd w:id="2"/>
            <w:r w:rsidR="00244801">
              <w:rPr>
                <w:b/>
                <w:bCs/>
                <w:color w:val="000000"/>
                <w:sz w:val="28"/>
                <w:szCs w:val="28"/>
              </w:rPr>
              <w:t xml:space="preserve">, đơn vị </w:t>
            </w:r>
            <w:r w:rsidRPr="00C74DC0">
              <w:rPr>
                <w:b/>
                <w:bCs/>
                <w:color w:val="000000"/>
                <w:sz w:val="28"/>
                <w:szCs w:val="28"/>
              </w:rPr>
              <w:t>sử dụng ngân sách</w:t>
            </w:r>
          </w:p>
        </w:tc>
        <w:tc>
          <w:tcPr>
            <w:tcW w:w="1985" w:type="dxa"/>
            <w:tcBorders>
              <w:top w:val="nil"/>
              <w:left w:val="nil"/>
              <w:bottom w:val="single" w:sz="4" w:space="0" w:color="auto"/>
              <w:right w:val="single" w:sz="4" w:space="0" w:color="auto"/>
            </w:tcBorders>
            <w:noWrap/>
            <w:vAlign w:val="center"/>
            <w:hideMark/>
          </w:tcPr>
          <w:p w:rsidR="00355E4B" w:rsidRPr="00C74DC0" w:rsidRDefault="00355E4B" w:rsidP="002A63EC">
            <w:pPr>
              <w:jc w:val="center"/>
              <w:rPr>
                <w:b/>
                <w:bCs/>
                <w:color w:val="000000"/>
                <w:sz w:val="28"/>
                <w:szCs w:val="28"/>
              </w:rPr>
            </w:pPr>
            <w:r w:rsidRPr="00C74DC0">
              <w:rPr>
                <w:b/>
                <w:bCs/>
                <w:color w:val="000000"/>
                <w:sz w:val="28"/>
                <w:szCs w:val="28"/>
              </w:rPr>
              <w:t xml:space="preserve">Dự án </w:t>
            </w:r>
            <w:r w:rsidR="00244801">
              <w:rPr>
                <w:b/>
                <w:bCs/>
                <w:color w:val="000000"/>
                <w:sz w:val="28"/>
                <w:szCs w:val="28"/>
              </w:rPr>
              <w:t>đầu tư</w:t>
            </w:r>
          </w:p>
        </w:tc>
      </w:tr>
      <w:tr w:rsidR="00244801" w:rsidRPr="00355E4B" w:rsidTr="002A63EC">
        <w:trPr>
          <w:trHeight w:val="315"/>
        </w:trPr>
        <w:tc>
          <w:tcPr>
            <w:tcW w:w="851" w:type="dxa"/>
            <w:tcBorders>
              <w:top w:val="nil"/>
              <w:left w:val="single" w:sz="4" w:space="0" w:color="auto"/>
              <w:bottom w:val="single" w:sz="4" w:space="0" w:color="auto"/>
              <w:right w:val="single" w:sz="4" w:space="0" w:color="auto"/>
            </w:tcBorders>
          </w:tcPr>
          <w:p w:rsidR="00244801" w:rsidRPr="00C74DC0" w:rsidRDefault="00244801" w:rsidP="00244801">
            <w:pPr>
              <w:pStyle w:val="ListParagraph"/>
              <w:ind w:left="720"/>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tcPr>
          <w:p w:rsidR="00244801" w:rsidRPr="00244801" w:rsidRDefault="00244801" w:rsidP="00355E4B">
            <w:pPr>
              <w:rPr>
                <w:b/>
                <w:bCs/>
                <w:color w:val="000000"/>
                <w:sz w:val="28"/>
                <w:szCs w:val="28"/>
              </w:rPr>
            </w:pPr>
            <w:r w:rsidRPr="00244801">
              <w:rPr>
                <w:b/>
                <w:bCs/>
                <w:color w:val="000000"/>
                <w:sz w:val="28"/>
                <w:szCs w:val="28"/>
              </w:rPr>
              <w:t>Tổng số mã số đã cấp</w:t>
            </w:r>
            <w:r>
              <w:rPr>
                <w:b/>
                <w:bCs/>
                <w:color w:val="000000"/>
                <w:sz w:val="28"/>
                <w:szCs w:val="28"/>
              </w:rPr>
              <w:t xml:space="preserve">: </w:t>
            </w:r>
            <w:r w:rsidRPr="00244801">
              <w:rPr>
                <w:b/>
                <w:bCs/>
                <w:sz w:val="28"/>
                <w:szCs w:val="28"/>
              </w:rPr>
              <w:t>1.421.983</w:t>
            </w:r>
            <w:r>
              <w:rPr>
                <w:b/>
                <w:bCs/>
                <w:sz w:val="28"/>
                <w:szCs w:val="28"/>
              </w:rPr>
              <w:t xml:space="preserve"> </w:t>
            </w:r>
          </w:p>
        </w:tc>
        <w:tc>
          <w:tcPr>
            <w:tcW w:w="2551" w:type="dxa"/>
            <w:tcBorders>
              <w:top w:val="nil"/>
              <w:left w:val="nil"/>
              <w:bottom w:val="single" w:sz="4" w:space="0" w:color="auto"/>
              <w:right w:val="single" w:sz="4" w:space="0" w:color="auto"/>
            </w:tcBorders>
            <w:noWrap/>
            <w:vAlign w:val="bottom"/>
          </w:tcPr>
          <w:p w:rsidR="00244801" w:rsidRPr="00CE6014" w:rsidRDefault="00CE6014" w:rsidP="002A63EC">
            <w:pPr>
              <w:jc w:val="center"/>
              <w:rPr>
                <w:b/>
                <w:bCs/>
                <w:color w:val="000000"/>
              </w:rPr>
            </w:pPr>
            <w:r w:rsidRPr="00CE6014">
              <w:rPr>
                <w:b/>
                <w:bCs/>
                <w:color w:val="000000"/>
              </w:rPr>
              <w:t>211.256</w:t>
            </w:r>
          </w:p>
        </w:tc>
        <w:tc>
          <w:tcPr>
            <w:tcW w:w="1985" w:type="dxa"/>
            <w:tcBorders>
              <w:top w:val="nil"/>
              <w:left w:val="nil"/>
              <w:bottom w:val="single" w:sz="4" w:space="0" w:color="auto"/>
              <w:right w:val="single" w:sz="4" w:space="0" w:color="auto"/>
            </w:tcBorders>
            <w:noWrap/>
            <w:vAlign w:val="bottom"/>
          </w:tcPr>
          <w:p w:rsidR="00244801" w:rsidRPr="00CE6014" w:rsidRDefault="00CE6014" w:rsidP="002A63EC">
            <w:pPr>
              <w:jc w:val="center"/>
              <w:rPr>
                <w:b/>
                <w:bCs/>
                <w:color w:val="000000"/>
              </w:rPr>
            </w:pPr>
            <w:r w:rsidRPr="00CE6014">
              <w:rPr>
                <w:b/>
                <w:bCs/>
                <w:color w:val="000000"/>
              </w:rPr>
              <w:t>1.210.727</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Bộ Tài Chính</w:t>
            </w:r>
            <w:r w:rsidR="00244801">
              <w:rPr>
                <w:color w:val="000000"/>
                <w:sz w:val="28"/>
                <w:szCs w:val="28"/>
              </w:rPr>
              <w:t xml:space="preserve"> (Cục CNTT&amp;CĐS)</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17.139</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13.072</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Thái Nguyên</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5.172</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41.191</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Lai Châu</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2.026</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9.529</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TP. Hồ Chí Minh</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11.165</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54.134</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Tây Ninh</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4.527</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35.314</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Đăk Lăk</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5.441</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25.198</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Thành phố Huế</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2.856</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34.751</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Thanh Hoá</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8.265</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31.492</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Lâm Đồng</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7.111</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54.679</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Gia Lai</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7.258</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73.258</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Cần Thơ</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6.178</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29.930</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Bắc Ninh</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4.693</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23.190</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Cà Mau</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4.130</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53.579</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Thành phố Đà Nẵng</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6.265</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52.066</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Hải Phòng</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5.941</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23.585</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Ninh Bình</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6.905</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36.465</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Hà Nội</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7.667</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52.412</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Hà Tĩnh</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5.806</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42.155</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Cao Bằng</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2.829</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12.423</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Hưng Yên</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4.299</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25.794</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Lào Cai</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6.140</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42.343</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Vĩnh Long</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7.069</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26.256</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Tuyên Quang</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6.370</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30.876</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Quảng Ngãi</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6.416</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41.666</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Phú Thọ</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12.344</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65.511</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Nghệ An</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6.155</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53.217</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Quảng Ninh</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3.064</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20.277</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Quảng Trị</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6.966</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38.042</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An Giang</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6.235</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35.513</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Khánh Hoà</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4.255</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35.081</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Điện Biên</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2.182</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8.623</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Lạng Sơn</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3.156</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10.521</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Đồng Nai</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5.731</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23.330</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Đồng Tháp</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5.462</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29.171</w:t>
            </w:r>
          </w:p>
        </w:tc>
      </w:tr>
      <w:tr w:rsidR="00355E4B" w:rsidRPr="00355E4B" w:rsidTr="002A63EC">
        <w:trPr>
          <w:trHeight w:val="315"/>
        </w:trPr>
        <w:tc>
          <w:tcPr>
            <w:tcW w:w="851" w:type="dxa"/>
            <w:tcBorders>
              <w:top w:val="nil"/>
              <w:left w:val="single" w:sz="4" w:space="0" w:color="auto"/>
              <w:bottom w:val="single" w:sz="4" w:space="0" w:color="auto"/>
              <w:right w:val="single" w:sz="4" w:space="0" w:color="auto"/>
            </w:tcBorders>
          </w:tcPr>
          <w:p w:rsidR="00355E4B" w:rsidRPr="00C74DC0" w:rsidRDefault="00355E4B" w:rsidP="00C74DC0">
            <w:pPr>
              <w:pStyle w:val="ListParagraph"/>
              <w:numPr>
                <w:ilvl w:val="0"/>
                <w:numId w:val="2"/>
              </w:numPr>
              <w:rPr>
                <w:color w:val="000000"/>
                <w:sz w:val="28"/>
                <w:szCs w:val="28"/>
              </w:rPr>
            </w:pPr>
          </w:p>
        </w:tc>
        <w:tc>
          <w:tcPr>
            <w:tcW w:w="4111" w:type="dxa"/>
            <w:tcBorders>
              <w:top w:val="nil"/>
              <w:left w:val="single" w:sz="4" w:space="0" w:color="auto"/>
              <w:bottom w:val="single" w:sz="4" w:space="0" w:color="auto"/>
              <w:right w:val="single" w:sz="4" w:space="0" w:color="auto"/>
            </w:tcBorders>
            <w:noWrap/>
            <w:vAlign w:val="bottom"/>
            <w:hideMark/>
          </w:tcPr>
          <w:p w:rsidR="00355E4B" w:rsidRPr="00C74DC0" w:rsidRDefault="00355E4B" w:rsidP="00355E4B">
            <w:pPr>
              <w:rPr>
                <w:color w:val="000000"/>
                <w:sz w:val="28"/>
                <w:szCs w:val="28"/>
              </w:rPr>
            </w:pPr>
            <w:r w:rsidRPr="00C74DC0">
              <w:rPr>
                <w:color w:val="000000"/>
                <w:sz w:val="28"/>
                <w:szCs w:val="28"/>
              </w:rPr>
              <w:t>Sở Tài chính Sơn La</w:t>
            </w:r>
          </w:p>
        </w:tc>
        <w:tc>
          <w:tcPr>
            <w:tcW w:w="2551"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4.038</w:t>
            </w:r>
          </w:p>
        </w:tc>
        <w:tc>
          <w:tcPr>
            <w:tcW w:w="1985" w:type="dxa"/>
            <w:tcBorders>
              <w:top w:val="nil"/>
              <w:left w:val="nil"/>
              <w:bottom w:val="single" w:sz="4" w:space="0" w:color="auto"/>
              <w:right w:val="single" w:sz="4" w:space="0" w:color="auto"/>
            </w:tcBorders>
            <w:noWrap/>
            <w:vAlign w:val="bottom"/>
            <w:hideMark/>
          </w:tcPr>
          <w:p w:rsidR="00355E4B" w:rsidRPr="00C74DC0" w:rsidRDefault="00355E4B" w:rsidP="002A63EC">
            <w:pPr>
              <w:jc w:val="center"/>
              <w:rPr>
                <w:color w:val="000000"/>
                <w:sz w:val="28"/>
                <w:szCs w:val="28"/>
              </w:rPr>
            </w:pPr>
            <w:r>
              <w:rPr>
                <w:color w:val="000000"/>
              </w:rPr>
              <w:t>26.083</w:t>
            </w:r>
          </w:p>
        </w:tc>
      </w:tr>
    </w:tbl>
    <w:p w:rsidR="00355E4B" w:rsidRPr="00355E4B" w:rsidRDefault="00355E4B"/>
    <w:sectPr w:rsidR="00355E4B" w:rsidRPr="00355E4B" w:rsidSect="00781CA8">
      <w:footerReference w:type="default" r:id="rId8"/>
      <w:pgSz w:w="11906" w:h="16838" w:code="9"/>
      <w:pgMar w:top="1134" w:right="1134" w:bottom="1134" w:left="1701"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6B8" w:rsidRDefault="005636B8" w:rsidP="00CE6014">
      <w:r>
        <w:separator/>
      </w:r>
    </w:p>
  </w:endnote>
  <w:endnote w:type="continuationSeparator" w:id="0">
    <w:p w:rsidR="005636B8" w:rsidRDefault="005636B8" w:rsidP="00CE60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5390032"/>
      <w:docPartObj>
        <w:docPartGallery w:val="Page Numbers (Bottom of Page)"/>
        <w:docPartUnique/>
      </w:docPartObj>
    </w:sdtPr>
    <w:sdtEndPr>
      <w:rPr>
        <w:noProof/>
      </w:rPr>
    </w:sdtEndPr>
    <w:sdtContent>
      <w:p w:rsidR="00CE6014" w:rsidRDefault="00FB3414">
        <w:pPr>
          <w:pStyle w:val="Footer"/>
          <w:jc w:val="center"/>
        </w:pPr>
        <w:r>
          <w:fldChar w:fldCharType="begin"/>
        </w:r>
        <w:r w:rsidR="00CE6014">
          <w:instrText xml:space="preserve"> PAGE   \* MERGEFORMAT </w:instrText>
        </w:r>
        <w:r>
          <w:fldChar w:fldCharType="separate"/>
        </w:r>
        <w:r w:rsidR="00C03FEB">
          <w:rPr>
            <w:noProof/>
          </w:rPr>
          <w:t>1</w:t>
        </w:r>
        <w:r>
          <w:rPr>
            <w:noProof/>
          </w:rPr>
          <w:fldChar w:fldCharType="end"/>
        </w:r>
      </w:p>
    </w:sdtContent>
  </w:sdt>
  <w:p w:rsidR="00CE6014" w:rsidRDefault="00CE60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6B8" w:rsidRDefault="005636B8" w:rsidP="00CE6014">
      <w:r>
        <w:separator/>
      </w:r>
    </w:p>
  </w:footnote>
  <w:footnote w:type="continuationSeparator" w:id="0">
    <w:p w:rsidR="005636B8" w:rsidRDefault="005636B8" w:rsidP="00CE60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E747C"/>
    <w:multiLevelType w:val="hybridMultilevel"/>
    <w:tmpl w:val="7004BB74"/>
    <w:lvl w:ilvl="0" w:tplc="1BDC2922">
      <w:start w:val="2"/>
      <w:numFmt w:val="bullet"/>
      <w:lvlText w:val="-"/>
      <w:lvlJc w:val="left"/>
      <w:pPr>
        <w:ind w:left="7514" w:hanging="360"/>
      </w:pPr>
      <w:rPr>
        <w:rFonts w:ascii="Times New Roman" w:eastAsia="Times New Roman" w:hAnsi="Times New Roman" w:cs="Times New Roman" w:hint="default"/>
      </w:rPr>
    </w:lvl>
    <w:lvl w:ilvl="1" w:tplc="0C000003" w:tentative="1">
      <w:start w:val="1"/>
      <w:numFmt w:val="bullet"/>
      <w:lvlText w:val="o"/>
      <w:lvlJc w:val="left"/>
      <w:pPr>
        <w:ind w:left="8234" w:hanging="360"/>
      </w:pPr>
      <w:rPr>
        <w:rFonts w:ascii="Courier New" w:hAnsi="Courier New" w:cs="Courier New" w:hint="default"/>
      </w:rPr>
    </w:lvl>
    <w:lvl w:ilvl="2" w:tplc="0C000005" w:tentative="1">
      <w:start w:val="1"/>
      <w:numFmt w:val="bullet"/>
      <w:lvlText w:val=""/>
      <w:lvlJc w:val="left"/>
      <w:pPr>
        <w:ind w:left="8954" w:hanging="360"/>
      </w:pPr>
      <w:rPr>
        <w:rFonts w:ascii="Wingdings" w:hAnsi="Wingdings" w:hint="default"/>
      </w:rPr>
    </w:lvl>
    <w:lvl w:ilvl="3" w:tplc="0C000001" w:tentative="1">
      <w:start w:val="1"/>
      <w:numFmt w:val="bullet"/>
      <w:lvlText w:val=""/>
      <w:lvlJc w:val="left"/>
      <w:pPr>
        <w:ind w:left="9674" w:hanging="360"/>
      </w:pPr>
      <w:rPr>
        <w:rFonts w:ascii="Symbol" w:hAnsi="Symbol" w:hint="default"/>
      </w:rPr>
    </w:lvl>
    <w:lvl w:ilvl="4" w:tplc="0C000003" w:tentative="1">
      <w:start w:val="1"/>
      <w:numFmt w:val="bullet"/>
      <w:lvlText w:val="o"/>
      <w:lvlJc w:val="left"/>
      <w:pPr>
        <w:ind w:left="10394" w:hanging="360"/>
      </w:pPr>
      <w:rPr>
        <w:rFonts w:ascii="Courier New" w:hAnsi="Courier New" w:cs="Courier New" w:hint="default"/>
      </w:rPr>
    </w:lvl>
    <w:lvl w:ilvl="5" w:tplc="0C000005" w:tentative="1">
      <w:start w:val="1"/>
      <w:numFmt w:val="bullet"/>
      <w:lvlText w:val=""/>
      <w:lvlJc w:val="left"/>
      <w:pPr>
        <w:ind w:left="11114" w:hanging="360"/>
      </w:pPr>
      <w:rPr>
        <w:rFonts w:ascii="Wingdings" w:hAnsi="Wingdings" w:hint="default"/>
      </w:rPr>
    </w:lvl>
    <w:lvl w:ilvl="6" w:tplc="0C000001" w:tentative="1">
      <w:start w:val="1"/>
      <w:numFmt w:val="bullet"/>
      <w:lvlText w:val=""/>
      <w:lvlJc w:val="left"/>
      <w:pPr>
        <w:ind w:left="11834" w:hanging="360"/>
      </w:pPr>
      <w:rPr>
        <w:rFonts w:ascii="Symbol" w:hAnsi="Symbol" w:hint="default"/>
      </w:rPr>
    </w:lvl>
    <w:lvl w:ilvl="7" w:tplc="0C000003" w:tentative="1">
      <w:start w:val="1"/>
      <w:numFmt w:val="bullet"/>
      <w:lvlText w:val="o"/>
      <w:lvlJc w:val="left"/>
      <w:pPr>
        <w:ind w:left="12554" w:hanging="360"/>
      </w:pPr>
      <w:rPr>
        <w:rFonts w:ascii="Courier New" w:hAnsi="Courier New" w:cs="Courier New" w:hint="default"/>
      </w:rPr>
    </w:lvl>
    <w:lvl w:ilvl="8" w:tplc="0C000005" w:tentative="1">
      <w:start w:val="1"/>
      <w:numFmt w:val="bullet"/>
      <w:lvlText w:val=""/>
      <w:lvlJc w:val="left"/>
      <w:pPr>
        <w:ind w:left="13274" w:hanging="360"/>
      </w:pPr>
      <w:rPr>
        <w:rFonts w:ascii="Wingdings" w:hAnsi="Wingdings" w:hint="default"/>
      </w:rPr>
    </w:lvl>
  </w:abstractNum>
  <w:abstractNum w:abstractNumId="1">
    <w:nsid w:val="22915889"/>
    <w:multiLevelType w:val="multilevel"/>
    <w:tmpl w:val="AE4AD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904BC0"/>
    <w:multiLevelType w:val="hybridMultilevel"/>
    <w:tmpl w:val="216A311C"/>
    <w:lvl w:ilvl="0" w:tplc="7B92EBF0">
      <w:start w:val="1"/>
      <w:numFmt w:val="bullet"/>
      <w:lvlText w:val="●"/>
      <w:lvlJc w:val="left"/>
      <w:pPr>
        <w:ind w:left="720" w:hanging="360"/>
      </w:pPr>
    </w:lvl>
    <w:lvl w:ilvl="1" w:tplc="1CA42F3C">
      <w:start w:val="1"/>
      <w:numFmt w:val="bullet"/>
      <w:lvlText w:val="○"/>
      <w:lvlJc w:val="left"/>
      <w:pPr>
        <w:ind w:left="1440" w:hanging="360"/>
      </w:pPr>
    </w:lvl>
    <w:lvl w:ilvl="2" w:tplc="6B8A06D4">
      <w:start w:val="1"/>
      <w:numFmt w:val="bullet"/>
      <w:lvlText w:val="■"/>
      <w:lvlJc w:val="left"/>
      <w:pPr>
        <w:ind w:left="2160" w:hanging="360"/>
      </w:pPr>
    </w:lvl>
    <w:lvl w:ilvl="3" w:tplc="4012780A">
      <w:start w:val="1"/>
      <w:numFmt w:val="bullet"/>
      <w:lvlText w:val="●"/>
      <w:lvlJc w:val="left"/>
      <w:pPr>
        <w:ind w:left="2880" w:hanging="360"/>
      </w:pPr>
    </w:lvl>
    <w:lvl w:ilvl="4" w:tplc="858A8718">
      <w:start w:val="1"/>
      <w:numFmt w:val="bullet"/>
      <w:lvlText w:val="○"/>
      <w:lvlJc w:val="left"/>
      <w:pPr>
        <w:ind w:left="3600" w:hanging="360"/>
      </w:pPr>
    </w:lvl>
    <w:lvl w:ilvl="5" w:tplc="08C249BE">
      <w:start w:val="1"/>
      <w:numFmt w:val="bullet"/>
      <w:lvlText w:val="■"/>
      <w:lvlJc w:val="left"/>
      <w:pPr>
        <w:ind w:left="4320" w:hanging="360"/>
      </w:pPr>
    </w:lvl>
    <w:lvl w:ilvl="6" w:tplc="655E294C">
      <w:start w:val="1"/>
      <w:numFmt w:val="bullet"/>
      <w:lvlText w:val="●"/>
      <w:lvlJc w:val="left"/>
      <w:pPr>
        <w:ind w:left="5040" w:hanging="360"/>
      </w:pPr>
    </w:lvl>
    <w:lvl w:ilvl="7" w:tplc="BBF667FC">
      <w:start w:val="1"/>
      <w:numFmt w:val="bullet"/>
      <w:lvlText w:val="●"/>
      <w:lvlJc w:val="left"/>
      <w:pPr>
        <w:ind w:left="5760" w:hanging="360"/>
      </w:pPr>
    </w:lvl>
    <w:lvl w:ilvl="8" w:tplc="D01C73F4">
      <w:start w:val="1"/>
      <w:numFmt w:val="bullet"/>
      <w:lvlText w:val="●"/>
      <w:lvlJc w:val="left"/>
      <w:pPr>
        <w:ind w:left="6480" w:hanging="360"/>
      </w:pPr>
    </w:lvl>
  </w:abstractNum>
  <w:abstractNum w:abstractNumId="3">
    <w:nsid w:val="3D1D5449"/>
    <w:multiLevelType w:val="hybridMultilevel"/>
    <w:tmpl w:val="87FE9754"/>
    <w:lvl w:ilvl="0" w:tplc="0D5E48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F67C17"/>
    <w:multiLevelType w:val="multilevel"/>
    <w:tmpl w:val="952E90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itka Text" w:hAnsi="Sitka Text"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proofState w:grammar="clean"/>
  <w:documentProtection w:edit="trackedChanges" w:enforcement="0"/>
  <w:defaultTabStop w:val="720"/>
  <w:characterSpacingControl w:val="doNotCompress"/>
  <w:footnotePr>
    <w:footnote w:id="-1"/>
    <w:footnote w:id="0"/>
  </w:footnotePr>
  <w:endnotePr>
    <w:endnote w:id="-1"/>
    <w:endnote w:id="0"/>
  </w:endnotePr>
  <w:compat/>
  <w:rsids>
    <w:rsidRoot w:val="00E1468F"/>
    <w:rsid w:val="00074D13"/>
    <w:rsid w:val="000B627B"/>
    <w:rsid w:val="00140BB6"/>
    <w:rsid w:val="001E7A09"/>
    <w:rsid w:val="00217E5D"/>
    <w:rsid w:val="00244801"/>
    <w:rsid w:val="00296176"/>
    <w:rsid w:val="002A63EC"/>
    <w:rsid w:val="00355E4B"/>
    <w:rsid w:val="00382902"/>
    <w:rsid w:val="00424783"/>
    <w:rsid w:val="0045095D"/>
    <w:rsid w:val="004A6A32"/>
    <w:rsid w:val="004C2D73"/>
    <w:rsid w:val="00511AD4"/>
    <w:rsid w:val="005636B8"/>
    <w:rsid w:val="005E7FB1"/>
    <w:rsid w:val="006569F8"/>
    <w:rsid w:val="006E16BF"/>
    <w:rsid w:val="00736658"/>
    <w:rsid w:val="00742DF8"/>
    <w:rsid w:val="00750195"/>
    <w:rsid w:val="00781CA8"/>
    <w:rsid w:val="00792FD8"/>
    <w:rsid w:val="00805B34"/>
    <w:rsid w:val="008138DE"/>
    <w:rsid w:val="00816B4D"/>
    <w:rsid w:val="00836EB2"/>
    <w:rsid w:val="008E0B11"/>
    <w:rsid w:val="008E36F4"/>
    <w:rsid w:val="008E3E66"/>
    <w:rsid w:val="00941C04"/>
    <w:rsid w:val="009A18D2"/>
    <w:rsid w:val="00A96B51"/>
    <w:rsid w:val="00C03FEB"/>
    <w:rsid w:val="00C60A41"/>
    <w:rsid w:val="00C74DC0"/>
    <w:rsid w:val="00CE6014"/>
    <w:rsid w:val="00D76480"/>
    <w:rsid w:val="00DA4430"/>
    <w:rsid w:val="00E1468F"/>
    <w:rsid w:val="00E3179F"/>
    <w:rsid w:val="00FA059E"/>
    <w:rsid w:val="00FB34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414"/>
  </w:style>
  <w:style w:type="paragraph" w:styleId="Heading1">
    <w:name w:val="heading 1"/>
    <w:uiPriority w:val="9"/>
    <w:qFormat/>
    <w:rsid w:val="00FB3414"/>
    <w:pPr>
      <w:outlineLvl w:val="0"/>
    </w:pPr>
    <w:rPr>
      <w:color w:val="2E74B5"/>
      <w:sz w:val="32"/>
      <w:szCs w:val="32"/>
    </w:rPr>
  </w:style>
  <w:style w:type="paragraph" w:styleId="Heading2">
    <w:name w:val="heading 2"/>
    <w:uiPriority w:val="9"/>
    <w:semiHidden/>
    <w:unhideWhenUsed/>
    <w:qFormat/>
    <w:rsid w:val="00FB3414"/>
    <w:pPr>
      <w:outlineLvl w:val="1"/>
    </w:pPr>
    <w:rPr>
      <w:color w:val="2E74B5"/>
    </w:rPr>
  </w:style>
  <w:style w:type="paragraph" w:styleId="Heading3">
    <w:name w:val="heading 3"/>
    <w:uiPriority w:val="9"/>
    <w:semiHidden/>
    <w:unhideWhenUsed/>
    <w:qFormat/>
    <w:rsid w:val="00FB3414"/>
    <w:pPr>
      <w:outlineLvl w:val="2"/>
    </w:pPr>
    <w:rPr>
      <w:color w:val="1F4D78"/>
      <w:sz w:val="24"/>
      <w:szCs w:val="24"/>
    </w:rPr>
  </w:style>
  <w:style w:type="paragraph" w:styleId="Heading4">
    <w:name w:val="heading 4"/>
    <w:uiPriority w:val="9"/>
    <w:semiHidden/>
    <w:unhideWhenUsed/>
    <w:qFormat/>
    <w:rsid w:val="00FB3414"/>
    <w:pPr>
      <w:outlineLvl w:val="3"/>
    </w:pPr>
    <w:rPr>
      <w:i/>
      <w:iCs/>
      <w:color w:val="2E74B5"/>
    </w:rPr>
  </w:style>
  <w:style w:type="paragraph" w:styleId="Heading5">
    <w:name w:val="heading 5"/>
    <w:uiPriority w:val="9"/>
    <w:semiHidden/>
    <w:unhideWhenUsed/>
    <w:qFormat/>
    <w:rsid w:val="00FB3414"/>
    <w:pPr>
      <w:outlineLvl w:val="4"/>
    </w:pPr>
    <w:rPr>
      <w:color w:val="2E74B5"/>
    </w:rPr>
  </w:style>
  <w:style w:type="paragraph" w:styleId="Heading6">
    <w:name w:val="heading 6"/>
    <w:uiPriority w:val="9"/>
    <w:semiHidden/>
    <w:unhideWhenUsed/>
    <w:qFormat/>
    <w:rsid w:val="00FB3414"/>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FB3414"/>
    <w:rPr>
      <w:sz w:val="56"/>
      <w:szCs w:val="56"/>
    </w:rPr>
  </w:style>
  <w:style w:type="paragraph" w:customStyle="1" w:styleId="Strong1">
    <w:name w:val="Strong1"/>
    <w:qFormat/>
    <w:rsid w:val="00FB3414"/>
    <w:rPr>
      <w:b/>
      <w:bCs/>
    </w:rPr>
  </w:style>
  <w:style w:type="paragraph" w:styleId="ListParagraph">
    <w:name w:val="List Paragraph"/>
    <w:qFormat/>
    <w:rsid w:val="00FB3414"/>
  </w:style>
  <w:style w:type="character" w:styleId="Hyperlink">
    <w:name w:val="Hyperlink"/>
    <w:uiPriority w:val="99"/>
    <w:unhideWhenUsed/>
    <w:rsid w:val="00FB3414"/>
    <w:rPr>
      <w:color w:val="0563C1"/>
      <w:u w:val="single"/>
    </w:rPr>
  </w:style>
  <w:style w:type="character" w:styleId="FootnoteReference">
    <w:name w:val="footnote reference"/>
    <w:uiPriority w:val="99"/>
    <w:semiHidden/>
    <w:unhideWhenUsed/>
    <w:rsid w:val="00FB3414"/>
    <w:rPr>
      <w:vertAlign w:val="superscript"/>
    </w:rPr>
  </w:style>
  <w:style w:type="paragraph" w:styleId="FootnoteText">
    <w:name w:val="footnote text"/>
    <w:link w:val="FootnoteTextChar"/>
    <w:uiPriority w:val="99"/>
    <w:semiHidden/>
    <w:unhideWhenUsed/>
    <w:rsid w:val="00FB3414"/>
    <w:rPr>
      <w:sz w:val="20"/>
      <w:szCs w:val="20"/>
    </w:rPr>
  </w:style>
  <w:style w:type="character" w:customStyle="1" w:styleId="FootnoteTextChar">
    <w:name w:val="Footnote Text Char"/>
    <w:link w:val="FootnoteText"/>
    <w:uiPriority w:val="99"/>
    <w:semiHidden/>
    <w:unhideWhenUsed/>
    <w:rsid w:val="00FB3414"/>
    <w:rPr>
      <w:sz w:val="20"/>
      <w:szCs w:val="20"/>
    </w:rPr>
  </w:style>
  <w:style w:type="character" w:styleId="EndnoteReference">
    <w:name w:val="endnote reference"/>
    <w:uiPriority w:val="99"/>
    <w:semiHidden/>
    <w:unhideWhenUsed/>
    <w:rsid w:val="00FB3414"/>
    <w:rPr>
      <w:vertAlign w:val="superscript"/>
    </w:rPr>
  </w:style>
  <w:style w:type="paragraph" w:styleId="EndnoteText">
    <w:name w:val="endnote text"/>
    <w:link w:val="EndnoteTextChar"/>
    <w:uiPriority w:val="99"/>
    <w:semiHidden/>
    <w:unhideWhenUsed/>
    <w:rsid w:val="00FB3414"/>
    <w:rPr>
      <w:sz w:val="20"/>
      <w:szCs w:val="20"/>
    </w:rPr>
  </w:style>
  <w:style w:type="character" w:customStyle="1" w:styleId="EndnoteTextChar">
    <w:name w:val="Endnote Text Char"/>
    <w:link w:val="EndnoteText"/>
    <w:uiPriority w:val="99"/>
    <w:semiHidden/>
    <w:unhideWhenUsed/>
    <w:rsid w:val="00FB3414"/>
    <w:rPr>
      <w:sz w:val="20"/>
      <w:szCs w:val="20"/>
    </w:rPr>
  </w:style>
  <w:style w:type="character" w:styleId="CommentReference">
    <w:name w:val="annotation reference"/>
    <w:basedOn w:val="DefaultParagraphFont"/>
    <w:uiPriority w:val="99"/>
    <w:semiHidden/>
    <w:unhideWhenUsed/>
    <w:rsid w:val="004C2D73"/>
    <w:rPr>
      <w:sz w:val="16"/>
      <w:szCs w:val="16"/>
    </w:rPr>
  </w:style>
  <w:style w:type="paragraph" w:styleId="CommentText">
    <w:name w:val="annotation text"/>
    <w:basedOn w:val="Normal"/>
    <w:link w:val="CommentTextChar"/>
    <w:uiPriority w:val="99"/>
    <w:semiHidden/>
    <w:unhideWhenUsed/>
    <w:rsid w:val="004C2D73"/>
    <w:rPr>
      <w:sz w:val="20"/>
      <w:szCs w:val="20"/>
    </w:rPr>
  </w:style>
  <w:style w:type="character" w:customStyle="1" w:styleId="CommentTextChar">
    <w:name w:val="Comment Text Char"/>
    <w:basedOn w:val="DefaultParagraphFont"/>
    <w:link w:val="CommentText"/>
    <w:uiPriority w:val="99"/>
    <w:semiHidden/>
    <w:rsid w:val="004C2D73"/>
    <w:rPr>
      <w:sz w:val="20"/>
      <w:szCs w:val="20"/>
    </w:rPr>
  </w:style>
  <w:style w:type="paragraph" w:styleId="CommentSubject">
    <w:name w:val="annotation subject"/>
    <w:basedOn w:val="CommentText"/>
    <w:next w:val="CommentText"/>
    <w:link w:val="CommentSubjectChar"/>
    <w:uiPriority w:val="99"/>
    <w:semiHidden/>
    <w:unhideWhenUsed/>
    <w:rsid w:val="004C2D73"/>
    <w:rPr>
      <w:b/>
      <w:bCs/>
    </w:rPr>
  </w:style>
  <w:style w:type="character" w:customStyle="1" w:styleId="CommentSubjectChar">
    <w:name w:val="Comment Subject Char"/>
    <w:basedOn w:val="CommentTextChar"/>
    <w:link w:val="CommentSubject"/>
    <w:uiPriority w:val="99"/>
    <w:semiHidden/>
    <w:rsid w:val="004C2D73"/>
    <w:rPr>
      <w:b/>
      <w:bCs/>
      <w:sz w:val="20"/>
      <w:szCs w:val="20"/>
    </w:rPr>
  </w:style>
  <w:style w:type="paragraph" w:styleId="BalloonText">
    <w:name w:val="Balloon Text"/>
    <w:basedOn w:val="Normal"/>
    <w:link w:val="BalloonTextChar"/>
    <w:uiPriority w:val="99"/>
    <w:semiHidden/>
    <w:unhideWhenUsed/>
    <w:rsid w:val="00074D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D13"/>
    <w:rPr>
      <w:rFonts w:ascii="Segoe UI" w:hAnsi="Segoe UI" w:cs="Segoe UI"/>
      <w:sz w:val="18"/>
      <w:szCs w:val="18"/>
    </w:rPr>
  </w:style>
  <w:style w:type="table" w:styleId="TableGrid">
    <w:name w:val="Table Grid"/>
    <w:basedOn w:val="TableNormal"/>
    <w:uiPriority w:val="39"/>
    <w:rsid w:val="00074D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244801"/>
  </w:style>
  <w:style w:type="paragraph" w:styleId="Header">
    <w:name w:val="header"/>
    <w:basedOn w:val="Normal"/>
    <w:link w:val="HeaderChar"/>
    <w:uiPriority w:val="99"/>
    <w:unhideWhenUsed/>
    <w:rsid w:val="00CE6014"/>
    <w:pPr>
      <w:tabs>
        <w:tab w:val="center" w:pos="4680"/>
        <w:tab w:val="right" w:pos="9360"/>
      </w:tabs>
    </w:pPr>
  </w:style>
  <w:style w:type="character" w:customStyle="1" w:styleId="HeaderChar">
    <w:name w:val="Header Char"/>
    <w:basedOn w:val="DefaultParagraphFont"/>
    <w:link w:val="Header"/>
    <w:uiPriority w:val="99"/>
    <w:rsid w:val="00CE6014"/>
  </w:style>
  <w:style w:type="paragraph" w:styleId="Footer">
    <w:name w:val="footer"/>
    <w:basedOn w:val="Normal"/>
    <w:link w:val="FooterChar"/>
    <w:uiPriority w:val="99"/>
    <w:unhideWhenUsed/>
    <w:rsid w:val="00CE6014"/>
    <w:pPr>
      <w:tabs>
        <w:tab w:val="center" w:pos="4680"/>
        <w:tab w:val="right" w:pos="9360"/>
      </w:tabs>
    </w:pPr>
  </w:style>
  <w:style w:type="character" w:customStyle="1" w:styleId="FooterChar">
    <w:name w:val="Footer Char"/>
    <w:basedOn w:val="DefaultParagraphFont"/>
    <w:link w:val="Footer"/>
    <w:uiPriority w:val="99"/>
    <w:rsid w:val="00CE6014"/>
  </w:style>
</w:styles>
</file>

<file path=word/webSettings.xml><?xml version="1.0" encoding="utf-8"?>
<w:webSettings xmlns:r="http://schemas.openxmlformats.org/officeDocument/2006/relationships" xmlns:w="http://schemas.openxmlformats.org/wordprocessingml/2006/main">
  <w:divs>
    <w:div w:id="1713729815">
      <w:bodyDiv w:val="1"/>
      <w:marLeft w:val="0"/>
      <w:marRight w:val="0"/>
      <w:marTop w:val="0"/>
      <w:marBottom w:val="0"/>
      <w:divBdr>
        <w:top w:val="none" w:sz="0" w:space="0" w:color="auto"/>
        <w:left w:val="none" w:sz="0" w:space="0" w:color="auto"/>
        <w:bottom w:val="none" w:sz="0" w:space="0" w:color="auto"/>
        <w:right w:val="none" w:sz="0" w:space="0" w:color="auto"/>
      </w:divBdr>
    </w:div>
    <w:div w:id="1723671604">
      <w:bodyDiv w:val="1"/>
      <w:marLeft w:val="0"/>
      <w:marRight w:val="0"/>
      <w:marTop w:val="0"/>
      <w:marBottom w:val="0"/>
      <w:divBdr>
        <w:top w:val="none" w:sz="0" w:space="0" w:color="auto"/>
        <w:left w:val="none" w:sz="0" w:space="0" w:color="auto"/>
        <w:bottom w:val="none" w:sz="0" w:space="0" w:color="auto"/>
        <w:right w:val="none" w:sz="0" w:space="0" w:color="auto"/>
      </w:divBdr>
    </w:div>
    <w:div w:id="1883440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CD46A-15E5-44CC-9CDF-72A7BF026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5264</Words>
  <Characters>30007</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Nguyen Kim Quy</cp:lastModifiedBy>
  <cp:revision>12</cp:revision>
  <dcterms:created xsi:type="dcterms:W3CDTF">2026-10-08T01:13:00Z</dcterms:created>
  <dcterms:modified xsi:type="dcterms:W3CDTF">2026-10-08T03:07:00Z</dcterms:modified>
</cp:coreProperties>
</file>