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915" w:type="dxa"/>
        <w:tblInd w:w="-709" w:type="dxa"/>
        <w:tblCellMar>
          <w:left w:w="10" w:type="dxa"/>
          <w:right w:w="10" w:type="dxa"/>
        </w:tblCellMar>
        <w:tblLook w:val="04A0" w:firstRow="1" w:lastRow="0" w:firstColumn="1" w:lastColumn="0" w:noHBand="0" w:noVBand="1"/>
      </w:tblPr>
      <w:tblGrid>
        <w:gridCol w:w="4253"/>
        <w:gridCol w:w="6662"/>
      </w:tblGrid>
      <w:tr w:rsidR="00BC4C60" w:rsidTr="00BF0A9A">
        <w:tc>
          <w:tcPr>
            <w:tcW w:w="4253" w:type="dxa"/>
          </w:tcPr>
          <w:p w:rsidR="00BC4C60" w:rsidRPr="00D71032" w:rsidRDefault="009566A8">
            <w:pPr>
              <w:spacing w:line="312" w:lineRule="auto"/>
              <w:jc w:val="center"/>
              <w:rPr>
                <w:sz w:val="28"/>
                <w:szCs w:val="28"/>
              </w:rPr>
            </w:pPr>
            <w:bookmarkStart w:id="0" w:name="_GoBack"/>
            <w:bookmarkEnd w:id="0"/>
            <w:r w:rsidRPr="00D71032">
              <w:rPr>
                <w:sz w:val="28"/>
                <w:szCs w:val="28"/>
              </w:rPr>
              <w:t>BỘ TÀI CHÍNH</w:t>
            </w:r>
          </w:p>
          <w:p w:rsidR="00BC4C60" w:rsidRPr="00D71032" w:rsidRDefault="009566A8">
            <w:pPr>
              <w:spacing w:line="312" w:lineRule="auto"/>
              <w:jc w:val="center"/>
              <w:rPr>
                <w:sz w:val="28"/>
                <w:szCs w:val="28"/>
              </w:rPr>
            </w:pPr>
            <w:r w:rsidRPr="00D71032">
              <w:rPr>
                <w:b/>
                <w:bCs/>
                <w:sz w:val="28"/>
                <w:szCs w:val="28"/>
              </w:rPr>
              <w:t>CỤC CÔNG NGHỆ THÔNG TIN</w:t>
            </w:r>
          </w:p>
          <w:p w:rsidR="00BC4C60" w:rsidRPr="00D71032" w:rsidRDefault="009566A8">
            <w:pPr>
              <w:spacing w:line="312" w:lineRule="auto"/>
              <w:jc w:val="center"/>
              <w:rPr>
                <w:sz w:val="28"/>
                <w:szCs w:val="28"/>
              </w:rPr>
            </w:pPr>
            <w:r w:rsidRPr="00D71032">
              <w:rPr>
                <w:b/>
                <w:bCs/>
                <w:sz w:val="28"/>
                <w:szCs w:val="28"/>
              </w:rPr>
              <w:t>VÀ CHUYỂN ĐỔI SỐ</w:t>
            </w:r>
          </w:p>
          <w:p w:rsidR="00BC4C60" w:rsidRDefault="009566A8">
            <w:pPr>
              <w:spacing w:line="312" w:lineRule="auto"/>
              <w:jc w:val="center"/>
            </w:pPr>
            <w:r>
              <w:t>———————</w:t>
            </w:r>
          </w:p>
        </w:tc>
        <w:tc>
          <w:tcPr>
            <w:tcW w:w="6662" w:type="dxa"/>
          </w:tcPr>
          <w:p w:rsidR="00BC4C60" w:rsidRPr="00D71032" w:rsidRDefault="009566A8">
            <w:pPr>
              <w:spacing w:line="312" w:lineRule="auto"/>
              <w:jc w:val="center"/>
              <w:rPr>
                <w:sz w:val="28"/>
                <w:szCs w:val="28"/>
              </w:rPr>
            </w:pPr>
            <w:r w:rsidRPr="00D71032">
              <w:rPr>
                <w:b/>
                <w:bCs/>
                <w:sz w:val="28"/>
                <w:szCs w:val="28"/>
              </w:rPr>
              <w:t>CỘNG HOÀ XÃ HỘI CHỦ NGHĨA VIỆT NAM</w:t>
            </w:r>
          </w:p>
          <w:p w:rsidR="00BC4C60" w:rsidRPr="00D71032" w:rsidRDefault="009566A8">
            <w:pPr>
              <w:spacing w:line="312" w:lineRule="auto"/>
              <w:jc w:val="center"/>
              <w:rPr>
                <w:sz w:val="28"/>
                <w:szCs w:val="28"/>
              </w:rPr>
            </w:pPr>
            <w:r w:rsidRPr="00D71032">
              <w:rPr>
                <w:b/>
                <w:bCs/>
                <w:sz w:val="28"/>
                <w:szCs w:val="28"/>
              </w:rPr>
              <w:t>Độc lập - Tự do - Hạnh phúc</w:t>
            </w:r>
          </w:p>
          <w:p w:rsidR="00BC4C60" w:rsidRPr="00D71032" w:rsidRDefault="009566A8">
            <w:pPr>
              <w:spacing w:after="60" w:line="312" w:lineRule="auto"/>
              <w:jc w:val="center"/>
              <w:rPr>
                <w:sz w:val="28"/>
                <w:szCs w:val="28"/>
              </w:rPr>
            </w:pPr>
            <w:r w:rsidRPr="00D71032">
              <w:rPr>
                <w:sz w:val="28"/>
                <w:szCs w:val="28"/>
              </w:rPr>
              <w:t>————————————</w:t>
            </w:r>
          </w:p>
          <w:p w:rsidR="00BC4C60" w:rsidRDefault="009566A8">
            <w:pPr>
              <w:spacing w:line="312" w:lineRule="auto"/>
              <w:jc w:val="center"/>
            </w:pPr>
            <w:r w:rsidRPr="00D71032">
              <w:rPr>
                <w:i/>
                <w:iCs/>
                <w:sz w:val="28"/>
                <w:szCs w:val="28"/>
              </w:rPr>
              <w:t>Hà Nội, ngày      tháng      năm 2026</w:t>
            </w:r>
          </w:p>
        </w:tc>
      </w:tr>
    </w:tbl>
    <w:p w:rsidR="00BC4C60" w:rsidRDefault="00BC4C60">
      <w:pPr>
        <w:spacing w:after="200" w:line="312" w:lineRule="auto"/>
        <w:jc w:val="both"/>
      </w:pPr>
    </w:p>
    <w:p w:rsidR="00BC4C60" w:rsidRDefault="009566A8">
      <w:pPr>
        <w:spacing w:after="40" w:line="312" w:lineRule="auto"/>
        <w:jc w:val="center"/>
      </w:pPr>
      <w:r>
        <w:rPr>
          <w:b/>
          <w:bCs/>
          <w:sz w:val="30"/>
          <w:szCs w:val="30"/>
        </w:rPr>
        <w:t>BÁO CÁO</w:t>
      </w:r>
    </w:p>
    <w:p w:rsidR="00BC4C60" w:rsidRPr="00A118CD" w:rsidRDefault="009566A8">
      <w:pPr>
        <w:spacing w:after="260" w:line="312" w:lineRule="auto"/>
        <w:jc w:val="center"/>
        <w:rPr>
          <w:sz w:val="28"/>
          <w:szCs w:val="28"/>
        </w:rPr>
      </w:pPr>
      <w:r w:rsidRPr="00A118CD">
        <w:rPr>
          <w:b/>
          <w:bCs/>
          <w:sz w:val="28"/>
          <w:szCs w:val="28"/>
        </w:rPr>
        <w:t xml:space="preserve">Tổng hợp, tiếp thu và giải trình ý kiến tham gia của các đơn vị </w:t>
      </w:r>
      <w:r w:rsidR="00D71032">
        <w:rPr>
          <w:b/>
          <w:bCs/>
          <w:sz w:val="28"/>
          <w:szCs w:val="28"/>
        </w:rPr>
        <w:t xml:space="preserve">thuộc Bộ và các Sở Tài chính </w:t>
      </w:r>
      <w:r w:rsidRPr="00A118CD">
        <w:rPr>
          <w:b/>
          <w:bCs/>
          <w:sz w:val="28"/>
          <w:szCs w:val="28"/>
        </w:rPr>
        <w:t>đối với dự thảo Thông tư hướng dẫn đăng ký, cấp và sử dụng mã số đơn vị có quan hệ với ngân sách</w:t>
      </w:r>
    </w:p>
    <w:p w:rsidR="00401318" w:rsidRDefault="009566A8" w:rsidP="00BF0A9A">
      <w:pPr>
        <w:spacing w:after="110" w:line="312" w:lineRule="auto"/>
        <w:ind w:firstLine="500"/>
        <w:jc w:val="both"/>
        <w:rPr>
          <w:sz w:val="28"/>
          <w:szCs w:val="28"/>
        </w:rPr>
      </w:pPr>
      <w:r w:rsidRPr="00A118CD">
        <w:rPr>
          <w:sz w:val="28"/>
          <w:szCs w:val="28"/>
        </w:rPr>
        <w:t xml:space="preserve">Ngày 14/8/2026, </w:t>
      </w:r>
      <w:r w:rsidR="00D71032">
        <w:rPr>
          <w:sz w:val="28"/>
          <w:szCs w:val="28"/>
        </w:rPr>
        <w:t xml:space="preserve">Cục Công nghệ thông tin và chuyển đổi số </w:t>
      </w:r>
      <w:r w:rsidRPr="00A118CD">
        <w:rPr>
          <w:sz w:val="28"/>
          <w:szCs w:val="28"/>
        </w:rPr>
        <w:t>có Công văn số 225</w:t>
      </w:r>
      <w:r w:rsidR="008A4721">
        <w:rPr>
          <w:sz w:val="28"/>
          <w:szCs w:val="28"/>
        </w:rPr>
        <w:t>6</w:t>
      </w:r>
      <w:r w:rsidRPr="00A118CD">
        <w:rPr>
          <w:sz w:val="28"/>
          <w:szCs w:val="28"/>
        </w:rPr>
        <w:t>/CNTT-TK gửi các đơn vị thuộc Bộ và Sở Tài chính các tỉnh, thành phố trực thuộc Trung ương xin ý kiến đối với dự thảo Thông tư hướng dẫn đăng ký, cấp và sử dụng mã số đơn vị có quan hệ với ngân sách (sau đây gọi là mã số ĐVQHNS); thời hạn tham gia ý kiến trước ngày 24/8/2026. Đến ngày 03/9/2026, Cục Công nghệ thông tin và chuyển đ</w:t>
      </w:r>
      <w:r w:rsidR="00C15EF0">
        <w:rPr>
          <w:sz w:val="28"/>
          <w:szCs w:val="28"/>
        </w:rPr>
        <w:t>ổi số đã nhận được ý kiến của 18</w:t>
      </w:r>
      <w:r w:rsidRPr="00A118CD">
        <w:rPr>
          <w:sz w:val="28"/>
          <w:szCs w:val="28"/>
        </w:rPr>
        <w:t xml:space="preserve"> đơn vị thuộc Bộ và 23 Ủy ban nhân dân, Sở Tài chính các tỉnh, thành phố trực thuộc Trung ương.</w:t>
      </w:r>
      <w:r w:rsidR="00634225">
        <w:rPr>
          <w:sz w:val="28"/>
          <w:szCs w:val="28"/>
        </w:rPr>
        <w:t xml:space="preserve"> </w:t>
      </w:r>
      <w:r w:rsidR="00BF0A9A">
        <w:rPr>
          <w:sz w:val="28"/>
          <w:szCs w:val="28"/>
        </w:rPr>
        <w:t xml:space="preserve"> </w:t>
      </w:r>
      <w:r w:rsidR="009E7893" w:rsidRPr="009E7893">
        <w:rPr>
          <w:sz w:val="28"/>
          <w:szCs w:val="28"/>
        </w:rPr>
        <w:t>Bên cạnh đó, Cục đã tổ chức lấy ý kiến trực tiếp các Sở Tài chính về tình hình cấp mã số ĐVQHNS tại Hội nghị tập huấn công tác mã số vào tháng 8/2026.</w:t>
      </w:r>
    </w:p>
    <w:p w:rsidR="00BC4C60" w:rsidRPr="00A118CD" w:rsidRDefault="009566A8" w:rsidP="00575165">
      <w:pPr>
        <w:spacing w:after="180" w:line="312" w:lineRule="auto"/>
        <w:ind w:firstLine="500"/>
        <w:jc w:val="both"/>
        <w:rPr>
          <w:sz w:val="28"/>
          <w:szCs w:val="28"/>
        </w:rPr>
      </w:pPr>
      <w:r w:rsidRPr="00A118CD">
        <w:rPr>
          <w:sz w:val="28"/>
          <w:szCs w:val="28"/>
        </w:rPr>
        <w:t>Trên cơ sở ý kiến tham gia, Cục Công nghệ thông tin và chuyển đổi số đã rà soát, tiếp thu và hoàn thiện dự thảo Thông tư; đồng thời rà soát tổng thể kỹ thuật lập quy của toàn bộ dự thảo. Kết quả tổng hợp, tiếp thu và giải trình như sau:</w:t>
      </w:r>
    </w:p>
    <w:p w:rsidR="00BC4C60" w:rsidRPr="00A118CD" w:rsidRDefault="009566A8" w:rsidP="00D71032">
      <w:pPr>
        <w:spacing w:before="220" w:after="120" w:line="312" w:lineRule="auto"/>
        <w:ind w:firstLine="567"/>
        <w:jc w:val="both"/>
        <w:rPr>
          <w:sz w:val="28"/>
          <w:szCs w:val="28"/>
        </w:rPr>
      </w:pPr>
      <w:r w:rsidRPr="00A118CD">
        <w:rPr>
          <w:b/>
          <w:bCs/>
          <w:sz w:val="28"/>
          <w:szCs w:val="28"/>
        </w:rPr>
        <w:t>I. KẾT QUẢ LẤY Ý KIẾN</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1. Số lượng và cơ cấu ý kiến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1500"/>
        <w:gridCol w:w="1900"/>
        <w:gridCol w:w="1400"/>
        <w:gridCol w:w="1600"/>
      </w:tblGrid>
      <w:tr w:rsidR="00BC4C60" w:rsidRPr="00A118CD" w:rsidTr="00CE6CB9">
        <w:trPr>
          <w:tblHeader/>
        </w:trPr>
        <w:tc>
          <w:tcPr>
            <w:tcW w:w="31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t>Nhóm đơn vị</w:t>
            </w:r>
          </w:p>
        </w:tc>
        <w:tc>
          <w:tcPr>
            <w:tcW w:w="15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Số đơn vị gửi ý kiến</w:t>
            </w:r>
          </w:p>
        </w:tc>
        <w:tc>
          <w:tcPr>
            <w:tcW w:w="19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Nhất trí / không có ý kiến</w:t>
            </w:r>
          </w:p>
        </w:tc>
        <w:tc>
          <w:tcPr>
            <w:tcW w:w="14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Có ý kiến cụ thể</w:t>
            </w:r>
          </w:p>
        </w:tc>
        <w:tc>
          <w:tcPr>
            <w:tcW w:w="16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Số ý kiến</w:t>
            </w:r>
          </w:p>
        </w:tc>
      </w:tr>
      <w:tr w:rsidR="00BC4C60" w:rsidRPr="00A118CD" w:rsidTr="00CE6CB9">
        <w:tc>
          <w:tcPr>
            <w:tcW w:w="31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Các đơn vị thuộc Bộ Tài chính</w:t>
            </w:r>
          </w:p>
        </w:tc>
        <w:tc>
          <w:tcPr>
            <w:tcW w:w="1500" w:type="dxa"/>
            <w:shd w:val="clear" w:color="auto" w:fill="auto"/>
            <w:tcMar>
              <w:top w:w="70" w:type="dxa"/>
              <w:left w:w="90" w:type="dxa"/>
              <w:bottom w:w="70" w:type="dxa"/>
              <w:right w:w="90" w:type="dxa"/>
            </w:tcMar>
          </w:tcPr>
          <w:p w:rsidR="00BC4C60" w:rsidRPr="00A118CD" w:rsidRDefault="00886647">
            <w:pPr>
              <w:spacing w:after="40" w:line="276" w:lineRule="auto"/>
              <w:jc w:val="center"/>
              <w:rPr>
                <w:sz w:val="28"/>
                <w:szCs w:val="28"/>
              </w:rPr>
            </w:pPr>
            <w:r>
              <w:rPr>
                <w:sz w:val="28"/>
                <w:szCs w:val="28"/>
              </w:rPr>
              <w:t>18</w:t>
            </w:r>
          </w:p>
        </w:tc>
        <w:tc>
          <w:tcPr>
            <w:tcW w:w="19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04</w:t>
            </w:r>
          </w:p>
        </w:tc>
        <w:tc>
          <w:tcPr>
            <w:tcW w:w="1400" w:type="dxa"/>
            <w:shd w:val="clear" w:color="auto" w:fill="auto"/>
            <w:tcMar>
              <w:top w:w="70" w:type="dxa"/>
              <w:left w:w="90" w:type="dxa"/>
              <w:bottom w:w="70" w:type="dxa"/>
              <w:right w:w="90" w:type="dxa"/>
            </w:tcMar>
          </w:tcPr>
          <w:p w:rsidR="00BC4C60" w:rsidRPr="00A118CD" w:rsidRDefault="00800609">
            <w:pPr>
              <w:spacing w:after="40" w:line="276" w:lineRule="auto"/>
              <w:jc w:val="center"/>
              <w:rPr>
                <w:sz w:val="28"/>
                <w:szCs w:val="28"/>
              </w:rPr>
            </w:pPr>
            <w:r>
              <w:rPr>
                <w:sz w:val="28"/>
                <w:szCs w:val="28"/>
              </w:rPr>
              <w:t>14</w:t>
            </w:r>
          </w:p>
        </w:tc>
        <w:tc>
          <w:tcPr>
            <w:tcW w:w="16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41</w:t>
            </w:r>
          </w:p>
        </w:tc>
      </w:tr>
      <w:tr w:rsidR="00BC4C60" w:rsidRPr="00A118CD" w:rsidTr="00CE6CB9">
        <w:tc>
          <w:tcPr>
            <w:tcW w:w="31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Sở Tài chính các tỉnh, thành phố</w:t>
            </w:r>
          </w:p>
        </w:tc>
        <w:tc>
          <w:tcPr>
            <w:tcW w:w="15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23</w:t>
            </w:r>
          </w:p>
        </w:tc>
        <w:tc>
          <w:tcPr>
            <w:tcW w:w="19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09</w:t>
            </w:r>
          </w:p>
        </w:tc>
        <w:tc>
          <w:tcPr>
            <w:tcW w:w="14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14</w:t>
            </w:r>
          </w:p>
        </w:tc>
        <w:tc>
          <w:tcPr>
            <w:tcW w:w="16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65</w:t>
            </w:r>
          </w:p>
        </w:tc>
      </w:tr>
      <w:tr w:rsidR="00BC4C60" w:rsidRPr="00A118CD" w:rsidTr="00CE6CB9">
        <w:tc>
          <w:tcPr>
            <w:tcW w:w="31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lastRenderedPageBreak/>
              <w:t>Tổng cộng</w:t>
            </w:r>
          </w:p>
        </w:tc>
        <w:tc>
          <w:tcPr>
            <w:tcW w:w="1500" w:type="dxa"/>
            <w:shd w:val="clear" w:color="auto" w:fill="auto"/>
            <w:tcMar>
              <w:top w:w="70" w:type="dxa"/>
              <w:left w:w="90" w:type="dxa"/>
              <w:bottom w:w="70" w:type="dxa"/>
              <w:right w:w="90" w:type="dxa"/>
            </w:tcMar>
          </w:tcPr>
          <w:p w:rsidR="00BC4C60" w:rsidRPr="00A118CD" w:rsidRDefault="00800609">
            <w:pPr>
              <w:spacing w:after="40" w:line="276" w:lineRule="auto"/>
              <w:jc w:val="center"/>
              <w:rPr>
                <w:sz w:val="28"/>
                <w:szCs w:val="28"/>
              </w:rPr>
            </w:pPr>
            <w:r>
              <w:rPr>
                <w:b/>
                <w:bCs/>
                <w:sz w:val="28"/>
                <w:szCs w:val="28"/>
              </w:rPr>
              <w:t>41</w:t>
            </w:r>
          </w:p>
        </w:tc>
        <w:tc>
          <w:tcPr>
            <w:tcW w:w="19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13</w:t>
            </w:r>
          </w:p>
        </w:tc>
        <w:tc>
          <w:tcPr>
            <w:tcW w:w="1400" w:type="dxa"/>
            <w:shd w:val="clear" w:color="auto" w:fill="auto"/>
            <w:tcMar>
              <w:top w:w="70" w:type="dxa"/>
              <w:left w:w="90" w:type="dxa"/>
              <w:bottom w:w="70" w:type="dxa"/>
              <w:right w:w="90" w:type="dxa"/>
            </w:tcMar>
          </w:tcPr>
          <w:p w:rsidR="00BC4C60" w:rsidRPr="00A118CD" w:rsidRDefault="00896277">
            <w:pPr>
              <w:spacing w:after="40" w:line="276" w:lineRule="auto"/>
              <w:jc w:val="center"/>
              <w:rPr>
                <w:sz w:val="28"/>
                <w:szCs w:val="28"/>
              </w:rPr>
            </w:pPr>
            <w:r>
              <w:rPr>
                <w:b/>
                <w:bCs/>
                <w:sz w:val="28"/>
                <w:szCs w:val="28"/>
              </w:rPr>
              <w:t>28</w:t>
            </w:r>
          </w:p>
        </w:tc>
        <w:tc>
          <w:tcPr>
            <w:tcW w:w="16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106</w:t>
            </w:r>
          </w:p>
        </w:tc>
      </w:tr>
    </w:tbl>
    <w:p w:rsidR="00C90722" w:rsidRPr="00A118CD" w:rsidRDefault="00C90722">
      <w:pPr>
        <w:spacing w:after="110" w:line="312" w:lineRule="auto"/>
        <w:ind w:firstLine="500"/>
        <w:jc w:val="both"/>
        <w:rPr>
          <w:sz w:val="28"/>
          <w:szCs w:val="28"/>
        </w:rPr>
      </w:pPr>
    </w:p>
    <w:p w:rsidR="00BC4C60" w:rsidRPr="00A118CD" w:rsidRDefault="00E67279">
      <w:pPr>
        <w:spacing w:after="110" w:line="312" w:lineRule="auto"/>
        <w:ind w:firstLine="500"/>
        <w:jc w:val="both"/>
        <w:rPr>
          <w:sz w:val="28"/>
          <w:szCs w:val="28"/>
        </w:rPr>
      </w:pPr>
      <w:r>
        <w:rPr>
          <w:sz w:val="28"/>
          <w:szCs w:val="28"/>
        </w:rPr>
        <w:t>Có</w:t>
      </w:r>
      <w:r w:rsidR="00F60A9C">
        <w:rPr>
          <w:sz w:val="28"/>
          <w:szCs w:val="28"/>
        </w:rPr>
        <w:t xml:space="preserve"> 04 </w:t>
      </w:r>
      <w:r w:rsidR="00C90722" w:rsidRPr="00A118CD">
        <w:rPr>
          <w:sz w:val="28"/>
          <w:szCs w:val="28"/>
        </w:rPr>
        <w:t>đơn vị thuộc Bộ nhất trí với dự thảo, không có ý kiến: Cục Đầu tư nước ngoài, Cục Quản lý nợ và Kinh tế đối ngoại, Bảo hiểm xã hội Việt Nam, Cục Hải quan. Có 09 Sở Tài chính nhất trí, không có ý kiến: An Giang, Lạng Sơn, Phú Thọ, Thanh Hóa, Tây Ninh, Lào Cai, Thái Nguyên, thành phố Đà Nẵng, Hà Tĩnh.</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2. Kết quả xử lý ý kiến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57"/>
        <w:gridCol w:w="2126"/>
        <w:gridCol w:w="1984"/>
      </w:tblGrid>
      <w:tr w:rsidR="00BC4C60" w:rsidRPr="00A118CD" w:rsidTr="009269DB">
        <w:trPr>
          <w:tblHeader/>
        </w:trPr>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t>Hình thức xử lý</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Số ý kiến</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Tỷ lệ</w:t>
            </w:r>
          </w:p>
        </w:tc>
      </w:tr>
      <w:tr w:rsidR="00BC4C60" w:rsidRPr="00A118CD" w:rsidTr="009269DB">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Tiếp thu</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63</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59,4%</w:t>
            </w:r>
          </w:p>
        </w:tc>
      </w:tr>
      <w:tr w:rsidR="00BC4C60" w:rsidRPr="00A118CD" w:rsidTr="009269DB">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Tiếp thu một phần (tiếp thu và giải trình)</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4</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3,8%</w:t>
            </w:r>
          </w:p>
        </w:tc>
      </w:tr>
      <w:tr w:rsidR="00BC4C60" w:rsidRPr="00A118CD" w:rsidTr="009269DB">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Giải trình</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37</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34,9%</w:t>
            </w:r>
          </w:p>
        </w:tc>
      </w:tr>
      <w:tr w:rsidR="00BC4C60" w:rsidRPr="00A118CD" w:rsidTr="009269DB">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Ghi nhận</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2</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sz w:val="28"/>
                <w:szCs w:val="28"/>
              </w:rPr>
              <w:t>1,9%</w:t>
            </w:r>
          </w:p>
        </w:tc>
      </w:tr>
      <w:tr w:rsidR="00BC4C60" w:rsidRPr="00A118CD" w:rsidTr="009269DB">
        <w:tc>
          <w:tcPr>
            <w:tcW w:w="4957"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t>Tổng cộng</w:t>
            </w:r>
          </w:p>
        </w:tc>
        <w:tc>
          <w:tcPr>
            <w:tcW w:w="2126"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106</w:t>
            </w:r>
          </w:p>
        </w:tc>
        <w:tc>
          <w:tcPr>
            <w:tcW w:w="1984"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100%</w:t>
            </w:r>
          </w:p>
        </w:tc>
      </w:tr>
    </w:tbl>
    <w:p w:rsidR="00BC4C60" w:rsidRPr="00A118CD" w:rsidRDefault="009566A8">
      <w:pPr>
        <w:spacing w:after="110" w:line="312" w:lineRule="auto"/>
        <w:ind w:firstLine="500"/>
        <w:jc w:val="both"/>
        <w:rPr>
          <w:sz w:val="28"/>
          <w:szCs w:val="28"/>
        </w:rPr>
      </w:pPr>
      <w:r w:rsidRPr="00A118CD">
        <w:rPr>
          <w:sz w:val="28"/>
          <w:szCs w:val="28"/>
        </w:rPr>
        <w:t>So với dự thảo gửi xin ý kiến, dự thảo sau khi tiếp thu đã được cơ cấu lại từ 27 điều xuống 26 điều; bổ sung 01 biểu mẫu mới (Mẫu số 10-MSNS-BTC); chỉnh lý toàn bộ kỹ thuật dẫn chiếu trong văn bản.</w:t>
      </w:r>
    </w:p>
    <w:p w:rsidR="00BC4C60" w:rsidRPr="00A118CD" w:rsidRDefault="009566A8" w:rsidP="00D71032">
      <w:pPr>
        <w:spacing w:before="220" w:after="120" w:line="312" w:lineRule="auto"/>
        <w:ind w:firstLine="567"/>
        <w:jc w:val="both"/>
        <w:rPr>
          <w:sz w:val="28"/>
          <w:szCs w:val="28"/>
        </w:rPr>
      </w:pPr>
      <w:r w:rsidRPr="00A118CD">
        <w:rPr>
          <w:b/>
          <w:bCs/>
          <w:sz w:val="28"/>
          <w:szCs w:val="28"/>
        </w:rPr>
        <w:t>II. CÁC NHÓM NỘI DUNG LỚN ĐÃ TIẾP THU, HOÀN THIỆN</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1. Bổ sung quyền của đơn vị đề nghị đóng mã số ĐVQHNS</w:t>
      </w:r>
    </w:p>
    <w:p w:rsidR="00BC4C60" w:rsidRPr="00A118CD" w:rsidRDefault="009566A8">
      <w:pPr>
        <w:spacing w:after="110" w:line="312" w:lineRule="auto"/>
        <w:ind w:firstLine="500"/>
        <w:jc w:val="both"/>
        <w:rPr>
          <w:sz w:val="28"/>
          <w:szCs w:val="28"/>
        </w:rPr>
      </w:pPr>
      <w:r w:rsidRPr="00A118CD">
        <w:rPr>
          <w:sz w:val="28"/>
          <w:szCs w:val="28"/>
        </w:rPr>
        <w:t>Kho bạc Nhà nước nêu căn cứ Thông tư số 157/2025/TT-BTC ngày 31/12/2025 (thay thế Thông tư số 18/2020/TT-BTC) đã không còn quy định nhiệm vụ lập Bảng thống kê các đơn vị ngừng hoạt động của Kho bạc Nhà nước, đồng thời đề nghị bổ sung quyền của đơn vị đề nghị đóng mã số. Sở Tài chính Sơn La cũng đề nghị bổ sung quy định và mẫu văn bản để đơn vị, chủ đầu tư chủ động đề nghị đóng mã số khi đã hoàn thành, quyết toán nhiệm vụ, dự án.</w:t>
      </w:r>
    </w:p>
    <w:p w:rsidR="00BC4C60" w:rsidRPr="00A118CD" w:rsidRDefault="009566A8">
      <w:pPr>
        <w:spacing w:after="110" w:line="312" w:lineRule="auto"/>
        <w:ind w:firstLine="500"/>
        <w:jc w:val="both"/>
        <w:rPr>
          <w:sz w:val="28"/>
          <w:szCs w:val="28"/>
        </w:rPr>
      </w:pPr>
      <w:r w:rsidRPr="00A118CD">
        <w:rPr>
          <w:sz w:val="28"/>
          <w:szCs w:val="28"/>
        </w:rPr>
        <w:lastRenderedPageBreak/>
        <w:t>Tiếp thu: bổ sung điểm e khoản 3 Điều 22 (quyền đề nghị đóng mã số); bổ sung khoản 4 Điều 13 (trình tự, thời hạn 02 ngày làm việc, nghĩa vụ nêu rõ lý do khi chưa đủ căn cứ); ban hành Mẫu số 10-MSNS-BTC; chỉnh lý khoản 5 Điều 13 theo hướng cơ quan chủ quản chủ trì rà soát, Kho bạc Nhà nước phối hợp.</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2. Bảo đảm an toàn khi đóng mã số theo kết quả rà soát hằng năm</w:t>
      </w:r>
    </w:p>
    <w:p w:rsidR="00BC4C60" w:rsidRPr="00A118CD" w:rsidRDefault="009566A8">
      <w:pPr>
        <w:spacing w:after="110" w:line="312" w:lineRule="auto"/>
        <w:ind w:firstLine="500"/>
        <w:jc w:val="both"/>
        <w:rPr>
          <w:sz w:val="28"/>
          <w:szCs w:val="28"/>
        </w:rPr>
      </w:pPr>
      <w:r w:rsidRPr="00A118CD">
        <w:rPr>
          <w:sz w:val="28"/>
          <w:szCs w:val="28"/>
        </w:rPr>
        <w:t>Sở Tài chính Sơn La cảnh báo rủi ro đóng nhầm mã số của dự án ODA, dự án chậm tiến độ chưa được bố trí vốn hoặc đơn vị mới kiện toàn sau sắp xếp tổ chức bộ máy.</w:t>
      </w:r>
    </w:p>
    <w:p w:rsidR="00BC4C60" w:rsidRPr="00A118CD" w:rsidRDefault="009566A8">
      <w:pPr>
        <w:spacing w:after="110" w:line="312" w:lineRule="auto"/>
        <w:ind w:firstLine="500"/>
        <w:jc w:val="both"/>
        <w:rPr>
          <w:sz w:val="28"/>
          <w:szCs w:val="28"/>
        </w:rPr>
      </w:pPr>
      <w:r w:rsidRPr="00A118CD">
        <w:rPr>
          <w:sz w:val="28"/>
          <w:szCs w:val="28"/>
        </w:rPr>
        <w:t xml:space="preserve">Tiếp thu: </w:t>
      </w:r>
      <w:r w:rsidR="007F4A20">
        <w:rPr>
          <w:sz w:val="28"/>
          <w:szCs w:val="28"/>
        </w:rPr>
        <w:t>bổ sung điểm c khoản 5 Điều 13 -</w:t>
      </w:r>
      <w:r w:rsidRPr="00A118CD">
        <w:rPr>
          <w:sz w:val="28"/>
          <w:szCs w:val="28"/>
        </w:rPr>
        <w:t xml:space="preserve"> trước khi đóng mã số, Cơ quan Tài chính gửi thông báo đến đơn vị và cơ quan chủ quản qua Nền tảng số; sau 15 ngày làm việc không nhận được ý kiến phản hồi mới thực hiện đóng mã số.</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3. Xác định rõ thẩm quyền cấp mã số cho nhiệm vụ, dự án đầu tư</w:t>
      </w:r>
    </w:p>
    <w:p w:rsidR="00BC4C60" w:rsidRPr="00A118CD" w:rsidRDefault="009566A8">
      <w:pPr>
        <w:spacing w:after="110" w:line="312" w:lineRule="auto"/>
        <w:ind w:firstLine="500"/>
        <w:jc w:val="both"/>
        <w:rPr>
          <w:sz w:val="28"/>
          <w:szCs w:val="28"/>
        </w:rPr>
      </w:pPr>
      <w:r w:rsidRPr="00A118CD">
        <w:rPr>
          <w:sz w:val="28"/>
          <w:szCs w:val="28"/>
        </w:rPr>
        <w:t>Sở Tài chính Sơn La nêu vướng mắc kéo dài trong việc cấp mã số cho dự án đầu tư có nhiều dự án thành phần, dẫn chứng bằng Đề án theo Quyết định số 666/QĐ-TTg ngày 31/5/2018 của Thủ tướng Chính phủ.</w:t>
      </w:r>
    </w:p>
    <w:p w:rsidR="00BC4C60" w:rsidRPr="00A118CD" w:rsidRDefault="009566A8">
      <w:pPr>
        <w:spacing w:after="110" w:line="312" w:lineRule="auto"/>
        <w:ind w:firstLine="500"/>
        <w:jc w:val="both"/>
        <w:rPr>
          <w:sz w:val="28"/>
          <w:szCs w:val="28"/>
        </w:rPr>
      </w:pPr>
      <w:r w:rsidRPr="00A118CD">
        <w:rPr>
          <w:sz w:val="28"/>
          <w:szCs w:val="28"/>
        </w:rPr>
        <w:t>Tiếp thu: khoản 3 Điều 15 xác lập nguyên tắc thẩm quyền cấp mã số cho nhiệm vụ, dự án đầu tư theo cấp ngân sách của cơ quan phê duyệt quyết định đầu tư, không phụ thuộc nguồn vốn bố trí và cơ quan chủ quản của chủ đầu tư; khoản 4 Điều 15 quy định quan hệ mã số ĐVQHNS cha - con, nguyên tắc kê khai tổng mức đầu tư và nguyên tắc không cộng gộp số liệu khi tổng hợp; nguyên tắc chung được đưa lên khoản 3 Điều 4.</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4. Hoàn thiện phân quyền tiếp nhận, nhập hồ sơ cho cấp xã</w:t>
      </w:r>
    </w:p>
    <w:p w:rsidR="00BC4C60" w:rsidRPr="00A118CD" w:rsidRDefault="009566A8">
      <w:pPr>
        <w:spacing w:after="110" w:line="312" w:lineRule="auto"/>
        <w:ind w:firstLine="500"/>
        <w:jc w:val="both"/>
        <w:rPr>
          <w:sz w:val="28"/>
          <w:szCs w:val="28"/>
        </w:rPr>
      </w:pPr>
      <w:r w:rsidRPr="00A118CD">
        <w:rPr>
          <w:sz w:val="28"/>
          <w:szCs w:val="28"/>
        </w:rPr>
        <w:t>Sở Tài chính Sơn La đề nghị bốn nội dung: mở rộng phạm vi phân quyền, chuẩn hóa tên cơ quan chuyên môn thuộc Ủy ban nhân dân cấp xã, quy định rõ nguyên tắc trách nhiệm, và quy định về cấp, thu hồi tài khoản cùng lưu vết thao tác.</w:t>
      </w:r>
    </w:p>
    <w:p w:rsidR="00BC4C60" w:rsidRPr="00A118CD" w:rsidRDefault="009566A8">
      <w:pPr>
        <w:spacing w:after="110" w:line="312" w:lineRule="auto"/>
        <w:ind w:firstLine="500"/>
        <w:jc w:val="both"/>
        <w:rPr>
          <w:sz w:val="28"/>
          <w:szCs w:val="28"/>
        </w:rPr>
      </w:pPr>
      <w:r w:rsidRPr="00A118CD">
        <w:rPr>
          <w:sz w:val="28"/>
          <w:szCs w:val="28"/>
        </w:rPr>
        <w:t>Tiếp thu toàn bộ tại khoản 8 Điều 15, trong đó xác định thời điểm cơ quan chuyên môn cấp xã tiếp nhận hồ sơ là thời điểm tiếp nhận của Sở Tài chính; cấp xã chịu trách nhiệm về tính đầy đủ, chính xác của dữ liệu đã nhập; Sở Tài chính kiểm tra, đối chiếu và cấp mã số.</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5. Giá trị pháp lý của hồ sơ và dữ liệu điện tử</w:t>
      </w:r>
    </w:p>
    <w:p w:rsidR="00BC4C60" w:rsidRPr="00A118CD" w:rsidRDefault="009566A8">
      <w:pPr>
        <w:spacing w:after="110" w:line="312" w:lineRule="auto"/>
        <w:ind w:firstLine="500"/>
        <w:jc w:val="both"/>
        <w:rPr>
          <w:sz w:val="28"/>
          <w:szCs w:val="28"/>
        </w:rPr>
      </w:pPr>
      <w:r w:rsidRPr="00A118CD">
        <w:rPr>
          <w:sz w:val="28"/>
          <w:szCs w:val="28"/>
        </w:rPr>
        <w:lastRenderedPageBreak/>
        <w:t>Sở Tài chính Quảng Ninh đề nghị quy định rõ giá trị pháp lý của thông tin, dữ liệu trên hệ thống và bảo đảm dữ liệu điện tử thay thế được hồ sơ giấy. Sở Tài chính Vĩnh Long và Khánh Hòa đề nghị quy định về ký số đối với tệp tin đính kèm.</w:t>
      </w:r>
    </w:p>
    <w:p w:rsidR="00BC4C60" w:rsidRPr="00A118CD" w:rsidRDefault="009566A8">
      <w:pPr>
        <w:spacing w:after="110" w:line="312" w:lineRule="auto"/>
        <w:ind w:firstLine="500"/>
        <w:jc w:val="both"/>
        <w:rPr>
          <w:sz w:val="28"/>
          <w:szCs w:val="28"/>
        </w:rPr>
      </w:pPr>
      <w:r w:rsidRPr="00A118CD">
        <w:rPr>
          <w:sz w:val="28"/>
          <w:szCs w:val="28"/>
        </w:rPr>
        <w:t>Tiếp thu: khoản 5 Điều 16 quy định hồ sơ trực tuyến có giá trị pháp lý như hồ sơ bằng bản giấy; khoản 2 Điều 6 quy định Giấy chứng nhận điện tử được Cơ quan Tài chính ký số và có giá trị pháp lý như bản giấy; khoản 4 Điều 16 cho đơn vị quyền lựa chọn ký số hoặc không ký số; điểm d khoản 3 Điều 18 đưa việc ký số thành điều kiện hợp lệ của hồ sơ khi đơn vị lựa chọn ký số; điểm b khoản 8 Điều 17 quy định giao dịch thực hiện qua tài khoản truy cập được xác định là do người sử dụng tài khoản đó t</w:t>
      </w:r>
      <w:r w:rsidR="00CE6CB9">
        <w:rPr>
          <w:sz w:val="28"/>
          <w:szCs w:val="28"/>
        </w:rPr>
        <w:t>hực hiện và có giá trị pháp lý -</w:t>
      </w:r>
      <w:r w:rsidRPr="00A118CD">
        <w:rPr>
          <w:sz w:val="28"/>
          <w:szCs w:val="28"/>
        </w:rPr>
        <w:t xml:space="preserve"> đây là căn cứ pháp lý cho phương thức không ký số.</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6. Không yêu cầu kê khai lại, nộp lại thông tin đã có</w:t>
      </w:r>
    </w:p>
    <w:p w:rsidR="00BC4C60" w:rsidRPr="00A118CD" w:rsidRDefault="009566A8">
      <w:pPr>
        <w:spacing w:after="110" w:line="312" w:lineRule="auto"/>
        <w:ind w:firstLine="500"/>
        <w:jc w:val="both"/>
        <w:rPr>
          <w:sz w:val="28"/>
          <w:szCs w:val="28"/>
        </w:rPr>
      </w:pPr>
      <w:r w:rsidRPr="00A118CD">
        <w:rPr>
          <w:sz w:val="28"/>
          <w:szCs w:val="28"/>
        </w:rPr>
        <w:t>Sở Tài chính Quảng Ninh đề nghị không yêu cầu kê khai lại thông tin đã có trong các cơ sở dữ liệu kết nối, liên thông.</w:t>
      </w:r>
    </w:p>
    <w:p w:rsidR="00BC4C60" w:rsidRPr="00A118CD" w:rsidRDefault="009566A8">
      <w:pPr>
        <w:spacing w:after="110" w:line="312" w:lineRule="auto"/>
        <w:ind w:firstLine="500"/>
        <w:jc w:val="both"/>
        <w:rPr>
          <w:sz w:val="28"/>
          <w:szCs w:val="28"/>
        </w:rPr>
      </w:pPr>
      <w:r w:rsidRPr="00A118CD">
        <w:rPr>
          <w:sz w:val="28"/>
          <w:szCs w:val="28"/>
        </w:rPr>
        <w:t>Tiếp thu: khoản 4 Điều 18 quy định Cơ quan Tài chính khai thác trực tiếp trên Nền tảng số và các cơ sở dữ liệu kết nối, không yêu cầu đơn vị kê khai lại hoặc nộp lại ba nhóm thông tin, giấy tờ; khoản 5 Điều 17 quy định Nền tảng số tự động điền thông tin và thông tin được điền tự động có giá trị sử dụng như thông tin do đơn vị kê khai; khoản 3 Điều 8 quy định tương ứng cho mọi phương thức nộp hồ sơ.</w:t>
      </w:r>
    </w:p>
    <w:p w:rsidR="00BC4C60" w:rsidRPr="00A118CD" w:rsidRDefault="009566A8" w:rsidP="00D71032">
      <w:pPr>
        <w:spacing w:before="140" w:after="90" w:line="312" w:lineRule="auto"/>
        <w:ind w:firstLine="567"/>
        <w:jc w:val="both"/>
        <w:rPr>
          <w:sz w:val="28"/>
          <w:szCs w:val="28"/>
        </w:rPr>
      </w:pPr>
      <w:r w:rsidRPr="00A118CD">
        <w:rPr>
          <w:b/>
          <w:bCs/>
          <w:i/>
          <w:iCs/>
          <w:sz w:val="28"/>
          <w:szCs w:val="28"/>
        </w:rPr>
        <w:t>7. Ràng buộc trách nhiệm trong chuyển giai đoạn dự án đầu tư</w:t>
      </w:r>
    </w:p>
    <w:p w:rsidR="00BC4C60" w:rsidRPr="00A118CD" w:rsidRDefault="009566A8">
      <w:pPr>
        <w:spacing w:after="110" w:line="312" w:lineRule="auto"/>
        <w:ind w:firstLine="500"/>
        <w:jc w:val="both"/>
        <w:rPr>
          <w:sz w:val="28"/>
          <w:szCs w:val="28"/>
        </w:rPr>
      </w:pPr>
      <w:r w:rsidRPr="00A118CD">
        <w:rPr>
          <w:sz w:val="28"/>
          <w:szCs w:val="28"/>
        </w:rPr>
        <w:t>Sở Tài chính Đắk Lắk phản ánh hầu hết chủ đầu tư vẫn dùng mã số của giai đoạn chuẩn bị đầu tư cho giai đoạn thực hiện; Sở Tài chính Nghệ An đề nghị bổ sung trách nhiệm của Kho bạc Nhà nước trong kiểm soát chi.</w:t>
      </w:r>
    </w:p>
    <w:p w:rsidR="00BC4C60" w:rsidRPr="00A118CD" w:rsidRDefault="009566A8">
      <w:pPr>
        <w:spacing w:after="110" w:line="312" w:lineRule="auto"/>
        <w:ind w:firstLine="500"/>
        <w:jc w:val="both"/>
        <w:rPr>
          <w:sz w:val="28"/>
          <w:szCs w:val="28"/>
        </w:rPr>
      </w:pPr>
      <w:r w:rsidRPr="00A118CD">
        <w:rPr>
          <w:sz w:val="28"/>
          <w:szCs w:val="28"/>
        </w:rPr>
        <w:t>Tiếp thu: khoản 2 Điều 12 quy định thời hạn 10 ngày làm việc để chủ đầu tư đăng ký chuyển giai đoạn; điểm d khoản 1 Điều 24 quy định Kho bạc Nhà nước thông báo và yêu cầu đơn vị thực hiện đăng ký khi phát hiện dự án đã chuyển giai đoạn nhưng vẫn dùng mã số của giai đoạn trước.</w:t>
      </w:r>
    </w:p>
    <w:p w:rsidR="00BC4C60" w:rsidRPr="00A118CD" w:rsidRDefault="009566A8" w:rsidP="00D71032">
      <w:pPr>
        <w:spacing w:before="140" w:after="90" w:line="312" w:lineRule="auto"/>
        <w:ind w:firstLine="500"/>
        <w:jc w:val="both"/>
        <w:rPr>
          <w:sz w:val="28"/>
          <w:szCs w:val="28"/>
        </w:rPr>
      </w:pPr>
      <w:r w:rsidRPr="00A118CD">
        <w:rPr>
          <w:b/>
          <w:bCs/>
          <w:i/>
          <w:iCs/>
          <w:sz w:val="28"/>
          <w:szCs w:val="28"/>
        </w:rPr>
        <w:t>8. Chuẩn hóa thẩm quyền từ chối chi trả của Kho bạc Nhà nước</w:t>
      </w:r>
    </w:p>
    <w:p w:rsidR="00BC4C60" w:rsidRPr="00A118CD" w:rsidRDefault="009566A8">
      <w:pPr>
        <w:spacing w:after="110" w:line="312" w:lineRule="auto"/>
        <w:ind w:firstLine="500"/>
        <w:jc w:val="both"/>
        <w:rPr>
          <w:sz w:val="28"/>
          <w:szCs w:val="28"/>
        </w:rPr>
      </w:pPr>
      <w:r w:rsidRPr="00A118CD">
        <w:rPr>
          <w:sz w:val="28"/>
          <w:szCs w:val="28"/>
        </w:rPr>
        <w:lastRenderedPageBreak/>
        <w:t>Kho bạc Nhà nước nêu không có cơ sở xác định đơn vị không thực hiện đúng quy định về đăng ký và sử dụng mã số ĐVQHNS, đề nghị chỉ từ chối chi trả theo đề nghị của cơ quan tài chính.</w:t>
      </w:r>
    </w:p>
    <w:p w:rsidR="00BC4C60" w:rsidRPr="00A118CD" w:rsidRDefault="009566A8">
      <w:pPr>
        <w:spacing w:after="110" w:line="312" w:lineRule="auto"/>
        <w:ind w:firstLine="500"/>
        <w:jc w:val="both"/>
        <w:rPr>
          <w:sz w:val="28"/>
          <w:szCs w:val="28"/>
        </w:rPr>
      </w:pPr>
      <w:r w:rsidRPr="00A118CD">
        <w:rPr>
          <w:sz w:val="28"/>
          <w:szCs w:val="28"/>
        </w:rPr>
        <w:t>Tiếp thu: khoả</w:t>
      </w:r>
      <w:r w:rsidR="00561EEE">
        <w:rPr>
          <w:sz w:val="28"/>
          <w:szCs w:val="28"/>
        </w:rPr>
        <w:t>n 2 Điều 24 tách thành ba điểm -</w:t>
      </w:r>
      <w:r w:rsidRPr="00A118CD">
        <w:rPr>
          <w:sz w:val="28"/>
          <w:szCs w:val="28"/>
        </w:rPr>
        <w:t xml:space="preserve"> từ chối theo căn cứ khách quan từ dữ liệu kết nối; từ chối theo đề nghị bằng văn bản của Cơ quan Tài chính; và quyền đề nghị Cơ quan Tài chính kiểm tra, xác minh khi phát hiện thông tin không thống nhất.</w:t>
      </w:r>
    </w:p>
    <w:p w:rsidR="00BC4C60" w:rsidRPr="00A118CD" w:rsidRDefault="009566A8" w:rsidP="00D71032">
      <w:pPr>
        <w:spacing w:before="140" w:after="90" w:line="312" w:lineRule="auto"/>
        <w:ind w:firstLine="500"/>
        <w:jc w:val="both"/>
        <w:rPr>
          <w:sz w:val="28"/>
          <w:szCs w:val="28"/>
        </w:rPr>
      </w:pPr>
      <w:r w:rsidRPr="00A118CD">
        <w:rPr>
          <w:b/>
          <w:bCs/>
          <w:i/>
          <w:iCs/>
          <w:sz w:val="28"/>
          <w:szCs w:val="28"/>
        </w:rPr>
        <w:t>9. Chuẩn hóa thuật ngữ theo mô hình chính quyền địa phương hai cấp</w:t>
      </w:r>
    </w:p>
    <w:p w:rsidR="00BC4C60" w:rsidRPr="00A118CD" w:rsidRDefault="009566A8">
      <w:pPr>
        <w:spacing w:after="110" w:line="312" w:lineRule="auto"/>
        <w:ind w:firstLine="500"/>
        <w:jc w:val="both"/>
        <w:rPr>
          <w:sz w:val="28"/>
          <w:szCs w:val="28"/>
        </w:rPr>
      </w:pPr>
      <w:r w:rsidRPr="00A118CD">
        <w:rPr>
          <w:sz w:val="28"/>
          <w:szCs w:val="28"/>
        </w:rPr>
        <w:t>Sở Tài chính Sơn La nêu cụm từ “đồng cấp”, “cùng cấp” không còn xác định được chủ thể khi Kho bạc Nhà nước tổ chức theo khu vực.</w:t>
      </w:r>
    </w:p>
    <w:p w:rsidR="00BC4C60" w:rsidRPr="00A118CD" w:rsidRDefault="009566A8">
      <w:pPr>
        <w:spacing w:after="110" w:line="312" w:lineRule="auto"/>
        <w:ind w:firstLine="500"/>
        <w:jc w:val="both"/>
        <w:rPr>
          <w:sz w:val="28"/>
          <w:szCs w:val="28"/>
        </w:rPr>
      </w:pPr>
      <w:r w:rsidRPr="00A118CD">
        <w:rPr>
          <w:sz w:val="28"/>
          <w:szCs w:val="28"/>
        </w:rPr>
        <w:t>Tiếp thu: rà soát toàn bộ dự thảo, thay bằng “Cơ quan Tài chính nơi cấp mã số ĐVQHNS” và “Kho bạc Nhà nước nơi đơn vị mở tài khoản giao dịch”; chuẩn hóa tên gọi “Kho bạc Nhà nước”; khôi phục cụm “Giám đốc Kho bạc Nhà nước khu vực” tại khoản 4 Điều 26.</w:t>
      </w:r>
    </w:p>
    <w:p w:rsidR="00BC4C60" w:rsidRPr="00A118CD" w:rsidRDefault="009566A8" w:rsidP="00D71032">
      <w:pPr>
        <w:spacing w:before="140" w:after="90" w:line="312" w:lineRule="auto"/>
        <w:ind w:firstLine="500"/>
        <w:jc w:val="both"/>
        <w:rPr>
          <w:sz w:val="28"/>
          <w:szCs w:val="28"/>
        </w:rPr>
      </w:pPr>
      <w:r w:rsidRPr="00A118CD">
        <w:rPr>
          <w:b/>
          <w:bCs/>
          <w:i/>
          <w:iCs/>
          <w:sz w:val="28"/>
          <w:szCs w:val="28"/>
        </w:rPr>
        <w:t>10. Bảo đảm lịch sử thông tin của mã số ĐVQHNS</w:t>
      </w:r>
    </w:p>
    <w:p w:rsidR="00BC4C60" w:rsidRPr="00A118CD" w:rsidRDefault="009566A8">
      <w:pPr>
        <w:spacing w:after="110" w:line="312" w:lineRule="auto"/>
        <w:ind w:firstLine="500"/>
        <w:jc w:val="both"/>
        <w:rPr>
          <w:sz w:val="28"/>
          <w:szCs w:val="28"/>
        </w:rPr>
      </w:pPr>
      <w:r w:rsidRPr="00A118CD">
        <w:rPr>
          <w:sz w:val="28"/>
          <w:szCs w:val="28"/>
        </w:rPr>
        <w:t>Sở Tài chính Nghệ An đề nghị bảo đảm khi tra cứu vẫn hiển thị đầy đủ tên cũ, tên mới và lịch sử giao dịch trước và sau khi thay đổi.</w:t>
      </w:r>
    </w:p>
    <w:p w:rsidR="00BC4C60" w:rsidRPr="00A118CD" w:rsidRDefault="009566A8">
      <w:pPr>
        <w:spacing w:after="110" w:line="312" w:lineRule="auto"/>
        <w:ind w:firstLine="500"/>
        <w:jc w:val="both"/>
        <w:rPr>
          <w:sz w:val="28"/>
          <w:szCs w:val="28"/>
        </w:rPr>
      </w:pPr>
      <w:r w:rsidRPr="00A118CD">
        <w:rPr>
          <w:sz w:val="28"/>
          <w:szCs w:val="28"/>
        </w:rPr>
        <w:t>Tiếp thu: khoản 4 Điều 11 quy định Nền tảng số lưu trữ toàn bộ thông tin đăng ký trước khi thay đổi và hiển thị đầy đủ thông tin hiện hành, thông tin trước khi thay đổi và thời điểm thay đổi khi tra cứu.</w:t>
      </w:r>
    </w:p>
    <w:p w:rsidR="00BC4C60" w:rsidRPr="00A118CD" w:rsidRDefault="009566A8" w:rsidP="00D71032">
      <w:pPr>
        <w:spacing w:before="220" w:after="120" w:line="312" w:lineRule="auto"/>
        <w:ind w:firstLine="500"/>
        <w:jc w:val="both"/>
        <w:rPr>
          <w:sz w:val="28"/>
          <w:szCs w:val="28"/>
        </w:rPr>
      </w:pPr>
      <w:r w:rsidRPr="00A118CD">
        <w:rPr>
          <w:b/>
          <w:bCs/>
          <w:sz w:val="28"/>
          <w:szCs w:val="28"/>
        </w:rPr>
        <w:t>III. CÁC NỘI DUNG GIẢI TRÌNH, KHÔNG TIẾP THU</w:t>
      </w:r>
    </w:p>
    <w:p w:rsidR="00BC4C60" w:rsidRPr="00A118CD" w:rsidRDefault="009566A8">
      <w:pPr>
        <w:spacing w:after="110" w:line="312" w:lineRule="auto"/>
        <w:ind w:firstLine="500"/>
        <w:jc w:val="both"/>
        <w:rPr>
          <w:sz w:val="28"/>
          <w:szCs w:val="28"/>
        </w:rPr>
      </w:pPr>
      <w:r w:rsidRPr="00A118CD">
        <w:rPr>
          <w:b/>
          <w:bCs/>
          <w:sz w:val="28"/>
          <w:szCs w:val="28"/>
        </w:rPr>
        <w:t>1. Đề nghị chỉ tiếp nhận hồ sơ theo phương thức trực tuyến</w:t>
      </w:r>
      <w:r w:rsidRPr="00A118CD">
        <w:rPr>
          <w:sz w:val="28"/>
          <w:szCs w:val="28"/>
        </w:rPr>
        <w:t>. Sở Tài chính Đắk Lắk, Sở Tài chính Quảng Ninh và một số đơn vị đề nghị bỏ phương thức nộp trực tiếp và qua đường bưu chính. Cục CNTT giải trình: đối tượng được cấp mã số ĐVQHNS rất đa dạng, trong đó có nhiệm vụ, dự án đầu tư ở vùng sâu, vùng xa, vùng có điều kiện kinh tế - xã hội khó khăn; việc duy trì ba phương thức là phương án dự phòng thiết yếu. Dự thảo đã thể hiện định hướng ưu tiên trực tuyến bằng việc xếp phương thức trực tuyến tại điểm a khoản 2 Điều 7 và quy định khuyến khích tại khoản 3 Điều 7; Điều 20 quy định cơ chế chuyển sang phương thức dự phòng khi Nền tảng số gặp sự cố.</w:t>
      </w:r>
    </w:p>
    <w:p w:rsidR="00BC4C60" w:rsidRPr="00A118CD" w:rsidRDefault="009566A8">
      <w:pPr>
        <w:spacing w:after="110" w:line="312" w:lineRule="auto"/>
        <w:ind w:firstLine="500"/>
        <w:jc w:val="both"/>
        <w:rPr>
          <w:sz w:val="28"/>
          <w:szCs w:val="28"/>
        </w:rPr>
      </w:pPr>
      <w:r w:rsidRPr="00A118CD">
        <w:rPr>
          <w:b/>
          <w:bCs/>
          <w:sz w:val="28"/>
          <w:szCs w:val="28"/>
        </w:rPr>
        <w:lastRenderedPageBreak/>
        <w:t>2. Đề nghị quy định thời điểm Thông tư có hiệu lực trùng với thời điểm bắt đầu năm ngân sách</w:t>
      </w:r>
      <w:r w:rsidRPr="00A118CD">
        <w:rPr>
          <w:sz w:val="28"/>
          <w:szCs w:val="28"/>
        </w:rPr>
        <w:t>. Sở Tài chính Sơn La và Sở Tài chính Nghệ An đề nghị nội dung này. Cục CNTT giải trình: thời điểm có hiệu lực của Thông tư thực hiện theo Điều 43 Luật Ban hành văn bản quy phạm pháp luật số 64/2025/QH15; đồng thời khoản 1, khoản 3 Điều 25 đã bảo lưu giá trị của mã số và Giấy chứng nhận đã cấp, và quy định hồ sơ đã tiếp nhận được tiếp tục giải quyết theo quy định tại thời điểm tiếp nhận, nên không phát sinh gián đoạn trong công tác lập, phân bổ và quyết toán ngân sách.</w:t>
      </w:r>
    </w:p>
    <w:p w:rsidR="00BC4C60" w:rsidRPr="00A118CD" w:rsidRDefault="009566A8">
      <w:pPr>
        <w:spacing w:after="110" w:line="312" w:lineRule="auto"/>
        <w:ind w:firstLine="500"/>
        <w:jc w:val="both"/>
        <w:rPr>
          <w:sz w:val="28"/>
          <w:szCs w:val="28"/>
        </w:rPr>
      </w:pPr>
      <w:r w:rsidRPr="00A118CD">
        <w:rPr>
          <w:b/>
          <w:bCs/>
          <w:sz w:val="28"/>
          <w:szCs w:val="28"/>
        </w:rPr>
        <w:t>3. Đề nghị đưa nội dung Quyết định số 990/QĐ-KBNN vào Thông tư và bãi bỏ Quyết định này</w:t>
      </w:r>
      <w:r w:rsidRPr="00A118CD">
        <w:rPr>
          <w:sz w:val="28"/>
          <w:szCs w:val="28"/>
        </w:rPr>
        <w:t>. Sở Tài chính Ninh Bình đề nghị nội dung này. Cục CNTT giải trình: việc rà soát, bãi bỏ Quyết định số 990/QĐ-KBNN thuộc thẩm quyền của cơ quan ban hành văn bản. Về vướng mắc một đơn vị được cấp đồng thời hai mã số với đầu mã N = 9 và N = 3 mà đơn vị nêu, Cục CNTT ghi nhận và sẽ bổ sung cơ chế tra cứu, đối chiếu trên Nền tảng số trước khi cấp mã đầu N = 9, bảo đảm nguyên tắc mỗi đơn vị chỉ được cấp một mã số duy nhất tại khoản 5 Điều 4.</w:t>
      </w:r>
    </w:p>
    <w:p w:rsidR="00BC4C60" w:rsidRPr="00A118CD" w:rsidRDefault="009566A8">
      <w:pPr>
        <w:spacing w:after="110" w:line="312" w:lineRule="auto"/>
        <w:ind w:firstLine="500"/>
        <w:jc w:val="both"/>
        <w:rPr>
          <w:sz w:val="28"/>
          <w:szCs w:val="28"/>
        </w:rPr>
      </w:pPr>
      <w:r w:rsidRPr="00A118CD">
        <w:rPr>
          <w:b/>
          <w:bCs/>
          <w:sz w:val="28"/>
          <w:szCs w:val="28"/>
        </w:rPr>
        <w:t>4. Đề nghị quy định cụ thể tiêu chuẩn xác thực, định dạng điện tử ngay tại Thông tư</w:t>
      </w:r>
      <w:r w:rsidRPr="00A118CD">
        <w:rPr>
          <w:sz w:val="28"/>
          <w:szCs w:val="28"/>
        </w:rPr>
        <w:t>. Cục Kế hoạch Tài chính đề nghị nội dung này. Cục CNTT tiếp thu một phần: các yêu cầu có tính nội dung đối với hồ sơ trực tuyến đã được đưa vào Điều 17 và Điều 18 của Thông tư; phần tiêu chuẩn</w:t>
      </w:r>
      <w:r w:rsidR="007F4A20">
        <w:rPr>
          <w:sz w:val="28"/>
          <w:szCs w:val="28"/>
        </w:rPr>
        <w:t xml:space="preserve"> kỹ thuật và định dạng dữ liệu -</w:t>
      </w:r>
      <w:r w:rsidRPr="00A118CD">
        <w:rPr>
          <w:sz w:val="28"/>
          <w:szCs w:val="28"/>
        </w:rPr>
        <w:t xml:space="preserve"> vốn thường xuyên t</w:t>
      </w:r>
      <w:r w:rsidR="007F4A20">
        <w:rPr>
          <w:sz w:val="28"/>
          <w:szCs w:val="28"/>
        </w:rPr>
        <w:t>hay đổi theo hạ tầng công nghệ -</w:t>
      </w:r>
      <w:r w:rsidRPr="00A118CD">
        <w:rPr>
          <w:sz w:val="28"/>
          <w:szCs w:val="28"/>
        </w:rPr>
        <w:t xml:space="preserve"> được chuyển thành nhiệm vụ hướng dẫn kỹ thuật và công bố tại điểm d khoản 2 Điều 23, thay cho hình thức giao quy định chi tiết như dự thảo trước.</w:t>
      </w:r>
    </w:p>
    <w:p w:rsidR="00BC4C60" w:rsidRPr="00A118CD" w:rsidRDefault="009566A8">
      <w:pPr>
        <w:spacing w:after="110" w:line="312" w:lineRule="auto"/>
        <w:ind w:firstLine="500"/>
        <w:jc w:val="both"/>
        <w:rPr>
          <w:sz w:val="28"/>
          <w:szCs w:val="28"/>
        </w:rPr>
      </w:pPr>
      <w:r w:rsidRPr="00A118CD">
        <w:rPr>
          <w:b/>
          <w:bCs/>
          <w:sz w:val="28"/>
          <w:szCs w:val="28"/>
        </w:rPr>
        <w:t>5. Đề nghị cấp mã số ĐVQHNS đầu N = 1 cho Ban quản lý dự án chuyên ngành, Ban quản lý dự án khu vực</w:t>
      </w:r>
      <w:r w:rsidRPr="00A118CD">
        <w:rPr>
          <w:sz w:val="28"/>
          <w:szCs w:val="28"/>
        </w:rPr>
        <w:t>. Sở Tài chính Hải Phòng đề nghị nội dung này. Cục CNTT giải trình: khi nhập, phân bổ dự toán, đơn vị vẫn thực hiện theo mã số đầu N = 3 kết hợp mã tài khoản dự toán chi tiết theo dự toán chi đầu tư hoặc chi thường xuyên; khi thanh toán, giải ngân căn cứ vào tài khoản dự toán mở tại Kho bạc Nhà nước. Do đó giữ quy định cấp mã số đầu N = 3.</w:t>
      </w:r>
    </w:p>
    <w:p w:rsidR="00BC4C60" w:rsidRPr="00A118CD" w:rsidRDefault="009566A8" w:rsidP="00D71032">
      <w:pPr>
        <w:spacing w:before="220" w:after="120" w:line="312" w:lineRule="auto"/>
        <w:ind w:firstLine="500"/>
        <w:jc w:val="both"/>
        <w:rPr>
          <w:sz w:val="28"/>
          <w:szCs w:val="28"/>
        </w:rPr>
      </w:pPr>
      <w:r w:rsidRPr="00A118CD">
        <w:rPr>
          <w:b/>
          <w:bCs/>
          <w:sz w:val="28"/>
          <w:szCs w:val="28"/>
        </w:rPr>
        <w:t>IV. NỘI DUNG CƠ QUAN CHỦ TRÌ RÀ SOÁT, HOÀN THIỆN</w:t>
      </w:r>
    </w:p>
    <w:p w:rsidR="00BC4C60" w:rsidRPr="00A118CD" w:rsidRDefault="009566A8">
      <w:pPr>
        <w:spacing w:after="110" w:line="312" w:lineRule="auto"/>
        <w:ind w:firstLine="500"/>
        <w:jc w:val="both"/>
        <w:rPr>
          <w:sz w:val="28"/>
          <w:szCs w:val="28"/>
        </w:rPr>
      </w:pPr>
      <w:r w:rsidRPr="00A118CD">
        <w:rPr>
          <w:sz w:val="28"/>
          <w:szCs w:val="28"/>
        </w:rPr>
        <w:t>Ngoài các nội dung tiếp thu ý kiến nêu trên, Cục Công nghệ thông tin và chuyển đổi số đã chủ động rà soát tổng thể và hoàn thiện dự thảo theo các nội dung sau:</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5674"/>
        <w:gridCol w:w="2835"/>
      </w:tblGrid>
      <w:tr w:rsidR="00BC4C60" w:rsidRPr="00775FF7" w:rsidTr="00FE30EE">
        <w:trPr>
          <w:tblHeader/>
        </w:trPr>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center"/>
              <w:rPr>
                <w:sz w:val="28"/>
                <w:szCs w:val="28"/>
              </w:rPr>
            </w:pPr>
            <w:r w:rsidRPr="00775FF7">
              <w:rPr>
                <w:b/>
                <w:bCs/>
                <w:sz w:val="28"/>
                <w:szCs w:val="28"/>
              </w:rPr>
              <w:t>TT</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b/>
                <w:bCs/>
                <w:sz w:val="28"/>
                <w:szCs w:val="28"/>
              </w:rPr>
              <w:t>Nội dung rà soát, hoàn thiện</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b/>
                <w:bCs/>
                <w:sz w:val="28"/>
                <w:szCs w:val="28"/>
              </w:rPr>
              <w:t>Thể hiện tại dự thảo</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1</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Cơ cấu lại bố cục: hợp nhất Điều 26 và Điều 27 thành Điều 26 Hiệu lực thi hành; dự thảo rút từ 27 điều xuống 26 điều</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Chương V</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2</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Lược bỏ các khoản chỉ dẫn không chứa quy phạm và toàn bộ dẫn chiếu nội bộ không cần thiết; các điều được quy định theo phạm vi tự áp dụng</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Toàn văn dự thảo</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3</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Bổ sung quy tắc xác định chủ thể thực hiện giao dịch điện tử qua tài khoản truy cập và cơ chế thông báo, khóa tài khoản khi bị lộ hoặc bị sử dụng trái phép</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Khoản 8 Điều 17</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4</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Bổ sung quy định lưu vết thao tác của người sử dụng trên Nền tảng số phục vụ kiểm tra, thanh tra, kiểm toán</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Khoản 7 Điều 17</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5</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Hoàn thiện Điều 20 về xử lý sự cố: phân loại sự cố, nghĩa vụ công bố sự cố, không tính thời gian sự cố vào các thời hạn, bảo lưu hiệu lực hồ sơ đã nộp</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Điều 20</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6</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Bổ sung Điều 21 về bảo mật, lưu trữ và khai thác dữ liệu: phạm vi khai thác của công chức, thời hạn lưu trữ, căn cứ cung cấp dữ liệu ra ngoài</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Điều 21</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7</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Cơ cấu lại Điều 22, Điều 23, Điều 24 theo chủ thể; bổ sung các nhiệm vụ phát sinh từ Chương III (số hóa hồ sơ giấy, cấp và thu hồi tài khoản, công bố sự cố, bảo đảm an toàn hệ thống thông tin theo cấp độ)</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Chương IV</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8</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Chuẩn hóa thẩm quyền ban hành: chuyển hình thức “quy định” của đơn vị chuyên môn thành “hướng dẫn kỹ thuật, công bố”, phù hợp Luật Ban hành văn bản quy phạm pháp luật số 64/2025/QH15</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Điểm d khoản 2 Điều 23</w:t>
            </w:r>
          </w:p>
        </w:tc>
      </w:tr>
      <w:tr w:rsidR="00BC4C60" w:rsidRPr="00775FF7"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9</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Hoàn thiện Điều 25 theo đúng bản chất điều khoản chuyển tiếp: bảo lưu mã số, Giấy chứng nhận, hồ sơ đang giải quyết và tài khoản truy cập đã cấp</w:t>
            </w:r>
          </w:p>
        </w:tc>
        <w:tc>
          <w:tcPr>
            <w:tcW w:w="2835"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Điều 25</w:t>
            </w:r>
          </w:p>
        </w:tc>
      </w:tr>
      <w:tr w:rsidR="00BC4C60" w:rsidRPr="00A118CD" w:rsidTr="00FE30EE">
        <w:tc>
          <w:tcPr>
            <w:tcW w:w="700"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10</w:t>
            </w:r>
          </w:p>
        </w:tc>
        <w:tc>
          <w:tcPr>
            <w:tcW w:w="5674" w:type="dxa"/>
            <w:shd w:val="clear" w:color="auto" w:fill="auto"/>
            <w:tcMar>
              <w:top w:w="70" w:type="dxa"/>
              <w:left w:w="90" w:type="dxa"/>
              <w:bottom w:w="70" w:type="dxa"/>
              <w:right w:w="90" w:type="dxa"/>
            </w:tcMar>
          </w:tcPr>
          <w:p w:rsidR="00BC4C60" w:rsidRPr="00775FF7" w:rsidRDefault="009566A8">
            <w:pPr>
              <w:spacing w:after="40" w:line="276" w:lineRule="auto"/>
              <w:jc w:val="both"/>
              <w:rPr>
                <w:sz w:val="28"/>
                <w:szCs w:val="28"/>
              </w:rPr>
            </w:pPr>
            <w:r w:rsidRPr="00775FF7">
              <w:rPr>
                <w:sz w:val="28"/>
                <w:szCs w:val="28"/>
              </w:rPr>
              <w:t>Dành riêng dải mã trong đầu mã N = 2 cho mã ngân sách toàn địa bàn và mã tổ chức ngân sách, tránh trùng khi cấp mã tuần tự</w:t>
            </w:r>
          </w:p>
        </w:tc>
        <w:tc>
          <w:tcPr>
            <w:tcW w:w="2835"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775FF7">
              <w:rPr>
                <w:sz w:val="28"/>
                <w:szCs w:val="28"/>
              </w:rPr>
              <w:t>Điểm c khoản 3 Điều 5 và khoản 9 Điều 15</w:t>
            </w:r>
          </w:p>
        </w:tc>
      </w:tr>
    </w:tbl>
    <w:p w:rsidR="00BC4C60" w:rsidRPr="00A118CD" w:rsidRDefault="009566A8" w:rsidP="00D71032">
      <w:pPr>
        <w:spacing w:before="220" w:after="120" w:line="312" w:lineRule="auto"/>
        <w:ind w:firstLine="500"/>
        <w:jc w:val="both"/>
        <w:rPr>
          <w:sz w:val="28"/>
          <w:szCs w:val="28"/>
        </w:rPr>
      </w:pPr>
      <w:r w:rsidRPr="00A118CD">
        <w:rPr>
          <w:b/>
          <w:bCs/>
          <w:sz w:val="28"/>
          <w:szCs w:val="28"/>
        </w:rPr>
        <w:t>V. MỘT SỐ NỘI DUNG KỸ THUẬT ĐỀ NGHỊ RÀ SOÁT TRƯỚC KHI TRÌNH KÝ</w:t>
      </w:r>
    </w:p>
    <w:p w:rsidR="00BC4C60" w:rsidRPr="00A118CD" w:rsidRDefault="009566A8">
      <w:pPr>
        <w:spacing w:after="110" w:line="312" w:lineRule="auto"/>
        <w:ind w:firstLine="500"/>
        <w:jc w:val="both"/>
        <w:rPr>
          <w:sz w:val="28"/>
          <w:szCs w:val="28"/>
        </w:rPr>
      </w:pPr>
      <w:r w:rsidRPr="00A118CD">
        <w:rPr>
          <w:sz w:val="28"/>
          <w:szCs w:val="28"/>
        </w:rPr>
        <w:t>Qua rà soát kỹ thuật toàn văn dự thảo và Phụ lục, còn một số nội dung cần hiệu chỉnh: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1989"/>
        <w:gridCol w:w="6662"/>
      </w:tblGrid>
      <w:tr w:rsidR="00BC4C60" w:rsidRPr="00A118CD" w:rsidTr="00FE30EE">
        <w:trPr>
          <w:tblHeader/>
        </w:trPr>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center"/>
              <w:rPr>
                <w:sz w:val="28"/>
                <w:szCs w:val="28"/>
              </w:rPr>
            </w:pPr>
            <w:r w:rsidRPr="00A118CD">
              <w:rPr>
                <w:b/>
                <w:bCs/>
                <w:sz w:val="28"/>
                <w:szCs w:val="28"/>
              </w:rPr>
              <w:t>TT</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t>Vị trí</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b/>
                <w:bCs/>
                <w:sz w:val="28"/>
                <w:szCs w:val="28"/>
              </w:rPr>
              <w:t>Nội dung cần hiệu chỉnh</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1</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Khoản 6 Điều 6</w:t>
            </w:r>
          </w:p>
        </w:tc>
        <w:tc>
          <w:tcPr>
            <w:tcW w:w="6662" w:type="dxa"/>
            <w:shd w:val="clear" w:color="auto" w:fill="auto"/>
            <w:tcMar>
              <w:top w:w="70" w:type="dxa"/>
              <w:left w:w="90" w:type="dxa"/>
              <w:bottom w:w="70" w:type="dxa"/>
              <w:right w:w="90" w:type="dxa"/>
            </w:tcMar>
          </w:tcPr>
          <w:p w:rsidR="00BC4C60" w:rsidRPr="00A118CD" w:rsidRDefault="009566A8" w:rsidP="004737DA">
            <w:pPr>
              <w:spacing w:after="40" w:line="276" w:lineRule="auto"/>
              <w:jc w:val="both"/>
              <w:rPr>
                <w:sz w:val="28"/>
                <w:szCs w:val="28"/>
              </w:rPr>
            </w:pPr>
            <w:r w:rsidRPr="00A118CD">
              <w:rPr>
                <w:sz w:val="28"/>
                <w:szCs w:val="28"/>
              </w:rPr>
              <w:t>Mẫu Giấy chứng nhận đang bị gán lệch: điểm b gộp nhiệm vụ chuẩn bị đầu tư với dự án đầu tư vào Mẫu số 05B; điểm c gán nhiệm vụ quy hoạch cho Mẫu số 05C. Theo tên mẫu tại Phụ lục, phải tách thành bốn điểm: đơn vị (05A), dự án đầu tư (05B), , nhiệm vụ quy hoạch (05</w:t>
            </w:r>
            <w:r w:rsidR="004737DA">
              <w:rPr>
                <w:sz w:val="28"/>
                <w:szCs w:val="28"/>
              </w:rPr>
              <w:t>C</w:t>
            </w:r>
            <w:r w:rsidRPr="00A118CD">
              <w:rPr>
                <w:sz w:val="28"/>
                <w:szCs w:val="28"/>
              </w:rPr>
              <w:t>).</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2</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Khoản 7 Điều 8</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Hồ sơ cho nhiệm vụ quy hoạch đang dẫn Mẫu số 02D (dùng cho nhiệm vụ chuẩn bị đầu tư); mẫu đúng là Mẫu số 02E.</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3</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Điều 8</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Chưa có khoản quy định hồ sơ đăng ký mã số ĐVQHNS cho nhiệm vụ chuẩn bị đầu tư, trong khi Phụ lục đã có Mẫu số 02D và Mẫu số 05C cho trường hợp này.</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4</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Khoản 1 Điều 9</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Phạm vi mới chỉ gồm hồ sơ đăng ký mã số ĐVQHNS. Đề nghị mở rộng cho cả hồ sơ đăng ký thay đổi thông tin và hồ sơ đăng ký thông tin chuyển giai đoạn dự án đầu tư, thống nhất với khoản 1 Điều 7.</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5</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Điểm đ khoản 2 Điều 16</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Dẫn “khoản 9 Điều 15” cho việc chuyển cơ quan quản lý mã số; nội dung này tại khoản 7 Điều 15.</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6</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Điểm b khoản 5 Điều 16</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Dẫn “mã vạch quy định tại khoản 3 Điều 6”; nội dung mã QR tại khoản 4 Điều 6, đồng thời thống nhất thuật ngữ “mã QR”.</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7</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Điểm c khoản 1 Điều 17</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Dẫn “khoản 9 Điều 15” cho việc phân quyền cấp xã; nội dung này tại khoản 8 Điều 15.</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8</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Phụ lục</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Số thứ tự 16 và 20 bị trùng; khối Mẫu số 05D xuất hiện hai lần. Sau khi hiệu chỉnh, Phụ lục gồm 21 biểu mẫu đánh số từ 1 đến 21.</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9</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Khoản 3 Điều 13</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Cụm từ “đã hoàn thành thủ tục đóng mã số ĐVQHNS” đề nghị sửa thành “đã được đóng”, thống nhất với định hướng không sử dụng từ “thủ tục” trong Thông tư.</w:t>
            </w:r>
          </w:p>
        </w:tc>
      </w:tr>
      <w:tr w:rsidR="00BC4C60" w:rsidRPr="00A118CD" w:rsidTr="00FE30EE">
        <w:tc>
          <w:tcPr>
            <w:tcW w:w="700"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10</w:t>
            </w:r>
          </w:p>
        </w:tc>
        <w:tc>
          <w:tcPr>
            <w:tcW w:w="1989"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Thể thức</w:t>
            </w:r>
          </w:p>
        </w:tc>
        <w:tc>
          <w:tcPr>
            <w:tcW w:w="6662" w:type="dxa"/>
            <w:shd w:val="clear" w:color="auto" w:fill="auto"/>
            <w:tcMar>
              <w:top w:w="70" w:type="dxa"/>
              <w:left w:w="90" w:type="dxa"/>
              <w:bottom w:w="70" w:type="dxa"/>
              <w:right w:w="90" w:type="dxa"/>
            </w:tcMar>
          </w:tcPr>
          <w:p w:rsidR="00BC4C60" w:rsidRPr="00A118CD" w:rsidRDefault="009566A8">
            <w:pPr>
              <w:spacing w:after="40" w:line="276" w:lineRule="auto"/>
              <w:jc w:val="both"/>
              <w:rPr>
                <w:sz w:val="28"/>
                <w:szCs w:val="28"/>
              </w:rPr>
            </w:pPr>
            <w:r w:rsidRPr="00A118CD">
              <w:rPr>
                <w:sz w:val="28"/>
                <w:szCs w:val="28"/>
              </w:rPr>
              <w:t>Khoản 4 Điều 16 đánh số bằng dấu phẩy; tiêu đề Điều 12 còn ký tự thừa.</w:t>
            </w:r>
          </w:p>
        </w:tc>
      </w:tr>
    </w:tbl>
    <w:p w:rsidR="00BC4C60" w:rsidRPr="00A118CD" w:rsidRDefault="009566A8" w:rsidP="00D71032">
      <w:pPr>
        <w:spacing w:before="220" w:after="120" w:line="312" w:lineRule="auto"/>
        <w:ind w:firstLine="500"/>
        <w:jc w:val="both"/>
        <w:rPr>
          <w:sz w:val="28"/>
          <w:szCs w:val="28"/>
        </w:rPr>
      </w:pPr>
      <w:r w:rsidRPr="00A118CD">
        <w:rPr>
          <w:b/>
          <w:bCs/>
          <w:sz w:val="28"/>
          <w:szCs w:val="28"/>
        </w:rPr>
        <w:t>VI. KIẾN NGHỊ</w:t>
      </w:r>
    </w:p>
    <w:p w:rsidR="00BC4C60" w:rsidRPr="00A118CD" w:rsidRDefault="009566A8">
      <w:pPr>
        <w:spacing w:after="110" w:line="312" w:lineRule="auto"/>
        <w:ind w:firstLine="500"/>
        <w:jc w:val="both"/>
        <w:rPr>
          <w:sz w:val="28"/>
          <w:szCs w:val="28"/>
        </w:rPr>
      </w:pPr>
      <w:r w:rsidRPr="00A118CD">
        <w:rPr>
          <w:sz w:val="28"/>
          <w:szCs w:val="28"/>
        </w:rPr>
        <w:t>Cục Công nghệ thông tin và chuyển đổi số kính báo cáo Lãnh đạo Bộ kết quả tổng hợp, tiếp thu và giải trình ý kiến tham gia của các đơn vị đối với dự thảo Thông tư; kính đề nghị Lãnh đạo Bộ xem xét, cho ý kiến chỉ đạo để Cục hoàn thiện dự thảo Thông tư, trình Bộ ký ban hành theo quy định.</w:t>
      </w:r>
    </w:p>
    <w:p w:rsidR="003D5512" w:rsidRDefault="009566A8">
      <w:pPr>
        <w:spacing w:before="120" w:after="240" w:line="312" w:lineRule="auto"/>
        <w:ind w:firstLine="500"/>
        <w:jc w:val="both"/>
        <w:rPr>
          <w:sz w:val="28"/>
          <w:szCs w:val="28"/>
        </w:rPr>
      </w:pPr>
      <w:r w:rsidRPr="00A118CD">
        <w:rPr>
          <w:sz w:val="28"/>
          <w:szCs w:val="28"/>
        </w:rPr>
        <w:t>Chi tiết ý kiến tham gia của từng đơn vị và nội dung tiếp thu, giải trình tại Bảng tổng hợp kèm theo./.</w:t>
      </w:r>
    </w:p>
    <w:tbl>
      <w:tblPr>
        <w:tblW w:w="9500" w:type="dxa"/>
        <w:tblCellMar>
          <w:left w:w="10" w:type="dxa"/>
          <w:right w:w="10" w:type="dxa"/>
        </w:tblCellMar>
        <w:tblLook w:val="04A0" w:firstRow="1" w:lastRow="0" w:firstColumn="1" w:lastColumn="0" w:noHBand="0" w:noVBand="1"/>
      </w:tblPr>
      <w:tblGrid>
        <w:gridCol w:w="4600"/>
        <w:gridCol w:w="4900"/>
      </w:tblGrid>
      <w:tr w:rsidR="00BC4C60" w:rsidTr="00157193">
        <w:tc>
          <w:tcPr>
            <w:tcW w:w="4600" w:type="dxa"/>
          </w:tcPr>
          <w:p w:rsidR="00BC4C60" w:rsidRDefault="00BC4C60">
            <w:pPr>
              <w:spacing w:after="110" w:line="312" w:lineRule="auto"/>
              <w:jc w:val="both"/>
            </w:pPr>
          </w:p>
        </w:tc>
        <w:tc>
          <w:tcPr>
            <w:tcW w:w="4900" w:type="dxa"/>
          </w:tcPr>
          <w:p w:rsidR="00BC4C60" w:rsidRPr="00775FF7" w:rsidRDefault="009566A8">
            <w:pPr>
              <w:spacing w:line="312" w:lineRule="auto"/>
              <w:jc w:val="center"/>
              <w:rPr>
                <w:b/>
                <w:bCs/>
                <w:sz w:val="28"/>
                <w:szCs w:val="28"/>
              </w:rPr>
            </w:pPr>
            <w:r w:rsidRPr="00775FF7">
              <w:rPr>
                <w:b/>
                <w:bCs/>
                <w:sz w:val="28"/>
                <w:szCs w:val="28"/>
              </w:rPr>
              <w:t>CỤC TRƯỞNG</w:t>
            </w:r>
          </w:p>
          <w:p w:rsidR="00157193" w:rsidRPr="00775FF7" w:rsidRDefault="00157193">
            <w:pPr>
              <w:spacing w:line="312" w:lineRule="auto"/>
              <w:jc w:val="center"/>
              <w:rPr>
                <w:b/>
                <w:bCs/>
                <w:sz w:val="28"/>
                <w:szCs w:val="28"/>
              </w:rPr>
            </w:pPr>
          </w:p>
          <w:p w:rsidR="00157193" w:rsidRPr="00775FF7" w:rsidRDefault="00157193">
            <w:pPr>
              <w:spacing w:line="312" w:lineRule="auto"/>
              <w:jc w:val="center"/>
              <w:rPr>
                <w:b/>
                <w:bCs/>
                <w:sz w:val="28"/>
                <w:szCs w:val="28"/>
              </w:rPr>
            </w:pPr>
          </w:p>
          <w:p w:rsidR="00157193" w:rsidRPr="00775FF7" w:rsidRDefault="00157193">
            <w:pPr>
              <w:spacing w:line="312" w:lineRule="auto"/>
              <w:jc w:val="center"/>
              <w:rPr>
                <w:b/>
                <w:bCs/>
                <w:sz w:val="28"/>
                <w:szCs w:val="28"/>
              </w:rPr>
            </w:pPr>
          </w:p>
          <w:p w:rsidR="00BC4C60" w:rsidRPr="00775FF7" w:rsidRDefault="00157193" w:rsidP="00157193">
            <w:pPr>
              <w:spacing w:line="312" w:lineRule="auto"/>
              <w:jc w:val="center"/>
              <w:rPr>
                <w:b/>
                <w:bCs/>
                <w:sz w:val="28"/>
                <w:szCs w:val="28"/>
              </w:rPr>
            </w:pPr>
            <w:r w:rsidRPr="00775FF7">
              <w:rPr>
                <w:b/>
                <w:bCs/>
                <w:sz w:val="28"/>
                <w:szCs w:val="28"/>
              </w:rPr>
              <w:t>Nguyễn Việt Hà</w:t>
            </w:r>
          </w:p>
        </w:tc>
      </w:tr>
    </w:tbl>
    <w:p w:rsidR="00BC4C60" w:rsidRDefault="009566A8">
      <w:r>
        <w:br w:type="page"/>
      </w:r>
    </w:p>
    <w:p w:rsidR="00BC4C60" w:rsidRDefault="009566A8">
      <w:pPr>
        <w:spacing w:after="40" w:line="312" w:lineRule="auto"/>
        <w:jc w:val="center"/>
      </w:pPr>
      <w:r>
        <w:rPr>
          <w:b/>
          <w:bCs/>
          <w:sz w:val="28"/>
          <w:szCs w:val="28"/>
        </w:rPr>
        <w:t>BẢNG TỔNG HỢP CHI TIẾT Ý KIẾN THAM GIA</w:t>
      </w:r>
    </w:p>
    <w:p w:rsidR="00BC4C60" w:rsidRDefault="009566A8">
      <w:pPr>
        <w:spacing w:after="200" w:line="312" w:lineRule="auto"/>
        <w:jc w:val="center"/>
      </w:pPr>
      <w:r>
        <w:rPr>
          <w:b/>
          <w:bCs/>
        </w:rPr>
        <w:t>VÀ NỘI DUNG TIẾP THU, GIẢI TRÌNH CỦA CỤC CÔNG NGHỆ THÔNG TIN VÀ CHUYỂN ĐỔI SỐ</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0"/>
        <w:gridCol w:w="4440"/>
        <w:gridCol w:w="4440"/>
      </w:tblGrid>
      <w:tr w:rsidR="00BC4C60" w:rsidRPr="00886647" w:rsidTr="004F71C4">
        <w:trPr>
          <w:cantSplit/>
          <w:tblHeader/>
        </w:trPr>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TT</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center"/>
            </w:pPr>
            <w:r w:rsidRPr="00886647">
              <w:rPr>
                <w:b/>
                <w:bCs/>
                <w:sz w:val="23"/>
                <w:szCs w:val="23"/>
              </w:rPr>
              <w:t>Ý kiến tham gia của các đơn vị</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center"/>
            </w:pPr>
            <w:r w:rsidRPr="00886647">
              <w:rPr>
                <w:b/>
                <w:bCs/>
                <w:sz w:val="23"/>
                <w:szCs w:val="23"/>
              </w:rPr>
              <w:t>Ý kiến tiếp thu, giải trình của Cục CNTT</w:t>
            </w:r>
          </w:p>
        </w:tc>
      </w:tr>
      <w:tr w:rsidR="001F484D" w:rsidRPr="00D30979" w:rsidTr="004F71C4">
        <w:trPr>
          <w:cantSplit/>
        </w:trPr>
        <w:tc>
          <w:tcPr>
            <w:tcW w:w="620" w:type="dxa"/>
            <w:shd w:val="clear" w:color="auto" w:fill="auto"/>
            <w:tcMar>
              <w:top w:w="70" w:type="dxa"/>
              <w:left w:w="90" w:type="dxa"/>
              <w:bottom w:w="70" w:type="dxa"/>
              <w:right w:w="90" w:type="dxa"/>
            </w:tcMar>
          </w:tcPr>
          <w:p w:rsidR="001F484D" w:rsidRPr="00D30979" w:rsidRDefault="001F484D" w:rsidP="003718DA">
            <w:pPr>
              <w:spacing w:after="40" w:line="276" w:lineRule="auto"/>
              <w:jc w:val="center"/>
              <w:rPr>
                <w:b/>
                <w:bCs/>
                <w:i/>
                <w:sz w:val="23"/>
                <w:szCs w:val="23"/>
              </w:rPr>
            </w:pPr>
            <w:r w:rsidRPr="00D30979">
              <w:rPr>
                <w:b/>
                <w:bCs/>
                <w:i/>
                <w:sz w:val="23"/>
                <w:szCs w:val="23"/>
              </w:rPr>
              <w:t>I</w:t>
            </w:r>
          </w:p>
        </w:tc>
        <w:tc>
          <w:tcPr>
            <w:tcW w:w="4440" w:type="dxa"/>
            <w:shd w:val="clear" w:color="auto" w:fill="auto"/>
            <w:tcMar>
              <w:top w:w="70" w:type="dxa"/>
              <w:left w:w="90" w:type="dxa"/>
              <w:bottom w:w="70" w:type="dxa"/>
              <w:right w:w="90" w:type="dxa"/>
            </w:tcMar>
          </w:tcPr>
          <w:p w:rsidR="001F484D" w:rsidRPr="00D30979" w:rsidRDefault="001F484D" w:rsidP="00D30979">
            <w:pPr>
              <w:spacing w:after="40" w:line="276" w:lineRule="auto"/>
              <w:jc w:val="both"/>
              <w:rPr>
                <w:b/>
                <w:bCs/>
                <w:i/>
                <w:sz w:val="23"/>
                <w:szCs w:val="23"/>
              </w:rPr>
            </w:pPr>
            <w:r w:rsidRPr="00D30979">
              <w:rPr>
                <w:b/>
                <w:bCs/>
                <w:i/>
                <w:sz w:val="23"/>
                <w:szCs w:val="23"/>
              </w:rPr>
              <w:t>Ý kiến phúc đáp Công văn số 2256/CNTT-TK ngày 14/8/2026 của các đơn vị</w:t>
            </w:r>
          </w:p>
        </w:tc>
        <w:tc>
          <w:tcPr>
            <w:tcW w:w="4440" w:type="dxa"/>
            <w:shd w:val="clear" w:color="auto" w:fill="auto"/>
            <w:tcMar>
              <w:top w:w="70" w:type="dxa"/>
              <w:left w:w="90" w:type="dxa"/>
              <w:bottom w:w="70" w:type="dxa"/>
              <w:right w:w="90" w:type="dxa"/>
            </w:tcMar>
          </w:tcPr>
          <w:p w:rsidR="001F484D" w:rsidRPr="00D30979" w:rsidRDefault="001F484D" w:rsidP="00D30979">
            <w:pPr>
              <w:spacing w:after="40" w:line="276" w:lineRule="auto"/>
              <w:jc w:val="both"/>
              <w:rPr>
                <w:b/>
                <w:bCs/>
                <w:i/>
                <w:sz w:val="23"/>
                <w:szCs w:val="23"/>
              </w:rPr>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Vụ Giám sát và Thẩm định đầu tư</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khoản 2 Điều 3, khoản 4 Điều 5 dự thảo Thông tư, đề nghị xem xét bổ sung thêm đối tượng "dự án đầu tư sử dụng vốn nhà nước ngoài đầu tư công". Khái niệm vốn nhà nước ngoài đầu tư công được quy định tại khoản 19 Điều 3 Nghị định số 19/2026/NĐ-CP</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Khoản 19 Điều 3 Nghị định số 19/2026/NĐ-CP: "Vốn nhà nước ngoài đầu tư công" bao gồm: Vốn chi thường xuyên ngân sách nhà nước; quỹ tài chính nhà nước ngoài ngân sách theo Luật Ngân sách nhà nước; vốn vay do Chính phủ bảo lãnh theo Luật Quản lý nợ công; vốn của doanh nghiệp nhà nước theo quy định của Luật Doanh nghiệp, doanh nghiệp do doanh nghiệp nhà nước nắm giữ 100% vốn điều lệ; vốn nhà nước khác theo quy định pháp luật có liên quan; trừ vốn đầu tư công theo quy định của Luật Đầu tư công." Do đó dự án đầu tư sử dụng vốn nhà nước ngoài đầu tư công sẽ không thuộc đối tượng cấp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rà soát lại nội hàm quy định tại khoản 6 Điều 3 dự thảo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lại trong Dự thảo thông tư, tham chiếu đến khoản 3 thay vì khoản 10 như dự thảo đã đưa ra.</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Điều 5 dự thảo Thông tư quy định về mã số đơn vị có quan hệ với ngân sách, đề nghị làm rõ thêm một số nội dung sau: - Trường hợp 1 đơn vị có quan hệ với ngân sách nhưng thực hiện nhiều chỉ tiêu quản lý về nhiệm vụ, dự án khác nhau thì sẽ cấp và quản lý như thế nào - Đề nghị làm rõ thêm quy trình định danh như thế nào để quản lý được toàn bộ vòng đời của nhiệm vụ, dự án cụ thể. Nội dung này rất quan trọng để làm cơ sở theo dõi cả vòng đời nhiệm vụ, dự án... từ lúc được sinh ra, đến giai đoạn triển khai thực hiện, hoàn thành, quyết toán, nghiệm thu, đưa vào vận hành, sử dụng...; trong khi một dự án ở giai đoạn chuẩn bị đầu tư có thể được giao cho 1 đơn vị, giai đoạn thực hiện được giao cho 1 đơn vị khác, giai đoạn sử dụng được giao cho 1 đơn vị khác. - Đề nghị làm rõ thời điểm phải thực hiện cấp mã số ĐVQHNS trong chu trình, vòng đời 1 nhiệm vụ, dự án đầu tư? Làm cơ sở thống nhất quản lý, chia sẻ thông tin, dữ liệu liên quan giữa các hệ thống thông tin về đầu tư công, giám sát, đánh giá dự án, kho bạc... hiện nay.</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 Về ý kiến "Trường hợp 1 đơn vị có quan hệ với ngân sách nhưng thực hiện nhiều chỉ tiêu quản lý về nhiệm vụ, dự án khác nhau thì sẽ cấp và quản lý như thế nào", Cục CNTT giải trình như sau: Đối với từng nhiệm vụ, dự án khác nhau nếu được cấp dự toán riêng thì sẽ được cấp mã số ĐVQHNS cho từng nhiệm vụ, dự án khác nhau. - Về ý kiến "Đề nghị làm rõ thêm quy trình định danh như thế nào để quản lý được toàn bộ vòng đời của nhiệm vụ, dự án cụ thể. Nội dung này rất quan trọng để làm cơ sở theo dõi cả vòng đời nhiệm vụ, dự án... từ lúc được sinh ra, đến giai đoạn triển khai thực hiện, hoàn thành, quyết toán, nghiệm thu, đưa vào vận hành, sử dụng...; trong khi một dự án ở giai đoạn chuẩn bị đầu tư có thể được giao cho 1 đơn vị, giai đoạn thực hiện được giao cho 1 đơn vị khác, giai đoạn sử dụng được giao cho 1 đơn vị khác", Cục CNTT giải trình như sau: Dự thảo Thông tư quy định việc cấp mã định danh dự án ngay từ giai đoạn chuẩn bị đầu tư. Khi chuyển sang giai đoạn thực hiện dự án, chủ đầu tư phải thực hiện đăng ký chuyển giai đoạn. Trường hợp có sự thay đổi về chủ thể thực hiện hoặc các thông tin quản lý, hệ thống sẽ thực hiện cập nhật các thông tin mới, đồng thời vẫn giữ nguyên mã số đơn vị có quan hệ với ngân sách (ĐVQHNS) / mã dự án đã được cấp từ giai đoạn chuẩn bị đầu tư. Trong suốt quá trình triển khai tiếp theo, nếu phát sinh bất kỳ sự thay đổi nào về thông tin, đơn vị có trách nhiệm thực hiện đăng ký thay đổi thông tin theo quy định. Thông qua cơ chế duy trì và liên kết này, hệ thống đảm bảo theo dõi xuyên suốt toàn bộ vòng đời của dự án từ khi khởi tạo cho đến khi hoàn thành, quyết toán và bàn giao đưa vào sử dụng. - Về ý kiến "Đề nghị làm rõ thời điểm phải thực hiện cấp mã số ĐVQHNS trong chu trình, vòng đời 1 nhiệm vụ, dự án đầu tư? Làm cơ sở thống nhất quản lý, chia sẻ thông tin, dữ liệu liên quan giữa các hệ thống thông tin về đầu tư công, giám sát, đánh giá dự án, kho bạc... hiện nay", Cục CNTT giải trình như sau: Tại Điều 8 của Dự thảo Thông tư đã quy định cụ thể thành phần hồ sơ đối với từng đơn vị, nhiệm vụ, dự án đầu tư để làm căn cứ thực hiện cấp mã số ĐVQHNS. Về thời điểm, do thông tin về mã số ĐVQHNS là chỉ tiêu bắt buộc và là điều kiện kỹ thuật tiên quyết để thực hiện phân bổ và giao vốn, đơn vị có trách nhiệm hoàn thành việc đăng ký cấp mã số ĐVQHNS trước thời điểm cấp có thẩm quyền giao vốn chính thức cho dự án/nhiệm vụ. Việc định danh sớm này giúp đồng bộ dữ liệu thông suốt ngay từ đầu giữa hệ thống thông tin đầu tư công, cơ quan tài chính và Kho bạc Nhà nước.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Quản lý, giám sát kế toán, kiểm toán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Điểm a khoản 7 Điều 4 dự thảo Thông tư quy định: "Các đơn vị có quan hệ với ngân sách phải ghi mã số ĐVQHNS trên giấy tờ giao dịch, sổ sách kế toán, hóa đơn chứng từ, báo cáo liên quan tới việc sử dụng ngân sách Nhà nước". Đề nghị Cục CNTT làm rõ hơn về yêu cầu quản lý của pháp luật về NSNN và văn bản có liên quan đối với nội dung này, do đây không phải nội dung căn cứ theo quy định về chứng từ kế toán, sổ kế toán của pháp luật kế toán.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vào điểm a khoản 7 Điều 4 dự Thông tư: "Các đơn vị có quan hệ với ngân sách phải ghi mã số ĐVQHNS trên các hồ sơ, tài liệu, giấy tờ giao dịch, chứng từ, báo cáo liên quan đến việc quản lý, sử dụng ngân sách nhà nước theo yêu cầu quản lý."</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Khoản 1 Điều 27 dự thảo Thông tư quy định: "1. Chánh Văn phòng Bộ, Cục trưởng Cục CNTT, Giám đốc KBNN, Vụ trưởng Vụ NSNN, Vụ trưởng Vụ PTHT, Cục trưởng Cục QLKT, ... trong phạm vi chức năng, quyền hạn của mình có trách nhiệm tổ chức triển khai, hướng dẫn thực hiện và kiểm tra việc thi hành Thông tư này.". Đề nghị Cục CNTT lược bỏ nội dung giao Cục QLKT nêu trên do dự thảo Thông tư không có nội dung thuộc chức năng, nhiệm vụ của Cục QLKT.</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trong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3</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Quản lý đấu thầu</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rà soát, chỉnh sửa nội dung Mẫu tờ khai đăng ký mã số mới (Mẫu số 02A-MSNS-BTC, 03A-MSNS-BTC, 02C-MSNS-BTC) đảm bảo đầy đủ các trường thông tin tương ứng với các chỉ tiêu quản lý đối với dự án ODA và chỉ tiêu quản lý đối với dự án PPP theo quy định tại điểm d, điểm đ, khoản 4 Điều 5 của dự thảo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nghiên cứu rút ngắn thời gian giải quyết hồ sơ cấp mới, thay đổi thông tin mã số đơn vị xuống nhanh hơn nhờ áp dụng chữ ký số và Hệ thống xử lý tự động.</w:t>
            </w:r>
          </w:p>
        </w:tc>
        <w:tc>
          <w:tcPr>
            <w:tcW w:w="4440" w:type="dxa"/>
            <w:shd w:val="clear" w:color="auto" w:fill="auto"/>
            <w:tcMar>
              <w:top w:w="70" w:type="dxa"/>
              <w:left w:w="90" w:type="dxa"/>
              <w:bottom w:w="70" w:type="dxa"/>
              <w:right w:w="90" w:type="dxa"/>
            </w:tcMar>
          </w:tcPr>
          <w:p w:rsidR="00BC4C60" w:rsidRPr="00886647" w:rsidRDefault="009566A8" w:rsidP="004737DA">
            <w:pPr>
              <w:spacing w:after="40" w:line="276" w:lineRule="auto"/>
              <w:jc w:val="both"/>
            </w:pPr>
            <w:r w:rsidRPr="00886647">
              <w:rPr>
                <w:sz w:val="23"/>
                <w:szCs w:val="23"/>
              </w:rPr>
              <w:t xml:space="preserve">Giải trình ý kiến, Về ý kiến này, Cục CNTT giải trình như sau: - Tại khoản 1 Điều 10 của dự thảo Thông tư mới: Điều chỉnh quy định về cắt giảm thời gian cấp mã số </w:t>
            </w:r>
            <w:r w:rsidR="004737DA">
              <w:rPr>
                <w:sz w:val="23"/>
                <w:szCs w:val="23"/>
              </w:rPr>
              <w:t>ĐVQHNS</w:t>
            </w:r>
            <w:r w:rsidRPr="00886647">
              <w:rPr>
                <w:sz w:val="23"/>
                <w:szCs w:val="23"/>
              </w:rPr>
              <w:t xml:space="preserve"> xuống còn 02 ngày làm việc</w:t>
            </w:r>
            <w:r w:rsidR="004737DA">
              <w:rPr>
                <w:sz w:val="23"/>
                <w:szCs w:val="23"/>
              </w:rPr>
              <w:t xml:space="preserve"> (thống nhất cho cả trường hợp trực tuyến và trực tiếp)</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4</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Quản lý công sản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Về vấn đề này, đề nghị Cục CNTT căn cứ Luật NSNN, Luật Đầu tư công, Luật Đầu tư theo phương thức đối tác công tư, Luật Quy hoạch, Luật Giao dịch điện tử, Luật dữ liệu, thực tế vướng mắc trong quá trình thực hiện Thông tư số 185/2015/TT-BTC ngày 17/11/2015 của Bộ trưởng Bộ Tài chính và tổng hợp ý kiến của các đơn vị liên quan để hoàn thiện dự thảo Thông tư cho phù hợp.</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 các căn cứ và các ý kiến của các đơn vị để hoàn thiện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5</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Phát triển doanh nghiệp nhà nước</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phạm vi điều chỉnh và đối tượng áp dụng: Cục DNNN cơ bản thống nhất với sự cần thiết ban hành Thông tư thay thế Thông tư số 185/2015/TT-BTC ngày 17/11/2015 của Bộ trưởng Bộ Tài chính nhằm cập nhật quy định về đăng ký, cấp và sử dụng mã số đơn vị có quan hệ với ngân sách phù hợp với các quy định hiện hành. Tuy nhiên, đề nghị Cơ quan soạn thảo rà soát, làm rõ mối quan hệ giữa khoản 2 Điều 1 và khoản 1 Điều 3 của dự thảo Thông tư. Theo khoản 1 Điều 3, khái niệm "đơn vị có quan hệ với ngân sách" bao gồm đơn vị dự toán các cấp, đơn vị sử dụng ngân sách nhà nước và các đơn vị khác có quan hệ với ngân sách. Trong khi đó, khoản 2 Điều 1 quy định Thông tư không áp dụng đối với việc đăng ký mã số đơn vị có quan hệ với ngân sách cho đơn vị dự toán, đơn vị sử dụng ngân sách nhà nước và một số đối tượng khác. Đề nghị Cơ quan soạn thảo làm rõ phạm vi đối tượng được áp dụng và các trường hợp không áp dụng Thông tư, đồng thời quy định rõ cơ chế thực hiện đối với các đối tượng được loại trừ tại khoản 2 Điều 1, nhằm bảo đảm thống nhất trong tổ chức thực hiện và tránh cách hiểu khác nhau trong quá trình đăng ký, cấp và quản lý mã số đơn vị có quan hệ với ngân sách.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vào khoản 2 Điều 1 của Dự thảo thông tư như sau: "</w:t>
            </w:r>
            <w:r w:rsidR="004737DA" w:rsidRPr="00F74557">
              <w:rPr>
                <w:sz w:val="23"/>
                <w:szCs w:val="23"/>
              </w:rPr>
              <w:t>2. Thông tư này không áp dụng đối với việc đăng ký, cấp và sử dụng mã số ĐVQHNS cho đơn vị, nhiệm vụ, dự án đầu tư thuộc lĩnh vực quốc phòng, an ninh và đơn vị, nhiệm vụ, dự án đầu tư có thông tin thuộc phạm vi bí mật nhà nước. Việc đăng ký, cấp và sử dụng mã số ĐVQHNS đối với các trường hợp này thực hiện theo quy định riêng của Bộ Tài chính</w:t>
            </w:r>
            <w:r w:rsidR="004737DA" w:rsidRPr="00886647" w:rsidDel="004737DA">
              <w:rPr>
                <w:sz w:val="23"/>
                <w:szCs w:val="23"/>
              </w:rPr>
              <w:t xml:space="preserve"> </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đối tượng là doanh nghiệp nhà nước và các đơn vị có liên quan Đề nghị Cơ quan soạn thảo nghiên cứu, làm rõ trường hợp doanh nghiệp nhà nước, tập đoàn, tổng công ty nhà nước và các đơn vị có quan hệ với ngân sách nhưng không phải là đơn vị dự toán hoặc đơn vị sử dụng ngân sách nhà nước thì có thuộc đối tượng được cấp và quản lý mã số đơn vị có quan hệ với ngân sách theo dự thảo Thông tư hay không. Trường hợp thuộc đối tượng áp dụng, đề nghị quy định hoặc giải thích rõ điều kiện, phạm vi và trường hợp phát sinh quan hệ với ngân sách để thuận lợi trong quá trình thực hiện.</w:t>
            </w:r>
          </w:p>
        </w:tc>
        <w:tc>
          <w:tcPr>
            <w:tcW w:w="4440" w:type="dxa"/>
            <w:shd w:val="clear" w:color="auto" w:fill="auto"/>
            <w:tcMar>
              <w:top w:w="70" w:type="dxa"/>
              <w:left w:w="90" w:type="dxa"/>
              <w:bottom w:w="70" w:type="dxa"/>
              <w:right w:w="90" w:type="dxa"/>
            </w:tcMar>
          </w:tcPr>
          <w:p w:rsidR="00BC4C60" w:rsidRPr="00886647" w:rsidRDefault="004737DA">
            <w:pPr>
              <w:spacing w:after="40" w:line="276" w:lineRule="auto"/>
              <w:jc w:val="both"/>
            </w:pPr>
            <w:r>
              <w:rPr>
                <w:sz w:val="23"/>
                <w:szCs w:val="23"/>
              </w:rPr>
              <w:t>Tiếp thu ý kiến, Cục CNTT đã bỏ đối tượng là daonh nghiệp nhà nước, cập nhật lại nội dung điểm đ khoản 1 Điêu 2: “</w:t>
            </w:r>
            <w:r w:rsidRPr="00FF2EFD">
              <w:rPr>
                <w:color w:val="000000"/>
              </w:rPr>
              <w:t>đ) Cơ quan, tổ chức được cơ quan nhà nước có thẩm quyền giao bằng văn bản thực hiện nhiệm vụ, dự án đầu tư theo quy định của Luật Ngân sách nhà nước, pháp luật về đầu tư công, pháp luật về đầu tư theo phương thức đối tác công tư và pháp luật có liên quan. Việc đăng ký, cấp và sử dụng mã số ĐVQHNS đối với các đối tượng này chỉ áp dụng đối với nhiệm vụ, dự án đầu tư và nguồn kinh phí được giao;</w:t>
            </w:r>
            <w:r>
              <w:rPr>
                <w:color w:val="000000"/>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việc quản lý mã số của các đơn vị đang sử dụng mã số Đề nghị Cơ quan soạn thảo nghiên cứu bổ sung quy định chuyển tiếp đối với các đơn vị đã được cấp mã số đơn vị có quan hệ với ngân sách theo Thông tư số 185/2015/TT-BTC, trong trường hợp có thay đổi về tên gọi, cơ cấu tổ chức, chức năng, nhiệm vụ hoặc đơn vị chủ quản theo các quyết định của cấp có thẩm quyền. Đồng thời, đề nghị làm rõ việc mã số đã được cấp có tiếp tục được sử dụng hay phải thực hiện đăng ký, cấp lại mã số, cũng như trách nhiệm của đơn vị trong việc cập nhật thông tin khi có thay đổi.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Nội dung đơn vị nêu đã được quy định đầy đủ tại dự thảo, cụ thể: (i) mã số ĐVQHNS đã cấp trước ngày Thông tư có hiệu lực tiếp tục có giá trị sử dụng,</w:t>
            </w:r>
            <w:r w:rsidR="00FD65B2">
              <w:rPr>
                <w:sz w:val="23"/>
                <w:szCs w:val="23"/>
              </w:rPr>
              <w:t xml:space="preserve"> đơn vị không phải đăng ký lại -</w:t>
            </w:r>
            <w:r w:rsidRPr="00886647">
              <w:rPr>
                <w:sz w:val="23"/>
                <w:szCs w:val="23"/>
              </w:rPr>
              <w:t xml:space="preserve"> khoản 1 Điều 25; (ii) mã số ĐVQHNS được giữ nguyên khi đơn vị chuyển đổi loại hình, khi dự án đầu tư thay đổi chủ</w:t>
            </w:r>
            <w:r w:rsidR="009F447A">
              <w:rPr>
                <w:sz w:val="23"/>
                <w:szCs w:val="23"/>
              </w:rPr>
              <w:t xml:space="preserve"> đầu tư hoặc chuyển giai đoạn -</w:t>
            </w:r>
            <w:r w:rsidRPr="00886647">
              <w:rPr>
                <w:sz w:val="23"/>
                <w:szCs w:val="23"/>
              </w:rPr>
              <w:t xml:space="preserve"> khoản 6 Điều 4; (iii) trách nhiệm đăng ký thay đổi thông tin trong thời hạn 10 ngày làm việc kể từ ngày văn bản của</w:t>
            </w:r>
            <w:r w:rsidR="004F1F15">
              <w:rPr>
                <w:sz w:val="23"/>
                <w:szCs w:val="23"/>
              </w:rPr>
              <w:t xml:space="preserve"> cấp có thẩm quyền có hiệu lực -</w:t>
            </w:r>
            <w:r w:rsidRPr="00886647">
              <w:rPr>
                <w:sz w:val="23"/>
                <w:szCs w:val="23"/>
              </w:rPr>
              <w:t xml:space="preserve"> khoản 1 Điều 11 và điểm d khoản 1 Điều 22. Các quy định này áp dụng thống nhất cho mọi trường hợp thay đổi, không phân biệt phát sinh trước hay sau ngày Thông tư có hiệu lực, nên không cần quy định riêng tại điều khoản chuyển tiếp.</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6</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Văn phòng Bộ</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kiểm soát thủ tục hành chính Dự thảo Thông tư gửi xin ý kiến không làm phát sinh thủ tục hành chính (TTHC) thuộc phạm vi điều chỉnh của Nghị định số 63/2010/NĐ-CP ngày 08/6/2010 của Chính phủ về kiểm soát TTHC và các Nghị định sửa đổi, bổ sung Nghị định số 63/2010/NĐ-CP.</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thủ tục hành chính nội bộ Qua rà soát, tại dự thảo Thông tư có thủ tục hành chính nội bộ, cụ thể: Thủ tục "Đăng ký mã số đơn vị có quan hệ với ngân sách". Theo đó, đề nghị Cục CNTT rà soát, đảm bảo quy định đầy đủ các thành phần của thủ tục hành chính nội bộ theo hướng dẫn tại văn bản số 15006/BTC-VP ngày 26/9/2025 về việc hướng dẫn công bố, công khai, rà soát, cắt giảm, đơn giản hóa TTHC nội bộ để đảm bảo thuận tiện cho các đơn vị trong quá trình thực hiện TTHC.</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7</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Kho bạc Nhà nước</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Tại khoản 1 Điều 1 về phạm vi điều chỉnh có bao gồm "quản lý, sử dụng mã số ĐVQHNS (bao gồm quan hệ cha-con giữa các mã số)", các thông tin đề cập đến trong dự thảo Thông tư gồm: đơn vị cấp trên quản lý trực tiếp/cơ quan chủ quản cấp trên/mã dự án cấp trên (nếu có)/mã chung chưa thể hiện rõ có phải là ĐVQHNS cha hay không. Đề nghị đơn vị soạn thảo mô tả rõ tại khoản 4 Điều 5 về chỉ tiêu quản lý, ghi chú thích chỉ tiêu nào là mã ĐVQHNS cha. Hiện nay, trên Hệ thống danh mục điện tử dùng chung trong lĩnh vực tài chính (DMDC-BTC), trường thông tin "Mã cha" không nhập đầy đủ thông tin dẫn đến việc tổng hợp theo mã cha không đầy đủ. Đề nghị Cục CNTT nhập đầy đủ thông tin mã cha cho các ĐVQHNS trên Hệ thống DMDC-BTC.</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bổ sung thuật ngữ "Mã số ĐVQHNS cha" vào Điều 3 của Dự thảo thông tư như sau: "</w:t>
            </w:r>
            <w:r w:rsidR="004737DA" w:rsidRPr="006E18D4">
              <w:rPr>
                <w:sz w:val="23"/>
                <w:szCs w:val="23"/>
              </w:rPr>
              <w:t xml:space="preserve"> Mã số ĐVQHNS cha là mã số ĐVQHNS được liên kết quản lý trực tiếp với một hoặc nhiều mã số ĐVQHNS cấp dưới theo quan hệ quản lý, phân bổ vốn hoặc theo dõi nguồn vốn, gồm: mã số ĐVQHNS của đơn vị dự toán đối với mã số ĐVQHNS của đơn vị sử dụng ngân sách trực thuộc; mã số ĐVQHNS chung của dự án đầu tư đối với mã số ĐVQHNS của dự án thành phần, tiểu dự án; mã số ĐVQHNS của nhiệm vụ chuẩn bị đầu tư đối với mã số ĐVQHNS của dự án đầu tư được hình thành từ nhiệm vụ đó</w:t>
            </w:r>
            <w:r w:rsidR="004737DA">
              <w:rPr>
                <w:color w:val="000000"/>
              </w:rPr>
              <w:t>.</w:t>
            </w:r>
            <w:r w:rsidRPr="00886647">
              <w:rPr>
                <w:sz w:val="23"/>
                <w:szCs w:val="23"/>
              </w:rPr>
              <w:t>" và rà soát các chỉ tiêu quản lý tại Điều 5. Về ý kiến "Hiện nay, trên Hệ thống danh mục điện tử dùng chung trong lĩnh vực tài chính (DMDC-BTC), trường thông tin "Mã cha" không nhập đầy đủ thông tin dẫn đến việc tổng hợp theo mã cha không đầy đủ. Đề nghị Cục CNTT nhập đầy đủ thông tin mã cha cho các ĐVQHNS trên Hệ thống DMDC-BTC.", Cục CNTT giải trình ý kiến này như sau: Trên thiết kế mẫu tờ khai/hệ thống đã có thông tin "Mã cha" tuy nhiên bản thân đơn vị đi đăng ký mã số ĐVQHNS cũng không xác định thông tin nà</w:t>
            </w:r>
            <w:r w:rsidR="009862D5">
              <w:rPr>
                <w:sz w:val="23"/>
                <w:szCs w:val="23"/>
              </w:rPr>
              <w:t xml:space="preserve">y để xác định mối liên kết cha </w:t>
            </w:r>
            <w:r w:rsidRPr="00886647">
              <w:rPr>
                <w:sz w:val="23"/>
                <w:szCs w:val="23"/>
              </w:rPr>
              <w:t>- con, do đó thôn</w:t>
            </w:r>
            <w:r w:rsidR="00C2621D">
              <w:rPr>
                <w:sz w:val="23"/>
                <w:szCs w:val="23"/>
              </w:rPr>
              <w:t xml:space="preserve">g tin đồng bộ về hệ thống DMDC </w:t>
            </w:r>
            <w:r w:rsidRPr="00886647">
              <w:rPr>
                <w:sz w:val="23"/>
                <w:szCs w:val="23"/>
              </w:rPr>
              <w:t>- BTC không đầy đủ.</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Khoản 2 Điều 15, đề nghị cập nhật như sau: "Trường hợp một đơn vị là đơn vị dự toán đồng thời là đơn vị sử dụng ngân sách và có đơn vị sử dụng ngân sách trực thuộc thì Cơ quan Tài chính cấp 01 mã số ĐVQHNS làm mã đơn vị dự toán để nhận và phân bổ dự toán cho các đơn vị trực thuộc có tên là tên của đơn vị; đồng thời cấp thêm 01 mã số ĐVQHNS làm mã đơn vị sử dụng ngân sách (mã dùng để giao dịch rút dự toán tại Kho bạc Nhà nước) có tên của mã số được bổ sung cụm từ "Văn phòng" hoặc "Cơ quan" trước tên đơn vị".</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đã chỉnh sửa vào khoản </w:t>
            </w:r>
            <w:r w:rsidR="004737DA">
              <w:rPr>
                <w:sz w:val="23"/>
                <w:szCs w:val="23"/>
              </w:rPr>
              <w:t>1</w:t>
            </w:r>
            <w:r w:rsidRPr="00886647">
              <w:rPr>
                <w:sz w:val="23"/>
                <w:szCs w:val="23"/>
              </w:rPr>
              <w:t xml:space="preserve"> Điều 15 của Dự thảo thông tư như ý kiến góp ý của Kho bạc Nhà nước.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Tại khoản 7 Điều 15 dự thảo quy định: "Mã tổ chức ngân sách, Mã ngân sách toàn địa bàn được thiết lập theo nguyên tắc quy định tại khoản 2 Điều 35 của Thông tư số 77/2017/TT-BTC ngày 28 tháng 7 năm 2017 của Bộ trưởng Bộ Tài chính về việc hướng dẫn Chế độ kế toán Ngân sách nhà nước và hoạt động nghiệp vụ Kho bạc Nhà nước được sửa đổi, bổ sung bởi Thông tư số 19/2020/TTBTC ngày 31/3/2020 của Bộ trưởng Bộ Tài chính." Tại Công văn số 1105/CNTT-TK ngày 14/07/2025 của Cục CNTT gửi KBNN, Sở Tài chính các tỉnh, thành phố thông báo cập nhật, cấp mới mã tổ chức ngân sách tỉnh, thành phố, xã, phường hướng dẫn: "Mã tổ chức ngân sách tỉnh, thành phố: Giữ nguyên theo nguyên tắc phát sinh mã tổ chức ngân sách được quy định tại Thông tư số 77/2017/TT-BTC với cấu trúc 29979XX, trong đó XX là mã số đơn vị hành chính tỉnh, thành phố được ban hành tại Quyết định số 19/2025/QĐ-TTg ngày 30/6/2025 của Thủ tướng Chính phủ ban hành bảng danh mục và mã số các đơn vị hành chính Việt Nam. Mã tổ chức ngân sách phường, xã: Nguyên tắc cấp mới mã tổ chức ngân sách phường xã mới là 28XXXXX, trong đó XXXXX là mã số đơn vị hành chính phường, xã được ban hành tại Quyết định số 19/2025/QĐ-TTg.". Trong đó, bổ sung hướng dẫn về nguyên tắc thiết lập Mã tổ chức ngân sách, Mã ngân sách toàn địa bàn đối với ngân sách xã, phường. Theo đó, KBNN đề nghị bổ sung quy định cụ thể nguyên tắc thiết lập Mã tổ chức ngân sách, Mã ngân sách toàn địa bàn tại dự thảo Thông tư hướng dẫn đăng ký, cấp và sử dụng mã số đơn vị có quan hệ với ngân sách. Tại Thông tư thay thế Thông tư số 77/2017/TT-BTC, KBNN sẽ quy định nguyên tắc hạch toán mã tổ chức ngân sách, mã ngân sách toàn địa bàn (không quy định nguyên tắc thiết lập Mã).</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đã chỉnh sửa vào khoản </w:t>
            </w:r>
            <w:r w:rsidR="004737DA">
              <w:rPr>
                <w:sz w:val="23"/>
                <w:szCs w:val="23"/>
              </w:rPr>
              <w:t>9</w:t>
            </w:r>
            <w:r w:rsidRPr="00886647">
              <w:rPr>
                <w:sz w:val="23"/>
                <w:szCs w:val="23"/>
              </w:rPr>
              <w:t xml:space="preserve"> Điều 15 của Dự thảo thông tư theo ý kiến góp ý của Kho bạc Nhà nước.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Tại khoản 10 Điều 4 Luật Ngân sách nhà nước quy định: "Cơ quan thu ngân sách là cơ quan thuế, cơ quan hải quan và cơ quan khác được cơ quan nhà nước có thẩm quyền giao hoặc ủy quyền tổ chức thực hiện nhiệm vụ thu ngân sách nhà nước.". Do đó, đề nghị sửa đổi điểm a khoản 8 Điều 15 dự thảo Thông tư để đảm bảo phù hợp với quy định tại khoản 10 Điều 4 Luật NSNN nêu trên. Đồng thời, để đảm bảo bao quát hết các trường hợp, đề nghị sửa điểm b khoản 8 Điều 15 dự thảo như sau: "b) Trường hợp có phát sinh các cơ quan thu mới chưa được cấp mã số ĐVQHNS hoặc chưa được nhận diện mã số ĐVQHNS làm mã cơ quan thu, cơ quan thu gửi văn bản đề nghị cấp mã cơ quan thu về Bộ Tài chính (Cục Công nghệ thông tin và chuyển đổi số) để thực hiện cấp mã ĐVQHNS hoặc nhận diện mã số ĐVQHNS là mã đơn vị sử dụng ngân sách làm mã cơ quan thu;".</w:t>
            </w:r>
          </w:p>
        </w:tc>
        <w:tc>
          <w:tcPr>
            <w:tcW w:w="4440" w:type="dxa"/>
            <w:shd w:val="clear" w:color="auto" w:fill="auto"/>
            <w:tcMar>
              <w:top w:w="70" w:type="dxa"/>
              <w:left w:w="90" w:type="dxa"/>
              <w:bottom w:w="70" w:type="dxa"/>
              <w:right w:w="90" w:type="dxa"/>
            </w:tcMar>
          </w:tcPr>
          <w:p w:rsidR="00BC4C60" w:rsidRPr="00886647" w:rsidRDefault="009566A8" w:rsidP="004737DA">
            <w:pPr>
              <w:spacing w:after="40" w:line="276" w:lineRule="auto"/>
              <w:jc w:val="both"/>
            </w:pPr>
            <w:r w:rsidRPr="00886647">
              <w:rPr>
                <w:sz w:val="23"/>
                <w:szCs w:val="23"/>
              </w:rPr>
              <w:t xml:space="preserve">Tiếp thu ý kiến, Cục CNTT đã chỉnh sửa điểm a khoản </w:t>
            </w:r>
            <w:r w:rsidR="004737DA">
              <w:rPr>
                <w:sz w:val="23"/>
                <w:szCs w:val="23"/>
              </w:rPr>
              <w:t>10</w:t>
            </w:r>
            <w:r w:rsidRPr="00886647">
              <w:rPr>
                <w:sz w:val="23"/>
                <w:szCs w:val="23"/>
              </w:rPr>
              <w:t xml:space="preserve"> Điều 15 và điểm b khoản </w:t>
            </w:r>
            <w:r w:rsidR="004737DA">
              <w:rPr>
                <w:sz w:val="23"/>
                <w:szCs w:val="23"/>
              </w:rPr>
              <w:t>10</w:t>
            </w:r>
            <w:r w:rsidRPr="00886647">
              <w:rPr>
                <w:sz w:val="23"/>
                <w:szCs w:val="23"/>
              </w:rPr>
              <w:t xml:space="preserve"> Điều 15 của Dự thảo thông tư như góp ý của Kho bạc Nhà nước.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Tại điểm r khoản 1 Điều 6 Thông tư số 18/2020/TT-BTC ngày 31/3/2020 của Bộ Tài chính hướng dẫn đăng ký và sử dụng tài khoản tại kho bạc nhà nước quy định: "r) Lập Bảng thống kê các đơn vị có quan hệ với ngân sách ngừng hoạt động theo từng năm (Mẫu số 08-MSNS-BTC ban hành kèm theo Thông tư số 185/2015/TT-BTC ngày 17/11/2015); đồng thời gửi cơ quan tài chính đồng cấp làm thủ tục đóng mã số ĐVQHNS (đối với mã ĐVQHNS do cơ quan tài chính cấp).". Tuy nhiên, KBNN không có cơ sở để thống kê toàn bộ các đơn vị có quan hệ với ngân sách ngừng hoạt động, do đó, tại Thông tư số 157/2025/TT-BTC ngày 31/12/2025 ban hành thay thế Thông tư số 18/2020/TT-BTC đã không còn quy định nêu trên. Vì vậy, đề nghị Cục CNTT bỏ điểm d khoản 1 Điều 24 dự thảo đồng thời bổ sung quy định tại Điều 22 về nhiệm vụ, quyền hạn của các đơn vị có quan hệ với ngân sách trong việc đề nghị cơ quan cấp mã đóng mã đã được cấp.</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Trên cơ sở căn cứ đơn vị nêu (Thông tư số 157/2025/TT-BTC không còn quy định nhiệm vụ lập Bảng thống kê của Kho bạc Nhà nước), Cục CNTT đã chỉnh lý đồng bộ bốn nội dung: (i) bổ sung điểm e khoản 3 Điều 22 về quyền của đơn vị có quan hệ với ngân sách đề nghị Cơ quan Tài chính đóng mã số ĐVQHNS khi đơn vị chấm dứt hoạt động hoặc khi nhiệm vụ, dự án đầu tư đã hoàn thành, đã được quyết toán; (ii) bổ sung khoản 4 Điều 13 quy định trình tự đóng mã số theo đề nghị, thời hạn giải quyết 02 ngày làm việc và nghĩa vụ thông báo nêu rõ lý do khi chưa đủ căn cứ; (ii</w:t>
            </w:r>
            <w:r w:rsidR="00544552">
              <w:rPr>
                <w:sz w:val="23"/>
                <w:szCs w:val="23"/>
              </w:rPr>
              <w:t>i) ban hành Mẫu số 10-MSNS-BTC -</w:t>
            </w:r>
            <w:r w:rsidRPr="00886647">
              <w:rPr>
                <w:sz w:val="23"/>
                <w:szCs w:val="23"/>
              </w:rPr>
              <w:t xml:space="preserve"> Đề nghị đóng mã số ĐVQHNS tại Phụ lục; (iv) chỉnh lý khoản 5 Điều 13 theo hướng cơ quan chủ quản của đơn vị chủ trì rà soát, Kho bạc Nhà nước nơi giao dịch phối hợp, và chỉnh lý điểm e khoản 1 Điều 24 thành nhiệm vụ phối hợp rà soát.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6. Nghị định số 347/2025/NĐ-CP ngày 29/12/2025 của Chính phủ quy định về thủ tục hành chính thuộc lĩnh vực KBNN được ban hành thay thế Nghị định số 11/2020/NĐ-CP ngày 20/01/2020, theo đó, đơn vị giao dịch với KBNN không cần gửi Giấy chứng nhận mã số ĐVQHNS điện tử đến KBNN khi thực hiện thủ tục đăng ký và sử dụng tài khoản tại KBNN. Do vậy, đề nghị bỏ điểm e khoản 1 Điều 24 dự thảo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một phần. Về đề nghị bỏ điểm e khoản 1 Điều 24: Cục CNTT giải trình, tuy đơn vị giao dịch không còn phải gửi Giấy chứng nhận mã số ĐVQHNS điện tử đến Kho bạc Nhà nước theo Nghị định số 347/2025/NĐ-CP, nhưng hồ sơ, chứng từ giao dịch vẫn mang thông tin mã số ĐVQHNS nên Kho bạc Nhà nước vẫn cần kiểm soát thông tin này. Do đó Cục CNTT không bỏ mà chỉnh lý nội dung điểm này thành nhiệm vụ kiểm soát thông tin mã số ĐVQHNS trong hồ sơ, chứng từ giao dịch, bảo đảm tính chính xác, thống nhất qua các giai đ</w:t>
            </w:r>
            <w:r w:rsidR="000E2402">
              <w:rPr>
                <w:sz w:val="23"/>
                <w:szCs w:val="23"/>
              </w:rPr>
              <w:t>oạn của nhiệm vụ, dự án đầu tư -</w:t>
            </w:r>
            <w:r w:rsidRPr="00886647">
              <w:rPr>
                <w:sz w:val="23"/>
                <w:szCs w:val="23"/>
              </w:rPr>
              <w:t xml:space="preserve"> điểm c khoản 1 Điều 24.</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7. Tại điểm g khoản 1 Điều 24 dự thảo (Nhiệm vụ, quyền hạn của Cơ quan Kho bạc Nhà nước) quy định: "Tổ chức thực hiện cấp mã số cho các đơn vị mở tài khoản giao dịch tại Kho bạc Nhà nước (với đầu mã số N=9) không thuộc phạm vi đối tượng được Cơ quan Tài chính cấp mã số ĐVQHNS với mã số đầu N = 1, 2, 3, 7, 8 quy định tại Thông tư này.". Theo đó, đề nghị bổ sung quy định tại khoản 3 Điều 5 dự thảo như sau: "N=9 dùng để KBNN cấp các mã sử dụng trong kế toán ngân sách nhà nước và hoạt động nghiệp vụ kho bạc hoặc cấp cho các cơ quan, đơn vị, tổ chức giao dịch với KBNN nhưng không thuộc phạm vi đối tượng được Cơ quan Tài chính cấp mã số ĐVQHNS với mã số đầu N = 1, 2, 3, 7, 8.".</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bổ sung nội dung về đầu mã N = 9 vào khoản 3 Điều 5 theo đúng đề nghị của đơn vị, đồng thời chỉnh lý điểm h khoản 1 Điều 24 để phủ cả hai công dụng của đầu mã này: cấp các mã sử dụng trong kế toán ngân sách nhà nước và hoạt động nghiệp vụ Kho bạc Nhà nước, và cấp cho cơ quan, tổ chức, đơn vị mở tài khoản giao dịch tại Kho bạc Nhà nước mà không thuộc đối tượng được Cơ quan Tài chính cấp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8. Đề nghị sửa đổi khoản 2 Điều 24 như sau: "Từ chối việc chi trả cho đơn vị, tổ chức theo đề nghị của cơ quan tài chính trong các trường hợp các đơn vị không thực hiện đăng ký và sử dụng mã số ĐVQHNS theo quy định tại Thông tư này.". Lý do: KBNN không phải đơn vị thực hiện thủ tục đăng ký và sử dụng mã số ĐVQHNS cho đơn vị, do đó, KBNN không có cơ sở trong việc xác định đơn vị không thực hiện đăng ký và sử dụng mã số ĐVQHNS theo quy định tại Thông tư này.</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Trên cơ sở lý do đơn vị nêu (Kho bạc Nhà nước không có cơ sở xác định đơn vị không thực hiện đúng quy định về đăng ký và sử dụng mã số ĐVQHNS), Cục CNTT đã chỉnh lý khoản 2 Điều 24 theo hướng tách căn cứ từ chối chi trả theo khả năng kiểm chứng: (i) điểm a — căn cứ khách quan mà Kho bạc Nhà nước tự xác định được từ dữ liệu kết nối, gồm chứng từ không có mã số ĐVQHNS hoặc có mã số ĐVQHNS đã đóng, không còn hiệu lực; (ii) điểm b — từ chối chi trả theo đề nghị bằng văn bản của Cơ quan Tài chính nơi cấp mã số ĐVQHNS, đúng như đơn vị đề nghị. Đồng thời bổ sung điểm c về quyền của Kho bạc Nhà nước đề nghị Cơ quan Tài chính kiểm tra, xác minh khi phát hiện thông tin mã số ĐVQHNS trong hồ sơ giao dịch không thống nhất với dữ liệu trên Nền tảng số.</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8</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Thuế</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Khoản 2, Điều 7 quy định: 2. Hồ sơ đăng ký mã số ĐVQHNS được nộp cho Cơ quan Tài chính nơi cấp mã số theo một trong ba phương thức sau: a) Nộp hồ sơ trực tiếp; b) Nộp hồ sơ qua đường bưu chính; c) Nộp hồ sơ qua Nền tảng số cấp mã số ĐVQHNS. Việc Dự thảo vẫn duy trì song song phương thức nộp trực tiếp và bưu chính, chưa phù hợp với quy định Chuyển đổi số và đơn giản thủ tục hành chính hiện nay. Do vậy đề nghị đơn vị soạn thảo nghiên cứu lại.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Cục CNTT ghi nhận và đánh giá cao tinh thần cải cách hành chính, đẩy mạnh chuyển đổi số theo góp ý. Tuy nhiên, việc dự thảo vẫn duy trì song song ba phương thức nộp hồ sơ (trực tiếp, bưu chính và qua nền tảng số) là xuất phát từ thực tiễn quản lý và tính đặc thù của các đối tượng sử dụng mã số ĐVQHNS trên toàn quốc, cụ thể: - Đảm bảo tính linh hoạt và khả thi: Đối tượng được cấp mã số ĐVQHNS rất đa dạng (từ các cơ quan nhà nước, đơn vị sự nghiệp lớn ở trung ương, địa phương cho đến các dự án đầu tư công, tiểu dự án, dự án PPP ở vùng sâu, vùng xa, vùng có điều kiện kinh tế - xã hội khó khăn). Ở một số địa bàn hoặc giai đoạn, năng lực hạ tầng công nghệ thông tin hoặc khả năng tiếp cận nền tảng số của người nộp hồ sơ vẫn còn hạn chế. Việc duy trì phương thức trực tiếp và qua đường bưu chính là phương án dự phòng thiết yếu để không làm gián đoạn việc đăng ký, cấp mã số ĐVQHNS của các đơn vị. - Phù hợp với lộ trình chuyển đổi số toàn diện: Việc đưa "Nền tảng số cấp mã số ĐVQHNS" vào làm một phương thức nộp hồ sơ chính thức trong dự thảo đã thể hiện rõ định hướng ưu tiên chuyển đổi số. Tuy nhiên, theo thông lệ cải cách hành chính, việc chuyển đổi từ phương thức truyền thống sang hoàn toàn trực tuyến cần có bước chuyển tiếp (lộ trình) để người dân và các đơn vị quen thuộc với hệ thống mới. Vì các lý do trên, Cục CNTT đề xuất giữ nguyên các phương thức nộp như Dự thảo thông tư để tạo thuận lợi tối đa cho người nộp, đồng thời khuyến khích các đơn vị ưu tiên thực hiện qua nền tảng số trong quá trình triển khai.</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khoản 6 Điều 3 ghi "Dự án đầu tư công khác là dự án đầu tư công không thuộc trường hợp quy định tại khoản 10 Điều này". Tuy nhiên, khoản 10 Điều 3 quy định: "10. Bản sao hợp lệ các giấy tờ trong hồ sơ đăng ký mã số ĐVQHNS là bản sao được cấp từ sổ gốc hoặc bản sao được chứng thực từ bản chính bởi cơ quan, tổ chức có thẩm quyền hoặc bản sao đã được đối chiếu với bản chính hoặc bản chụp (photocopy) có ký tên, đóng dấu xác nhận của đơn vị đăng ký mã số." Do vậy, đề nghị đơn vị soạn thảo xem lại việc trích dẫn tại khoản 6 Điều 3 cho phù hợp.</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đã cập nhật vào Dự thảo thông tư, tham chiếu đến khoản </w:t>
            </w:r>
            <w:r w:rsidR="00952016">
              <w:rPr>
                <w:sz w:val="23"/>
                <w:szCs w:val="23"/>
              </w:rPr>
              <w:t>4,5</w:t>
            </w:r>
            <w:r w:rsidRPr="00886647">
              <w:rPr>
                <w:sz w:val="23"/>
                <w:szCs w:val="23"/>
              </w:rPr>
              <w:t xml:space="preserve"> thay vì khoản 10 như dự thảo đã đưa ra. (Trùng với ý kiến của Vụ Giám sát và thẩm định đầu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Tại Điều 15: Số thứ tự không liên tục (từ khoản 8 sang khoản 10, không có khoản 9).</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Đề nghị xem xét quy định thời hạn cấp mã tại Điều 10 và điều 19, cụ thể: - Tại Điều 10 quy định thời hạn cấp mã theo phương thức trực tiếp/bưu chính là 02 ngày làm việc. - Điều 19 quy định thời hạn cấp mã trực tuyến qua nền tảng số là 01 ngày làm việc.</w:t>
            </w:r>
          </w:p>
        </w:tc>
        <w:tc>
          <w:tcPr>
            <w:tcW w:w="4440" w:type="dxa"/>
            <w:shd w:val="clear" w:color="auto" w:fill="auto"/>
            <w:tcMar>
              <w:top w:w="70" w:type="dxa"/>
              <w:left w:w="90" w:type="dxa"/>
              <w:bottom w:w="70" w:type="dxa"/>
              <w:right w:w="90" w:type="dxa"/>
            </w:tcMar>
          </w:tcPr>
          <w:p w:rsidR="00952016" w:rsidRDefault="00952016">
            <w:pPr>
              <w:spacing w:after="40" w:line="276" w:lineRule="auto"/>
              <w:jc w:val="both"/>
              <w:rPr>
                <w:sz w:val="23"/>
                <w:szCs w:val="23"/>
              </w:rPr>
            </w:pPr>
            <w:r>
              <w:rPr>
                <w:sz w:val="23"/>
                <w:szCs w:val="23"/>
              </w:rPr>
              <w:t>Tiếp thu ý kiến, Cục CNTT đã cập nhật đồng nhất thời hạn cấp mã thành 02 (hai) ngày lảm việc tại khoản 1 Điều 10 và khoản 4 Điều 19.</w:t>
            </w:r>
          </w:p>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Đề nghị xem xét quy định thời hạn cấp mã tại Điều 10 và điều 19, cụ thể: Khoản 1, Điều 9 quy định: "Nếu hồ sơ hợp lệ nhưng không đầy đủ, Cơ quan Tài chính vẫn tiếp nhận hồ sơ và đề nghị đơn vị bổ sung hồ sơ trong thời hạn 03 (ba) ngày làm việc kể từ ngày tiếp nhận hồ sơ. Nếu hồ sơ không hợp lệ, Cơ quan Tài chính trả lại hồ sơ và hướng dẫn đơn vị hoàn chỉnh để nộp lại hồ sơ." Khoản 2, Điều 19: "Trường hợp hồ sơ đăng ký trực tuyến không đầy đủ, Cơ quan Tài chính tiếp nhận hồ sơ và thông báo đề nghị đơn vị bổ sung hồ sơ. Trong thời hạn 03 (ba) ngày làm việc kể từ ngày nhận được thông báo, đơn vị không bổ sung đầy đủ hồ sơ thì hồ sơ đăng ký mã số trực tuyến của đơn vị không còn hiệu lực." Đề nghị quy định rõ hệ thống sẽ gửi thông báo hủy/đóng hồ sơ tự động hay cán bộ phải thao tác từ chối.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Trường hợp hồ sơ không hợp lệ, cán bộ cấp mã sẽ từ chối tiếp nhận và trả lại cho đơn vị để đơn vị cập nhật xong gửi lại. Quá thời hạn 03 ngày đơn vị không cập nhật thì hệ thống sẽ tự động khóa không cho đơn vị gửi lại nữa.</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6. Khoản 4 Điều 9 quy định "Trường hợp đơn vị đăng ký mã số ĐVQHNS không có hệ thống mạng..." thì cơ quan Tài chính hỗ trợ in bản giấy. Quy định này chưa thực sự phù hợp với bối cảnh chuyển đổi số năm 2026 và các căn cứ Luật Dữ liệu, Luật Giao dịch điện tử được trích dẫn ở đầu văn bản.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bỏ nội dung khoản 4 Điều 9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7. Khoản 2 Điều 13 quy định Kho bạc Nhà nước rà soát các đơn vị không giao dịch trong 02 năm liên tiếp vào Quý I hằng năm để đề nghị đóng mã. Đề nghị không rà soát đóng mã vào quý I hàng năm mà thực hiện tự động hóa/cập nhật dữ liệu định kỳ theo thời gian thực trên Hệ thống Dữ liệu chủ ngành Tài chính để thực hiện đóng mã.</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Về việc duy trì quy định rà soát định kỳ vào Quý I hằng năm thay vì tự động đóng mã theo thời gian thực xuất phát từ những lý do sau: Việc đóng mã số ĐVQHNS là một nghiệp vụ tác động trực tiếp đến tư cách giao dịch tài chính, ngân sách của đơn vị. Một đơn vị không phát sinh giao dịch trong 2 năm có thể do dự án tạm dừng, vướng mắc giải phóng mặt bằng, hoặc chờ quyết toán, nhưng vẫn tồn tại về mặt pháp lý. Nếu áp dụng cơ chế tự động đóng mã theo thời gian thực mà chưa có bước kiểm tra, đối chiếu hành chính, rất dễ dẫn đến việc đóng nhầm mã, gây ách tắc nghiêm trọng khi đơn vị phát sinh nhu cầu giao dịch trở lại. Do đó, Cục CNTT đề xuất giữ nguyên quy định như Dự thảo thông tư đưa ra.</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8. Đề nghị rà soát lại toàn bộ văn bản các lỗi đánh máy thiếu từ như: - Khoản 1, Điều 21. Bảo mật thông tin "1. Việc trao đổi thông tin về giao dịch điện tử khi sử dụng Nền tảng số cấp mã số ..." - Tại trang 26 phụ lục số Mẫu số: 01-MSNS-BTC " 2. Loại hình đơn vị: 01- Đơn vị sự nghiệp kinh tế; 02- Đơn vị sự nghiệp nghiên cứu khoa học".</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9</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Vụ Phát triển hạ tầng</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Về Điều 3 dự thảo Thông tư về Giải thích thuật ngữ: - Đề nghị dẫn chiếu các khái niệm "dự án đầu tư công", "dự án đầu tư theo phương thức đối tác công tư"... theo quy định của Luật Đầu tư công, Luật Đầu tư theo phương thức đối tác công tư và các văn bản hướng dẫn có liên quan, không giải thích cụ thể tại Thông tư này. - Tại khoản 6 Điều 3 quy định: "6. Dự án đầu tư công khác là dự án đầu tư công không thuộc trường hợp quy định tại khoản 10 Điều này". Tuy nhiên khoản 10 không quy định về dự án đầu tư công, đề nghị rà soát lại.</w:t>
            </w:r>
          </w:p>
        </w:tc>
        <w:tc>
          <w:tcPr>
            <w:tcW w:w="4440" w:type="dxa"/>
            <w:shd w:val="clear" w:color="auto" w:fill="auto"/>
            <w:tcMar>
              <w:top w:w="70" w:type="dxa"/>
              <w:left w:w="90" w:type="dxa"/>
              <w:bottom w:w="70" w:type="dxa"/>
              <w:right w:w="90" w:type="dxa"/>
            </w:tcMar>
          </w:tcPr>
          <w:p w:rsidR="00BC4C60" w:rsidRPr="00886647" w:rsidRDefault="009566A8" w:rsidP="00952016">
            <w:pPr>
              <w:spacing w:after="40" w:line="276" w:lineRule="auto"/>
              <w:jc w:val="both"/>
            </w:pPr>
            <w:r w:rsidRPr="00886647">
              <w:rPr>
                <w:sz w:val="23"/>
                <w:szCs w:val="23"/>
              </w:rPr>
              <w:t xml:space="preserve">Tiếp thu ý kiến, Cục CNTT đã cập nhật Dự thảo thông tư: bỏ giải thích thuật ngữ "dự án đầu tư công", "dự án đầu tư theo phương thức đối tác công tư", cập nhật lại giải thích thuật ngữ: "2. Dự án đầu tư bao gồm dự án đầu tư công theo quy định của Luật Đầu tư công và dự án đầu tư theo phương thức đối tác công tư (sau đây gọi là dự án PPP) theo quy định của Luật Đầu tư theo phương thức đối tác công tư; trong đó dự án đầu tư công được phân thành dự án sử dụng vốn hỗ trợ phát triển chính thức (ODA), vốn vay ưu đãi của nhà tài trợ nước ngoài và các dự án đầu tư công khác." Sửa lại khoản </w:t>
            </w:r>
            <w:r w:rsidR="00952016">
              <w:rPr>
                <w:sz w:val="23"/>
                <w:szCs w:val="23"/>
              </w:rPr>
              <w:t>6</w:t>
            </w:r>
            <w:r w:rsidRPr="00886647">
              <w:rPr>
                <w:sz w:val="23"/>
                <w:szCs w:val="23"/>
              </w:rPr>
              <w:t xml:space="preserve"> Điều 3 tham chiếu đến khoản </w:t>
            </w:r>
            <w:r w:rsidR="00952016">
              <w:rPr>
                <w:sz w:val="23"/>
                <w:szCs w:val="23"/>
              </w:rPr>
              <w:t>4,5</w:t>
            </w:r>
            <w:r w:rsidRPr="00886647">
              <w:rPr>
                <w:sz w:val="23"/>
                <w:szCs w:val="23"/>
              </w:rPr>
              <w:t xml:space="preserve"> thay vì khoản 10.</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khoản 3 Điều 8 quy định về Hồ sơ đăng ký mã số ĐVQHNS cho nhiệm vụ, dự án đầu tư, trong đó có quy định: Trường hợp thông tin, quyết định, văn bản phê duyệt liên quan đến nhiệm vụ, dự án đầu tư đã được tích hợp, chia sẻ tự động từ Hệ thống thông tin và cơ sở dữ liệu quốc gia về đầu tư công theo quy định tại Điều 4 Thông tư này, Cơ quan Tài chính chịu trách nhiệm khai thác trực tiếp trên hệ thống, chủ đầu tư không phải nộp lại các bản sao giấy tương ứng. Đề nghị làm rõ việc Cơ quan Tài chính chịu trách nhiệm khai thác trực tiếp trên hệ thống thì chủ đầu tư có phải nộp tờ khai đăng ký không, hay cơ quan tài chính chủ động khai thác và cấp mã số ĐVQHNS.</w:t>
            </w:r>
          </w:p>
        </w:tc>
        <w:tc>
          <w:tcPr>
            <w:tcW w:w="4440" w:type="dxa"/>
            <w:shd w:val="clear" w:color="auto" w:fill="auto"/>
            <w:tcMar>
              <w:top w:w="70" w:type="dxa"/>
              <w:left w:w="90" w:type="dxa"/>
              <w:bottom w:w="70" w:type="dxa"/>
              <w:right w:w="90" w:type="dxa"/>
            </w:tcMar>
          </w:tcPr>
          <w:p w:rsidR="00BC4C60" w:rsidRPr="00886647" w:rsidRDefault="009566A8" w:rsidP="00952016">
            <w:pPr>
              <w:spacing w:after="40" w:line="276" w:lineRule="auto"/>
              <w:jc w:val="both"/>
            </w:pPr>
            <w:r w:rsidRPr="00886647">
              <w:rPr>
                <w:sz w:val="23"/>
                <w:szCs w:val="23"/>
              </w:rPr>
              <w:t xml:space="preserve">Giải trình ý kiến, Tại khoản </w:t>
            </w:r>
            <w:r w:rsidR="00952016">
              <w:rPr>
                <w:sz w:val="23"/>
                <w:szCs w:val="23"/>
              </w:rPr>
              <w:t>10</w:t>
            </w:r>
            <w:r w:rsidRPr="00886647">
              <w:rPr>
                <w:sz w:val="23"/>
                <w:szCs w:val="23"/>
              </w:rPr>
              <w:t xml:space="preserve"> Điều 8 của Dự thảo thông tư cũng đã quy định rõ: "Cơ quan Tài chính chịu trách nhiệm khai thác trực tiếp trên hệ thống, chủ đầu tư không phải nộp lại các bản sao giấy tương ứng". Do đó chủ đầu tư vẫn phải nộp tờ khai đăng ký, còn các bản sao giấy tờ được tích hợp, chia sẻ tự động từ Hệ thống thông tin và cơ sở dữ liệu quốc gia về đầu tư công.</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điểm 3.2 Điều 8: Hồ sơ đăng ký mã số ĐVQHNS của dự án đầu tư - Đối với giai đoạn chuẩn bị đầu tư, mục b đề nghị thay bằng hồ sơ như sau: "b) Bản sao hợp lệ Quyết định hoặc văn bản giao nhiệm vụ của cấp có thẩm quyền hoặc Quyết định phê duyệt dự toán chuẩn bị đầu tư của cấp có thẩm quyền" Lý do: để phù hợp với quy định tại Điều 8 Nghị định số 254/2025/NĐ-CP ngày 26/9/2025 của Chính phủ quy định về quản lý, thanh toán, quyết toán dự án 2 sử dụng vốn đầu tư công. Ngoài ra, giai đoạn chuẩn bị đầu tư là giai đoạn thực hiện các công việc để lập, thẩm định và trình quyết định phê duyệt chủ trương đầu tư dự án, do vậy đề nghị không yêu cầu về "Quyết định hoặc văn bản thông báo của cấp có thẩm quyền phê duyệt chủ trương đầu tư dự án". - Đối với giai đoạn thực hiện dự án, mục b đề nghị bổ sung nội dung gạch đầu dòng thứ nhất như sau: "Quyết định đầu tư dự án hoặc Lệnh hoặc văn bản cho phép xây dựng công trình khẩn cấp của cấp có thẩm quyền". Đồng thời, bổ sung tương tự nội dung này tại điểm b Điều 12. Lý do: để phù hợp với quy định tại Điều 16 Nghị định số 254/2025/NĐ-CP ngày 26/9/2025 của Chính phủ quy định về quản lý, thanh toán, quyết toán dự án sử dụng vốn đầu tư công. - Đề nghị bỏ yêu cầu về "Quyết định hoặc văn bản giao kế hoạch vốn đầu tư công trung hạn hoặc giao kế hoạch vốn hằng năm của cấp có thẩm quyền" (tại điểm c của các mục "giai đoạn chuẩn bị đầu tư", "giai đoạn thực hiện dự án") Lý do: Trước khi dự án được cấp có thẩm quyền giao kế hoạch vốn hằng năm, dự án đã phải được cấp mã để có đầy đủ thông tin tại Mẫu biểu phân bổ kế hoạch vốn (ban hành kèm theo Nghị định số 254/2025/NĐ-CP ngày 26/9/2025 của Chính phủ quy định về quản lý, thanh toán, quyết toán dự án sử dụng vốn đầu tư công).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chỉnh sửa để thiết kế các mẫu tờ khai đáp ứng yêu cầu nghiệp vụ mà không bị trùng lắp.</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Tại khoản 1 Điều 13 quy định Mã số ĐVQHNS đóng khi các nhiệm vụ, dự án đầu tư được chủ đầu tư thực hiện xong việc hoàn thành nhiệm vụ, dự án đầu tư và quyết toán kinh phí nhiệm vụ, dự án đầu tư. Theo quy định tại Nghị định số 193/2026/NĐ-CP ngày 01/6/2026 của Chính phủ về quyết toán vốn đầu tư dự án thì dự án dừng, tạm ngừng, hủy bỏ (gọi chung là dừng) theo văn bản cho phép dừng thực hiện của người có thẩm quyền quyết định đầu tư cũng được quyết toán vốn đầu tư. Do vậy đối với dự án dừng thực hiện đã được quyết toán vốn đầu tư có thể đóng Mã số ĐVQHNS, không chỉ có các dự án hoàn thành, đề nghị xem xét lại nội dung trên.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vào dự thảo thông tư theo góp ý của đơn vị.</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Tại Điều 27 Tổ chức thực hiện có quy định: "... Vụ trưởng Vụ Phát triển hạ tầng... trong phạm vi chức năng, quyền hạn của mình có trách nhiệm tổ chức triển khai, hướng dẫn thực hiện và kiểm tra việc thi hành Thông tư này". Đề nghị Cục CNTT bổ sung làm rõ nội dung chức năng, quyền hạn, trách nhiệm của các đơn vị trong Bộ (trong đó có Vụ PTHT) trong việc triển khai thi hành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lý và hợp nhất Điều 26 và Điều 27 của dự thảo cũ thành Điều 26 Hiệu lực thi hành. Trách nhiệm tổ chức triển khai được quy định tại khoản 4 Điều 26: Thủ trưởng</w:t>
            </w:r>
            <w:r w:rsidR="008409ED">
              <w:rPr>
                <w:sz w:val="23"/>
                <w:szCs w:val="23"/>
              </w:rPr>
              <w:t xml:space="preserve"> các đơn vị thuộc Bộ Tài chính -</w:t>
            </w:r>
            <w:r w:rsidR="008434CC">
              <w:rPr>
                <w:sz w:val="23"/>
                <w:szCs w:val="23"/>
              </w:rPr>
              <w:t xml:space="preserve"> bao gồm Vụ Phát triển hạ tầng -</w:t>
            </w:r>
            <w:r w:rsidRPr="00886647">
              <w:rPr>
                <w:sz w:val="23"/>
                <w:szCs w:val="23"/>
              </w:rPr>
              <w:t xml:space="preserve"> Giám đốc Sở Tài chính, Giám đốc Kho bạc Nhà nước khu vực, thủ trưởng các đơn vị có quan hệ với ngân sách và các cơ quan, tổ chức, cá nhân có liên quan, trong phạm vi chức năng, nhiệm vụ, quyền hạn của mình có trách nhiệm tổ chức triển khai, hướng dẫn thực hiện và kiểm tra việc thi hành Thông tư. Chức năng, nhiệm vụ cụ thể của từng đơn vị thuộc Bộ thực hiện theo quyết định quy định chức năng, nhiệm vụ, quyền hạn và cơ cấu tổ chức của đơn vị, không quy định lại tại Thông tư này.</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6. Để điện tử hóa quy trình quản lý, thanh toán, quyết toán, cần thực hiện chuẩn hóa, đồng bộ và kết nối, chia sẻ dữ liệu giữa Hệ thống thông tin quốc gia về đầu tư công và Hệ thống TABMIS, do vậy đề nghị Cục CNTT lấy ý kiến Vụ NSNN để đảm bảo quy trình cấp mã theo dự thảo Thông tư có thể đáp ứng việc sử dụng 01 mã dự án thống nhất tại Hệ thống Đầu tư công và Hệ thống Tabmis.</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Cục CNTT đã xin ý kiến Vụ NSNN.</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10</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Kế hoạch Tài chính</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Tại khoản 1 Điều 16 (quy định đăng ký mã số đơn vị có quan hệ với ngân sách): Đề nghị Cục CNTT bổ sung địa chỉ internet truy cập Nền tảng số cấp mã số ĐVQHNS để các đơn vị truy cập sử dụng.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Về địa chỉ internet truy cập Nền tảng số cấp mã số ĐVQHNS, Cục CNTT sẽ cung cấp trong quá trình triển khai, vận hành hệ thống.</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điểm k Điều 23 của dự thảo Thông tư hiện giao: "Cục Công nghệ thông tin và chuyển đổi số quy định cụ thể nội dung tiêu chuẩn xác thực, tiêu chí đăng ký tài khoản, định dạng điện tử các chỉ tiêu thông tin của hồ sơ đăng ký mã số ĐVQHNS trực tuyến...": Do phạm vi điều chỉnh, đối tượng áp dụng của Thông tư rộng (cả nước); để đảm bảo tính đồng bộ ngay sau khi Thông tư được ban hành, có hiệu lực, đề nghị Cục CNTT bổ sung dự thảo Thông tư quy định cụ thể nội dung tiêu chuẩn xác thực, tiêu chí đăng ký tài khoản, định dạng điện tử các chỉ tiêu thông tin của hồ sơ đăng ký mã số ĐVQHNS trực tuyến.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một phần. Cục CNTT đã đưa các yêu cầu có tính nội dung đối với hồ sơ đăng ký</w:t>
            </w:r>
            <w:r w:rsidR="00E415D3">
              <w:rPr>
                <w:sz w:val="23"/>
                <w:szCs w:val="23"/>
              </w:rPr>
              <w:t xml:space="preserve"> trực tuyến vào chính Thông tư -</w:t>
            </w:r>
            <w:r w:rsidRPr="00886647">
              <w:rPr>
                <w:sz w:val="23"/>
                <w:szCs w:val="23"/>
              </w:rPr>
              <w:t xml:space="preserve"> điều kiện đầy đủ, điều kiện hợp lệ, yêu cầu đối với văn bản điện tử và thông tin kèm theo tại Điều 18; quy định về tài khoản truy cập và xác thực tại Điều 17. Phần còn lại là tiêu chuẩn kỹ thuật và định dạng dữ liệu, thường xuyên thay đổi theo hạ tầng công nghệ, nên được chuyển thành nhiệm vụ hướng dẫn kỹ thuật và công bố của đơn vị quản lý, vận hành Nền tảng số tại điểm d khoản 2 Điều 23, thay cho hình thức giao quy định chi tiết như dự thảo trước.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Ngoài ra, theo quy định tại Điều 8 dự thảo Thông tư thành phần hồ sơ đăng ký mã số đơn vị có quan hệ với ngân sách (quyết định phê duyệt nhiệm vụ đầu tư, chủ trương đầu tư, quyết định đầu tư, ...) được quy định tại nhiều hệ thống thông tin khác nhau: hệ thống quản lý đầu tư công, .... Vì vậy, đề nghị Cục CNTT rà soát các hồ sơ, tài liệu yêu cầu phải nhập/đăng tải trên Nền tảng số cấp mã số ĐVQHNS khi đơn vị đăng ký mã số đơn vị có quan hệ với ngân sách để giảm thiểu việc nhập lại các thông tin, dữ liệu đã có theo nội dung chỉ đạo tại Nghị quyết số 66.7/2025/NQ-CP ngày 15/11/2025 của Chính phủ quy định cắt giảm, đơn giản hóa thủ tục hành chính dựa trên dữ liệu để tránh chồng chéo, kéo dài thời gian xử lý.</w:t>
            </w:r>
          </w:p>
        </w:tc>
        <w:tc>
          <w:tcPr>
            <w:tcW w:w="4440" w:type="dxa"/>
            <w:shd w:val="clear" w:color="auto" w:fill="auto"/>
            <w:tcMar>
              <w:top w:w="70" w:type="dxa"/>
              <w:left w:w="90" w:type="dxa"/>
              <w:bottom w:w="70" w:type="dxa"/>
              <w:right w:w="90" w:type="dxa"/>
            </w:tcMar>
          </w:tcPr>
          <w:p w:rsidR="00BC4C60" w:rsidRPr="00886647" w:rsidRDefault="009566A8" w:rsidP="00952016">
            <w:pPr>
              <w:spacing w:after="40" w:line="276" w:lineRule="auto"/>
              <w:jc w:val="both"/>
            </w:pPr>
            <w:r w:rsidRPr="00886647">
              <w:rPr>
                <w:sz w:val="23"/>
                <w:szCs w:val="23"/>
              </w:rPr>
              <w:t xml:space="preserve">Giải trình ý kiến, Tại </w:t>
            </w:r>
            <w:r w:rsidR="00952016">
              <w:rPr>
                <w:sz w:val="23"/>
                <w:szCs w:val="23"/>
              </w:rPr>
              <w:t>khoản 10 Đ</w:t>
            </w:r>
            <w:r w:rsidRPr="00886647">
              <w:rPr>
                <w:sz w:val="23"/>
                <w:szCs w:val="23"/>
              </w:rPr>
              <w:t>iều 8 của Dự thảo cũng đã quy định: "</w:t>
            </w:r>
            <w:r w:rsidR="00952016" w:rsidRPr="00FF2EFD">
              <w:rPr>
                <w:color w:val="000000"/>
              </w:rPr>
              <w:t>10. Trường hợp thông tin, quyết định, văn bản phê duyệt liên quan đến nhiệm vụ, dự án đầu tư đã được tích hợp, chia sẻ từ Hệ thống thông tin và cơ sở dữ liệu quốc gia về đầu tư công hoặc từ cơ sở dữ liệu khác kết nối với Nền tảng số cấp mã số ĐVQHNS, chủ đầu tư nộp Tờ khai đăng ký mã số ĐVQHNS và không phải nộp các bản sao hợp lệ tương ứng; Cơ quan Tài chính khai thác trực tiếp trên Nền tảng số cấp mã số ĐVQHNS và các cơ sở dữ liệu kết nối</w:t>
            </w:r>
            <w:r w:rsidR="00952016" w:rsidRPr="00886647" w:rsidDel="00952016">
              <w:rPr>
                <w:sz w:val="23"/>
                <w:szCs w:val="23"/>
              </w:rPr>
              <w:t xml:space="preserve"> </w:t>
            </w:r>
            <w:r w:rsidRPr="00886647">
              <w:rPr>
                <w:sz w:val="23"/>
                <w:szCs w:val="23"/>
              </w:rPr>
              <w:t>". Do đó, đơn vị sẽ không phải nhập lại các thông tin, dữ liệu đã có.</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11</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Vụ Kinh tế địa phương và lãnh thổ</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rà soát phân loại dự án đầu tư công tại khoản 2 Điều 3 Dự thảo do chưa đồng bộ với quy định tại Luật Đầu tư công số 58/2024/QH15</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 chỉnh sửa vào khoản 2 Điều 3 của Dự thảo thông tư để đồng bộ với quy định của Luật Đầu tư công số 58/2024/QH15 như sau: "2. Dự án đầu tư bao gồm dự án đầu tư công theo quy định của pháp luật về đầu tư công và dự án đầu tư theo phương thức đối tác công tư (sau đây gọi là dự án PPP) theo quy định của pháp luật về đầu tư theo phương thức đối tác công tư; trong đó dự án đầu tư công được phân loại theo tính chất, quy mô và theo nguồn vốn gồm dự án sử dụng vốn hỗ trợ phát triển chính thức (ODA), vốn vay ưu đãi của nhà tài trợ nước ngoài và các dự án đầu tư công khác."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Về việc Hệ thống thông tin và cơ sở dữ liệu quốc gia về đầu tư công phải sử dụng mã số ĐVQHNS để giao vốn và điều chỉnh kế hoạch vốn, đề nghị nghiên cứu thêm các trường hợp địa phương thực hiện dự án thành phần giải phóng mặt bằng, bộ, cơ quan trung ương thực hiện các dự án xây lắp (tương tự như giải phóng mặt bằng các dự án thành phần dự án đường sắt tốc độ cao trên trục Bắc - Nam thì số vốn GPMB được phân bổ trực tiếp cho các đơn vị chủ đầu tư trên địa bàn địa phương).</w:t>
            </w:r>
          </w:p>
        </w:tc>
        <w:tc>
          <w:tcPr>
            <w:tcW w:w="4440" w:type="dxa"/>
            <w:shd w:val="clear" w:color="auto" w:fill="auto"/>
            <w:tcMar>
              <w:top w:w="70" w:type="dxa"/>
              <w:left w:w="90" w:type="dxa"/>
              <w:bottom w:w="70" w:type="dxa"/>
              <w:right w:w="90" w:type="dxa"/>
            </w:tcMar>
          </w:tcPr>
          <w:p w:rsidR="00BC4C60" w:rsidRPr="00886647" w:rsidRDefault="009566A8" w:rsidP="00952016">
            <w:pPr>
              <w:spacing w:after="40" w:line="276" w:lineRule="auto"/>
              <w:jc w:val="both"/>
            </w:pPr>
            <w:r w:rsidRPr="00886647">
              <w:rPr>
                <w:sz w:val="23"/>
                <w:szCs w:val="23"/>
              </w:rPr>
              <w:t xml:space="preserve">Tiếp thu ý kiến, Cục CNTT bổ sung thêm hướng dẫn vào khoản </w:t>
            </w:r>
            <w:r w:rsidR="00952016">
              <w:rPr>
                <w:sz w:val="23"/>
                <w:szCs w:val="23"/>
              </w:rPr>
              <w:t>4</w:t>
            </w:r>
            <w:r w:rsidRPr="00886647">
              <w:rPr>
                <w:sz w:val="23"/>
                <w:szCs w:val="23"/>
              </w:rPr>
              <w:t xml:space="preserve"> Điều 15 của Dự thảo thông tư cho dự án thành phần</w:t>
            </w:r>
            <w:r w:rsidR="00952016">
              <w:rPr>
                <w:sz w:val="23"/>
                <w:szCs w:val="23"/>
              </w:rPr>
              <w:t>. Dự án thành phần giải phóng mặt bằng thuộc trưởng hợp quy định tại khoản 4 Điều 15 của Dự thảo thông tư.</w:t>
            </w:r>
            <w:r w:rsidRPr="00886647">
              <w:rPr>
                <w:sz w:val="23"/>
                <w:szCs w:val="23"/>
              </w:rPr>
              <w:t xml:space="preserve"> </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12</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Vụ Tài chính - Kinh tế ngành</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Dự thảo Thông tư liên quan đến trách nhiệm, quy trình thực hiện của các đơn vị sử dụng ngân sách và Kho bạc Nhà nước các cấp, vì vậy, đề nghị Cục CNTT&amp;CĐS tổng hợp ý kiến của các đơn vị sử dụng ngân sách trong Bộ và ý kiến của Kho bạc Nhà nước để hoàn thiện dự thảo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tổng hợp ý kiến của các đơn vị sử dụng ngân sách trong Bộ và ý kiến của Kho bạc Nhà nước để hoàn thiện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13</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Cục Phát triển doanh nghiệp tư nhân và kinh tế tập thể</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bổ sung quy định "Đối với các dự án đầu tư, mua sắm tài sản, cải tạo cơ sở vật chất sử dụng nguồn Quỹ Phát triển hoạt động sự nghiệp của đơn vị sự nghiệp công lập tự bảo đảm chi thường xuyên và chi đầu tư (không sử dụng nguồn vốn ngân sách nhà nước hoặc kết hợp nhiều nguồn vốn), đơn vị không phải đăng ký mã số dự án đầu tư riêng (mã số đầu N=7, N=8). Việc hạch toán, thanh toán, kiểm soát chi đối với các hoạt động này tại Kho bạc Nhà nước được thực hiện trực tiếp theo mã số ĐVQHNS đã cấp cho đơn vị sự nghiệp công lập đó (mã số đầu N=1 hoặc N=2)" để phù hợp với thực tế hiện nay, giúp Kho bạc nhà nước và các đơn vị sự nghiệp công lập thực hiện thống nhất, tránh việc phát sinh yêu cầu đăng ký mã số dự án không cần thiết, tăng tính tự chủ của đơn vị sự nghiệp công lập tự chủ chi thường xuyên và chi đầu tư. Do đó, đề nghị bổ sung quy định này vào Điều 15 -- Hướng dẫn một số trường hợp cụ thể. Đồng thời, bổ sung điều khoản loại trừ này tại Điều 3, Điều 4, Điều 8 để đảm bảo sự đồng bộ và loại trừ rõ ràng trong phần giải thích thuật ngữ, hồ sơ, quy trình làm căn cứ áp dụng.</w:t>
            </w:r>
          </w:p>
        </w:tc>
        <w:tc>
          <w:tcPr>
            <w:tcW w:w="4440" w:type="dxa"/>
            <w:shd w:val="clear" w:color="auto" w:fill="auto"/>
            <w:tcMar>
              <w:top w:w="70" w:type="dxa"/>
              <w:left w:w="90" w:type="dxa"/>
              <w:bottom w:w="70" w:type="dxa"/>
              <w:right w:w="90" w:type="dxa"/>
            </w:tcMar>
          </w:tcPr>
          <w:p w:rsidR="00970138" w:rsidRDefault="00970138">
            <w:pPr>
              <w:spacing w:after="40" w:line="276" w:lineRule="auto"/>
              <w:jc w:val="both"/>
              <w:rPr>
                <w:sz w:val="23"/>
                <w:szCs w:val="23"/>
              </w:rPr>
            </w:pPr>
            <w:r>
              <w:rPr>
                <w:sz w:val="23"/>
                <w:szCs w:val="23"/>
              </w:rPr>
              <w:t>Giải trình ý kiến,</w:t>
            </w:r>
          </w:p>
          <w:p w:rsidR="00970138" w:rsidRDefault="00970138">
            <w:pPr>
              <w:spacing w:after="40" w:line="276" w:lineRule="auto"/>
              <w:jc w:val="both"/>
              <w:rPr>
                <w:sz w:val="23"/>
                <w:szCs w:val="23"/>
              </w:rPr>
            </w:pPr>
            <w:r>
              <w:rPr>
                <w:sz w:val="23"/>
                <w:szCs w:val="23"/>
              </w:rPr>
              <w:t xml:space="preserve">Cục CNTT giải trình ý kiến này như sau: </w:t>
            </w:r>
            <w:r w:rsidR="00A677D7" w:rsidRPr="00A677D7">
              <w:rPr>
                <w:i/>
                <w:sz w:val="23"/>
                <w:szCs w:val="23"/>
              </w:rPr>
              <w:t>Thứ nhất</w:t>
            </w:r>
            <w:r w:rsidR="00A677D7" w:rsidRPr="00A677D7">
              <w:rPr>
                <w:sz w:val="23"/>
                <w:szCs w:val="23"/>
              </w:rPr>
              <w:t>, nội dung đề nghị bổ sung về việc hạch toán, thanh toán và kiểm soát chi tại Kho bạc Nhà nước đối với các hoạt động đầu tư, mua sắm, cải tạo cơ sở vật chất từ Quỹ Phát triển hoạt động sự nghiệp không thuộc phạm vi điều chỉnh của Thông tư. Theo Điều 1, Thông tư chỉ quy định về đăng ký, cấp, quản lý và sử dụng mã số ĐVQHNS. Việc hạch toán và kiểm soát chi thực hiện theo pháp luật về ngân sách nhà nước, chế độ kế toán ngân sách nhà nước và hoạt động nghiệp vụ Kho bạc Nhà nước; đưa nội dung này vào Thông tư sẽ vượt phạm vi điều chỉnh và chồng lấn với các văn bản nêu trên</w:t>
            </w:r>
            <w:r>
              <w:rPr>
                <w:sz w:val="23"/>
                <w:szCs w:val="23"/>
              </w:rPr>
              <w:t xml:space="preserve">; </w:t>
            </w:r>
            <w:r w:rsidR="00A677D7" w:rsidRPr="00A677D7">
              <w:rPr>
                <w:i/>
                <w:sz w:val="23"/>
                <w:szCs w:val="23"/>
              </w:rPr>
              <w:t>Thứ hai</w:t>
            </w:r>
            <w:r w:rsidR="00A677D7" w:rsidRPr="00A677D7">
              <w:rPr>
                <w:sz w:val="23"/>
                <w:szCs w:val="23"/>
              </w:rPr>
              <w:t>, dự thảo Thông tư đã không đặt ra yêu cầu đăng ký mã số đối với trường hợp đơn vị nêu. Khoản 4 Điều 3 xác định dự án đầu tư chỉ bao gồm dự án đầu tư công theo pháp luật về đầu tư công và dự án đầu tư theo phương thức đối tác công tư. Hoạt động đầu tư, mua sắm tài sản, cải tạo cơ sở vật chất sử dụng nguồn Quỹ Phát triển hoạt động sự nghiệp của đơn vị sự nghiệp công lập tự bảo đảm chi thường xuyên và chi đầu tư, không sử dụng vốn ngân sách nhà nước, không thuộc hai loại dự án này, do đó không phải là đối tượng được cấp mã số ĐVQHNS theo khoản 2 Điều 3; đồng thời không phát sinh việc giao dự toán hoặc giao kế hoạch vốn làm căn cứ đăng ký mã số theo khoản 1 Điều 4. Đơn vị sự nghiệp công lập tiếp tục sử dụng mã số ĐVQHNS đã được cấp cho đơn vị. Như vậy, mục tiêu mà đơn vị đề xuất đã được bảo đảm ngay trong cấu trúc hiện hành của dự thảo</w:t>
            </w:r>
            <w:r w:rsidRPr="00970138">
              <w:rPr>
                <w:sz w:val="23"/>
                <w:szCs w:val="23"/>
              </w:rPr>
              <w:t xml:space="preserve"> mà không cần bổ sung quy định</w:t>
            </w:r>
            <w:r>
              <w:rPr>
                <w:sz w:val="23"/>
                <w:szCs w:val="23"/>
              </w:rPr>
              <w:t xml:space="preserve">; </w:t>
            </w:r>
            <w:r w:rsidR="00A677D7" w:rsidRPr="00A677D7">
              <w:rPr>
                <w:i/>
                <w:sz w:val="23"/>
                <w:szCs w:val="23"/>
              </w:rPr>
              <w:t>Thứ ba</w:t>
            </w:r>
            <w:r w:rsidR="00A677D7" w:rsidRPr="00A677D7">
              <w:rPr>
                <w:sz w:val="23"/>
                <w:szCs w:val="23"/>
              </w:rPr>
              <w:t>, về kỹ thuật lập quy, việc bổ sung một quy định loại trừ cho trường hợp vốn đã nằm ngoài phạm vi điều chỉnh sẽ dẫn đến cách hiểu ngược lại rằng mọi trường hợp không được liệt kê loại trừ đều phải đăng ký mã số dự án, qua đó làm phát sinh thêm yêu cầu thay vì cắt giảm. Mặt khác, trường hợp dự án sử dụng kết hợp nhiều nguồn vốn mà trong đó có vốn ngân sách nhà nước thì vẫn thuộc đối tượng được cấp mã số ĐVQHNS, nên không thể quy định loại trừ chung cho nhóm "kết hợp nhiều nguồn vốn" như đề nghị.</w:t>
            </w:r>
          </w:p>
          <w:p w:rsidR="00970138" w:rsidRDefault="00A677D7">
            <w:pPr>
              <w:spacing w:after="40" w:line="276" w:lineRule="auto"/>
              <w:jc w:val="both"/>
              <w:rPr>
                <w:sz w:val="23"/>
                <w:szCs w:val="23"/>
              </w:rPr>
            </w:pPr>
            <w:r w:rsidRPr="00A677D7">
              <w:rPr>
                <w:sz w:val="23"/>
                <w:szCs w:val="23"/>
              </w:rPr>
              <w:t>Cục CNTT ghi nhận vướng mắc thực tế mà đơn vị phản ánh và sẽ phối hợp với Kho bạc Nhà nước để thống nhất hướng dẫn nghiệp vụ, bảo đảm không phát sinh yêu cầu đăng ký mã số dự án đối với các hoạt động nêu trên.</w:t>
            </w:r>
          </w:p>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14</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Vụ Ngân sách Nhà nước</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Đơn vị soạn thảo rà soát nội dung dự thảo Thông tư, bảo đảm chỉ quy định những nội dung cần thiết, thuộc phạm vi quy định của Thông tư. Đối với những nội dung đã được quy định tại Luật, Nghị định thì không quy định lại tại Thông tư, nhằm tránh trùng lặp, bảo đảm tính thống nhất, đồng bộ của hệ thống pháp luật. Trường hợp việc quy định lại là cần thiết để bảo đảm thuận tiện trong tổ chức thực hiện, đề nghị Đơn vị soạn thảo rà soát kỹ, bảo đảm nội dung quy định tại Thông tư thống nhất, không mâu thuẫn, không làm thay đổi đã được quy định tại Luật, Nghị định. (Tại khoản 5 Điều 3 dự thảo Thông tư về giải thích thuật ngữ, hiện đang quy định khác với Nghị định số 242/2025/NĐ-CP ngày 10/9/2025: Dự án sử dụng vốn hỗ trợ phát triển chính thức (ODA), vốn vay ưu đãi của nhà tài trợ nước ngoài (sau đây gọi là dự án ODA) là dự án sử dụng vốn ODA, vốn vay ưu đãi nước ngoài, vốn viện trợ không hoàn lại của nhà tài trợ nước ngoài để thực hiện các chương trình, dự án phát triển kinh tế - xã hội, được quản lý theo quy định về quản lý và sử dụng vốn ODA và vốn vay ưu đãi nước ngoài. Tại khoản 7 Điều 3 dự thảo Thông tư về giải thích từ ngữ, hiện đang quy định khác với Luật Đầu tư công hiện hành: "Nhiệm vụ chuẩn bị đầu tư là hoạt động để lập, thẩm định, quyết định chủ trương đầu tư; lập, thẩm định, quyết định đầu tư dự án" thành: "Nhiệm vụ chuẩn bị đầu tư là hoạt động để lập, thẩm định, quyết định chủ trương đầu tư; lập, thẩm định, quyết định đầu tư dự án")</w:t>
            </w:r>
          </w:p>
        </w:tc>
        <w:tc>
          <w:tcPr>
            <w:tcW w:w="4440" w:type="dxa"/>
            <w:shd w:val="clear" w:color="auto" w:fill="auto"/>
            <w:tcMar>
              <w:top w:w="70" w:type="dxa"/>
              <w:left w:w="90" w:type="dxa"/>
              <w:bottom w:w="70" w:type="dxa"/>
              <w:right w:w="90" w:type="dxa"/>
            </w:tcMar>
          </w:tcPr>
          <w:p w:rsidR="00BC4C60" w:rsidRPr="00886647" w:rsidRDefault="009566A8" w:rsidP="00C27DF3">
            <w:pPr>
              <w:spacing w:after="40" w:line="276" w:lineRule="auto"/>
              <w:jc w:val="both"/>
            </w:pPr>
            <w:r w:rsidRPr="00886647">
              <w:rPr>
                <w:sz w:val="23"/>
                <w:szCs w:val="23"/>
              </w:rPr>
              <w:t>Tiếp thu ý kiến, Cục CNTT đã chỉnh sửa vào Dự thảo thông tư như sau: đối với các thuật ngữ đã được quy định của các Luật, Nghị định sẽ không định nghĩa lại trong Dự thảo thông tư mà sử dụng phương pháp dẫn chiếu để đảm bảo tuân thủ các pháp luật cao hơn, cụ thể: "</w:t>
            </w:r>
            <w:r w:rsidR="00E11AA7">
              <w:rPr>
                <w:sz w:val="23"/>
                <w:szCs w:val="23"/>
              </w:rPr>
              <w:t>4</w:t>
            </w:r>
            <w:r w:rsidRPr="00886647">
              <w:rPr>
                <w:sz w:val="23"/>
                <w:szCs w:val="23"/>
              </w:rPr>
              <w:t xml:space="preserve">. Dự án đầu tư bao gồm dự án đầu tư công theo quy định của pháp luật về đầu tư công và dự án đầu tư theo phương thức đối tác công tư (sau đây gọi là dự án PPP) theo quy định của pháp luật về đầu tư theo phương thức đối tác công tư; trong đó dự án đầu tư công được phân loại theo tính chất, quy mô và theo nguồn vốn gồm dự án sử dụng vốn hỗ trợ phát triển chính thức (ODA), vốn vay ưu đãi của nhà tài trợ nước ngoài và các dự án đầu tư công khác. </w:t>
            </w:r>
            <w:r w:rsidR="00C27DF3" w:rsidRPr="00FF2EFD">
              <w:rPr>
                <w:color w:val="000000"/>
              </w:rPr>
              <w:t>5. Dự án sử dụng vốn hỗ trợ phát triển chính thức (ODA), vốn vay ưu đãi của nhà tài trợ nước ngoài (sau đây gọi là dự án ODA) là dự án sử dụng vốn theo quy định của pháp luật về quản lý và sử dụng vốn hỗ trợ phát triển chính thức (ODA) và vốn vay ưu đãi nước ngoài</w:t>
            </w:r>
            <w:r w:rsidRPr="00886647">
              <w:rPr>
                <w:sz w:val="23"/>
                <w:szCs w:val="23"/>
              </w:rPr>
              <w:t xml:space="preserve">. </w:t>
            </w:r>
            <w:r w:rsidR="00C27DF3">
              <w:rPr>
                <w:sz w:val="23"/>
                <w:szCs w:val="23"/>
              </w:rPr>
              <w:t>6</w:t>
            </w:r>
            <w:r w:rsidRPr="00886647">
              <w:rPr>
                <w:sz w:val="23"/>
                <w:szCs w:val="23"/>
              </w:rPr>
              <w:t xml:space="preserve">. Dự án đầu tư công khác là dự án đầu tư công không thuộc trường hợp quy định tại khoản </w:t>
            </w:r>
            <w:r w:rsidR="00C27DF3">
              <w:rPr>
                <w:sz w:val="23"/>
                <w:szCs w:val="23"/>
              </w:rPr>
              <w:t>4, 5</w:t>
            </w:r>
            <w:r w:rsidRPr="00886647">
              <w:rPr>
                <w:sz w:val="23"/>
                <w:szCs w:val="23"/>
              </w:rPr>
              <w:t xml:space="preserve"> Điều này. </w:t>
            </w:r>
            <w:r w:rsidR="00C27DF3" w:rsidRPr="00FF2EFD">
              <w:rPr>
                <w:color w:val="000000"/>
              </w:rPr>
              <w:t>7. Nhiệm vụ bao gồm nhiệm vụ chuẩn bị đầu tư theo quy định của pháp luật về đầu tư công và nhiệm vụ quy hoạch theo quy định của pháp luật về quy hoạch. Nhiệm vụ chuẩn bị đầu tư được đăng ký, cấp mã số ĐVQHNS khi được cấp có thẩm quyền giao và phê duyệt dự toán riêng trước thời điểm có nghị quyết hoặc quyết định phê duyệt chủ trương đầu tư dự án; trường hợp chi phí chuẩn bị đầu tư được tính trong tổng mức đầu tư của dự án và quyết toán chung với dự án thì không cấp mã số ĐVQHNS riêng cho nhiệm vụ chuẩn bị đầu tư</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Đề nghị đơn vị soạn thảo nghiên cứu quy định mã số đơn vị quan hệ ngân sách bảo đảm đồng bộ, thống nhất với hệ thống thông tin và cơ sở dữ liệu quốc gia về đầu tư công, theo hướng sử dụng thống nhất một mã số để nhận diện, kết nối và chia sẻ thông tin giữa các hệ thống. Việc này nhằm hạn chế tình trạng phải khai báo, cập nhật cùng một thông tin nhiều lần trên các hệ thống khác nhau, bảo đảm dữ liệu được cập nhật một lần và được sử dụng thống nhất, đồng bộ; đồng thời tạo thuận lợi cho việc kết nối, chia sẻ, quản lý, tra cứu, tổng hợp và khai thác dữ liệu, góp phần nâng cao hiệu quả quản lý nhà nước về đầu tư công và ngân sách nhà nước.</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Giài trình ý kiến, Về ý kiến của đơn vị, Cục CNTT giải trình như sau: - Tại khoản </w:t>
            </w:r>
            <w:r w:rsidR="00C27DF3">
              <w:rPr>
                <w:sz w:val="23"/>
                <w:szCs w:val="23"/>
              </w:rPr>
              <w:t>4</w:t>
            </w:r>
            <w:r w:rsidRPr="00886647">
              <w:rPr>
                <w:sz w:val="23"/>
                <w:szCs w:val="23"/>
              </w:rPr>
              <w:t xml:space="preserve"> Điều 4 của Dự thảo thông tư về Quy định cấp và sử dụng mã số đơn vị quan hệ ngân sách đã quy định: "</w:t>
            </w:r>
            <w:r w:rsidR="00C27DF3" w:rsidRPr="00FF2EFD">
              <w:rPr>
                <w:color w:val="000000"/>
              </w:rPr>
              <w:t>4. Thông tin đăng ký cấp mã số ĐVQHNS đối với nhiệm vụ, dự án đầu tư được kế thừa, khai thác từ Hệ thống thông tin và cơ sở dữ liệu quốc gia về đầu tư công hoặc hệ thống thông tin, cơ sở dữ liệu khác có kết nối, chia sẻ dữ liệu với Nền tảng số cấp mã số ĐVQHNS. Chủ đầu tư không phải kê khai lại các thông tin đã có trên hệ thống, trừ các thông tin phục vụ quản lý mã số ĐVQHNS mà hệ thống chưa quản lý. Việc giao vốn cho chủ đầu tư và điều chỉnh kế hoạch vốn đầu tư công trung hạn, kế hoạch vốn hằng năm trên Hệ thống thông tin và cơ sở dữ liệu quốc gia về đầu tư công được thực hiện theo mã số ĐVQHNS đã cấp</w:t>
            </w:r>
            <w:r w:rsidRPr="00886647">
              <w:rPr>
                <w:sz w:val="23"/>
                <w:szCs w:val="23"/>
              </w:rPr>
              <w:t xml:space="preserve">." - Tại khoản </w:t>
            </w:r>
            <w:r w:rsidR="00C27DF3">
              <w:rPr>
                <w:sz w:val="23"/>
                <w:szCs w:val="23"/>
              </w:rPr>
              <w:t>10</w:t>
            </w:r>
            <w:r w:rsidRPr="00886647">
              <w:rPr>
                <w:sz w:val="23"/>
                <w:szCs w:val="23"/>
              </w:rPr>
              <w:t xml:space="preserve"> Điều 8 của Dự thảo thông tư về Hồ sơ đăng ký mã số đơn vị có quan hệ với ngân sách đã quy định: "</w:t>
            </w:r>
            <w:r w:rsidR="00C27DF3" w:rsidRPr="00FF2EFD">
              <w:rPr>
                <w:color w:val="000000"/>
              </w:rPr>
              <w:t>10. Trường hợp thông tin, quyết định, văn bản phê duyệt liên quan đến nhiệm vụ, dự án đầu tư đã được tích hợp, chia sẻ từ Hệ thống thông tin và cơ sở dữ liệu quốc gia về đầu tư công hoặc từ cơ sở dữ liệu khác kết nối với Nền tảng số cấp mã số ĐVQHNS, chủ đầu tư nộp Tờ khai đăng ký mã số ĐVQHNS và không phải nộp các bản sao hợp lệ tương ứng; Cơ quan Tài chính khai thác trực tiếp trên Nền tảng số cấp mã số ĐVQHNS và các cơ sở dữ liệu kết nối</w:t>
            </w:r>
            <w:r w:rsidRPr="00886647">
              <w:rPr>
                <w:sz w:val="23"/>
                <w:szCs w:val="23"/>
              </w:rPr>
              <w:t>." Do đó, Dự thảo thông tư đã quy định việc kết nối với Hệ thống thông tin và cơ sở dữ liệu quốc gia về đầu tư công để kế thừa, liên kết các thông tin.</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15</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Quảng Ninh</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Về quan điểm xây dựng thông tư Đề nghị cơ quan soạn thảo tiếp tục nghiên cứu, hoàn thiện dự thảo theo hướng đẩy mạnh ứng dụng công nghệ thông tin và chuyển đổi số trong toàn bộ quy trình đăng ký, cấp và sử dụng mã số đơn vị có quan hệ với ngân sách. Quy định rõ giá trị pháp lý của thông tin, dữ liệu được kê khai, xác thực, khai thác và lưu trữ trên hệ thống cấp mã số đơn vị có quan hệ với ngân sách và bảo đảm dữ liệu điện tử được sử có giá trị tương đương hồ sơ giấy và sửa dụng để thay thế hồ sơ giấy.</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hoàn thiện dự thảo theo hướng đơn vị nêu, cụ thể: (i) bổ sung khoản 5 Điều 16 quy định hồ sơ đăng ký trực tuyến có giá trị pháp lý như hồ sơ bằng bản giấy, Giấy chứng nhận điện tử và dữ liệu trên Nền tảng số có giá trị pháp lý theo pháp luật về giao dịch điện tử; (ii) bổ sung khoản 2 Điều 6 về việc Cơ quan Tài chính ký số Giấy chứng nhận và giá trị pháp lý tương đương bản giấy; (iii) bỏ yêu cầu lưu trữ hồ sơ bằng bản giấy tại đơn vị, thay bằng lưu trữ theo pháp luật về lưu trữ — điểm c khoản 1 Điều 22; (iv) bổ sung Điều 21 về bảo mật, lưu trữ và khai thác dữ liệu trên Nền tảng số.</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hồ sơ đăng ký trực tuyến: Tại Điều 18 dự thảo quy định hồ sơ trực tuyến là hồ sơ có đầy đủ giấy tờ như hồ sơ bằng bản giấy rồi chuyển sang văn bản điện tử. Đề nghị cơ quan soạn thảo nghiên cứu xây dựng theo hướng loại bỏ toàn bộ các các mẫu thông báo, người khai hồ sơ khai trực tiếp trên hệ thống cấp mã số quan hệ ngân sách, xác thực thông qua định danh cá nhân, chịu trách nhiệm trước pháp luật về thông tin đã nhập vào hệ thống. Đối với các thông tin đã có trong cơ sở dữ liệu được kết nối, liên thông, đề nghị không yêu cầu người đăng ký kê khai lại, mà hệ thống tự động khai thác, đối chiếu và cập nhật từ các cơ sở dữ liệu có liên quan. Cách tiếp cận này phù hợp với yêu cầu số hóa quy trình nghiệp vụ, giảm thành phần hồ sơ, hạn chế việc nộp lại thông tin đã có và bảo đảm đồng bộ với các hệ thống cơ sở dữ liệu hiện hành.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lý theo hướng đơn vị đề nghị: (i) bổ sung khoản 4 Điều 18 quy định Cơ quan Tài chính khai thác trực tiếp trên Nền tảng số và các cơ sở dữ liệu kết nối, không yêu cầu đơn vị kê khai lại hoặc nộp lại thông tin đã được xác thực, thông tin đã tích hợp từ Hệ thống thông tin và cơ sở dữ liệu quốc gia về đầu tư công, và giấy tờ đã nộp trong hồ sơ trước đó còn hiệu lực; (ii) bổ sung khoản 5 Điều 17 về việc Nền tảng số tự động điền thông tin từ các cơ sở dữ liệu kết nối, và quy định thông tin được điền tự động có giá trị sử dụng như thông tin do đơn vị kê khai; (iii) chỉnh lý Điều 18 bỏ cách tiếp cận lấy hồ sơ giấy làm chuẩn, thay bằng điều kiện đầy đủ và điều kiện hợp lệ của hồ sơ điện tử. Về đề nghị bỏ toàn bộ mẫu biểu: Cục CNTT giữ Tờ khai theo mẫu, vì Tờ khai là căn cứ xác định trách nhiệm của đơn vị đối với thông tin đã kê khai.</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cơ chế kết nối, chia sẻ dữ liệu: Đề nghị cơ quan soạn thảo nghiên cứu bổ sung, làm rõ quy định về cơ chế kết nối, chia sẻ và khai thác dữ liệu giữa hệ thống cấp mã số đơn vị có quan hệ với ngân sách với các cơ sở dữ liệu, hệ thống thông tin khác có liên quan. Ngoài Hệ thống thông tin và Cơ sở dữ liệu quốc gia về đầu tư công, cần nghiên cứu khả năng kết nối với các cơ sở dữ liệu như: cơ sở dữ liệu quốc gia về dân cư để xác thực thông tin cá nhân; hệ thống thông tin quốc gia về đăng ký doanh nghiệp để đối chiếu thông tin liên quan đến tổ chức, cá nhân quản lý, điều hành doanh nghiệp; và các cơ sở dữ liệu chuyên ngành khác có liên quan. Việc quy định cụ thể nội dung này sẽ góp phần nâng cao tính chính xác của dữ liệu, hạn chế trùng lặp trong kê khai.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Giải trình ý kiến, Dự thảo Thông tư cũng đưa ra quy định kết nối, trao đổi dữ liệu với Hệ thống thông tin và Cơ sở dữ liệu quốc gia về đầu tư công (khoản </w:t>
            </w:r>
            <w:r w:rsidR="00274A06">
              <w:rPr>
                <w:sz w:val="23"/>
                <w:szCs w:val="23"/>
              </w:rPr>
              <w:t>4</w:t>
            </w:r>
            <w:r w:rsidRPr="00886647">
              <w:rPr>
                <w:sz w:val="23"/>
                <w:szCs w:val="23"/>
              </w:rPr>
              <w:t xml:space="preserve"> Điều 4, khoản </w:t>
            </w:r>
            <w:r w:rsidR="00274A06">
              <w:rPr>
                <w:sz w:val="23"/>
                <w:szCs w:val="23"/>
              </w:rPr>
              <w:t>10</w:t>
            </w:r>
            <w:r w:rsidRPr="00886647">
              <w:rPr>
                <w:sz w:val="23"/>
                <w:szCs w:val="23"/>
              </w:rPr>
              <w:t xml:space="preserve"> Điều 8), Hệ thống Dữ liệu chủ và Danh mục dùng chung (Khoản </w:t>
            </w:r>
            <w:r w:rsidR="00274A06">
              <w:rPr>
                <w:sz w:val="23"/>
                <w:szCs w:val="23"/>
              </w:rPr>
              <w:t>9</w:t>
            </w:r>
            <w:r w:rsidRPr="00886647">
              <w:rPr>
                <w:sz w:val="23"/>
                <w:szCs w:val="23"/>
              </w:rPr>
              <w:t xml:space="preserve">, </w:t>
            </w:r>
            <w:r w:rsidR="00274A06">
              <w:rPr>
                <w:sz w:val="23"/>
                <w:szCs w:val="23"/>
              </w:rPr>
              <w:t>10</w:t>
            </w:r>
            <w:r w:rsidRPr="00886647">
              <w:rPr>
                <w:sz w:val="23"/>
                <w:szCs w:val="23"/>
              </w:rPr>
              <w:t xml:space="preserve"> Điều 15), Hệ thống định danh và xác thực điện tử (Khoản </w:t>
            </w:r>
            <w:r w:rsidR="00274A06">
              <w:rPr>
                <w:sz w:val="23"/>
                <w:szCs w:val="23"/>
              </w:rPr>
              <w:t>4</w:t>
            </w:r>
            <w:r w:rsidRPr="00886647">
              <w:rPr>
                <w:sz w:val="23"/>
                <w:szCs w:val="23"/>
              </w:rPr>
              <w:t xml:space="preserve"> Điều 17).</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Về các biểu mẫu: Đối với trường hợp không thực hiện đăng ký trực tuyến, đề nghị cơ quan soạn thảo nghiên cứu gộp tất cả các biểu mẫu hiện hành thành một mẫu dùng chung, áp dụng thống nhất cho tất cả các trường hợp đăng ký mới, điều chỉnh, bổ sung thông tin, đóng mã số QHNS, ... nhằm hướng tới sự thuận lợi và đơn giản hóa thủ tục hành chính. Đối với mục "Thông tin về người đại diện đăng ký mã số ĐVQHNS" trên biểu mẫu, đề nghị chú thích, hướng dẫn cụ thể, rõ ràng để bảo đảm thống nhất trong quá trình kê khai. Qua thực tế thực hiện, đây thường xuyên là nội dung phát sinh nhầm lẫn giữa "cán bộ trực tiếp nộp hồ sơ" và "người đại diện, lãnh đạo ký hồ sơ", gây khó khăn trong quá trình tiếp nhận, xử lý và đối chiếu thông tin.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 Về ý kiến gộp chung các mẫu biểu: Cục CNTT rà soát và gộp các mẫu biểu có thể chung vào một mẫu biểu (như mẫu biểu về nhiệm vụ chuẩn bị đầu tư và mẫu biểu về dự án giai đoạn chuẩn bị đầu tư), các mẫu biểu khác do từng loại dự án cần các thông tin khác nhau nên Cục CNTT để xuất vẫn tách riêng mẫu biểu để đảm bảo tính minh bạch cho thông tin cần quản lý. - Về hướng dẫn khai báo mục "Thông tin về người đại diện đăng ký mã số ĐVQHNS", Cục CNTT đã chỉnh sửa và các biểu mẫu và hướng dẫn thành "Thông tin về cán bộ trực tiếp nộp hồ sơ đăng ký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16</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Hải phòng</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khoản 10, Điều 15 của Dự thảo: "Sở Tài chính thực hiện cấp mã số ĐVQHNS đầu 3 (N=3) cho các Ban quản lý dự án chuyên ngành, Ban quản lý dự án khu vực". Tuy nhiên trên thực tế có trường hợp Ban quản lý dự án chuyên ngành, Ban quản lý dự án khu vực nhận kinh phí chi thường xuyên để thực hiện một số nhiệm vụ do Ủy ban nhân dân cấp tỉnh giao, đơn vị cần mã số ĐVQHNS đầu 1 (N=1) để giải ngân nguồn vốn chi thường xuyên (cho các nhiệm vụ chuẩn bị đầu tư, hỗ trợ người lao động đi lại ...) nhập vào các tài khoản. Do vậy, Sở Tài chính Hải Phòng đề nghị Cục Công nghệ thông tin và chuyển đổi số xem xét trường hợp trên để điều chỉnh dự thảo cho phù hợp với thực tế.</w:t>
            </w:r>
          </w:p>
        </w:tc>
        <w:tc>
          <w:tcPr>
            <w:tcW w:w="4440" w:type="dxa"/>
            <w:shd w:val="clear" w:color="auto" w:fill="auto"/>
            <w:tcMar>
              <w:top w:w="70" w:type="dxa"/>
              <w:left w:w="90" w:type="dxa"/>
              <w:bottom w:w="70" w:type="dxa"/>
              <w:right w:w="90" w:type="dxa"/>
            </w:tcMar>
          </w:tcPr>
          <w:p w:rsidR="00570C5C" w:rsidRPr="00570C5C" w:rsidRDefault="00570C5C" w:rsidP="00570C5C">
            <w:pPr>
              <w:rPr>
                <w:sz w:val="23"/>
                <w:szCs w:val="23"/>
              </w:rPr>
            </w:pPr>
            <w:r>
              <w:rPr>
                <w:sz w:val="23"/>
                <w:szCs w:val="23"/>
              </w:rPr>
              <w:t xml:space="preserve">Giải trình ý kiến, Cục CNTT giải trình ý kiến này như sau: i) </w:t>
            </w:r>
            <w:r w:rsidR="00A677D7" w:rsidRPr="00A677D7">
              <w:rPr>
                <w:sz w:val="23"/>
                <w:szCs w:val="23"/>
              </w:rPr>
              <w:t>Ký tự N trong cấu trúc mã số ĐVQHNS phản ánh loại hình đối tượng chứ không phản ánh nguồn kinh phí, do đó BQLDA có tư cách pháp nhân phải được cấp mã với ký tự N = 3; ii) Việc giao thêm kinh phí thường xuyên không làm thay đổi loại hình đơn vị hay ký tự N; việc phân biệt nguồn vốn được thực hiện qua mã tài khoản dự toán và hệ thống kế toán Kho bạc; iii) Cấp thêm mã số ĐVQHSN với N = 1 sẽ vi phạm nguyên tắc mỗi đơn vị chỉ dùng một mã duy nhất và gây trùng lặp số liệu tổng hợp; iv) Riêng với Điều 15, Cục CNTT đã tiếp thu và lược bỏ khoản hướng dẫn riêng về cấp mã cho BQLDA để tránh trùng lặp và loại bỏ quy định không phù hợp về thẩm quyền. Sau khi lược bỏ, việc cấp mã cho BQLDA sẽ áp dụng theo quy định chung (trung ương đăng ký tại Bộ Tài chính, địa phương tại Sở Tài chính) và đều mang ký tự N = 3, bảo đảm không có khoảng trống pháp lý.</w:t>
            </w:r>
          </w:p>
          <w:p w:rsidR="00570C5C" w:rsidRPr="00570C5C" w:rsidRDefault="00570C5C" w:rsidP="00570C5C">
            <w:pPr>
              <w:rPr>
                <w:sz w:val="23"/>
                <w:szCs w:val="23"/>
              </w:rPr>
            </w:pPr>
          </w:p>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17</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TP Hà Nội</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cơ quan soạn thảo nghiên cứu, điều chỉnh tại khoản 2 Điều 19 của dự thảo như sau: "Cơ quan Tài chính có trách nhiệm tiếp nhận, kiểm tra các thông tin trong hồ sơ trực tuyến và thông báo tình trạng tiếp nhận, đồng thời thông báo qua địa của người đại diện đơn vị đăng ký mã số..." thành "Cơ quan Tài chính có trách nhiệm tiếp nhận, kiểm tra các thông tin trong hồ sơ trực tuyến; đánh giá và xử lý để hệ thống tự động thông báo tình trạng tiếp nhận qua địa chỉ thư điện tử của người đại diện đơn vị đăng ký mã số..." Do hồ sơ tiếp nhận trực tuyến trên Nền tảng cấp mã số ĐVQHNS nên Nền tảng tự động gửi thông báo tình trạng tiếp nhận cho đơn vị đăng ký mã số qua thư điện tử.</w:t>
            </w:r>
          </w:p>
        </w:tc>
        <w:tc>
          <w:tcPr>
            <w:tcW w:w="4440" w:type="dxa"/>
            <w:shd w:val="clear" w:color="auto" w:fill="auto"/>
            <w:tcMar>
              <w:top w:w="70" w:type="dxa"/>
              <w:left w:w="90" w:type="dxa"/>
              <w:bottom w:w="70" w:type="dxa"/>
              <w:right w:w="90" w:type="dxa"/>
            </w:tcMar>
          </w:tcPr>
          <w:p w:rsidR="00BC4C60" w:rsidRPr="00886647" w:rsidRDefault="009566A8" w:rsidP="00970138">
            <w:pPr>
              <w:spacing w:after="40" w:line="276" w:lineRule="auto"/>
              <w:jc w:val="both"/>
            </w:pPr>
            <w:r w:rsidRPr="00886647">
              <w:rPr>
                <w:sz w:val="23"/>
                <w:szCs w:val="23"/>
              </w:rPr>
              <w:t xml:space="preserve">Tiếp thu ý kiến, Cục CNTT đã chỉnh sửa vào khoản </w:t>
            </w:r>
            <w:r w:rsidR="00970138">
              <w:rPr>
                <w:sz w:val="23"/>
                <w:szCs w:val="23"/>
              </w:rPr>
              <w:t>2, 3</w:t>
            </w:r>
            <w:r w:rsidRPr="00886647">
              <w:rPr>
                <w:sz w:val="23"/>
                <w:szCs w:val="23"/>
              </w:rPr>
              <w:t xml:space="preserve"> Điều 19 của Dự thảo thông tư</w:t>
            </w:r>
            <w:r w:rsidR="00970138">
              <w:rPr>
                <w:sz w:val="23"/>
                <w:szCs w:val="23"/>
              </w:rPr>
              <w:t xml:space="preserve">: Cơ quan tài chính tiếp nhận, kiểm tra hồ sơ và xử lý; </w:t>
            </w:r>
            <w:r w:rsidR="00A677D7" w:rsidRPr="00A677D7">
              <w:rPr>
                <w:sz w:val="23"/>
                <w:szCs w:val="23"/>
              </w:rPr>
              <w:t>Nền tảng số cấp mã số ĐVQHNS tự động gửi đến tài khoản truy cập của đơn vị và đến địa chỉ thư điện tử của cán bộ trực tiếp nộp hồ sơ đăng ký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18</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Hưng Yên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Mục 1, Điều 11. Đăng ký thay đổi thông tin về mã số đơn vị có quan hệ với ngân sách bổ sung như sau: "1. Trường hợp đơn vị có quan hệ với ngân sách nếu có thay đổi các chỉ tiêu đăng ký mã số ĐVQHNS như tên đơn vị, tên dự án, tên chủ đầu tư, địa chỉ đơn vị, địa chỉ chủ đầu tư, tên cơ quan chủ quản cấp trên thì đơn vị gửi Thông báo đến Cơ quan Tài chính nơi đã cấp mã số ĐVQHNS. Nội dung Thông báo thực hiện theo Mẫu số 06-MSNS-BTC tại Phụ lục kèm theo Thông tư này kèm theo Văn bản cấp có thẩm quyền về việc thay đổi thông tin của đơn vị"</w:t>
            </w:r>
          </w:p>
        </w:tc>
        <w:tc>
          <w:tcPr>
            <w:tcW w:w="4440" w:type="dxa"/>
            <w:shd w:val="clear" w:color="auto" w:fill="auto"/>
            <w:tcMar>
              <w:top w:w="70" w:type="dxa"/>
              <w:left w:w="90" w:type="dxa"/>
              <w:bottom w:w="70" w:type="dxa"/>
              <w:right w:w="90" w:type="dxa"/>
            </w:tcMar>
          </w:tcPr>
          <w:p w:rsidR="00BC4C60" w:rsidRPr="00886647" w:rsidRDefault="009566A8" w:rsidP="00274A06">
            <w:pPr>
              <w:spacing w:after="40" w:line="276" w:lineRule="auto"/>
              <w:jc w:val="both"/>
            </w:pPr>
            <w:r w:rsidRPr="00886647">
              <w:rPr>
                <w:sz w:val="23"/>
                <w:szCs w:val="23"/>
              </w:rPr>
              <w:t>Tiếp thu ý kiến, Cục CNTT đã chỉnh sửa vào khoản 1</w:t>
            </w:r>
            <w:r w:rsidR="00274A06">
              <w:rPr>
                <w:sz w:val="23"/>
                <w:szCs w:val="23"/>
              </w:rPr>
              <w:t>,2</w:t>
            </w:r>
            <w:r w:rsidRPr="00886647">
              <w:rPr>
                <w:sz w:val="23"/>
                <w:szCs w:val="23"/>
              </w:rPr>
              <w:t xml:space="preserve"> Điều 11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19</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Ninh Bình</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Đề xuất cơ quan soạn thảo bổ sung thêm nội dung hướng dẫn tổ chức thực hiện cấp mã số cho các đơn vị mở tài khoản giao dịch tại Kho bạc Nhà nước (với đầu mã số N=9) được quy định tại "Quyết định số 990/QĐ-KBNN ngày 24/11/2008 của Kho bạc Nhà nước về việc Quy trình cấp mã cho các đơn vị giao dịch với KBNN chưa được cấp mã đơn vị có quan hệ với ngân sách theo Quyết định số 90/2007/QĐ-BTC ngày 26/10/2007 của Bộ trưởng Bộ Tài chính", đồng thời bãi bỏ Quyết định này. - Lý do bổ sung: Việc bổ sung nội dung thuộc Quyết định số 990/QĐ-KBNN ngày 24/11/2008 vào dự thảo Thông tư nhằm khắc phục chồng chéo, giao thoa về Hướng dẫn đăng ký, cấp và sử dụng mã số; Giúp các cơ quan, đơn vị, doanh nghiệp dễ dàng tra cứu, tiếp cận và áp dụng đúng quy định; Tránh tình trạng trùng lặp, lãng phí tài nguyên của hệ thống cấp mã số (ví dụ như trường hợp đơn vị mở tài khoản giao dịch tại Kho bạc Nhà nước cũng là đơn vị có quan hệ khác với ngân sách được cấp 2 mã với đầu số N=9 và N=3); Đẩy mạnh sử dụng dịch vụ công trực tuyến đối với việc đăng ký, cấp và sử dụng mã với đầu số N=9.</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một phần. Về đề nghị đưa nội dung Quyết định số 990/QĐ-KBNN vào Thông tư và bãi bỏ Quyết định này: nội dung thuộc phạm vi rà soát, xử lý của cơ quan ban hành văn bản, không thuộc thẩm quyền của Thông tư. Về vướng mắc một đơn vị được cấp hai mã số với đầu mã N = 9 và N = 3 mà đơn vị nêu: Cục CNTT ghi nhận và sẽ bổ sung cơ chế tra cứu, đối chiếu trên Nền tảng số cấp mã số ĐVQHNS trước khi cấp mã đầu N = 9, bảo đảm nguyên tắc mỗi đơn vị chỉ được cấp một mã số duy nhất quy định tại khoản 5 Điều 4.</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20</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Cao Bằng</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Điều 3, đề nghị bổ sung giải thích thuật ngữ đơn vị dự toán cấp 1, cấp 2, cấp 3, cấp 4 để thuận lợi trong quá trình các đơn vị điền tờ khai đăng ký mã Quan hệ ngân sách.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Trong Dự thảo thông tư chỉ nhắc đến thuật ngữ đơn vị dự toán, mà thuật ngữ này đã được giải thích trong Luật ngân sách nhà nước nên Dự thảo thông tư sẽ không giải thích lại để tránh chồng chéo về khái niệm.</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Tại khoản 7, Điều 4 đề nghị chuyển nhiệm vụ "Cơ quan Tài chính, Kho bạc các cấp chịu trách nhiệm cập nhật mã số ĐVQHNS vào hệ thống kiểm soát, thanh toán và chi trả ngân sách Nhà nước. Thống nhất việc trao đổi, sử dụng thông tin về ngân sách Nhà nước trong toàn ngành Tài chính" thành nhiệm vụ của Bộ Tài chính (Cục Công nghệ thông tin và chuyển đổi số). Cụ thể: Bộ Tài chính (Cục Công nghệ thông tin và Chuyển đổi số) chịu trách nhiệm quản lý, cập nhật, đồng bộ mã số ĐVQHNS trong các hệ thống thông tin phục vụ quản lý, kiểm soát, thanh toán và tổng hợp thông tin ngân sách nhà nước; bảo đảm việc kết nối, trao đổi, chia sẻ, khai thác và sử dụng thống nhất thông tin về ngân sách nhà nước trong ngành Tài chính.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Khoản 7 Điều 4 đang quy định sử dụng mã số ĐVQHNS, do đó có các đơn vị liên quan đến việc sử dụng mã số ĐVQHNS (cập nhật mã số ĐVQHNS cũng là sử dụng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21</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Hồ Chí Minh</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Ngày 28/10/2025, Sở Tài chính đã có Công văn số 10874/STC-CNTT về việc đánh giá tình hình thực hiện và đề xuất sửa đổi, bổ sung Thông tư số 185/2015/TT-BTC. Trong đó, Sở Tài chính Thành phố Hồ Chí Minh đề xuất sửa đổi, bổ sung một số nội dung đối với Thông tư 185/2025/TT-BTC nhưng chưa được ghi nhận, Sở Tài chính Thành phố Hồ Chí Minh gửi lại ý kiến, kính mong Cục Công nghệ thông tin và Chuyển đổi số xem xét: (- Đối với điểm b Khoản 1 Điều 8 Chương II Thông tư số 185/2025/TTBTC: "b) Bảng thống kê đơn vị đề nghị cấp mã số ĐVQHNS (dùng cho đơn vị sử dụng ngân sách, đơn vị dự toán) theo mẫu số 07-MSNS-BTC tại Phụ lục kèm theo Thông tư này được xác nhận thông tin bởi cơ quan chủ quản hoặc bản sao hợp lệ văn bản thành lập đơn vị". Ý kiến của Sở Tài chính: đề nghị điều chỉnh cụm từ bản sao hợp lệ văn bản thành lập đơn vị thành Quyết định thành lập đơn vị. - Đối với điểm b Khoản 2 Điều 8 Chương II Thông tư số 185/2025/TTBTC: "b) Bản sao hợp lệ các giấy tờ sau đây: - Văn bản thành lập đơn vị; - Các văn bản của cơ quan Nhà nước có thẩm quyền giao nhiệm vụ, kinh phí cho đơn vị". Ý kiến của Sở Tài chính: do trên địa bàn Thành phố Hồ Chí Minh có các chương trình vay kích cầu và ngân sách nhà nước hỗ trợ lãi vay nên đề nghị bổ sung Giấy chứng nhận đăng ký doanh nghiệp đối với Công ty Cổ phần hay Công ty TNHH khi đăng ký cấp mã số ĐVQHNS. - Đối với điểm a Khoản 3 Điều 8 Chương II Thông tư số 185/2025/TTBTC: "Tờ khai đăng ký mã số ĐVQHNS dùng cho các dự án đầu tư ở giai đoạn chuẩn bị đầu tư theo mẫu số 02-MSNS-BTC tại Phụ lục kèm theo Thông tư này". Ý kiến của Sở Tài chính: + Đề nghị điều chỉnh nội dung tại Mục 6 Mẫu số 02-MSNS-BTC thành Quyết định phê duyệt chủ trương đầu tư hoặc Quyết định giao Kế hoạch vốn (trung hạn, hằng năm, điều chỉnh, bổ sung). + Đề nghị điều chỉnh nội dung tại Mục 6.5 mẫu số 02-MSNS-BTC thành Tổng mức đầu tư dự án. - Đối với điểm b Khoản 3 Điều 8 Chương II Thông tư số 185/2025/TTBTC: "b) Bản sao hợp lệ Quyết định hoặc Văn bản thông báo của cấp có thẩm quyền phê duyệt chủ trương đầu tư dự án". Ý kiến của Sở Tài chính: đề nghị điều chỉnh thành Quyết định phê duyệt chủ trương đầu tư, Quyết định giao kế hoạch vốn trung hạn, kế hoạch vốn hằng năm, kế hoạch điều chỉnh, bổ sung vốn. - Đối với điểm b Khoản 4 Điều 8 Chương II Thông tư số 185/2025/TT- BTC "b) Bản sao hợp lệ một trong các giấy tờ sau đây: - Quyết định đầu tư dự án; - Quyết định phê duyệt báo cáo kinh tế - kỹ thuật đối với các dự án chỉ lập báo cáo kinh tế - kỹ thuật; - Các quyết định điều chỉnh dự án (nếu có)". Ý kiến của Sở Tài chính: đề nghị điều chỉnh cụm từ Quyết định đầu tư dự án thành Quyết định phê duyệt dự án. Các ý kiến đề nghị điều chỉnh, bổ sung khác: - Đề nghị bổ sung hướng dẫn quy định cấp mã QHNS dành cho đối tượng là cá nhân hay hộ gia đình trong trường hợp ngân sách nhà nước chi trả theo các chương trình mục tiêu vay vốn thực hiện chuyển đổi cơ cấu nông nghiệp trên địa bàn. - Đề nghị bổ sung hướng dẫn quy định cấp mã cho các dự án thuộc lĩnh vực ODA, dự án quy hoạch, dự án PPP và mẫu tờ khai cho nhiệm vụ quy hoạch theo Công văn số 12873/BTC-ĐT ngày 25/10/2019 của Bộ Tài chính. - Đề nghị bổ sung hướng dẫn quy định cấp mã cho dự án đầu tư công cho dự án đặc biệt khẩn cấp. - Đề nghị điều chỉnh các biểu mẫu tờ khai với thông tin địa chỉ cắt bỏ thông tin tại Mục Quận/huyện cho phù hợp với bộ máy chính quyền địa phương 2 cấp. - Đề nghị điều chỉnh quy định về cắt giảm thời gian cấp mã số đối với hình thức trực tuyến từ 02 ngày xuống còn 01 ngày làm việc, hình thức trực tiếp từ 03 ngày làm việc xuống còn 02 ngày làm việc hoặc xem xét bỏ hình thức nộp trực tiếp)</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Các ý kiến của Sở Tài chính Hồ Chí Minh tạo Công văn số 10874/STC-CNTT về việc đánh giá tình hình thực hiện và đề xuất sửa đổi, bổ sung Thông tư số 185/2015/TT-BTC đã được Cục CNTT nghiên cứu đưa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Đối với các mẫu tờ khai đăng ký mã số mới cũng như tờ khai đăng ký mã số thay đổi, bổ sung thông tin đính kèm Dự thảo Thông tư, đề nghị thêm dấu sao () tại các mục bắt buộc nhập thông tin (tương tự trong Hệ thống Cấp mã số cho các đơn vị có quan hệ với ngân sách) để cá nhân, đơn vị nhập đầy đủ thông tin.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Các thông tin có trong tờ khai là bắt buộc nhập, trường hợp không bắt buộc thì trên tờ khai đã có chỉ dẫn là "(nếu có)"</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đơn vị soạn thảo kiểm tra một số lỗi đánh máy đối với Dự thảo Thông tư và các mẫu tờ khai.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 các lỗi đánh máy đối với Dự thảo Thông tư và các mẫu tờ khai.</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22</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Cà Mau</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Đề xuất bỏ điểm a, b khoản 2 Điều 7.</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Ý kiến này giống ý kiến của Cục Thuế, Cục CNTT đã giải trình.</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Hồ sơ đăng ký mã số ĐVQHNS được nộp cho Cơ quan Tài chính nơi cấp mã số theo phương thức: Nộp hồ sơ qua Nền tảng số (trực tuyến) cấp mã số ĐVQHNS.</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vào Dự thảo Thông tư: "Nộp hồ sơ trực tuyến qua Nền tảng số cấp mã số ĐVQHNS"</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Đề xuất sửa nội dung tại điểm b khoản 1 điều 8 thành "bản sao hợp lệ văn bản thành lập đơn vị".</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Nội dung điểm b khoản 1 Điều 8 đang là "bản sao hợp lệ văn bản thành lập đơn vị"</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Đề xuất sửa đổi nội dung khoản 1 Điều 11 thành "Trường hợp đơn vị có quan hệ với ngân sách nếu có thay đổi các chỉ tiêu đăng ký mã số ĐVQHNS như tên đơn vị, tên dự án, tên chủ đầu tư, địa chỉ đơn vị, địa chỉ chủ đầu tư, tên cơ quan chủ quản cấp trên thì đơn vị gửi Thông báo đến Cơ quan Tài chính nơi đã cấp mã số ĐVQHNS. Nội dung Thông báo thực hiện theo Mẫu số 06-MSNS-BTC tại Phụ lục kèm theo Thông tư này và văn bản của cấp thầm quyền về các chỉ tiêu thông tin thay đổi".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vào khoản 1</w:t>
            </w:r>
            <w:r w:rsidR="00274A06">
              <w:rPr>
                <w:sz w:val="23"/>
                <w:szCs w:val="23"/>
              </w:rPr>
              <w:t>,2</w:t>
            </w:r>
            <w:r w:rsidRPr="00886647">
              <w:rPr>
                <w:sz w:val="23"/>
                <w:szCs w:val="23"/>
              </w:rPr>
              <w:t xml:space="preserve"> Điều 11 của Dự thảo thông tư (Trùng với ý kiến của Sở Tài chính Hưng Yên)</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Đề xuất bỏ phương thức nộp hồ sơ trực tiếp hoặc qua đường bưu chính do hiện nay tất cả các đơn vị đều có hệ thống mạng.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Ý kiến này giống ý kiến của Cục Thuế, Cục CNTT đã giải trình.</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23</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Sơn La</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Về việc quản lý quan hệ "cha - con" giữa các mã số (Điều 1) Khoản 1 Điều 1 dự thảo đã xác định phạm vi điều chỉnh bao gồm "quan hệ cha - con giữa các mã số", tuy nhiên nội dung này mới chỉ được phản ánh gián tiếp qua một số chỉ tiêu quản lý tại khoản 4 Điều 5 ("đơn vị cấp trên quản lý trực tiếp", "dự án cấp trên (nếu có)", "dự án tổng thể") và qua quy định về mã số chung tại khoản 5 Điều 15, mà chưa có điều, khoản nào quy định nguyên tắc, trình tự thiết lập, thay đổi, chấm dứt quan hệ cha - con. Đề nghị bổ sung một điều quy định cụ thể về: đối tượng thiết lập quan hệ cha - con (đơn vị dự toán cấp trên với đơn vị sử dụng ngân sách trực thuộc; dự án tổng thể với dự án thành phần; nhiệm vụ chuẩn bị đầu tư với dự án được phê duyệt); thời điểm thiết lập, thay đổi, chấm dứt; trách nhiệm cập nhật khi sắp xếp tổ chức bộ máy; và nguyên tắc không đóng mã số cấp trên khi vẫn còn mã số cấp dưới đang hiệu lực.</w:t>
            </w:r>
          </w:p>
        </w:tc>
        <w:tc>
          <w:tcPr>
            <w:tcW w:w="4440" w:type="dxa"/>
            <w:shd w:val="clear" w:color="auto" w:fill="auto"/>
            <w:tcMar>
              <w:top w:w="70" w:type="dxa"/>
              <w:left w:w="90" w:type="dxa"/>
              <w:bottom w:w="70" w:type="dxa"/>
              <w:right w:w="90" w:type="dxa"/>
            </w:tcMar>
          </w:tcPr>
          <w:p w:rsidR="00BC4C60" w:rsidRPr="00886647" w:rsidRDefault="009566A8" w:rsidP="00465F53">
            <w:pPr>
              <w:spacing w:after="40" w:line="276" w:lineRule="auto"/>
              <w:jc w:val="both"/>
            </w:pPr>
            <w:r w:rsidRPr="00886647">
              <w:rPr>
                <w:sz w:val="23"/>
                <w:szCs w:val="23"/>
              </w:rPr>
              <w:t>Tiếp thu ý kiến một phần, Việc thiết lập quan hệ cha-con được hướng dẫn cụ thể tại Điều 15 của Dự thảo thông tư đối với các trường hợp có liên kết cha -- con. Cục CNTT đã chỉnh sửa quy định về việc đóng mã số ĐVQHNS</w:t>
            </w:r>
            <w:r w:rsidR="00465F53">
              <w:rPr>
                <w:sz w:val="23"/>
                <w:szCs w:val="23"/>
              </w:rPr>
              <w:t xml:space="preserve"> tại Điều 13.</w:t>
            </w:r>
            <w:r w:rsidRPr="00886647">
              <w:rPr>
                <w:sz w:val="23"/>
                <w:szCs w:val="23"/>
              </w:rPr>
              <w:t xml:space="preserve"> </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cụm từ "Kho bạc Nhà nước đồng cấp", "Cơ quan Tài chính đồng cấp" Các khoản 2, 3 Điều 13; điểm d khoản 1 Điều 23 và các điểm c, d, đ khoản 1 Điều 24 vẫn sử dụng cụm từ "đồng cấp". Trong mô hình chính quyền địa phương 02 cấp, Kho bạc Nhà nước được tổ chức theo khu vực, không còn tương ứng theo cấp ngân sách; một Kho bạc Nhà nước khu vực có thể phục vụ nhiều tỉnh và không còn Kho bạc Nhà nước cấp huyện. Do đó khái niệm "đồng cấp" không còn xác định được chủ thể cụ thể. Ngay trong dự thảo cũng đã có sự thiếu thống nhất: khoản 1 Điều 27 sử dụng đúng cụm từ "Giám đốc Kho bạc Nhà nước khu vực", trong khi các điều khoản nghiệp vụ nêu trên vẫn giữ cụm từ "đồng cấp" của Thông tư số 185/2015/TT-BTC. Đề nghị thay bằng "Kho bạc Nhà nước khu vực nơi đơn vị mở tài khoản giao dịch" và "Sở Tài chính tỉnh, thành phố trực thuộc Trung ương đang quản lý mã số ĐVQHNS của đơn vị".</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rà soát toàn bộ dự thảo, thay cụm từ “đồng cấp”, “cùng cấp” bằng “Cơ quan Tài chính nơi cấp mã số ĐVQHNS” và “Kho bạc Nhà nước nơi đơn vị mở tài khoản giao dịch”; đồng thời chuẩn hóa tên gọi “Kho bạc Nhà nước” thay cho “Cơ quan Kho bạc Nhà nước” và khôi phục cụm “Giám đốc Kho bạc Nhà nước khu vực” tại khoản 4 Điều 26.</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đóng mã số đối với đơn vị không giao dịch trong 02 năm liên tiếp (khoản 2 Điều 13) Quy định rà soát, đóng mã số theo Bảng thống kê của Kho bạc Nhà nước là cần thiết, song tiềm ẩn rủi ro đóng nhầm đối với các dự án ODA, dự án chậm tiến độ chưa được bố trí vốn, hoặc đơn vị mới kiện toàn sau sắp xếp tổ chức bộ máy. Đề nghị bổ sung: trước khi đóng mã số, Cơ quan Tài chính thông báo cho đơn vị và cơ quan chủ quản qua Nền tảng số; sau 15 ngày làm việc kể từ ngày thông báo mà không có ý kiến phản hồi thì thực hiện đóng mã số. Đồng thời bổ sung quy định và mẫu văn bản để đơn vị, chủ đầu tư chủ động đề nghị đóng mã số khi đã hoàn thành, quyết toán nhiệm vụ, dự án.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lý Điều 13 theo đúng hai đề nghị của đơn vị: (i) bổ sung điểm c khoản 5 Điều 13 — trước khi đóng mã số theo kết quả rà soát hằng năm, Cơ quan Tài chính gửi thông báo đến đơn vị và cơ quan chủ quản qua Nền tảng số; sau 15 ngày làm việc kể từ ngày gửi thông báo mà không nhận được ý kiến phản hồi thì mới thực hiện đóng mã số; (ii) bổ sung khoản 4 Điều 13 và Mẫu số 10-MSNS-BTC để đơn vị, chủ đầu tư chủ động đề nghị đóng mã số khi đã hoàn thành, quyết toán nhiệm vụ, dự án.</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Về kế thừa dữ liệu từ Hệ thống thông tin và cơ sở dữ liệu quốc gia về đầu tư công (Điều 4, khoản 3 Điều 8) Sở Tài chính nhất trí với chủ trương không yêu cầu chủ đầu tư kê khai lại thông tin đã có trên hệ thống quốc gia. Tuy nhiên dự thảo chưa quy định: chuẩn kết nối, tần suất đồng bộ dữ liệu; cơ quan chịu trách nhiệm về tính chính xác của dữ liệu được kế thừa; cách xử lý khi dữ liệu trên hệ thống thiếu, chưa cập nhật hoặc khác với hồ sơ do chủ đầu tư cung cấp; và thời điểm hoàn thành kết nối. Đề nghị bổ sung các nội dung nêu trên và quy định rõ nguyên tắc: trong thời gian chưa hoàn thành kết nối, Cơ quan Tài chính tiếp nhận, giải quyết hồ sơ theo quy định tại Điều 8 để không làm gián đoạn việc cấp mã số.</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Phạm vi của Thông tư này tập trung quy định về nghiệp vụ, hồ sơ, trình tự cấp mã số ĐVQHNS, không quy định chi tiết về chuẩn kết nối kỹ thuật công nghệ thông tin, tần suất đồng bộ hay quy hoạch hạ tầng cơ sở dữ liệu (các nội dung này thuộc thẩm quyền quy định tại các văn bản về hạ tầng kỹ thuật, quy chế vận hành hệ thống phần mềm dùng chung của Bộ Tài chính).</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Về phân quyền tiếp nhận, nhập hồ sơ cho cấp xã (khoản 6 Điều 15) Đây là quy định rất cần thiết đối với các tỉnh miền núi có số lượng đơn vị hành chính cấp xã lớn (tỉnh Sơn La hiện có 75 xã, phường). Đề nghị hoàn thiện theo hướng: (i) mở rộng phạm vi phân quyền cho cả hồ sơ của đơn vị dự toán, đơn vị sử dụng ngân sách thuộc ngân sách cấp xã, không chỉ giới hạn ở nhiệm vụ, dự án đầu tư; (ii) ghi rõ tên cơ quan chuyên môn thuộc Ủy ban nhân dân cấp xã theo quy định hiện hành về tổ chức cơ quan chuyên môn, thay cho cụm từ "phòng chuyên môn thuộc Ủy ban nhân dân cấp xã"; (iii) quy định rõ nguyên tắc trách nhiệm: cấp xã chịu trách nhiệm về tính đầy đủ, chính xác của dữ liệu nhập, Sở Tài chính chịu trách nhiệm kiểm tra, phê duyệt và cấp mã số; (iv) quy định về cấp, thu hồi tài khoản và lưu vết thao tác của người dùng cấp xã trên Nền tảng số.</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giữ và hoàn thiện quy định phân quyền tại khoản 8 Điều 15 theo cả bốn nội dung đơn vị đề nghị: (i) mở rộng phạm vi phân quyền cho hồ sơ của đơn vị, nhiệm vụ, dự án đầu tư thuộc ngân sách cấp xã; (ii) sử dụng cụm từ “cơ quan chuyên môn thuộc Ủy ban nhân dân cấp xã”; (iii) quy </w:t>
            </w:r>
            <w:r w:rsidR="00CD2CF4">
              <w:rPr>
                <w:sz w:val="23"/>
                <w:szCs w:val="23"/>
              </w:rPr>
              <w:t>định rõ nguyên tắc trách nhiệm -</w:t>
            </w:r>
            <w:r w:rsidRPr="00886647">
              <w:rPr>
                <w:sz w:val="23"/>
                <w:szCs w:val="23"/>
              </w:rPr>
              <w:t xml:space="preserve"> cơ quan chuyên môn cấp xã chịu trách nhiệm về tính đầy đủ, chính xác của dữ liệu đã nhập, Sở Tài chính kiểm tra, đối chiếu và cấp mã số; thời điểm cấp xã tiếp nhận hồ sơ là thời điểm tiếp nhận của Sở Tài chính; (iv) dẫn chiếu việc cấp, thu hồi tài khoản và lưu vết thao tác của người sử dụng cấp xã thực hiện theo Điều 17.</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6. Về cấp mã số cho dự án đầu tư có nhiều dự án thành phần (khoản 5 Điều 15) - vướng mắc thực tiễn cần được xử lý dứt điểm Đây là nội dung Sở Tài chính tỉnh Sơn La đề nghị Bộ Tài chính đặc biệt quan tâm, vì đã phát sinh vướng mắc kéo dài trong thực tiễn và dự thảo hiện chưa xử lý được. a) Thực tiễn tại tỉnh Sơn La: Thực hiện Quyết định số 666/QĐ-TTg ngày 31/5/2018 của Thủ tướng Chính phủ về phê duyệt Đề án ổn định dân cư, phát triển kinh tế - xã hội vùng tái định cư thủy điện Sơn La, căn cứ khoản 5 Điều 15 Thông tư số 185/2015/TT-BTC, Sở Tài chính đã cấp 01 mã số dự án chung là 7979232 (tổng mức đầu tư 842 tỷ đồng, dự án nhóm B) và 04 mã số dự án thành phần là 8007241, 8008243, 8027375, 8030603 cho các chủ đầu tư trực thuộc. Quá trình theo dõi, giải ngân, thanh toán và quyết toán đã phát sinh vướng mắc trong phối hợp giữa cơ quan tài chính và Kho bạc Nhà nước, Sở Tài chính đã phải có văn bản đề nghị Kho bạc Nhà nước tỉnh Sơn La rà soát, cho ý kiến bằng văn bản về việc cấp và quản lý, sử dụng các mã số nêu trên. b) Nguyên nhân: Khoản 5 Điều 15 Thông tư số 185/2015/TT-BTC, được kế thừa tại khoản 5 Điều 15 dự thảo, quy định cấp 01 mã số chung cho dự án đầu tư và cấp mã số riêng cho từng dự án thành phần có quyết định đầu tư, dự toán riêng, nhưng chưa xác định rõ tính chất và phạm vi sử dụng của mã số chung: mã số chung chỉ là mã số phục vụ tổng hợp, theo dõi, hay đồng thời là mã số giao dịch của chủ đầu tư dự án tổng thể. Trên thực tế tại Đề án 666, mã số chung 7979232 vừa được xác định là mã số chung của dự án, vừa được chủ đầu tư sử dụng để thanh toán vốn qua Kho bạc Nhà nước; đồng thời 04 mã số dự án thành phần cũng được sử dụng để thanh toán. Hệ quả là cùng một dự án tồn tại 05 mã số đều phát sinh giao dịch, tổng mức đầu tư được kê khai trùng lặp giữa mã số chung và các mã số dự án thành phần, việc tổng hợp, đối chiếu số liệu giữa cơ quan tài chính và Kho bạc Nhà nước không thống nhất, phải trao đổi bằng văn bản để xử lý cho từng trường hợp cụ thể. c) Kiến nghị sửa đổi: Sở Tài chính tỉnh Sơn La đề xuất cơ quan soạn thảo bổ sung yêu cầu kê khai mã số chung khi đăng ký mã số cho dự án thành phần - đây là điểm tháo gỡ vướng mắc so với Thông tư số 185/2015/TT-BTC. Tuy nhiên quy định này mới giải quyết được việc liên kết dữ liệu, chưa xử lý được vướng mắc nêu trên. Đề nghị Bộ Tài chính nghiên cứu lựa chọn và quy định rõ thành điều khoản cụ thể theo một trong hai phương án: - Phương án 1 (Sở Tài chính đề nghị lựa chọn): Mã số chung là mã số tổng hợp, chỉ sử dụng để theo dõi, tổng hợp, báo cáo đối với toàn bộ dự án, không sử dụng để kiểm soát chi, hạch toán và thanh toán tại Kho bạc Nhà nước. Phần vốn do chủ đầu tư dự án tổng thể trực tiếp thực hiện được cấp 01 mã số dự án thành phần riêng để giao dịch. Phương án này bảo đảm nguyên tắc mỗi giao dịch chỉ gắn với một mã số dự án thành phần, số liệu tổng hợp không bị tính trùng. - Phương án 2: Cho phép mã số chung đồng thời là mã số giao dịch của chủ đầu tư dự án tổng thể, nhưng phải quy định rõ nguyên tắc kê khai tổng mức đầu tư và nguyên tắc tổng hợp số liệu để không tính trùng giữa mã số chung và các mã số dự án thành phần. Trong cả hai phương án, đề nghị bổ sung các nội dung sau: - Bổ sung tại Điều 3 giải thích thuật ngữ "mã số chung của dự án đầu tư" và "mã số dự án thành phần", gắn với thuộc tính sử dụng của từng loại mã số. - Tại khoản 4 Điều 5, nâng chỉ tiêu "dự án cấp trên" từ chỉ tiêu tùy chọn "(nếu có)" thành chỉ tiêu bắt buộc đối với dự án thành phần; bổ sung chỉ tiêu này cho nhiệm vụ chuẩn bị đầu tư và nhiệm vụ quy hoạch (hiện chưa có tại các điểm b, c khoản 4 Điều 5) và bổ sung chỉ tiêu "thuộc tính mã số: mã số tổng hợp hoặc mã số giao dịch"; đồng thời thể hiện các chỉ tiêu này trên Giấy chứng nhận mã số ĐVQHNS điện tử theo mẫu 05B-MSNS-BTC. - Quy định rõ nguyên tắc kê khai tổng mức đầu tư: mã số chung kê khai tổng mức đầu tư của toàn bộ dự án; mã số dự án thành phần kê khai tổng mức đầu tư của riêng dự án thành phần theo quyết định đầu tư hoặc quyết định giao vốn, để tránh trùng lặp khi tổng hợp số liệu đầu tư công. - Bổ sung vào Điều 24 trách nhiệm của Kho bạc Nhà nước trong việc tiếp nhận, sử dụng thống nhất mã số chung và mã số dự án thành phần theo đúng thuộc tính do Cơ quan Tài chính cấp; đồng bộ thuộc tính của mã số trên Hệ thống Dữ liệu chủ và Danh mục dùng chung ngành Tài chính, không yêu cầu chủ đầu tư đăng ký lại hoặc cấp thêm mã số khác cho cùng một dự án thành phần. - Về quy định "trường hợp mã số chung chưa được cấp thì việc cấp mã số cho dự án thành phần chỉ được thực hiện sau khi cấp mã số chung" tại khoản 5 Điều 15 dự thảo: thực tế nhiều dự án thành phần được phê duyệt và bố trí vốn trước khi hoàn thiện hồ sơ của dự án tổng thể. Đề nghị bổ sung cơ chế xử lý theo hướng Cơ quan Tài chính chủ động cấp mã số chung trên cơ sở quyết định phê duyệt dự án tổng thể do cơ quan chủ quản cung cấp, không để việc chưa có mã số chung làm chậm tiến độ giải ngân của dự án thành phần.</w:t>
            </w:r>
          </w:p>
        </w:tc>
        <w:tc>
          <w:tcPr>
            <w:tcW w:w="4440" w:type="dxa"/>
            <w:shd w:val="clear" w:color="auto" w:fill="auto"/>
            <w:tcMar>
              <w:top w:w="70" w:type="dxa"/>
              <w:left w:w="90" w:type="dxa"/>
              <w:bottom w:w="70" w:type="dxa"/>
              <w:right w:w="90" w:type="dxa"/>
            </w:tcMar>
          </w:tcPr>
          <w:p w:rsidR="00BC4C60" w:rsidRPr="00886647" w:rsidRDefault="009566A8" w:rsidP="00465F53">
            <w:pPr>
              <w:spacing w:after="40" w:line="276" w:lineRule="auto"/>
              <w:jc w:val="both"/>
            </w:pPr>
            <w:r w:rsidRPr="00886647">
              <w:rPr>
                <w:sz w:val="23"/>
                <w:szCs w:val="23"/>
              </w:rPr>
              <w:t xml:space="preserve">Tiếp thu ý kiến, - Về ý kiến trường hợp dự án đầu tư có nhiều dự án thành phần, tiểu dự án, Cục CNTT đã chỉnh sửa khoản </w:t>
            </w:r>
            <w:r w:rsidR="00465F53">
              <w:rPr>
                <w:sz w:val="23"/>
                <w:szCs w:val="23"/>
              </w:rPr>
              <w:t>4</w:t>
            </w:r>
            <w:r w:rsidRPr="00886647">
              <w:rPr>
                <w:sz w:val="23"/>
                <w:szCs w:val="23"/>
              </w:rPr>
              <w:t xml:space="preserve"> Điều 15  - Về nguyên tắc kê khai tổng mức đầu tư của dự án: đã hướng dẫn kê khai </w:t>
            </w:r>
            <w:r w:rsidR="00465F53">
              <w:rPr>
                <w:sz w:val="23"/>
                <w:szCs w:val="23"/>
              </w:rPr>
              <w:t>tại điểm đ khoản 4 Điều 15</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Bổ sung nguyên tắc đóng mã số tại Điều 13: chỉ đóng mã số chung sau khi toàn bộ mã số dự án thành phần đã hoàn thành quyết toán và được đóng.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và bổ sung tại khoản 3 Điều 13 của Dự thảo Thông tư như sau: "</w:t>
            </w:r>
            <w:r w:rsidR="00465F53" w:rsidRPr="00FF2EFD">
              <w:rPr>
                <w:color w:val="000000"/>
              </w:rPr>
              <w:t>3. Mã số ĐVQHNS là mã số ĐVQHNS cha chỉ được đóng khi toàn bộ các mã số ĐVQHNS con trực thuộc đã hoàn thành thủ tục đóng mã số ĐVQHNS hoặc không còn hiệu lực</w:t>
            </w:r>
            <w:r w:rsidR="00465F53">
              <w:rPr>
                <w:color w:val="000000"/>
              </w:rPr>
              <w:t>.”</w:t>
            </w:r>
            <w:r w:rsidR="00465F53" w:rsidRPr="00886647" w:rsidDel="00465F53">
              <w:rPr>
                <w:sz w:val="23"/>
                <w:szCs w:val="23"/>
              </w:rPr>
              <w:t xml:space="preserve"> </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Bổ sung quy định về xử lý mã số dự án khi thay đổi chủ đầu tư do sắp xếp tổ chức bộ máy (trường hợp chủ đầu tư là Ủy ban nhân dân cấp huyện trước đây nay chuyển giao cho cấp tỉnh hoặc cấp xã): giữ nguyên mã số đã cấp, Cơ quan Tài chính cập nhật thông tin chủ đầu tư và cấp lại Giấy chứng nhận, đơn vị không phải đăng ký mã số mới.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đã bổ sung khoản </w:t>
            </w:r>
            <w:r w:rsidR="00465F53">
              <w:rPr>
                <w:sz w:val="23"/>
                <w:szCs w:val="23"/>
              </w:rPr>
              <w:t>6</w:t>
            </w:r>
            <w:r w:rsidRPr="00886647">
              <w:rPr>
                <w:sz w:val="23"/>
                <w:szCs w:val="23"/>
              </w:rPr>
              <w:t xml:space="preserve"> Điêu 15 của Dự thảo thông tư để hướng dẫn cho trường hợp này.</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7. Về sự thiếu thống nhất giữa quy trình hồ sơ giấy và hồ sơ trực tuyến (Điều 9, Điều 10, Điều 19) Dự thảo quy định hai thời hạn cấp mã khác nhau (02 ngày làm việc đối với hồ sơ nộp trực tiếp, qua bưu chính và 01 ngày làm việc đối với hồ sơ trực tuyến). Bên cạnh đó, khoản 1 Điều 9 quy định "đề nghị đơn vị bổ sung hồ sơ trong thời hạn 03 (ba) ngày làm việc kể từ ngày tiếp nhận hồ sơ" chưa rõ đây là thời hạn của Cơ quan Tài chính hay của đơn vị, và chưa quy định hậu quả pháp lý nếu đơn vị không bổ sung, trong khi khoản 2 Điều 19 đã quy định rõ hồ sơ không còn hiệu lực. Đề nghị chỉnh lý thống nhất: 03 ngày làm việc là thời hạn để đơn vị bổ sung hồ sơ, quá thời hạn thì hồ sơ không còn hiệu lực; đồng thời áp dụng thống nhất thời hạn cấp mã 01 ngày làm việc cho cả hai phương thức, vì bản chất việc phê duyệt đều được thực hiện trên cùng một Nền tảng số.</w:t>
            </w:r>
          </w:p>
        </w:tc>
        <w:tc>
          <w:tcPr>
            <w:tcW w:w="4440" w:type="dxa"/>
            <w:shd w:val="clear" w:color="auto" w:fill="auto"/>
            <w:tcMar>
              <w:top w:w="70" w:type="dxa"/>
              <w:left w:w="90" w:type="dxa"/>
              <w:bottom w:w="70" w:type="dxa"/>
              <w:right w:w="90" w:type="dxa"/>
            </w:tcMar>
          </w:tcPr>
          <w:p w:rsidR="00BC4C60" w:rsidRPr="00886647" w:rsidRDefault="009566A8" w:rsidP="00465F53">
            <w:pPr>
              <w:spacing w:after="40" w:line="276" w:lineRule="auto"/>
              <w:jc w:val="both"/>
            </w:pPr>
            <w:r w:rsidRPr="00886647">
              <w:rPr>
                <w:sz w:val="23"/>
                <w:szCs w:val="23"/>
              </w:rPr>
              <w:t xml:space="preserve">Tiếp thu ý kiến, Cục CNTT đã chỉnh sửa vào </w:t>
            </w:r>
            <w:r w:rsidR="00465F53">
              <w:rPr>
                <w:sz w:val="23"/>
                <w:szCs w:val="23"/>
              </w:rPr>
              <w:t xml:space="preserve">điểm b </w:t>
            </w:r>
            <w:r w:rsidRPr="00886647">
              <w:rPr>
                <w:sz w:val="23"/>
                <w:szCs w:val="23"/>
              </w:rPr>
              <w:t>khoản 1 Điều 9: "</w:t>
            </w:r>
            <w:r w:rsidR="00465F53" w:rsidRPr="00FF2EFD">
              <w:rPr>
                <w:bCs/>
                <w:iCs/>
                <w:color w:val="000000"/>
                <w:kern w:val="2"/>
                <w:lang w:val="vi-VN"/>
              </w:rPr>
              <w:t>b) Trường hợp hồ sơ hợp lệ nhưng chưa đầy đủ, Cơ quan Tài chính tiếp nhận hồ sơ và gửi người nộp hồ sơ Giấy biên nhận hồ sơ đăng ký mã số ĐVQHNS theo Mẫu số 09-MSNS-BTC tại Phụ lục kèm theo Thông tư này, trong đó nêu rõ các giấy tờ còn thiếu và đề nghị đơn vị bổ sung. Trong thời hạn 03 (ba) ngày làm việc kể từ ngày nhận được Giấy biên nhận, đơn vị không bổ sung đầy đủ hồ sơ thì hồ sơ đăng ký mã số ĐVQHNS không còn hiệu lực</w:t>
            </w:r>
            <w:r w:rsidR="00465F53">
              <w:rPr>
                <w:bCs/>
                <w:iCs/>
                <w:color w:val="000000"/>
                <w:kern w:val="2"/>
              </w:rPr>
              <w:t>;”</w:t>
            </w:r>
            <w:r w:rsidRPr="00886647">
              <w:rPr>
                <w:sz w:val="23"/>
                <w:szCs w:val="23"/>
              </w:rPr>
              <w:t>.</w:t>
            </w:r>
            <w:r w:rsidR="00465F53">
              <w:rPr>
                <w:sz w:val="23"/>
                <w:szCs w:val="23"/>
              </w:rPr>
              <w:t xml:space="preserve"> Về thời hạn cấp mã, Cục CNTT đã cập nhật vào dự thảo đồng nhất thời gian cấp mã số ĐVQHNS là 02 (hai) ngày làm việc, cụ thể tại khoản 1 Điều 10, khoản 4 Điều 19.</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8. Về điều khoản chuyển tiếp (Điều 25) Đề nghị bổ sung ba nội dung: (i) xử lý đối với hồ sơ đã tiếp nhận nhưng chưa cấp mã số tại thời điểm Thông tư có hiệu lực; (ii) việc rà soát, phân loại lại các mã số đã cấp cho "dự án đầu tư" theo các nhóm mới (dự án ODA, dự án PPP, dự án đầu tư công khác, nhiệm vụ chuẩn bị đầu tư, nhiệm vụ quy hoạch) do Cơ quan Tài chính chủ động thực hiện trên Nền tảng số, đơn vị không phải làm thủ tục và không thay đổi mã số đã cấp; (iii) xác định thời điểm Nền tảng số cấp mã số ĐVQHNS chính thức vận hành; trước thời điểm đó tiếp tục thực hiện trên phần mềm hiện hành, tránh khoảng trống trong việc thi hành Chương III.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một phần. (i) Về xử lý hồ sơ đã tiếp nhận nhưng chưa cấp mã số tại thời điểm Thông tư có hiệu lực: đã bổ sung khoản 3 Điều 25 — hồ sơ đã được tiếp nhận trước ngày Thông tư có hiệu lực được tiếp tục giải quyết theo quy định tại thời điểm tiếp nhận. (ii) Về rà soát, phân loại lại các mã số đã cấp cho dự án đầu tư theo các nhóm mới: Cục CNTT ghi nhận, việc này được thực hiện bằng nghiệp vụ trên Nền tảng số do Cơ quan Tài chính chủ động thực hiện, đơn vị không phải làm thủ tục và mã số đã cấp không thay đổi; không quy định tại Thông tư để tránh phát sinh thủ tục. (iii) Về xác định thời điểm Nền tảng số chính thức vận hành: thời điểm Thông tư có hiệu lực được xác định bảo đảm Nền tảng số sẵn sàng vận hành; trong thời gian Nền tảng số gặp sự cố, Điều 20 đã quy định cơ chế chuyển sang phương thức nộp trực tiếp hoặc qua đường bưu chính và không tính thời gian sự cố vào các thời hạn giải quyết hồ sơ.</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Bộ Tài chính bổ sung Nghị định số 73/2026/NĐ-CP của Chính phủ quy định chi tiết thi hành một số điều của Luật Ngân sách nhà nước vào phần căn cứ ban hành Thông tư, bảo đảm đồng bộ với Thông tư số 26/2026/TT-BTC.</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bổ sung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công bố sớm tài liệu kỹ thuật về chuẩn kết nối, giao diện lập trình ứng dụng (API) của Nền tảng số cấp mã số ĐVQHNS để địa phương chủ động tích hợp với các hệ thống thông tin quản lý ngân sách của tỉnh và Kho dữ liệu dùng chung, Cổng dữ liệu mở của tỉnh.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sẽ công bố trong quá trình thực hiện kết nối, chia sẻ dữ liệu với địa phương.</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tổ chức tập huấn nghiệp vụ cho Sở Tài chính và công chức làm công tác tài chính - ngân sách cấp xã trước thời điểm Thông tư có hiệu lực ít nhất 30 ngày; đồng thời bố trí kênh hỗ trợ kỹ thuật thường trực và phương án dự phòng khi xảy ra sự cố theo quy định tại Điều 20 dự thảo.</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Khi triển khai Nền tảng số cấp mã số ĐVQHNS, Cục CNTT đã phối hợp với nhà thầu triển khai tổ chức tập huấn cho đơn vị, cũng như có thông tin về kênh hỗ trợ kỹ thuật.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nghị quy định thời điểm có hiệu lực của Thông tư trùng với thời điểm bắt đầu năm ngân sách để thuận lợi cho công tác lập, phân bổ và quyết toán ngân sách.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Thời điểm hiệu lực của Thông tư tuân thủ theo quy định tại Điều 43 Luật ban hành văn bản quy phạm pháp luật số 64/2025/QH15.</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24</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Điện Biên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Tại khoản 1 Điều 1 dự thảo Thông tư: Nội dung dự thảo: "... quản lý, sử dụng mã số ĐVQHNS (bao gồm quan hệ cha-con giữa các mã số) ..." Đề nghị bổ sung quy định cụ thể về nguyên tắc xác lập, thay đổi, chấm dứt quan hệ cha-con giữa các mã số ĐVQHNS; thẩm quyền thực hiện; cách xử lý quan hệ cha-con khi đơn vị chia tách, sáp nhập, tổ chức lại và giữa dự án tổng thể với dự án thành phần; đồng thời quy định nguyên tắc kế thừa quan hệ đối với các mã số đã cấp trước ngày Thông tư có hiệu lực. Lý do: khoản 1 Điều 1 đã xác định quan hệ cha-con giữa các mã số thuộc phạm vi điều chỉnh của Thông tư, tuy nhiên dự thảo chưa quy định đầy đủ cơ chế xác lập, thay đổi và chấm dứt quan hệ này. Việc bổ sung quy định cụ thể sẽ bảo đảm thống nhất dữ liệu, thuận lợi cho theo dõi lịch sử tổ chức và tổng hợp, báo cáo.</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rà soát và chỉnh sửa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khoản 6 Điều 3 dự thảo Thông tư: Nội dung dự thảo: "Dự án đầu tư công khác là dự án đầu tư công không thuộc trường hợp quy định tại khoản 10 Điều này." Đề nghị sửa lại: "Dự án đầu tư công khác là dự án đầu tư công không thuộc trường hợp quy định tại khoản 5 Điều này." Lý do: Khoản 5 Điều 3 dự thảo Thông tư quy định về dự án sử dụng vốn hỗ trợ phát triển chính thức (ODA), vốn vay ưu đãi của nhà tài trợ nước ngoài; do đó, việc dẫn chiếu đến khoản 10 Điều 3 là không phù hợp với nội dung phân loại dự án đầu tư công tại Điều 3. Đề nghị sửa dẫn chiếu từ "khoản 10" thành "khoản 5" để bảo đảm chính xác, thống nhất và thuận lợi trong quá trình áp dụng.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rà soát và chỉnh sửa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25</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Đăk Lăk</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Tại khoản 2 Điều 7. Hồ sơ đăng ký mã số ĐVQHNS được nộp cho Cơ quan Tài chính nơi cấp mã số theo một trong ba phương thức sau: a) Nộp hồ sơ trực tiếp; b) Nộp hồ sơ qua đường bưu chính; Căn cứ các Chỉ thị số 27/CT-TTg ngày 27/10/2023 của Thủ tướng Chính phủ đã chỉ đạo tiếp tục đẩy mạnh các giải pháp nâng cao hiệu quả cung cấp và sử dụng dịch vụ công trực tuyến; quy trình để cung cấp 100% TTHC đủ điều kiện lên trực tuyến toàn trình; Quyết định số 01024/QĐ-UBND ngày 25/08/2025 của UBND tỉnh Đắk Lắk yêu cầu 100% các sở, ban, ngành, UBND cấp xã tổ chức thực hiện hiệu quả, hướng dẫn triệt để người dân, doanh nghiệp nộp hồ sơ trực tuyến. Sở Tài chính tỉnh Đắk Lắk yêu cầu không nộp hồ sơ trực tuyến và qua đường bưu chính.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Cục CNTT ghi nhận và đánh giá cao tinh thần cải cách hành chính, đẩy mạnh chuyển đổi số theo góp ý. Tuy nhiên, việc dự thảo vẫn duy trì song song ba phương thức nộp hồ sơ (trực tiếp, bưu chính và qua nền tảng số) là xuất phát từ thực tiễn quản lý và tính đặc thù của các đối tượng sử dụng mã số ĐVQHNS trên toàn quốc, cụ thể: - Đảm bảo tính linh hoạt và khả thi: Đối tượng được cấp mã số ĐVQHNS rất đa dạng (từ các cơ quan nhà nước, đơn vị sự nghiệp lớn ở trung ương, địa phương cho đến các dự án đầu tư công, tiểu dự án, dự án PPP ở vùng sâu, vùng xa, vùng có điều kiện kinh tế - xã hội khó khăn). Ở một số địa bàn hoặc giai đoạn, năng lực hạ tầng công nghệ thông tin hoặc khả năng tiếp cận nền tảng số của người nộp hồ sơ vẫn còn hạn chế. Việc duy trì phương thức trực tiếp và qua đường bưu chính là phương án dự phòng thiết yếu để không làm gián đoạn việc đăng ký, cấp mã số ĐVQHNS của các đơn vị. - Phù hợp với lộ trình chuyển đổi số toàn diện: Việc đưa "Nền tảng số cấp mã số ĐVQHNS" vào làm một phương thức nộp hồ sơ chính thức trong dự thảo đã thể hiện rõ định hướng ưu tiên chuyển đổi số. Tuy nhiên, theo thông lệ cải cách hành chính, việc chuyển đổi từ phương thức truyền thống sang hoàn toàn trực tuyến cần có bước chuyển tiếp (lộ trình) để người dân và các đơn vị quen thuộc với hệ thống mới. Vì các lý do trên, Cục CNTT đề xuất giữ nguyên các phương thức nộp như Dự thảo thông tư để tạo thuận lợi tối đa cho người nộp, đồng thời khuyến khích các đơn vị ưu tiên thực hiện qua nền tảng số trong quá trình triển khai.</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Tại Khoản 4 Điều 9. Tiếp nhận, xử lý hồ sơ đăng ký mã số đơn vị có quan hệ với ngân sách "Trường hợp đơn vị đăng ký mã số ĐVQHNS không có hệ thống mạng để nhận kết quả cấp Giấy chứng nhận mã số ĐVQHNS điện tử, cơ quan Tài chính có trách nhiệm hỗ trợ in Giấy chứng nhận mã số ĐVQHNS điện tử để gửi đơn vị tại nơi tiếp nhận hồ sơ hoặc gửi qua đường bưu chính cho đơn vị". Đơn vị nhận kết quả giấy chứng nhận mã số ĐVQHNS là các cơ quan nhà nước, tuy nhiên hiện nay 100% các cơ quan nhà nước đã được trang bị máy tính, mạng Internet, do đó cơ quan tài chính không có trách nhiệm hỗ trợ in giấy chúng nhận gửi qua đường bưu chính (trừ trường hợp giấy chứng nhận mã số ĐVQHNS trước đây bị thất lạc).</w:t>
            </w:r>
          </w:p>
        </w:tc>
        <w:tc>
          <w:tcPr>
            <w:tcW w:w="4440" w:type="dxa"/>
            <w:shd w:val="clear" w:color="auto" w:fill="auto"/>
            <w:tcMar>
              <w:top w:w="70" w:type="dxa"/>
              <w:left w:w="90" w:type="dxa"/>
              <w:bottom w:w="70" w:type="dxa"/>
              <w:right w:w="90" w:type="dxa"/>
            </w:tcMar>
          </w:tcPr>
          <w:p w:rsidR="00BC4C60" w:rsidRPr="00886647" w:rsidRDefault="009566A8" w:rsidP="00DE2E23">
            <w:pPr>
              <w:spacing w:after="40" w:line="276" w:lineRule="auto"/>
              <w:jc w:val="both"/>
            </w:pPr>
            <w:r w:rsidRPr="00886647">
              <w:rPr>
                <w:sz w:val="23"/>
                <w:szCs w:val="23"/>
              </w:rPr>
              <w:t>Tiếp thu ý kiến, Cục CNTT đã rà soát và lược bỏ quy định tại Điều 9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Tại Khoản 1 Điều 10. Thời hạn cấp và gửi thông báo cấp Giấy chứng nhận mã số đơn vị có quan hệ với ngân sách điện tử "Thời hạn Cơ quan Tài chính cấp mã số ĐVHQNS và gửi thông báo cấp Giấy chứng nhận mã số ĐVQHNS điện tử cho đơn vị là 02 (hai) ngày làm việc kể từ ngày nhận được hồ sơ đầy đủ, hợp lệ". Đề nghị xem xét lại thời gian lên 3 ngày làm việc (vì cùng thời điểm hồ sơ nộp từ các đơn vị cùng lúc, đơn vị không giải quyết kịp thời và trường hợp hệ thống mạng bị sự cố).</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Về thời hạn cấp mã số, Cục CNTT đã nghiên cứu và dựa trên ý kiến đề xuất của các đơn vị khi xây dựng tờ trình xây dựng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Tại Khoản 1 Điều 11. Đăng ký thay đổi thông tin về mã số đơn vị có quan hệ với ngân sách "Trường hợp đơn vị có quan hệ với ngân sách nếu có thay đổi các chỉ tiêu đăng ký mã số ĐVQHNS như tên đơn vị, tên dự án, tên chủ đầu tư, địa chỉ đơn vị, địa chỉ chủ đầu tư, tên cơ quan chủ quản cấp trên thì đơn vị gửi Thông báo đến Cơ quan Tài chính nơi đã cấp mã số ĐVQHNS. Nội dung Thông báo thực hiện theo Mẫu số 06-MSNS-BTC tại Phụ lục kèm theo Thông tư này". Yêu cầu bổ sung hồ sơ kèm theo là văn bản xác nhận thông tin cần thay đổi của cấp có thẩm quyền.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cập nhật vào khoản 1</w:t>
            </w:r>
            <w:r w:rsidR="00DE2E23">
              <w:rPr>
                <w:sz w:val="23"/>
                <w:szCs w:val="23"/>
              </w:rPr>
              <w:t>,2</w:t>
            </w:r>
            <w:r w:rsidRPr="00886647">
              <w:rPr>
                <w:sz w:val="23"/>
                <w:szCs w:val="23"/>
              </w:rPr>
              <w:t xml:space="preserve"> Điều 11 của Dự thảo Thông tư theo ý kiến của đơn vị.</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Tại Khoản 1 Điều 12. Đăng ký thông tin chuyển giai đoạn dự án đầu tư "Các dự án đầu tư chuyển từ giai đoạn chuẩn bị đầu tư sang giai đoạn thực hiện dự án: sau khi có quyết định của cấp có thẩm quyền phê duyệt dự án đầu tư chủ đầu tư lập hồ sơ đăng ký bổ sung thông tin chuyển giai đoạn dự án đầu tư để gửi Cơ quan Tài chính nơi cấp mã số ĐVQHNS. Hiện nay hầu hết các chủ đầu tư sử dụng mã số ĐVQHNS chuẩn bị đầu tư thay cho giai đoạn thực hiện. Yêu cầu bổ sung nội dung để ràng buộc chủ đầu tư phải thực hiện đăng ký thông tin chuyển giai đoạn chuẩn bị sang thực hiện.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bổ sung điểm d khoản 1 Điều 24 quy định một hành vi cụ thể của Kho bạc Nhà nước: khi phát hiện nhiệm vụ, dự án đầu tư đã được cấp có thẩm quyền quyết định chuyển giai đoạn nhưng đơn vị vẫn sử dụng mã số ĐVQHNS của giai đoạn trước, Kho bạc Nhà nước thông báo và yêu cầu đơn vị thực hiện đăng ký thông tin chuyển giai đoạn với Cơ quan Tài chính nơi cấp mã số ĐVQHNS. Đồng thời khoản 2 Điều 12 quy định thời hạn 10 ngày làm việc kể từ ngày văn bản phê duyệt dự án đầu tư có hiệu lực để chủ đầu tư thực hiện việc đăng ký.</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26</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Nghệ An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Về quản lý quan hệ "cha - con" giữa các mã số (Điều 1) Khoản 1 Điều 1 Dự thảo có đề cập "quan hệ cha - con giữa các mã số" nhưng chưa quy định cụ thể nguyên tắc và cách thức thiết lập, thay đổi, chấm dứt quan hệ này. Đề nghị cơ quan soạn thảo bổ sung quy định về: đối tượng, thời điểm thiết lập, thay đổi, chấm dứt quan hệ "cha - con"; trách nhiệm cập nhật khi sắp xếp tổ chức bộ máy và phương án xử lý quan hệ giữa các mã số khi mã số cấp trên chấm dứt hiệu lực, bảo đảm dữ liệu và lịch sử quan hệ quản lý ngân sách được liên tục, thống nhất.</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Về v</w:t>
            </w:r>
            <w:r w:rsidR="00C4687C">
              <w:rPr>
                <w:sz w:val="23"/>
                <w:szCs w:val="23"/>
              </w:rPr>
              <w:t>iệc thiết lập mối quan hệ cha -</w:t>
            </w:r>
            <w:r w:rsidRPr="00886647">
              <w:rPr>
                <w:sz w:val="23"/>
                <w:szCs w:val="23"/>
              </w:rPr>
              <w:t xml:space="preserve"> con giữa các mã số được hướng dẫn trong các tình huống cụ thể tại Điều 15. Tiếp thu ý kiến, Về trách nhiệm cập nhật khi sắp xếp tổ chức bộ máy: Cục CNTT đã bổ sung hướng dẫn tại khoản </w:t>
            </w:r>
            <w:r w:rsidR="00E91DC0">
              <w:rPr>
                <w:sz w:val="23"/>
                <w:szCs w:val="23"/>
              </w:rPr>
              <w:t>6</w:t>
            </w:r>
            <w:r w:rsidRPr="00886647">
              <w:rPr>
                <w:sz w:val="23"/>
                <w:szCs w:val="23"/>
              </w:rPr>
              <w:t xml:space="preserve"> Điều 15 của Dự thảo Thông tư. Về phương án xử lý quan hệ giữa các mã số khi mã số cấp trên chấm dứt hiệu lực: Cục CNTT đã bổ sung tại khoản 3 Điều 13 của Dự thảo thông tư: "</w:t>
            </w:r>
            <w:r w:rsidR="00E91DC0" w:rsidRPr="00FF2EFD">
              <w:rPr>
                <w:color w:val="000000"/>
              </w:rPr>
              <w:t>3. Mã số ĐVQHNS là mã số ĐVQHNS cha chỉ được đóng khi toàn bộ các mã số ĐVQHNS con trực thuộc đã hoàn thành thủ tục đóng mã số ĐVQHNS hoặc không còn hiệu lực</w:t>
            </w:r>
            <w:r w:rsidR="00E91DC0">
              <w:rPr>
                <w:color w:val="000000"/>
              </w:rPr>
              <w:t>.”</w:t>
            </w:r>
            <w:r w:rsidR="00E91DC0" w:rsidRPr="00886647" w:rsidDel="00E91DC0">
              <w:rPr>
                <w:sz w:val="23"/>
                <w:szCs w:val="23"/>
              </w:rPr>
              <w:t xml:space="preserve"> </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trách nhiệm của Kho bạc Nhà nước trong chuyển giai đoạn đầu tư Đề nghị cơ quan soạn thảo bổ sung trách nhiệm của Kho bạc Nhà nước trong quá trình kiểm soát chi đối với các dự án đã được cấp mã số ở giai đoạn chuẩn bị đầu tư; khi dự án được cấp có thẩm quyền phê duyệt báo cáo kinh tế kỹ thuật, phê duyệt dự án... Kho bạc Nhà nước phối hợp thực hiện hoặc hướng dẫn, yêu cầu đơn vị thực hiện thủ tục chuyển mã số từ giai đoạn chuẩn bị đầu tư sang giai đoạn thực hiện dự án, bảo đảm thông tin, số liệu và lịch sử giao dịch được liên tục, thống nhất.</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Ngoài nhiệm vụ kiểm soát thông tin mã số ĐVQHNS qua các giai đoạn của nhiệm vụ, dự án đầu tư tại điểm c khoản 1 Điều 24, Cục CNTT đã bổ sung điểm d khoản 1 Điều 24 quy định Kho bạc Nhà nước thông báo và yêu cầu đơn vị thực hiện đăng ký thông tin chuyển giai đoạn khi phát hiện dự án đã được quyết định chuyển giai đoạn nhưng vẫn sử dụng mã số của giai đoạn trước, bảo đảm thông tin, số liệu và lịch sử giao dịch được liên tục, thống nhất.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bảo đảm lịch sử thông tin sau khi sáp nhập, thay đổi đơn vị Đề nghị cơ quan soạn thảo làm rõ quy định về xử lý mã số đối với đơn vị sáp nhập, hợp nhất hoặc thay đổi thông tin. Trường hợp tiếp tục sử dụng mã số đã cấp, cần bảo đảm khi tra cứu vẫn hiển thị đầy đủ tên cũ, tên mới và lịch sử giao dịch của đơn vị trước và sau khi thay đổi, tránh tình trạng sau khi cập nhật thông tin chỉ hiển thị tên mới, không còn thông tin về tên cũ, gây khó khăn trong việc đối chiếu, kiểm tra và quyết toán các giao dịch phát sinh trước thời điểm sáp nhập, thay đổi.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Cục CNTT đã chỉnh lý khoản 4 Điều 11: </w:t>
            </w:r>
            <w:r w:rsidR="00A677D7" w:rsidRPr="00A677D7">
              <w:rPr>
                <w:sz w:val="23"/>
                <w:szCs w:val="23"/>
              </w:rPr>
              <w:t>Nền tảng số cấp mã số ĐVQHNS lưu trữ toàn bộ thông tin đăng ký trước khi thay đổi. Khi tra cứu mã số ĐVQHNS, Nền tảng số cấp mã số ĐVQHNS hiển thị đầy đủ thông tin hiện hành, thông tin trước khi thay đổi và thời điểm thay đổi, bảo đảm các cơ quan, đơn vị, tổ chức truy xuất được đầy đủ dữ liệu lịch sử của mã số ĐVQHNS</w:t>
            </w:r>
            <w:r w:rsidR="00F7757C" w:rsidRPr="00FF2EFD">
              <w:rPr>
                <w:bCs/>
                <w:color w:val="000000"/>
              </w:rPr>
              <w:t>.</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Đề nghị sửa một số thuật ngữ: - Khoản 5 Điều 3 dự thảo, đề nghị cơ quan soạn thảo sửa thành "Dự án sử dụng vốn hỗ trợ phát triển chính thức (ODA), vốn vay ưu đãi của nhà tài trợ nước ngoài (sau đây gọi là dự án ODA) là dự án sử dụng vốn ODA không hoàn lại, vốn vay ODA và vốn vay ưu đãi của nhà tài trợ nước ngoài để thực hiện các chương trình, dự án phát triển kinh tế - xã hội, được quản lý theo quy định về quản lý và sử dụng vốn ODA" đề phù hợp với khái niệm về vốn ODA, vốn vay ưu đãi được quy định tại khoản 18 Điều 3 Nghị định số 242/2025/NĐ-CP ngày 10/9/2025 của Chính phủ về quản lý và sử dụng vốn hỗ trợ phát triển chính thức (ODA) và vốn vay ưu đãi nước ngoài. - Khoản 7 Điều 3 dự thảo, đề nghị sửa thành "Nhiệm vụ chuẩn bị đầu tư là hoạt động để lập, thẩm định, quyết định chủ trương đầu tư; lập, thẩm định, quyết định đầu tư dự án" để phù hợp với quy định tại khoản 20 Điều 4 Luật Đầu tư công, được sửa đổi tại điểm d khoản 2 Điều 7 Luật số 90/2025/QH15. - Tại điểm e khoản 4 Điều 5 dự thảo, đề nghị cơ quan soạn thảo sửa "hình thức dự án" thành "hình thức đầu tư" để phù hợp với quy định về thông tin chung của dự án tại Nghị định số 85/2025/NĐ-CP ngày 08/4/2025 của Chính phủ quy định chi tiết thi hành một số điều của Luật Đầu tư công. - Tại điểm e khoản 4 Điều 5 dự thảo, đề nghị sửa "văn bản thông báo phê duyệt chủ trương đầu tư dự án (đối với dự án trong giai đoạn chuẩn bị đầu tư)" thành "văn bản giao nhiệm vụ chuẩn bị đầu tư hoặc Quyết định phê duyệt dự toán nhiệm vụ chuẩn bị đầu tư (đối với dự án trong giai đoạn chuẩn bị đầu tư)" do giai đoạn chuẩn bị đầu tư bao gồm hoạt động để lập, thẩm định, quyết định chủ trương đầu tư. - Đề nghị sửa "Quyết định hoặc Văn bản thông báo của cấp có thẩm quyền phê duyệt chủ trương đầu tư dự án" thành "Nghị quyết hoặc Quyết định phê duyệt chủ trương đầu tư dự án" để phù hợp với quy định của pháp luật về đầu tư công.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rà soát và điều chỉnh vào dự thảo theo ý kiến của đơn vị.</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Đề nghị bổ sung quy định chuyển tiếp theo hướng các mã số ĐVQHNS đã được cấp trước ngày Thông tư mới có hiệu lực tiếp tục được sử dụng, không phải đăng ký lại; đồng thời có phương án chuyển đổi, chuẩn hóa toàn bộ dữ liệu mã số hiện có sang hệ thống mới, bảo đảm không làm gián đoạn hoạt động giao dịch ngân sách, lập, phân bổ, chấp hành và quyết toán ngân sách của các đơn vị.</w:t>
            </w:r>
          </w:p>
        </w:tc>
        <w:tc>
          <w:tcPr>
            <w:tcW w:w="4440" w:type="dxa"/>
            <w:shd w:val="clear" w:color="auto" w:fill="auto"/>
            <w:tcMar>
              <w:top w:w="70" w:type="dxa"/>
              <w:left w:w="90" w:type="dxa"/>
              <w:bottom w:w="70" w:type="dxa"/>
              <w:right w:w="90" w:type="dxa"/>
            </w:tcMar>
          </w:tcPr>
          <w:p w:rsidR="00BC4C60" w:rsidRPr="00886647" w:rsidRDefault="009566A8" w:rsidP="00F7757C">
            <w:pPr>
              <w:spacing w:after="40" w:line="276" w:lineRule="auto"/>
              <w:jc w:val="both"/>
            </w:pPr>
            <w:r w:rsidRPr="00886647">
              <w:rPr>
                <w:sz w:val="23"/>
                <w:szCs w:val="23"/>
              </w:rPr>
              <w:t>Giải trình ý kiến, Nội dung này đã được quy định tại khoản 1</w:t>
            </w:r>
            <w:r w:rsidR="00F7757C">
              <w:rPr>
                <w:sz w:val="23"/>
                <w:szCs w:val="23"/>
              </w:rPr>
              <w:t>,2</w:t>
            </w:r>
            <w:r w:rsidRPr="00886647">
              <w:rPr>
                <w:sz w:val="23"/>
                <w:szCs w:val="23"/>
              </w:rPr>
              <w:t xml:space="preserve"> Điều 25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6. Đề nghị nghiên cứu quy định thời gian Thông tư có hiệu lực từ thời điểm bắt đầu năm ngân sách để thuận lợi cho công tác lập, phân bổ, chấp hành và quyết toán ngân sách.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Thời điểm hiệu lực của Thông tư tuân thủ theo quy định tại Điều 43 Luật ban hành văn bản quy phạm pháp luật số 64/2025/QH15. (Trùng với ý kiến của Sở Tài chính Sơn La)</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27</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Khánh Hòa</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1. Về bổ sung đối tượng cấp mã số ĐVQHNS đối với nhiệm vụ chuẩn bị đầu tư dự án Theo dự thảo Thông tư, đồng thời quy định cấp mã số ĐVQHNS đối với "nhiệm vụ chuẩn bị đầu tư" (là đối tượng mới được bổ sung so với Thông tư số 185/2015/TT-BTC) và "dự án đầu tư ở giai đoạn chuẩn bị đầu tư". Tại khoản 7 Điều 3 dự thảo quy định: "Nhiệm vụ chuẩn bị đầu tư là các hoạt động để lập đề xuất dự án đối với dự án sử dụng vốn ODA, vốn vay ưu đãi nước ngoài; lập, thẩm định, quyết định chủ trương đầu tư; lập, thẩm định, quyết định đầu tư dự án". Theo quy định tại khoản 20 Điều 4 Luật Đầu tư công năm 2024: "Nhiệm vụ chuẩn bị đầu tư là các hoạt động để lập đề xuất dự án, lập, thẩm định, quyết định chủ trương đầu tư, lập, thẩm định, quyết định đầu tư dự án." Theo khoản 1 Điều 44 Luật Đầu tư công năm 2024 quy định "1. Trình tự lập, thẩm định, phê duyệt chi phí chuẩn bị dự án hoặc dự toán nhiệm vụ chuẩn bị đầu tư dự án có cấu phần xây dựng thực hiện theo quy định của pháp luật về xây dựng." Tại khoản 1 Điều 11 Nghị định số 206/2026/NĐ-CP của Chính phủ quy định: "1. Chi phí chuẩn bị dự án là chi phí để thực hiện các công việc trong giai đoạn chuẩn bị dự án theo quy định tại Nghị định quy định chi tiết một số điều của Luật Xây dựng về quản lý hoạt động xây dựng." Như vậy, về bản chất, nhiệm vụ chuẩn bị đầu tư là các công việc được thực hiện trong giai đoạn chuẩn bị dự án, nhằm lập, hoàn thiện hồ sơ, thủ tục để xem xét, quyết định chủ trương đầu tư, quyết định đầu tư. Đối với dự án đầu tư xây dựng, pháp luật về xây dựng cũng xác định việc lập dự án là một nội dung trong giai đoạn chuẩn bị đầu tư. Do đó, đề nghị Ban soạn thảo rà soát, xem xét có cần thiết bổ sung đối tượng cấp mã số đối với nhiệm vụ chuẩn bị đầu tư để tránh trùng lắp trong quá trình triển khai thực hiện.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rà soát và chỉnh sửa vào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2. Về việc cấp mã số ĐVQHNS mới khi dự án chuyển từ nhiệm vụ chuẩn bị đầu tư sang giai đoạn thực hiện dự án Tại khoản 12 Điều 15 dự thảo quy định: "Cấp mã số ĐVQHNS cho dự án đầu tư được cấp có thẩm quyền phê duyệt sau khi nhiệm vụ chuẩn bị đầu tư kết thúc. Trường hợp nhiệm vụ chuẩn bị đầu tư kết thúc, dự án được cấp có thẩm quyền quyết định đầu tư thì dự án được cấp mã số ĐVQHNS mới, mã số ĐVQHNS đã cấp cho nhiệm vụ chuẩn bị đầu tư được giữ nguyên". Tuy nhiên tại khoản 3 Điều 12 quy định: "Mã số ĐVQHNS chỉ cấp cho từng giai đoạn của dự án đầu tư (giai đoạn chuẩn bị đầu tư, giai đoạn thực hiện dự án) trong trường hợp các giai đoạn của dự án được quyết định là dự án độc lập. Với những dự án không tách riêng các giai đoạn của dự án thành dự án độc lập hoặc những dự án các giai đoạn chuẩn bị đầu tư và giai đoạn thực hiện dự án cùng thực hiện trong một năm kế hoạch và được bố trí thực hiện vốn chuẩn bị đầu tư cùng đồng thời với vốn thực hiện dự án thì chỉ cấp một mã số chung cho tất cả giai đoạn của dự án đầu tư." Như vậy, quy định tại khoản 12 Điều 15 về việc dự án được cấp mã số ĐVQHNS mới sau khi nhiệm vụ chuẩn bị đầu tư kết thúc cần được xem xét để phù hợp với nguyên tắc cấp mã số theo từng giai đoạn của dự án quy định tại khoản 3 Điều 12 dự thảo, đặc biệt đối với trường hợp các giai đoạn của dự án không được quyết định là các dự án độc lập. Bên cạnh đó, việc sử dụng hai mã số ĐVQHNS cho cùng một dự án trong hai giai đoạn khác nhau có thể phát sinh yêu cầu phải theo dõi, đối chiếu và tổng hợp riêng các khoản chi phí đã thực hiện trong giai đoạn chuẩn bị đầu tư với chi phí thực hiện dự án trong giai đoạn tiếp theo, trong khi về bản chất các khoản chi phí này đều thuộc quá trình hình thành và thực hiện của cùng một dự án. Do đó, đề nghị Ban soạn thảo xem xét đối với việc cấp mã số mới đối với dự án sau khi nhiệm vụ chuẩn bị đầu tư kết thúc, để đảm bảo thống nhất nguyên tắc chung, không ảnh hưởng việc xác định, theo dõi và tổng hợp giá trị chi phí của toàn bộ dự án, bao gồm chi phí đã thực hiện trong giai đoạn chuẩn bị đầu tư.</w:t>
            </w:r>
          </w:p>
        </w:tc>
        <w:tc>
          <w:tcPr>
            <w:tcW w:w="4440" w:type="dxa"/>
            <w:shd w:val="clear" w:color="auto" w:fill="auto"/>
            <w:tcMar>
              <w:top w:w="70" w:type="dxa"/>
              <w:left w:w="90" w:type="dxa"/>
              <w:bottom w:w="70" w:type="dxa"/>
              <w:right w:w="90" w:type="dxa"/>
            </w:tcMar>
          </w:tcPr>
          <w:p w:rsidR="00BC4C60" w:rsidRPr="00886647" w:rsidRDefault="009566A8" w:rsidP="00F7757C">
            <w:pPr>
              <w:spacing w:after="40" w:line="276" w:lineRule="auto"/>
              <w:jc w:val="both"/>
            </w:pPr>
            <w:r w:rsidRPr="00886647">
              <w:rPr>
                <w:sz w:val="23"/>
                <w:szCs w:val="23"/>
              </w:rPr>
              <w:t xml:space="preserve">Tiếp thu ý kiến, Cục CNTT đã chỉnh sửa dự thảo hướng dẫn trường hợp Xử lý mã số ĐVQHNS đối với nhiệm vụ chuẩn bị đầu tư khi hoàn thành hoặc chuyển giai đoạn </w:t>
            </w:r>
            <w:r w:rsidR="00F7757C">
              <w:rPr>
                <w:sz w:val="23"/>
                <w:szCs w:val="23"/>
              </w:rPr>
              <w:t>tại khoản 5 Điều 15.</w:t>
            </w:r>
            <w:r w:rsidRPr="00886647">
              <w:rPr>
                <w:sz w:val="23"/>
                <w:szCs w:val="23"/>
              </w:rPr>
              <w:t xml:space="preserve"> </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3. Về thành phần hồ sơ cấp mã số ĐVQHNS đối với dự án Theo dự thảo Thông tư, hồ sơ cấp mã số ĐVQHNS đối với dự án bổ sung yêu cầu phải có Quyết định hoặc văn bản giao kế hoạch vốn đầu tư công trung hạn hoặc giao kế hoạch vốn hàng năm của cấp có thẩm quyền. Theo thực tế, thời điểm quyết định chủ trương đầu tư/ phê duyệt dự án đầu tư/ phê duyệt nhiệm vụ và thời điểm giao kế hoạch vốn đầu tư công trung hạn hoặc giao kế hoạch vốn hàng năm là không đồng thời, do đó nếu quy định phải có quyết định hoặc văn bản giao kế hoạch vốn mới thực hiện cấp mã số ĐVQHNS thì thời điểm cấp mã số có thể bị kéo dài và tập trung vào thời điểm sau khi có quyết định giao kế hoạch vốn, dẫn đến tình trạng dồn việc cấp mã số, nhất là đối với các dự án được quyết định đầu tư trong thời gian giữa các kỳ giao kế hoạch vốn. Do đó, đề nghị Ban soạn thảo rà soát, xem xét việc yêu cầu phải có Quyết định hoặc văn bản giao kế hoạch vốn đầu tư công trung hạn hoặc giao kế hoạch vốn hàng năm của cấp có thẩm quyền trong thành phần hồ sơ đăng ký cấp mã số, để tránh tình trạng dồn việc cấp mã số sau khi có quyết định giao vốn bổ sung.</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lược bỏ yêu cầu này khỏi hồ sơ cấp mã.</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4. Tại điểm g khoản 1 điều 24 quy định Cơ quan Kho bạc Nhà nước "g) Tổ chức thực hiện cấp mã số cho các đơn vị mở tài khoản giao dịch tại Kho bạc Nhà nước (với đầu mã số N=9) không thuộc phạm vi đối tượng được Cơ quan Tài chính cấp mã số ĐVQHNS với mã số đầu N = 1, 2, 3, 7, 8 quy định tại Thông tư này.". Đề nghị Ban soạn thảo hướng dẫn cụ thể đối với nội dung này để có cơ sở triển khai khi có trường hợp cụ thể phát sinh.</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Cấu trúc và phạm vi sử dụng đầu mã N = 9 đã được bổ sung tại khoản 3 Điều 5; nhiệm vụ cấp mã số đầu N = 9 của Kho bạc Nhà nước được quy định tại điểm h khoản 1 Điều 24. Trình tự, thủ tục cấp mã số đầu N = 9 thuộc quy trình nghiệp vụ của Kho bạc Nhà nước, không thuộc phạm vi điều chỉnh của Thông tư này. Cục CNTT đề nghị Kho bạc Nhà nước rà soát, hoàn thiện quy trình nghiệp vụ tương ứng để bảo đảm đồng bộ khi Thông tư có hiệu lực.</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5. Đối với nội dung ký số trên Hệ thống đăng ký, cấp và sử dụng mã số đơn vị có quan hệ với ngân sách Hiện nay, Sở Tài chính tỉnh Khánh Hòa đã triển khai ký số trên thiết bị USB (token) và Sim-PKI do Ban Cơ yếu Chính phủ cấp. Để thuận tiện trong việc triển khai ký số trên hệ thống, Sở Tài chính tỉnh Khánh Hòa kính đề nghị Cục Công nghệ thông tin và Chuyển đổi số xem xét, bổ sung chức năng ký số trên Hệ thống đăng ký, cấp và sử dụng mã số đơn vị có quan hệ với ngân sách để việc ký số hồ sơ, tài liệu trên hệ thống được thực hiện thuận lợi, thống nhất với các hình thức ký số hiện có tại Sở.</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Hiện tại giải pháp kỹ thuật đã đáp ứng việc ký số trên thiết bị USB (token). Về ý kiến triển khai ký số trên SIM -- PKI do Ban Cơ yếu Chính phủ cấp, Cục CNTT sẽ nghiên cứu và triển khai.</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28</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Sở Tài chính Đồng Nai</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Tại Điều 14: Xử lý cấp mã số đơn vị có quan hệ với ngân sách do chia tách, sáp nhập đơn vị: đề nghị bổ sung hướng dẫn rõ thêm các trường hợp đơn vị Tổ chức lại.</w:t>
            </w:r>
          </w:p>
        </w:tc>
        <w:tc>
          <w:tcPr>
            <w:tcW w:w="4440" w:type="dxa"/>
            <w:shd w:val="clear" w:color="auto" w:fill="auto"/>
            <w:tcMar>
              <w:top w:w="70" w:type="dxa"/>
              <w:left w:w="90" w:type="dxa"/>
              <w:bottom w:w="70" w:type="dxa"/>
              <w:right w:w="90" w:type="dxa"/>
            </w:tcMar>
          </w:tcPr>
          <w:p w:rsidR="00BC4C60" w:rsidRPr="00886647" w:rsidRDefault="009566A8" w:rsidP="007C16FA">
            <w:pPr>
              <w:spacing w:after="40" w:line="276" w:lineRule="auto"/>
              <w:jc w:val="both"/>
            </w:pPr>
            <w:r w:rsidRPr="00886647">
              <w:rPr>
                <w:sz w:val="23"/>
                <w:szCs w:val="23"/>
              </w:rPr>
              <w:t>Giải trình ý kiến, Việc tổ chức lại được hiểu là sắp xếp kiện toàn lại cơ cấu bộ máy thông qua các hình thức chia tách, sáp nhập, hợp nhất. Nội dung này đã được hướng dẫn tại Điều 14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Về các biểu mẫu: Đối với mục "Thông tin về người đại diện đăng ký mã số ĐVQHNS" trên biểu mẫu, đề nghị chú thích, hướng dẫn cụ thể, rõ ràng để bảo đảm thống nhất trong quá trình kê khai. Qua thực tế thực hiện, đây thường xuyên là nội dung phát sinh nhầm lẫn giữa "cán bộ trực tiếp nộp hồ sơ" và "người đại diện, lãnh đạo ký hồ sơ", gây khó khăn trong quá trình tiếp nhận, xử lý và đối chiếu thông tin.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chỉnh sửa biểu mẫu và hướng dẫn biểu mẫu thành "Thông tin về cán bộ trực tiếp nộp hồ sơ đăng ký mã số ĐVQHNS"</w:t>
            </w:r>
          </w:p>
        </w:tc>
      </w:tr>
      <w:tr w:rsidR="002958EE" w:rsidRPr="00BD42C6" w:rsidTr="00886647">
        <w:tc>
          <w:tcPr>
            <w:tcW w:w="620" w:type="dxa"/>
            <w:shd w:val="clear" w:color="auto" w:fill="auto"/>
            <w:tcMar>
              <w:top w:w="70" w:type="dxa"/>
              <w:left w:w="90" w:type="dxa"/>
              <w:bottom w:w="70" w:type="dxa"/>
              <w:right w:w="90" w:type="dxa"/>
            </w:tcMar>
          </w:tcPr>
          <w:p w:rsidR="002958EE" w:rsidRPr="00BD42C6" w:rsidRDefault="00E65E0F" w:rsidP="003718DA">
            <w:pPr>
              <w:spacing w:after="40" w:line="276" w:lineRule="auto"/>
              <w:jc w:val="center"/>
              <w:rPr>
                <w:b/>
                <w:bCs/>
                <w:i/>
                <w:sz w:val="23"/>
                <w:szCs w:val="23"/>
              </w:rPr>
            </w:pPr>
            <w:r w:rsidRPr="00BD42C6">
              <w:rPr>
                <w:b/>
                <w:bCs/>
                <w:i/>
                <w:sz w:val="23"/>
                <w:szCs w:val="23"/>
              </w:rPr>
              <w:t>II</w:t>
            </w:r>
          </w:p>
        </w:tc>
        <w:tc>
          <w:tcPr>
            <w:tcW w:w="4440" w:type="dxa"/>
            <w:shd w:val="clear" w:color="auto" w:fill="auto"/>
            <w:tcMar>
              <w:top w:w="70" w:type="dxa"/>
              <w:left w:w="90" w:type="dxa"/>
              <w:bottom w:w="70" w:type="dxa"/>
              <w:right w:w="90" w:type="dxa"/>
            </w:tcMar>
          </w:tcPr>
          <w:p w:rsidR="002958EE" w:rsidRPr="00BD42C6" w:rsidRDefault="008824BA">
            <w:pPr>
              <w:spacing w:after="40" w:line="276" w:lineRule="auto"/>
              <w:jc w:val="both"/>
              <w:rPr>
                <w:b/>
                <w:bCs/>
                <w:i/>
                <w:sz w:val="23"/>
                <w:szCs w:val="23"/>
              </w:rPr>
            </w:pPr>
            <w:r w:rsidRPr="00BD42C6">
              <w:rPr>
                <w:b/>
                <w:bCs/>
                <w:i/>
                <w:sz w:val="23"/>
                <w:szCs w:val="23"/>
              </w:rPr>
              <w:t>Ý kiến trực tiếp tại Hội nghị tập huấn công tác mã số</w:t>
            </w:r>
          </w:p>
        </w:tc>
        <w:tc>
          <w:tcPr>
            <w:tcW w:w="4440" w:type="dxa"/>
            <w:shd w:val="clear" w:color="auto" w:fill="auto"/>
            <w:tcMar>
              <w:top w:w="70" w:type="dxa"/>
              <w:left w:w="90" w:type="dxa"/>
              <w:bottom w:w="70" w:type="dxa"/>
              <w:right w:w="90" w:type="dxa"/>
            </w:tcMar>
          </w:tcPr>
          <w:p w:rsidR="002958EE" w:rsidRPr="00BD42C6" w:rsidRDefault="002958EE">
            <w:pPr>
              <w:spacing w:after="40" w:line="276" w:lineRule="auto"/>
              <w:jc w:val="both"/>
              <w:rPr>
                <w:i/>
              </w:rPr>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29</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STC Lạng Sơn</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Căn cứ pháp lý luật NSNN và Luật Đầu tư công đang được xem xét hợp nhất, do vậy cần rà soát căn cứ pháp lý ban hành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Giải trình ý kiến, Nội dung này đã thể hiện tại khoản </w:t>
            </w:r>
            <w:r w:rsidR="007C16FA">
              <w:rPr>
                <w:sz w:val="23"/>
                <w:szCs w:val="23"/>
              </w:rPr>
              <w:t>2</w:t>
            </w:r>
            <w:r w:rsidRPr="00886647">
              <w:rPr>
                <w:sz w:val="23"/>
                <w:szCs w:val="23"/>
              </w:rPr>
              <w:t xml:space="preserve"> Điều 2</w:t>
            </w:r>
            <w:r w:rsidR="007C16FA">
              <w:rPr>
                <w:sz w:val="23"/>
                <w:szCs w:val="23"/>
              </w:rPr>
              <w:t>6:</w:t>
            </w:r>
            <w:r w:rsidR="007C16FA" w:rsidRPr="00FF2EFD">
              <w:rPr>
                <w:color w:val="000000"/>
              </w:rPr>
              <w:t xml:space="preserve"> </w:t>
            </w:r>
            <w:r w:rsidR="007C16FA">
              <w:rPr>
                <w:color w:val="000000"/>
              </w:rPr>
              <w:t>“</w:t>
            </w:r>
            <w:r w:rsidR="007C16FA" w:rsidRPr="00FF2EFD">
              <w:rPr>
                <w:color w:val="000000"/>
              </w:rPr>
              <w:t>2. Trường hợp các văn bản quy phạm pháp luật được dẫn chiếu tại Thông tư này được sửa đổi, bổ sung hoặc thay thế thì thực hiện theo văn bản sửa đổi, bổ sung hoặc thay thế đó.</w:t>
            </w:r>
            <w:r w:rsidR="007C16FA">
              <w:rPr>
                <w:color w:val="000000"/>
              </w:rPr>
              <w:t>”</w:t>
            </w:r>
            <w:r w:rsidRPr="00886647">
              <w:rPr>
                <w:sz w:val="23"/>
                <w:szCs w:val="23"/>
              </w:rPr>
              <w:t>"</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30</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STC Vĩnh Long</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xuất chỉ tiếp nhận đăng ký trực tuyến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Về ý kiến này trùng với ý kiến của Cục Thuế, Cục CNTT đã giải trình.</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xuất các tệp tin đính kèm được ký số hợp lệ</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quy định việc ký số thành điều kiện của hồ sơ tại điểm d khoản 3 Điều 18: hồ sơ được gửi thông qua tài khoản truy cập Nền tảng số; trường hợp đơn vị lựa chọn ký số thì Tờ khai và văn bản điện tử kèm theo phải được ký số hợp lệ. Quyền lựa chọn ký số hoặc không ký số được quy định tại khoản 4 Điều 16; trường hợp không ký số, hồ sơ được xác thực thông qua tài khoản truy cập và giao dịch thực hiện qua tài khoản được xác định là do đơn vị thực hiện, có giá trị pháp lý theo điểm b khoản 8 Điều 17. Nền tảng số cung cấp công cụ ký số theo khoản 6 Điều 17.</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31</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STC Cà Mau</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Đề xuất ràng buộc đính kèm văn bản của cấp có thẩm quyền đối với mẫu 06 hồ sơ thay đổi thông tin</w:t>
            </w:r>
          </w:p>
        </w:tc>
        <w:tc>
          <w:tcPr>
            <w:tcW w:w="4440" w:type="dxa"/>
            <w:shd w:val="clear" w:color="auto" w:fill="auto"/>
            <w:tcMar>
              <w:top w:w="70" w:type="dxa"/>
              <w:left w:w="90" w:type="dxa"/>
              <w:bottom w:w="70" w:type="dxa"/>
              <w:right w:w="90" w:type="dxa"/>
            </w:tcMar>
          </w:tcPr>
          <w:p w:rsidR="00BC4C60" w:rsidRPr="00886647" w:rsidRDefault="009566A8" w:rsidP="007C16FA">
            <w:pPr>
              <w:spacing w:after="40" w:line="276" w:lineRule="auto"/>
              <w:jc w:val="both"/>
            </w:pPr>
            <w:r w:rsidRPr="00886647">
              <w:rPr>
                <w:sz w:val="23"/>
                <w:szCs w:val="23"/>
              </w:rPr>
              <w:t xml:space="preserve">Tiếp thu ý kiến, Cục CNTT đã chỉnh sửa vào khoản </w:t>
            </w:r>
            <w:r w:rsidR="007C16FA">
              <w:rPr>
                <w:sz w:val="23"/>
                <w:szCs w:val="23"/>
              </w:rPr>
              <w:t>2</w:t>
            </w:r>
            <w:r w:rsidRPr="00886647">
              <w:rPr>
                <w:sz w:val="23"/>
                <w:szCs w:val="23"/>
              </w:rPr>
              <w:t xml:space="preserve"> Điều 11 của Dự thảo thông tư </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9566A8" w:rsidP="003718DA">
            <w:pPr>
              <w:spacing w:after="40" w:line="276" w:lineRule="auto"/>
              <w:jc w:val="center"/>
            </w:pPr>
            <w:r w:rsidRPr="00886647">
              <w:rPr>
                <w:b/>
                <w:bCs/>
                <w:sz w:val="23"/>
                <w:szCs w:val="23"/>
              </w:rPr>
              <w:t>32</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b/>
                <w:bCs/>
                <w:sz w:val="23"/>
                <w:szCs w:val="23"/>
              </w:rPr>
              <w:t>STC Khánh Hòa</w:t>
            </w:r>
          </w:p>
        </w:tc>
        <w:tc>
          <w:tcPr>
            <w:tcW w:w="4440" w:type="dxa"/>
            <w:shd w:val="clear" w:color="auto" w:fill="auto"/>
            <w:tcMar>
              <w:top w:w="70" w:type="dxa"/>
              <w:left w:w="90" w:type="dxa"/>
              <w:bottom w:w="70" w:type="dxa"/>
              <w:right w:w="90" w:type="dxa"/>
            </w:tcMar>
          </w:tcPr>
          <w:p w:rsidR="00BC4C60" w:rsidRPr="00886647" w:rsidRDefault="00BC4C60">
            <w:pPr>
              <w:spacing w:after="40" w:line="276" w:lineRule="auto"/>
              <w:jc w:val="both"/>
            </w:pP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Dự thảo bổ sung nội dung: Sau khi nhiệm vụ chuẩn bị đầu tư hoàn thành, quyết toán =&gt; sau khi dự án được phê duyệt dự án =&gt; cấp mã số mới. Nội dung này có thể hướng dẫn cụ thể hơn để sử dụng trong trường hợp nào? Để địa phương có cơ sở thực hiện</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 xml:space="preserve">Tiếp thu ý kiến, Về việc xử lý các nhiệm vụ chuẩn bị đầu tư, hoàn thành, Cục CNTT đã chỉnh sửa và có hướng dẫn tại khoản </w:t>
            </w:r>
            <w:r w:rsidR="007C16FA">
              <w:rPr>
                <w:sz w:val="23"/>
                <w:szCs w:val="23"/>
              </w:rPr>
              <w:t>5</w:t>
            </w:r>
            <w:r w:rsidRPr="00886647">
              <w:rPr>
                <w:sz w:val="23"/>
                <w:szCs w:val="23"/>
              </w:rPr>
              <w:t xml:space="preserve"> Điều 15 của Dự thảo thông tư.</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Không cho đính kèm file ảnh .JPG, cần tìm hiểu, nghiên cứu nghị định 39, thông tư 04 của văn phòng chính phủ xem quy định file đính kèm để tư vấn bổ sung vào quy định của thông tư.</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Giải trình ý kiến, Điểm e khoản 2 Điều 8 Thông tư số 01/2023/TT-VPCP quy định: "e) Thông số kỹ thuật bản sao chụp phải đáp ứng tiêu chuẩn dữ liệu thông tin đầu vào của cơ sở dữ liệu tài liệu lưu trữ tại Thông tư s ố 02/2019/TT-BNV ngày 24 tháng 01 năm 2019 của Bộ Nội vụ quy định tiêu chuẩn dữ liệu thông tin đầu vào và yêu cầu bảo quản tài liệu lưu trữ điện tử." Tại Điều 6 Thông tư số 02/2019/TT-BNV cho phép lưu trữ dạng file ảnh định dạng .JPEG.</w:t>
            </w:r>
          </w:p>
        </w:tc>
      </w:tr>
      <w:tr w:rsidR="00BC4C60" w:rsidRPr="00886647"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File đính kèm lên có ký số: Kiểm tra lại quy định. Nếu cần thiết file đính kèm có ký số đưa vào quy định của thông tư với tất cả các tờ khai.</w:t>
            </w: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Tiếp thu ý kiến. Cục CNTT đã quy định việc ký số thành điều kiện của hồ sơ tại điểm d khoản 3 Điều 18, áp dụng cho Tờ khai và toàn bộ văn bản điện tử kèm theo khi đơn vị lựa chọn ký số; quyền lựa chọn ký số hoặc không ký số và giá trị pháp lý của hồ sơ trong từng trường hợp được quy định tại khoản 4 Điều 16 và điểm b khoản 8 Điều 17.</w:t>
            </w:r>
          </w:p>
        </w:tc>
      </w:tr>
      <w:tr w:rsidR="00BC4C60" w:rsidTr="00886647">
        <w:tc>
          <w:tcPr>
            <w:tcW w:w="620" w:type="dxa"/>
            <w:shd w:val="clear" w:color="auto" w:fill="auto"/>
            <w:tcMar>
              <w:top w:w="70" w:type="dxa"/>
              <w:left w:w="90" w:type="dxa"/>
              <w:bottom w:w="70" w:type="dxa"/>
              <w:right w:w="90" w:type="dxa"/>
            </w:tcMar>
          </w:tcPr>
          <w:p w:rsidR="00BC4C60" w:rsidRPr="00886647" w:rsidRDefault="00BC4C60" w:rsidP="003718DA">
            <w:pPr>
              <w:spacing w:after="40" w:line="276" w:lineRule="auto"/>
              <w:jc w:val="center"/>
            </w:pPr>
          </w:p>
        </w:tc>
        <w:tc>
          <w:tcPr>
            <w:tcW w:w="4440" w:type="dxa"/>
            <w:shd w:val="clear" w:color="auto" w:fill="auto"/>
            <w:tcMar>
              <w:top w:w="70" w:type="dxa"/>
              <w:left w:w="90" w:type="dxa"/>
              <w:bottom w:w="70" w:type="dxa"/>
              <w:right w:w="90" w:type="dxa"/>
            </w:tcMar>
          </w:tcPr>
          <w:p w:rsidR="00BC4C60" w:rsidRPr="00886647" w:rsidRDefault="009566A8">
            <w:pPr>
              <w:spacing w:after="40" w:line="276" w:lineRule="auto"/>
              <w:jc w:val="both"/>
            </w:pPr>
            <w:r w:rsidRPr="00886647">
              <w:rPr>
                <w:sz w:val="23"/>
                <w:szCs w:val="23"/>
              </w:rPr>
              <w:t>Tờ khai thay đổi thông tin chỉ bắt buộc tải lên file tờ khai, bổ sung thêm bắt buộc thêm file văn bản quyết định để có thêm căn cứ cho tờ khai.</w:t>
            </w:r>
          </w:p>
        </w:tc>
        <w:tc>
          <w:tcPr>
            <w:tcW w:w="4440" w:type="dxa"/>
            <w:shd w:val="clear" w:color="auto" w:fill="auto"/>
            <w:tcMar>
              <w:top w:w="70" w:type="dxa"/>
              <w:left w:w="90" w:type="dxa"/>
              <w:bottom w:w="70" w:type="dxa"/>
              <w:right w:w="90" w:type="dxa"/>
            </w:tcMar>
          </w:tcPr>
          <w:p w:rsidR="00BC4C60" w:rsidRDefault="009566A8" w:rsidP="007C16FA">
            <w:pPr>
              <w:spacing w:after="40" w:line="276" w:lineRule="auto"/>
              <w:jc w:val="both"/>
            </w:pPr>
            <w:r w:rsidRPr="00886647">
              <w:rPr>
                <w:sz w:val="23"/>
                <w:szCs w:val="23"/>
              </w:rPr>
              <w:t xml:space="preserve">Tiếp thu ý kiến, Cục CNTT đã chỉnh sửa vào khoản </w:t>
            </w:r>
            <w:r w:rsidR="007C16FA">
              <w:rPr>
                <w:sz w:val="23"/>
                <w:szCs w:val="23"/>
              </w:rPr>
              <w:t>2</w:t>
            </w:r>
            <w:r w:rsidRPr="00886647">
              <w:rPr>
                <w:sz w:val="23"/>
                <w:szCs w:val="23"/>
              </w:rPr>
              <w:t xml:space="preserve"> Điều 11 của Dự thảo thông tư (Trùng với ý kiến của Sở Tài chính Cà Mau)</w:t>
            </w:r>
          </w:p>
        </w:tc>
      </w:tr>
    </w:tbl>
    <w:p w:rsidR="006E73AB" w:rsidRDefault="006E73AB"/>
    <w:sectPr w:rsidR="006E73AB" w:rsidSect="00267FF0">
      <w:headerReference w:type="default" r:id="rId8"/>
      <w:pgSz w:w="11906" w:h="16838" w:code="9"/>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B59" w:rsidRDefault="00A65B59" w:rsidP="007734D3">
      <w:r>
        <w:separator/>
      </w:r>
    </w:p>
  </w:endnote>
  <w:endnote w:type="continuationSeparator" w:id="0">
    <w:p w:rsidR="00A65B59" w:rsidRDefault="00A65B59" w:rsidP="00773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B59" w:rsidRDefault="00A65B59" w:rsidP="007734D3">
      <w:r>
        <w:separator/>
      </w:r>
    </w:p>
  </w:footnote>
  <w:footnote w:type="continuationSeparator" w:id="0">
    <w:p w:rsidR="00A65B59" w:rsidRDefault="00A65B59" w:rsidP="007734D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257532"/>
      <w:docPartObj>
        <w:docPartGallery w:val="Page Numbers (Top of Page)"/>
        <w:docPartUnique/>
      </w:docPartObj>
    </w:sdtPr>
    <w:sdtEndPr>
      <w:rPr>
        <w:noProof/>
      </w:rPr>
    </w:sdtEndPr>
    <w:sdtContent>
      <w:p w:rsidR="004737DA" w:rsidRDefault="00A677D7">
        <w:pPr>
          <w:pStyle w:val="Header"/>
          <w:jc w:val="center"/>
        </w:pPr>
        <w:r>
          <w:fldChar w:fldCharType="begin"/>
        </w:r>
        <w:r w:rsidR="004737DA">
          <w:instrText xml:space="preserve"> PAGE   \* MERGEFORMAT </w:instrText>
        </w:r>
        <w:r>
          <w:fldChar w:fldCharType="separate"/>
        </w:r>
        <w:r w:rsidR="00CB68D6">
          <w:rPr>
            <w:noProof/>
          </w:rPr>
          <w:t>53</w:t>
        </w:r>
        <w:r>
          <w:rPr>
            <w:noProof/>
          </w:rPr>
          <w:fldChar w:fldCharType="end"/>
        </w:r>
      </w:p>
    </w:sdtContent>
  </w:sdt>
  <w:p w:rsidR="004737DA" w:rsidRDefault="004737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D03D3"/>
    <w:multiLevelType w:val="hybridMultilevel"/>
    <w:tmpl w:val="A82C101A"/>
    <w:lvl w:ilvl="0" w:tplc="3604C954">
      <w:start w:val="1"/>
      <w:numFmt w:val="bullet"/>
      <w:lvlText w:val="●"/>
      <w:lvlJc w:val="left"/>
      <w:pPr>
        <w:ind w:left="720" w:hanging="360"/>
      </w:pPr>
    </w:lvl>
    <w:lvl w:ilvl="1" w:tplc="439C3CE8">
      <w:start w:val="1"/>
      <w:numFmt w:val="bullet"/>
      <w:lvlText w:val="○"/>
      <w:lvlJc w:val="left"/>
      <w:pPr>
        <w:ind w:left="1440" w:hanging="360"/>
      </w:pPr>
    </w:lvl>
    <w:lvl w:ilvl="2" w:tplc="FCD8A934">
      <w:start w:val="1"/>
      <w:numFmt w:val="bullet"/>
      <w:lvlText w:val="■"/>
      <w:lvlJc w:val="left"/>
      <w:pPr>
        <w:ind w:left="2160" w:hanging="360"/>
      </w:pPr>
    </w:lvl>
    <w:lvl w:ilvl="3" w:tplc="C5F26CA2">
      <w:start w:val="1"/>
      <w:numFmt w:val="bullet"/>
      <w:lvlText w:val="●"/>
      <w:lvlJc w:val="left"/>
      <w:pPr>
        <w:ind w:left="2880" w:hanging="360"/>
      </w:pPr>
    </w:lvl>
    <w:lvl w:ilvl="4" w:tplc="051676AA">
      <w:start w:val="1"/>
      <w:numFmt w:val="bullet"/>
      <w:lvlText w:val="○"/>
      <w:lvlJc w:val="left"/>
      <w:pPr>
        <w:ind w:left="3600" w:hanging="360"/>
      </w:pPr>
    </w:lvl>
    <w:lvl w:ilvl="5" w:tplc="D9AC241C">
      <w:start w:val="1"/>
      <w:numFmt w:val="bullet"/>
      <w:lvlText w:val="■"/>
      <w:lvlJc w:val="left"/>
      <w:pPr>
        <w:ind w:left="4320" w:hanging="360"/>
      </w:pPr>
    </w:lvl>
    <w:lvl w:ilvl="6" w:tplc="A586883C">
      <w:start w:val="1"/>
      <w:numFmt w:val="bullet"/>
      <w:lvlText w:val="●"/>
      <w:lvlJc w:val="left"/>
      <w:pPr>
        <w:ind w:left="5040" w:hanging="360"/>
      </w:pPr>
    </w:lvl>
    <w:lvl w:ilvl="7" w:tplc="F32C6FF2">
      <w:start w:val="1"/>
      <w:numFmt w:val="bullet"/>
      <w:lvlText w:val="●"/>
      <w:lvlJc w:val="left"/>
      <w:pPr>
        <w:ind w:left="5760" w:hanging="360"/>
      </w:pPr>
    </w:lvl>
    <w:lvl w:ilvl="8" w:tplc="04A6D04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C4C60"/>
    <w:rsid w:val="00024D2F"/>
    <w:rsid w:val="000C1D58"/>
    <w:rsid w:val="000E2402"/>
    <w:rsid w:val="00157193"/>
    <w:rsid w:val="001F484D"/>
    <w:rsid w:val="00267FF0"/>
    <w:rsid w:val="00274A06"/>
    <w:rsid w:val="002958EE"/>
    <w:rsid w:val="003718DA"/>
    <w:rsid w:val="003B4017"/>
    <w:rsid w:val="003D5512"/>
    <w:rsid w:val="00401318"/>
    <w:rsid w:val="00465F53"/>
    <w:rsid w:val="004737DA"/>
    <w:rsid w:val="004839A0"/>
    <w:rsid w:val="004F1F15"/>
    <w:rsid w:val="004F71C4"/>
    <w:rsid w:val="00544552"/>
    <w:rsid w:val="00561EEE"/>
    <w:rsid w:val="00570C5C"/>
    <w:rsid w:val="00575165"/>
    <w:rsid w:val="00634225"/>
    <w:rsid w:val="006B50CA"/>
    <w:rsid w:val="006E73AB"/>
    <w:rsid w:val="00737495"/>
    <w:rsid w:val="007734D3"/>
    <w:rsid w:val="00775FF7"/>
    <w:rsid w:val="007C16FA"/>
    <w:rsid w:val="007F4A20"/>
    <w:rsid w:val="00800609"/>
    <w:rsid w:val="008409ED"/>
    <w:rsid w:val="008434CC"/>
    <w:rsid w:val="008824BA"/>
    <w:rsid w:val="00886647"/>
    <w:rsid w:val="00896277"/>
    <w:rsid w:val="008A1D12"/>
    <w:rsid w:val="008A4721"/>
    <w:rsid w:val="009269DB"/>
    <w:rsid w:val="00952016"/>
    <w:rsid w:val="009566A8"/>
    <w:rsid w:val="00970138"/>
    <w:rsid w:val="00977500"/>
    <w:rsid w:val="009862D5"/>
    <w:rsid w:val="009B55D7"/>
    <w:rsid w:val="009C0722"/>
    <w:rsid w:val="009E7893"/>
    <w:rsid w:val="009F447A"/>
    <w:rsid w:val="00A118CD"/>
    <w:rsid w:val="00A65B59"/>
    <w:rsid w:val="00A677D7"/>
    <w:rsid w:val="00AE4812"/>
    <w:rsid w:val="00BC4C60"/>
    <w:rsid w:val="00BD42C6"/>
    <w:rsid w:val="00BF0A9A"/>
    <w:rsid w:val="00C15EF0"/>
    <w:rsid w:val="00C2621D"/>
    <w:rsid w:val="00C27DF3"/>
    <w:rsid w:val="00C4687C"/>
    <w:rsid w:val="00C56452"/>
    <w:rsid w:val="00C60A41"/>
    <w:rsid w:val="00C90722"/>
    <w:rsid w:val="00CB68D6"/>
    <w:rsid w:val="00CD2CF4"/>
    <w:rsid w:val="00CD7D51"/>
    <w:rsid w:val="00CE6CB9"/>
    <w:rsid w:val="00D30979"/>
    <w:rsid w:val="00D71032"/>
    <w:rsid w:val="00DE2E23"/>
    <w:rsid w:val="00E11AA7"/>
    <w:rsid w:val="00E415D3"/>
    <w:rsid w:val="00E65E0F"/>
    <w:rsid w:val="00E67279"/>
    <w:rsid w:val="00E7212E"/>
    <w:rsid w:val="00E91DC0"/>
    <w:rsid w:val="00ED3961"/>
    <w:rsid w:val="00F001B9"/>
    <w:rsid w:val="00F016EB"/>
    <w:rsid w:val="00F06927"/>
    <w:rsid w:val="00F60A9C"/>
    <w:rsid w:val="00F7757C"/>
    <w:rsid w:val="00FD65B2"/>
    <w:rsid w:val="00FE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CF95E5-FDF4-4F6E-BEF8-056A7C35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7D7"/>
  </w:style>
  <w:style w:type="paragraph" w:styleId="Heading1">
    <w:name w:val="heading 1"/>
    <w:uiPriority w:val="9"/>
    <w:qFormat/>
    <w:rsid w:val="00A677D7"/>
    <w:pPr>
      <w:outlineLvl w:val="0"/>
    </w:pPr>
    <w:rPr>
      <w:color w:val="2E74B5"/>
      <w:sz w:val="32"/>
      <w:szCs w:val="32"/>
    </w:rPr>
  </w:style>
  <w:style w:type="paragraph" w:styleId="Heading2">
    <w:name w:val="heading 2"/>
    <w:uiPriority w:val="9"/>
    <w:semiHidden/>
    <w:unhideWhenUsed/>
    <w:qFormat/>
    <w:rsid w:val="00A677D7"/>
    <w:pPr>
      <w:outlineLvl w:val="1"/>
    </w:pPr>
    <w:rPr>
      <w:color w:val="2E74B5"/>
    </w:rPr>
  </w:style>
  <w:style w:type="paragraph" w:styleId="Heading3">
    <w:name w:val="heading 3"/>
    <w:uiPriority w:val="9"/>
    <w:semiHidden/>
    <w:unhideWhenUsed/>
    <w:qFormat/>
    <w:rsid w:val="00A677D7"/>
    <w:pPr>
      <w:outlineLvl w:val="2"/>
    </w:pPr>
    <w:rPr>
      <w:color w:val="1F4D78"/>
      <w:sz w:val="24"/>
      <w:szCs w:val="24"/>
    </w:rPr>
  </w:style>
  <w:style w:type="paragraph" w:styleId="Heading4">
    <w:name w:val="heading 4"/>
    <w:uiPriority w:val="9"/>
    <w:semiHidden/>
    <w:unhideWhenUsed/>
    <w:qFormat/>
    <w:rsid w:val="00A677D7"/>
    <w:pPr>
      <w:outlineLvl w:val="3"/>
    </w:pPr>
    <w:rPr>
      <w:i/>
      <w:iCs/>
      <w:color w:val="2E74B5"/>
    </w:rPr>
  </w:style>
  <w:style w:type="paragraph" w:styleId="Heading5">
    <w:name w:val="heading 5"/>
    <w:uiPriority w:val="9"/>
    <w:semiHidden/>
    <w:unhideWhenUsed/>
    <w:qFormat/>
    <w:rsid w:val="00A677D7"/>
    <w:pPr>
      <w:outlineLvl w:val="4"/>
    </w:pPr>
    <w:rPr>
      <w:color w:val="2E74B5"/>
    </w:rPr>
  </w:style>
  <w:style w:type="paragraph" w:styleId="Heading6">
    <w:name w:val="heading 6"/>
    <w:uiPriority w:val="9"/>
    <w:semiHidden/>
    <w:unhideWhenUsed/>
    <w:qFormat/>
    <w:rsid w:val="00A677D7"/>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A677D7"/>
    <w:rPr>
      <w:sz w:val="56"/>
      <w:szCs w:val="56"/>
    </w:rPr>
  </w:style>
  <w:style w:type="paragraph" w:customStyle="1" w:styleId="Strong1">
    <w:name w:val="Strong1"/>
    <w:qFormat/>
    <w:rsid w:val="00A677D7"/>
    <w:rPr>
      <w:b/>
      <w:bCs/>
    </w:rPr>
  </w:style>
  <w:style w:type="paragraph" w:styleId="ListParagraph">
    <w:name w:val="List Paragraph"/>
    <w:qFormat/>
    <w:rsid w:val="00A677D7"/>
  </w:style>
  <w:style w:type="character" w:styleId="Hyperlink">
    <w:name w:val="Hyperlink"/>
    <w:uiPriority w:val="99"/>
    <w:unhideWhenUsed/>
    <w:rsid w:val="00A677D7"/>
    <w:rPr>
      <w:color w:val="0563C1"/>
      <w:u w:val="single"/>
    </w:rPr>
  </w:style>
  <w:style w:type="character" w:styleId="FootnoteReference">
    <w:name w:val="footnote reference"/>
    <w:uiPriority w:val="99"/>
    <w:semiHidden/>
    <w:unhideWhenUsed/>
    <w:rsid w:val="00A677D7"/>
    <w:rPr>
      <w:vertAlign w:val="superscript"/>
    </w:rPr>
  </w:style>
  <w:style w:type="paragraph" w:styleId="FootnoteText">
    <w:name w:val="footnote text"/>
    <w:link w:val="FootnoteTextChar"/>
    <w:uiPriority w:val="99"/>
    <w:semiHidden/>
    <w:unhideWhenUsed/>
    <w:rsid w:val="00A677D7"/>
    <w:rPr>
      <w:sz w:val="20"/>
      <w:szCs w:val="20"/>
    </w:rPr>
  </w:style>
  <w:style w:type="character" w:customStyle="1" w:styleId="FootnoteTextChar">
    <w:name w:val="Footnote Text Char"/>
    <w:link w:val="FootnoteText"/>
    <w:uiPriority w:val="99"/>
    <w:semiHidden/>
    <w:unhideWhenUsed/>
    <w:rsid w:val="00A677D7"/>
    <w:rPr>
      <w:sz w:val="20"/>
      <w:szCs w:val="20"/>
    </w:rPr>
  </w:style>
  <w:style w:type="character" w:styleId="EndnoteReference">
    <w:name w:val="endnote reference"/>
    <w:uiPriority w:val="99"/>
    <w:semiHidden/>
    <w:unhideWhenUsed/>
    <w:rsid w:val="00A677D7"/>
    <w:rPr>
      <w:vertAlign w:val="superscript"/>
    </w:rPr>
  </w:style>
  <w:style w:type="paragraph" w:styleId="EndnoteText">
    <w:name w:val="endnote text"/>
    <w:link w:val="EndnoteTextChar"/>
    <w:uiPriority w:val="99"/>
    <w:semiHidden/>
    <w:unhideWhenUsed/>
    <w:rsid w:val="00A677D7"/>
    <w:rPr>
      <w:sz w:val="20"/>
      <w:szCs w:val="20"/>
    </w:rPr>
  </w:style>
  <w:style w:type="character" w:customStyle="1" w:styleId="EndnoteTextChar">
    <w:name w:val="Endnote Text Char"/>
    <w:link w:val="EndnoteText"/>
    <w:uiPriority w:val="99"/>
    <w:semiHidden/>
    <w:unhideWhenUsed/>
    <w:rsid w:val="00A677D7"/>
    <w:rPr>
      <w:sz w:val="20"/>
      <w:szCs w:val="20"/>
    </w:rPr>
  </w:style>
  <w:style w:type="paragraph" w:styleId="Header">
    <w:name w:val="header"/>
    <w:basedOn w:val="Normal"/>
    <w:link w:val="HeaderChar"/>
    <w:uiPriority w:val="99"/>
    <w:unhideWhenUsed/>
    <w:rsid w:val="007734D3"/>
    <w:pPr>
      <w:tabs>
        <w:tab w:val="center" w:pos="4680"/>
        <w:tab w:val="right" w:pos="9360"/>
      </w:tabs>
    </w:pPr>
  </w:style>
  <w:style w:type="character" w:customStyle="1" w:styleId="HeaderChar">
    <w:name w:val="Header Char"/>
    <w:basedOn w:val="DefaultParagraphFont"/>
    <w:link w:val="Header"/>
    <w:uiPriority w:val="99"/>
    <w:rsid w:val="007734D3"/>
  </w:style>
  <w:style w:type="paragraph" w:styleId="Footer">
    <w:name w:val="footer"/>
    <w:basedOn w:val="Normal"/>
    <w:link w:val="FooterChar"/>
    <w:uiPriority w:val="99"/>
    <w:unhideWhenUsed/>
    <w:rsid w:val="007734D3"/>
    <w:pPr>
      <w:tabs>
        <w:tab w:val="center" w:pos="4680"/>
        <w:tab w:val="right" w:pos="9360"/>
      </w:tabs>
    </w:pPr>
  </w:style>
  <w:style w:type="character" w:customStyle="1" w:styleId="FooterChar">
    <w:name w:val="Footer Char"/>
    <w:basedOn w:val="DefaultParagraphFont"/>
    <w:link w:val="Footer"/>
    <w:uiPriority w:val="99"/>
    <w:rsid w:val="007734D3"/>
  </w:style>
  <w:style w:type="paragraph" w:styleId="BalloonText">
    <w:name w:val="Balloon Text"/>
    <w:basedOn w:val="Normal"/>
    <w:link w:val="BalloonTextChar"/>
    <w:uiPriority w:val="99"/>
    <w:semiHidden/>
    <w:unhideWhenUsed/>
    <w:rsid w:val="004737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7DA"/>
    <w:rPr>
      <w:rFonts w:ascii="Segoe UI" w:hAnsi="Segoe UI" w:cs="Segoe UI"/>
      <w:sz w:val="18"/>
      <w:szCs w:val="18"/>
    </w:rPr>
  </w:style>
  <w:style w:type="character" w:styleId="CommentReference">
    <w:name w:val="annotation reference"/>
    <w:basedOn w:val="DefaultParagraphFont"/>
    <w:uiPriority w:val="99"/>
    <w:semiHidden/>
    <w:unhideWhenUsed/>
    <w:rsid w:val="00E11AA7"/>
    <w:rPr>
      <w:sz w:val="16"/>
      <w:szCs w:val="16"/>
    </w:rPr>
  </w:style>
  <w:style w:type="paragraph" w:styleId="CommentText">
    <w:name w:val="annotation text"/>
    <w:basedOn w:val="Normal"/>
    <w:link w:val="CommentTextChar"/>
    <w:uiPriority w:val="99"/>
    <w:semiHidden/>
    <w:unhideWhenUsed/>
    <w:rsid w:val="00E11AA7"/>
    <w:rPr>
      <w:sz w:val="20"/>
      <w:szCs w:val="20"/>
    </w:rPr>
  </w:style>
  <w:style w:type="character" w:customStyle="1" w:styleId="CommentTextChar">
    <w:name w:val="Comment Text Char"/>
    <w:basedOn w:val="DefaultParagraphFont"/>
    <w:link w:val="CommentText"/>
    <w:uiPriority w:val="99"/>
    <w:semiHidden/>
    <w:rsid w:val="00E11AA7"/>
    <w:rPr>
      <w:sz w:val="20"/>
      <w:szCs w:val="20"/>
    </w:rPr>
  </w:style>
  <w:style w:type="paragraph" w:styleId="CommentSubject">
    <w:name w:val="annotation subject"/>
    <w:basedOn w:val="CommentText"/>
    <w:next w:val="CommentText"/>
    <w:link w:val="CommentSubjectChar"/>
    <w:uiPriority w:val="99"/>
    <w:semiHidden/>
    <w:unhideWhenUsed/>
    <w:rsid w:val="00E11AA7"/>
    <w:rPr>
      <w:b/>
      <w:bCs/>
    </w:rPr>
  </w:style>
  <w:style w:type="character" w:customStyle="1" w:styleId="CommentSubjectChar">
    <w:name w:val="Comment Subject Char"/>
    <w:basedOn w:val="CommentTextChar"/>
    <w:link w:val="CommentSubject"/>
    <w:uiPriority w:val="99"/>
    <w:semiHidden/>
    <w:rsid w:val="00E11AA7"/>
    <w:rPr>
      <w:b/>
      <w:bCs/>
      <w:sz w:val="20"/>
      <w:szCs w:val="20"/>
    </w:rPr>
  </w:style>
  <w:style w:type="character" w:customStyle="1" w:styleId="math-inline">
    <w:name w:val="math-inline"/>
    <w:basedOn w:val="DefaultParagraphFont"/>
    <w:rsid w:val="00570C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543201">
      <w:bodyDiv w:val="1"/>
      <w:marLeft w:val="0"/>
      <w:marRight w:val="0"/>
      <w:marTop w:val="0"/>
      <w:marBottom w:val="0"/>
      <w:divBdr>
        <w:top w:val="none" w:sz="0" w:space="0" w:color="auto"/>
        <w:left w:val="none" w:sz="0" w:space="0" w:color="auto"/>
        <w:bottom w:val="none" w:sz="0" w:space="0" w:color="auto"/>
        <w:right w:val="none" w:sz="0" w:space="0" w:color="auto"/>
      </w:divBdr>
    </w:div>
    <w:div w:id="1167745131">
      <w:bodyDiv w:val="1"/>
      <w:marLeft w:val="0"/>
      <w:marRight w:val="0"/>
      <w:marTop w:val="0"/>
      <w:marBottom w:val="0"/>
      <w:divBdr>
        <w:top w:val="none" w:sz="0" w:space="0" w:color="auto"/>
        <w:left w:val="none" w:sz="0" w:space="0" w:color="auto"/>
        <w:bottom w:val="none" w:sz="0" w:space="0" w:color="auto"/>
        <w:right w:val="none" w:sz="0" w:space="0" w:color="auto"/>
      </w:divBdr>
    </w:div>
    <w:div w:id="1561476724">
      <w:bodyDiv w:val="1"/>
      <w:marLeft w:val="0"/>
      <w:marRight w:val="0"/>
      <w:marTop w:val="0"/>
      <w:marBottom w:val="0"/>
      <w:divBdr>
        <w:top w:val="none" w:sz="0" w:space="0" w:color="auto"/>
        <w:left w:val="none" w:sz="0" w:space="0" w:color="auto"/>
        <w:bottom w:val="none" w:sz="0" w:space="0" w:color="auto"/>
        <w:right w:val="none" w:sz="0" w:space="0" w:color="auto"/>
      </w:divBdr>
    </w:div>
    <w:div w:id="1797136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E567-74B8-49CE-9C5B-29D035257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54</Pages>
  <Words>18198</Words>
  <Characters>103732</Characters>
  <Application>Microsoft Office Word</Application>
  <DocSecurity>0</DocSecurity>
  <Lines>864</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Nguyen Thi Hong Ngat</cp:lastModifiedBy>
  <cp:revision>55</cp:revision>
  <cp:lastPrinted>2026-10-09T01:35:00Z</cp:lastPrinted>
  <dcterms:created xsi:type="dcterms:W3CDTF">2026-10-08T01:44:00Z</dcterms:created>
  <dcterms:modified xsi:type="dcterms:W3CDTF">2026-10-09T02:23:00Z</dcterms:modified>
</cp:coreProperties>
</file>