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2"/>
        <w:tblW w:w="5000" w:type="pct"/>
        <w:tblLook w:val="04A0"/>
      </w:tblPr>
      <w:tblGrid>
        <w:gridCol w:w="5503"/>
        <w:gridCol w:w="1699"/>
        <w:gridCol w:w="7941"/>
      </w:tblGrid>
      <w:tr w:rsidR="00316C37" w:rsidRPr="00E43A05" w:rsidTr="007705FF">
        <w:trPr>
          <w:trHeight w:val="1134"/>
        </w:trPr>
        <w:tc>
          <w:tcPr>
            <w:tcW w:w="1817" w:type="pct"/>
          </w:tcPr>
          <w:p w:rsidR="00316C37" w:rsidRPr="00316C37" w:rsidRDefault="008D6587" w:rsidP="009F2709">
            <w:pPr>
              <w:tabs>
                <w:tab w:val="left" w:pos="4962"/>
                <w:tab w:val="left" w:pos="7402"/>
              </w:tabs>
              <w:spacing w:before="0"/>
              <w:ind w:right="311"/>
              <w:jc w:val="center"/>
              <w:rPr>
                <w:b/>
                <w:kern w:val="0"/>
                <w:sz w:val="26"/>
                <w:szCs w:val="26"/>
              </w:rPr>
            </w:pPr>
            <w:r w:rsidRPr="008D6587">
              <w:rPr>
                <w:noProof/>
                <w:kern w:val="0"/>
                <w:sz w:val="26"/>
                <w:szCs w:val="26"/>
              </w:rPr>
              <w:pict>
                <v:line id="Straight Connector 1" o:spid="_x0000_s1026" style="position:absolute;left:0;text-align:left;z-index:251662336;visibility:visible;mso-wrap-style:square;mso-height-percent:0;mso-wrap-distance-left:9pt;mso-wrap-distance-right:9pt;mso-position-horizontal-relative:text;mso-position-vertical-relative:text;mso-height-percent:0;mso-width-relative:page;mso-height-relative:page" from="100.9pt,18.85pt" to="140.4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" strokecolor="black [3200]" strokeweight=".5pt">
                  <v:stroke joinstyle="miter"/>
                  <o:lock v:ext="edit" shapetype="f"/>
                </v:line>
              </w:pict>
            </w:r>
            <w:r w:rsidR="00316C37" w:rsidRPr="00E43A05">
              <w:rPr>
                <w:b/>
                <w:kern w:val="0"/>
                <w:sz w:val="26"/>
                <w:szCs w:val="26"/>
              </w:rPr>
              <w:t xml:space="preserve">BỘ </w:t>
            </w:r>
            <w:r w:rsidR="00316C37">
              <w:rPr>
                <w:b/>
                <w:kern w:val="0"/>
                <w:sz w:val="26"/>
                <w:szCs w:val="26"/>
              </w:rPr>
              <w:t>TÀI CHÍNH</w:t>
            </w:r>
          </w:p>
        </w:tc>
        <w:tc>
          <w:tcPr>
            <w:tcW w:w="561" w:type="pct"/>
          </w:tcPr>
          <w:p w:rsidR="00316C37" w:rsidRPr="00E43A05" w:rsidRDefault="00316C37" w:rsidP="00E84E42">
            <w:pPr>
              <w:keepNext/>
              <w:tabs>
                <w:tab w:val="left" w:pos="3404"/>
              </w:tabs>
              <w:spacing w:before="0"/>
              <w:ind w:right="158"/>
              <w:jc w:val="center"/>
              <w:rPr>
                <w:kern w:val="0"/>
                <w:sz w:val="26"/>
                <w:szCs w:val="26"/>
              </w:rPr>
            </w:pPr>
          </w:p>
        </w:tc>
        <w:tc>
          <w:tcPr>
            <w:tcW w:w="2622" w:type="pct"/>
          </w:tcPr>
          <w:p w:rsidR="00316C37" w:rsidRPr="00E43A05" w:rsidRDefault="00316C37" w:rsidP="00E84E42">
            <w:pPr>
              <w:spacing w:before="0"/>
              <w:ind w:firstLine="33"/>
              <w:jc w:val="center"/>
              <w:rPr>
                <w:b/>
                <w:kern w:val="0"/>
                <w:sz w:val="26"/>
                <w:szCs w:val="26"/>
              </w:rPr>
            </w:pPr>
            <w:r w:rsidRPr="00E43A05">
              <w:rPr>
                <w:b/>
                <w:kern w:val="0"/>
                <w:sz w:val="26"/>
                <w:szCs w:val="26"/>
              </w:rPr>
              <w:t>CỘNG HOÀ XÃ HỘI CHỦ NGHĨA VIỆT NAM</w:t>
            </w:r>
          </w:p>
          <w:p w:rsidR="00316C37" w:rsidRPr="00E43A05" w:rsidRDefault="00316C37" w:rsidP="00E84E42">
            <w:pPr>
              <w:spacing w:before="0"/>
              <w:ind w:firstLine="33"/>
              <w:jc w:val="center"/>
              <w:rPr>
                <w:b/>
                <w:kern w:val="0"/>
                <w:szCs w:val="28"/>
              </w:rPr>
            </w:pPr>
            <w:r w:rsidRPr="00E43A05">
              <w:rPr>
                <w:b/>
                <w:kern w:val="0"/>
                <w:szCs w:val="28"/>
              </w:rPr>
              <w:t>Độc lập - Tự do - Hạnh phúc</w:t>
            </w:r>
          </w:p>
          <w:p w:rsidR="009F2709" w:rsidRDefault="008D6587" w:rsidP="00181076">
            <w:pPr>
              <w:spacing w:before="0"/>
              <w:ind w:firstLine="33"/>
              <w:jc w:val="center"/>
              <w:rPr>
                <w:i/>
                <w:kern w:val="0"/>
                <w:szCs w:val="28"/>
              </w:rPr>
            </w:pPr>
            <w:r>
              <w:rPr>
                <w:i/>
                <w:noProof/>
                <w:kern w:val="0"/>
                <w:szCs w:val="28"/>
              </w:rPr>
              <w:pict>
                <v:shapetype id="_x0000_t32" coordsize="21600,21600" o:spt="32" o:oned="t" path="m,l21600,21600e" filled="f">
                  <v:path arrowok="t" fillok="f" o:connecttype="none"/>
                  <o:lock v:ext="edit" shapetype="t"/>
                </v:shapetype>
                <v:shape id="_x0000_s1028" type="#_x0000_t32" style="position:absolute;left:0;text-align:left;margin-left:119.35pt;margin-top:4.1pt;width:152.4pt;height:0;z-index:251663360" o:connectortype="straight"/>
              </w:pict>
            </w:r>
          </w:p>
          <w:p w:rsidR="00316C37" w:rsidRPr="00E43A05" w:rsidRDefault="00316C37" w:rsidP="000E6FBE">
            <w:pPr>
              <w:spacing w:before="0"/>
              <w:ind w:firstLine="33"/>
              <w:jc w:val="center"/>
              <w:rPr>
                <w:b/>
                <w:kern w:val="0"/>
                <w:szCs w:val="28"/>
              </w:rPr>
            </w:pPr>
            <w:r w:rsidRPr="00E43A05">
              <w:rPr>
                <w:i/>
                <w:kern w:val="0"/>
                <w:szCs w:val="28"/>
              </w:rPr>
              <w:t xml:space="preserve">Hà Nội, ngày </w:t>
            </w:r>
            <w:r w:rsidR="000E6FBE">
              <w:rPr>
                <w:i/>
                <w:kern w:val="0"/>
                <w:szCs w:val="28"/>
              </w:rPr>
              <w:t>…..</w:t>
            </w:r>
            <w:r w:rsidRPr="00E43A05">
              <w:rPr>
                <w:i/>
                <w:kern w:val="0"/>
                <w:szCs w:val="28"/>
              </w:rPr>
              <w:t xml:space="preserve"> tháng </w:t>
            </w:r>
            <w:r w:rsidR="000E6FBE">
              <w:rPr>
                <w:i/>
                <w:kern w:val="0"/>
                <w:szCs w:val="28"/>
              </w:rPr>
              <w:t xml:space="preserve">10 </w:t>
            </w:r>
            <w:r w:rsidRPr="00E43A05">
              <w:rPr>
                <w:i/>
                <w:kern w:val="0"/>
                <w:szCs w:val="28"/>
              </w:rPr>
              <w:t>năm 202</w:t>
            </w:r>
            <w:r>
              <w:rPr>
                <w:i/>
                <w:kern w:val="0"/>
                <w:szCs w:val="28"/>
              </w:rPr>
              <w:t>6</w:t>
            </w:r>
          </w:p>
        </w:tc>
      </w:tr>
    </w:tbl>
    <w:p w:rsidR="00E84E42" w:rsidRDefault="00E84E42" w:rsidP="00E84E42">
      <w:pPr>
        <w:spacing w:before="0"/>
        <w:jc w:val="center"/>
        <w:rPr>
          <w:b/>
          <w:bCs/>
        </w:rPr>
      </w:pPr>
    </w:p>
    <w:p w:rsidR="001273BF" w:rsidRPr="000E6FBE" w:rsidRDefault="006D6C25" w:rsidP="00840AF5">
      <w:pPr>
        <w:spacing w:before="0"/>
        <w:jc w:val="center"/>
        <w:rPr>
          <w:b/>
          <w:bCs/>
        </w:rPr>
      </w:pPr>
      <w:r w:rsidRPr="00E43A05">
        <w:rPr>
          <w:b/>
          <w:bCs/>
        </w:rPr>
        <w:t>BẢN SO SÁNH</w:t>
      </w:r>
      <w:r w:rsidR="009601FE">
        <w:rPr>
          <w:b/>
          <w:bCs/>
          <w:lang w:val="vi-VN"/>
        </w:rPr>
        <w:t>, THUYẾT MINH</w:t>
      </w:r>
      <w:r w:rsidR="00B66BAE" w:rsidRPr="00E43A05">
        <w:rPr>
          <w:b/>
          <w:bCs/>
        </w:rPr>
        <w:t xml:space="preserve"> QUY ĐỊNH CỦA</w:t>
      </w:r>
      <w:r w:rsidRPr="00E43A05">
        <w:rPr>
          <w:b/>
          <w:bCs/>
        </w:rPr>
        <w:t xml:space="preserve"> DỰ THẢO NGHỊ </w:t>
      </w:r>
      <w:r w:rsidR="00B66BAE" w:rsidRPr="00E43A05">
        <w:rPr>
          <w:b/>
          <w:bCs/>
        </w:rPr>
        <w:t>QUYẾ</w:t>
      </w:r>
      <w:r w:rsidR="00AA6216">
        <w:rPr>
          <w:b/>
          <w:bCs/>
        </w:rPr>
        <w:t>T</w:t>
      </w:r>
      <w:r w:rsidR="00840AF5">
        <w:rPr>
          <w:b/>
          <w:bCs/>
          <w:lang w:val="vi-VN"/>
        </w:rPr>
        <w:t xml:space="preserve"> CỦA CHÍNH PHỦ </w:t>
      </w:r>
      <w:r w:rsidR="000E6FBE">
        <w:rPr>
          <w:b/>
          <w:bCs/>
        </w:rPr>
        <w:t>BỔ SUNG MỘT SỐ</w:t>
      </w:r>
    </w:p>
    <w:p w:rsidR="001273BF" w:rsidRDefault="00840AF5" w:rsidP="00840AF5">
      <w:pPr>
        <w:spacing w:before="0"/>
        <w:jc w:val="center"/>
        <w:rPr>
          <w:b/>
          <w:bCs/>
        </w:rPr>
      </w:pPr>
      <w:r>
        <w:rPr>
          <w:b/>
          <w:bCs/>
          <w:lang w:val="vi-VN"/>
        </w:rPr>
        <w:t>CƠ CHẾ, CHÍNH SÁCH ĐẶC THÙ NHẰM ĐẨY NHANH TIẾN ĐỘ XỬ LÝ, KHAI THÁC NHÀ, ĐẤT DÔI DƯ</w:t>
      </w:r>
    </w:p>
    <w:p w:rsidR="00840AF5" w:rsidRDefault="00840AF5" w:rsidP="00840AF5">
      <w:pPr>
        <w:spacing w:before="0"/>
        <w:jc w:val="center"/>
        <w:rPr>
          <w:b/>
          <w:bCs/>
          <w:lang w:val="vi-VN"/>
        </w:rPr>
      </w:pPr>
      <w:r>
        <w:rPr>
          <w:b/>
          <w:bCs/>
          <w:lang w:val="vi-VN"/>
        </w:rPr>
        <w:t>SAU KHI SẮP XẾP, TINH GỌN TỔ CHỨC BỘ MÁY CỦA HỆ THỐNG CHÍNH TRỊ, SẮP XẾP ĐƠN VỊ HÀNH CHÍNH</w:t>
      </w:r>
    </w:p>
    <w:p w:rsidR="006A78DE" w:rsidRDefault="00B66BAE" w:rsidP="00840AF5">
      <w:pPr>
        <w:spacing w:before="0"/>
        <w:jc w:val="center"/>
        <w:rPr>
          <w:b/>
          <w:bCs/>
          <w:lang w:val="vi-VN"/>
        </w:rPr>
      </w:pPr>
      <w:r w:rsidRPr="00E43A05">
        <w:rPr>
          <w:b/>
          <w:bCs/>
        </w:rPr>
        <w:t>VỚI</w:t>
      </w:r>
      <w:r w:rsidR="00840AF5">
        <w:rPr>
          <w:b/>
          <w:bCs/>
          <w:lang w:val="vi-VN"/>
        </w:rPr>
        <w:t xml:space="preserve"> </w:t>
      </w:r>
      <w:r w:rsidRPr="00E43A05">
        <w:rPr>
          <w:b/>
          <w:bCs/>
        </w:rPr>
        <w:t>CÁC QUY ĐỊNH HIỆN HÀNH</w:t>
      </w:r>
    </w:p>
    <w:p w:rsidR="006A78DE" w:rsidRPr="00287930" w:rsidRDefault="0063734E" w:rsidP="00840AF5">
      <w:pPr>
        <w:spacing w:before="0"/>
        <w:jc w:val="center"/>
        <w:rPr>
          <w:bCs/>
          <w:i/>
        </w:rPr>
      </w:pPr>
      <w:r w:rsidRPr="00287930">
        <w:rPr>
          <w:bCs/>
          <w:i/>
        </w:rPr>
        <w:t xml:space="preserve">(kèm theo </w:t>
      </w:r>
      <w:r w:rsidR="009601FE">
        <w:rPr>
          <w:bCs/>
          <w:i/>
        </w:rPr>
        <w:t>Tờ</w:t>
      </w:r>
      <w:r w:rsidR="009601FE">
        <w:rPr>
          <w:bCs/>
          <w:i/>
          <w:lang w:val="vi-VN"/>
        </w:rPr>
        <w:t xml:space="preserve"> trình </w:t>
      </w:r>
      <w:r w:rsidRPr="00287930">
        <w:rPr>
          <w:bCs/>
          <w:i/>
        </w:rPr>
        <w:t xml:space="preserve">số </w:t>
      </w:r>
      <w:r w:rsidR="000E6FBE">
        <w:rPr>
          <w:bCs/>
          <w:i/>
        </w:rPr>
        <w:t>…..</w:t>
      </w:r>
      <w:r w:rsidR="00CF7DAB" w:rsidRPr="00287930">
        <w:rPr>
          <w:bCs/>
          <w:i/>
        </w:rPr>
        <w:t>/</w:t>
      </w:r>
      <w:r w:rsidR="009601FE">
        <w:rPr>
          <w:bCs/>
          <w:i/>
        </w:rPr>
        <w:t>TTr</w:t>
      </w:r>
      <w:r w:rsidR="009601FE">
        <w:rPr>
          <w:bCs/>
          <w:i/>
          <w:lang w:val="vi-VN"/>
        </w:rPr>
        <w:t>-BTC</w:t>
      </w:r>
      <w:r w:rsidR="00316C37" w:rsidRPr="00287930">
        <w:rPr>
          <w:bCs/>
          <w:i/>
        </w:rPr>
        <w:t xml:space="preserve"> ngày </w:t>
      </w:r>
      <w:r w:rsidR="000E6FBE">
        <w:rPr>
          <w:bCs/>
          <w:i/>
        </w:rPr>
        <w:t>…….</w:t>
      </w:r>
      <w:r w:rsidR="00316C37" w:rsidRPr="00287930">
        <w:rPr>
          <w:bCs/>
          <w:i/>
        </w:rPr>
        <w:t>/</w:t>
      </w:r>
      <w:r w:rsidR="000E6FBE">
        <w:rPr>
          <w:bCs/>
          <w:i/>
        </w:rPr>
        <w:t>10</w:t>
      </w:r>
      <w:r w:rsidR="00316C37" w:rsidRPr="00287930">
        <w:rPr>
          <w:bCs/>
          <w:i/>
        </w:rPr>
        <w:t>/2026</w:t>
      </w:r>
      <w:r w:rsidRPr="00287930">
        <w:rPr>
          <w:bCs/>
          <w:i/>
        </w:rPr>
        <w:t xml:space="preserve"> </w:t>
      </w:r>
      <w:r w:rsidR="009C5986" w:rsidRPr="00287930">
        <w:rPr>
          <w:bCs/>
          <w:i/>
        </w:rPr>
        <w:t xml:space="preserve">của Bộ </w:t>
      </w:r>
      <w:r w:rsidR="00316C37" w:rsidRPr="00287930">
        <w:rPr>
          <w:bCs/>
          <w:i/>
        </w:rPr>
        <w:t>Tài chính</w:t>
      </w:r>
      <w:r w:rsidR="009C5986" w:rsidRPr="00287930">
        <w:rPr>
          <w:bCs/>
          <w:i/>
        </w:rPr>
        <w:t>)</w:t>
      </w:r>
    </w:p>
    <w:p w:rsidR="00E84E42" w:rsidRDefault="008D6587" w:rsidP="00E84E42">
      <w:pPr>
        <w:spacing w:before="0"/>
        <w:jc w:val="center"/>
        <w:rPr>
          <w:bCs/>
          <w:spacing w:val="-6"/>
        </w:rPr>
      </w:pPr>
      <w:r>
        <w:rPr>
          <w:bCs/>
          <w:noProof/>
          <w:spacing w:val="-6"/>
        </w:rPr>
        <w:pict>
          <v:line id="Straight Connector 381396721" o:spid="_x0000_s1027" style="position:absolute;left:0;text-align:left;z-index:251659264;visibility:visible;mso-wrap-style:square;mso-width-percent:0;mso-height-percent:0;mso-wrap-distance-left:9pt;mso-wrap-distance-right:9pt;mso-position-horizontal:absolute;mso-position-horizontal-relative:text;mso-position-vertical:absolute;mso-position-vertical-relative:text;mso-width-percent:0;mso-height-percent:0;mso-width-relative:page;mso-height-relative:page" from="320.55pt,11.8pt" to="428.35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" strokecolor="black [3213]">
            <v:stroke joinstyle="miter"/>
            <o:lock v:ext="edit" shapetype="f"/>
          </v:line>
        </w:pict>
      </w:r>
    </w:p>
    <w:p w:rsidR="0019720A" w:rsidRPr="00E43A05" w:rsidRDefault="0019720A" w:rsidP="00E84E42">
      <w:pPr>
        <w:spacing w:before="0"/>
        <w:jc w:val="center"/>
        <w:rPr>
          <w:bCs/>
          <w:spacing w:val="-6"/>
        </w:rPr>
      </w:pPr>
    </w:p>
    <w:tbl>
      <w:tblPr>
        <w:tblStyle w:val="TableGrid"/>
        <w:tblW w:w="5106" w:type="pct"/>
        <w:tblInd w:w="-318" w:type="dxa"/>
        <w:tblBorders>
          <w:insideH w:val="dotted" w:sz="4" w:space="0" w:color="auto"/>
        </w:tblBorders>
        <w:tblLayout w:type="fixed"/>
        <w:tblLook w:val="04A0"/>
      </w:tblPr>
      <w:tblGrid>
        <w:gridCol w:w="7518"/>
        <w:gridCol w:w="4672"/>
        <w:gridCol w:w="3260"/>
      </w:tblGrid>
      <w:tr w:rsidR="000C119F" w:rsidRPr="000C119F" w:rsidTr="000C119F">
        <w:trPr>
          <w:tblHeader/>
        </w:trPr>
        <w:tc>
          <w:tcPr>
            <w:tcW w:w="2433" w:type="pct"/>
            <w:tcBorders>
              <w:bottom w:val="single" w:sz="4" w:space="0" w:color="auto"/>
            </w:tcBorders>
            <w:vAlign w:val="center"/>
          </w:tcPr>
          <w:p w:rsidR="006A78DE" w:rsidRPr="000C119F" w:rsidRDefault="00181DAF" w:rsidP="00E84E42">
            <w:pPr>
              <w:spacing w:before="0"/>
              <w:jc w:val="center"/>
              <w:rPr>
                <w:b/>
                <w:bCs/>
                <w:sz w:val="24"/>
                <w:szCs w:val="24"/>
              </w:rPr>
            </w:pPr>
            <w:r w:rsidRPr="000C119F">
              <w:rPr>
                <w:b/>
                <w:bCs/>
                <w:sz w:val="24"/>
                <w:szCs w:val="24"/>
              </w:rPr>
              <w:t>Quy định của pháp luật hiện hành</w:t>
            </w:r>
          </w:p>
        </w:tc>
        <w:tc>
          <w:tcPr>
            <w:tcW w:w="1512" w:type="pct"/>
            <w:tcBorders>
              <w:bottom w:val="single" w:sz="4" w:space="0" w:color="auto"/>
            </w:tcBorders>
            <w:vAlign w:val="center"/>
          </w:tcPr>
          <w:p w:rsidR="006A78DE" w:rsidRPr="000C119F" w:rsidRDefault="006D6C25" w:rsidP="00A11083">
            <w:pPr>
              <w:spacing w:before="0"/>
              <w:jc w:val="center"/>
              <w:rPr>
                <w:b/>
                <w:bCs/>
                <w:sz w:val="24"/>
                <w:szCs w:val="24"/>
              </w:rPr>
            </w:pPr>
            <w:r w:rsidRPr="000C119F">
              <w:rPr>
                <w:b/>
                <w:bCs/>
                <w:sz w:val="24"/>
                <w:szCs w:val="24"/>
              </w:rPr>
              <w:t xml:space="preserve">Dự thảo Nghị </w:t>
            </w:r>
            <w:r w:rsidR="002301B9" w:rsidRPr="000C119F">
              <w:rPr>
                <w:b/>
                <w:bCs/>
                <w:sz w:val="24"/>
                <w:szCs w:val="24"/>
              </w:rPr>
              <w:t>quyết</w:t>
            </w:r>
            <w:r w:rsidRPr="000C119F">
              <w:rPr>
                <w:b/>
                <w:bCs/>
                <w:sz w:val="24"/>
                <w:szCs w:val="24"/>
              </w:rPr>
              <w:t xml:space="preserve"> </w:t>
            </w:r>
          </w:p>
        </w:tc>
        <w:tc>
          <w:tcPr>
            <w:tcW w:w="1055" w:type="pct"/>
            <w:tcBorders>
              <w:bottom w:val="single" w:sz="4" w:space="0" w:color="auto"/>
            </w:tcBorders>
            <w:vAlign w:val="center"/>
          </w:tcPr>
          <w:p w:rsidR="006A78DE" w:rsidRPr="000C119F" w:rsidRDefault="006D6C25" w:rsidP="00E84E42">
            <w:pPr>
              <w:spacing w:before="0"/>
              <w:jc w:val="center"/>
              <w:rPr>
                <w:b/>
                <w:bCs/>
                <w:sz w:val="24"/>
                <w:szCs w:val="24"/>
                <w:lang w:val="vi-VN"/>
              </w:rPr>
            </w:pPr>
            <w:r w:rsidRPr="000C119F">
              <w:rPr>
                <w:b/>
                <w:bCs/>
                <w:sz w:val="24"/>
                <w:szCs w:val="24"/>
              </w:rPr>
              <w:t>Thuyết minh</w:t>
            </w:r>
            <w:r w:rsidR="00CD31CA" w:rsidRPr="000C119F">
              <w:rPr>
                <w:b/>
                <w:bCs/>
                <w:sz w:val="24"/>
                <w:szCs w:val="24"/>
              </w:rPr>
              <w:t xml:space="preserve"> </w:t>
            </w:r>
          </w:p>
        </w:tc>
      </w:tr>
      <w:tr w:rsidR="000C119F" w:rsidRPr="000C119F" w:rsidTr="000C119F">
        <w:tc>
          <w:tcPr>
            <w:tcW w:w="2433" w:type="pct"/>
            <w:tcBorders>
              <w:top w:val="single" w:sz="4" w:space="0" w:color="auto"/>
              <w:bottom w:val="single" w:sz="4" w:space="0" w:color="auto"/>
            </w:tcBorders>
          </w:tcPr>
          <w:p w:rsidR="00A456E3" w:rsidRPr="000C119F" w:rsidRDefault="00A456E3" w:rsidP="0071112C">
            <w:pPr>
              <w:spacing w:before="0"/>
              <w:jc w:val="both"/>
              <w:rPr>
                <w:bCs/>
                <w:i/>
                <w:sz w:val="24"/>
                <w:szCs w:val="24"/>
              </w:rPr>
            </w:pPr>
            <w:r w:rsidRPr="000C119F">
              <w:rPr>
                <w:bCs/>
                <w:i/>
                <w:sz w:val="24"/>
                <w:szCs w:val="24"/>
              </w:rPr>
              <w:t>* Điểm e k</w:t>
            </w:r>
            <w:r w:rsidR="0071112C" w:rsidRPr="000C119F">
              <w:rPr>
                <w:bCs/>
                <w:i/>
                <w:sz w:val="24"/>
                <w:szCs w:val="24"/>
              </w:rPr>
              <w:t>hoản 2 Điều 14 Nghị định số 102/2024/NĐ-CP</w:t>
            </w:r>
            <w:r w:rsidR="0071112C" w:rsidRPr="000C119F">
              <w:rPr>
                <w:bCs/>
                <w:i/>
                <w:sz w:val="24"/>
                <w:szCs w:val="24"/>
                <w:lang w:val="vi-VN"/>
              </w:rPr>
              <w:t xml:space="preserve"> (sửa đổi, bổ sung bởi Nghị định số 226/2025/NĐ-CP)</w:t>
            </w:r>
            <w:r w:rsidR="0071112C" w:rsidRPr="000C119F">
              <w:rPr>
                <w:bCs/>
                <w:i/>
                <w:sz w:val="24"/>
                <w:szCs w:val="24"/>
              </w:rPr>
              <w:t xml:space="preserve"> quy định</w:t>
            </w:r>
            <w:r w:rsidRPr="000C119F">
              <w:rPr>
                <w:bCs/>
                <w:i/>
                <w:sz w:val="24"/>
                <w:szCs w:val="24"/>
              </w:rPr>
              <w:t>:</w:t>
            </w:r>
          </w:p>
          <w:p w:rsidR="00A456E3" w:rsidRPr="000C119F" w:rsidRDefault="00A456E3" w:rsidP="0071112C">
            <w:pPr>
              <w:spacing w:before="0"/>
              <w:jc w:val="both"/>
              <w:rPr>
                <w:b/>
                <w:bCs/>
                <w:sz w:val="24"/>
                <w:szCs w:val="24"/>
              </w:rPr>
            </w:pPr>
            <w:r w:rsidRPr="000C119F">
              <w:rPr>
                <w:b/>
                <w:bCs/>
                <w:sz w:val="24"/>
                <w:szCs w:val="24"/>
              </w:rPr>
              <w:t>Điều 14. Tổ chức phát triển quỹ đất</w:t>
            </w:r>
          </w:p>
          <w:p w:rsidR="003E3BDD" w:rsidRPr="000C119F" w:rsidRDefault="003E3BDD" w:rsidP="0071112C">
            <w:pPr>
              <w:spacing w:before="0"/>
              <w:jc w:val="both"/>
              <w:rPr>
                <w:bCs/>
                <w:sz w:val="24"/>
                <w:szCs w:val="24"/>
              </w:rPr>
            </w:pPr>
            <w:r w:rsidRPr="000C119F">
              <w:rPr>
                <w:bCs/>
                <w:sz w:val="24"/>
                <w:szCs w:val="24"/>
              </w:rPr>
              <w:t>2. N</w:t>
            </w:r>
            <w:r w:rsidR="0071112C" w:rsidRPr="000C119F">
              <w:rPr>
                <w:bCs/>
                <w:sz w:val="24"/>
                <w:szCs w:val="24"/>
              </w:rPr>
              <w:t>hiệm vụ của Tổ chức phát triển quỹ đất, Chi nhánh tổ chức phát triển quỹ đất</w:t>
            </w:r>
          </w:p>
          <w:p w:rsidR="0071112C" w:rsidRPr="000C119F" w:rsidRDefault="0071112C" w:rsidP="0071112C">
            <w:pPr>
              <w:spacing w:before="0"/>
              <w:jc w:val="both"/>
              <w:rPr>
                <w:bCs/>
                <w:iCs/>
                <w:sz w:val="24"/>
                <w:szCs w:val="24"/>
              </w:rPr>
            </w:pPr>
            <w:bookmarkStart w:id="0" w:name="khoan_2_14"/>
            <w:r w:rsidRPr="000C119F">
              <w:rPr>
                <w:bCs/>
                <w:iCs/>
                <w:sz w:val="24"/>
                <w:szCs w:val="24"/>
              </w:rPr>
              <w:t>e) Lập danh mục và tổ chức cho thuê ngắn hạn các khu đất, thửa đất được giao quản lý nhưng chưa có quyết định giao đất, cho thuê đất</w:t>
            </w:r>
            <w:bookmarkEnd w:id="0"/>
            <w:r w:rsidRPr="000C119F">
              <w:rPr>
                <w:bCs/>
                <w:iCs/>
                <w:sz w:val="24"/>
                <w:szCs w:val="24"/>
              </w:rPr>
              <w:t>.</w:t>
            </w:r>
          </w:p>
          <w:p w:rsidR="00A456E3" w:rsidRPr="000C119F" w:rsidRDefault="00A456E3" w:rsidP="0071112C">
            <w:pPr>
              <w:spacing w:before="0"/>
              <w:jc w:val="both"/>
              <w:rPr>
                <w:bCs/>
                <w:i/>
                <w:sz w:val="24"/>
                <w:szCs w:val="24"/>
              </w:rPr>
            </w:pPr>
            <w:r w:rsidRPr="000C119F">
              <w:rPr>
                <w:bCs/>
                <w:i/>
                <w:sz w:val="24"/>
                <w:szCs w:val="24"/>
              </w:rPr>
              <w:t xml:space="preserve">* </w:t>
            </w:r>
            <w:r w:rsidR="0071112C" w:rsidRPr="000C119F">
              <w:rPr>
                <w:bCs/>
                <w:i/>
                <w:sz w:val="24"/>
                <w:szCs w:val="24"/>
              </w:rPr>
              <w:t>Điều 43 Nghị định số 102/2024/NĐ-CP</w:t>
            </w:r>
            <w:r w:rsidRPr="000C119F">
              <w:rPr>
                <w:bCs/>
                <w:i/>
                <w:sz w:val="24"/>
                <w:szCs w:val="24"/>
              </w:rPr>
              <w:t xml:space="preserve"> </w:t>
            </w:r>
            <w:r w:rsidRPr="000C119F">
              <w:rPr>
                <w:bCs/>
                <w:i/>
                <w:sz w:val="24"/>
                <w:szCs w:val="24"/>
                <w:lang w:val="vi-VN"/>
              </w:rPr>
              <w:t>(sửa đổi, bổ sung bởi Nghị định số 226/2025/NĐ-CP)</w:t>
            </w:r>
            <w:r w:rsidRPr="000C119F">
              <w:rPr>
                <w:bCs/>
                <w:i/>
                <w:sz w:val="24"/>
                <w:szCs w:val="24"/>
              </w:rPr>
              <w:t xml:space="preserve"> </w:t>
            </w:r>
            <w:r w:rsidR="0071112C" w:rsidRPr="000C119F">
              <w:rPr>
                <w:bCs/>
                <w:i/>
                <w:sz w:val="24"/>
                <w:szCs w:val="24"/>
              </w:rPr>
              <w:t>quy địn</w:t>
            </w:r>
            <w:r w:rsidRPr="000C119F">
              <w:rPr>
                <w:bCs/>
                <w:i/>
                <w:sz w:val="24"/>
                <w:szCs w:val="24"/>
              </w:rPr>
              <w:t>h:</w:t>
            </w:r>
          </w:p>
          <w:p w:rsidR="00A456E3" w:rsidRPr="000C119F" w:rsidRDefault="00A456E3" w:rsidP="00A456E3">
            <w:pPr>
              <w:spacing w:before="0"/>
              <w:jc w:val="both"/>
              <w:rPr>
                <w:bCs/>
                <w:sz w:val="24"/>
                <w:szCs w:val="24"/>
              </w:rPr>
            </w:pPr>
            <w:bookmarkStart w:id="1" w:name="dieu_43"/>
            <w:r w:rsidRPr="000C119F">
              <w:rPr>
                <w:b/>
                <w:bCs/>
                <w:sz w:val="24"/>
                <w:szCs w:val="24"/>
              </w:rPr>
              <w:t>Điều 43. Quản lý, khai thác quỹ đất ngắn hạn</w:t>
            </w:r>
            <w:bookmarkEnd w:id="1"/>
          </w:p>
          <w:p w:rsidR="00A456E3" w:rsidRPr="000C119F" w:rsidRDefault="00A456E3" w:rsidP="00A456E3">
            <w:pPr>
              <w:spacing w:before="0"/>
              <w:jc w:val="both"/>
              <w:rPr>
                <w:bCs/>
                <w:sz w:val="24"/>
                <w:szCs w:val="24"/>
              </w:rPr>
            </w:pPr>
            <w:bookmarkStart w:id="2" w:name="khoan_1_43"/>
            <w:r w:rsidRPr="000C119F">
              <w:rPr>
                <w:bCs/>
                <w:sz w:val="24"/>
                <w:szCs w:val="24"/>
              </w:rPr>
              <w:t>1. Căn cứ quỹ đất, tài sản gắn liền với đất do Nhà nước giao quản lý, tổ chức phát triển quỹ đất được cho thuê diện tích đất và tài sản gắn liền với đất (nếu có) theo nguyên tắc sau:</w:t>
            </w:r>
            <w:bookmarkEnd w:id="2"/>
          </w:p>
          <w:p w:rsidR="00A456E3" w:rsidRPr="000C119F" w:rsidRDefault="00A456E3" w:rsidP="00A456E3">
            <w:pPr>
              <w:spacing w:before="0"/>
              <w:jc w:val="both"/>
              <w:rPr>
                <w:bCs/>
                <w:sz w:val="24"/>
                <w:szCs w:val="24"/>
              </w:rPr>
            </w:pPr>
            <w:r w:rsidRPr="000C119F">
              <w:rPr>
                <w:bCs/>
                <w:sz w:val="24"/>
                <w:szCs w:val="24"/>
              </w:rPr>
              <w:t xml:space="preserve">a) Việc cho thuê phải lập hợp đồng, xác định việc thuê đất tạm thời tương ứng với mục đích sử dụng đất theo quy định tại </w:t>
            </w:r>
            <w:bookmarkStart w:id="3" w:name="dc_91"/>
            <w:r w:rsidRPr="000C119F">
              <w:rPr>
                <w:bCs/>
                <w:sz w:val="24"/>
                <w:szCs w:val="24"/>
              </w:rPr>
              <w:t>Điều 9 Luật Đất đai</w:t>
            </w:r>
            <w:bookmarkEnd w:id="3"/>
            <w:r w:rsidRPr="000C119F">
              <w:rPr>
                <w:bCs/>
                <w:sz w:val="24"/>
                <w:szCs w:val="24"/>
              </w:rPr>
              <w:t xml:space="preserve"> và quy định tại các </w:t>
            </w:r>
            <w:bookmarkStart w:id="4" w:name="tc_21"/>
            <w:r w:rsidRPr="000C119F">
              <w:rPr>
                <w:bCs/>
                <w:sz w:val="24"/>
                <w:szCs w:val="24"/>
              </w:rPr>
              <w:t>điều 4, 5 và 6 Nghị định này</w:t>
            </w:r>
            <w:bookmarkEnd w:id="4"/>
            <w:r w:rsidRPr="000C119F">
              <w:rPr>
                <w:bCs/>
                <w:sz w:val="24"/>
                <w:szCs w:val="24"/>
              </w:rPr>
              <w:t>. Người được thuê đất không phải thực hiện việc đăng ký đất đai, không được cấp Giấy chứng nhận;</w:t>
            </w:r>
          </w:p>
          <w:p w:rsidR="00A456E3" w:rsidRPr="000C119F" w:rsidRDefault="00A456E3" w:rsidP="00A456E3">
            <w:pPr>
              <w:spacing w:before="0"/>
              <w:jc w:val="both"/>
              <w:rPr>
                <w:bCs/>
                <w:sz w:val="24"/>
                <w:szCs w:val="24"/>
              </w:rPr>
            </w:pPr>
            <w:bookmarkStart w:id="5" w:name="diem_b_1_43"/>
            <w:r w:rsidRPr="000C119F">
              <w:rPr>
                <w:bCs/>
                <w:sz w:val="24"/>
                <w:szCs w:val="24"/>
              </w:rPr>
              <w:t>b) Thời hạn cho thuê không quá 05 năm, trong thời hạn hợp đồng khi Nhà nước thực hiện kế hoạch sử dụng đất thì phải thanh lý hợp đồng và không được bồi thường, hỗ trợ tài sản đã đầu tư trên đất. Trước khi thanh lý hợp đồng, tổ chức phát triển quỹ đất phải có văn bản thông báo cho bên thuê đất biết chậm nhất là 60 ngày.</w:t>
            </w:r>
            <w:bookmarkEnd w:id="5"/>
          </w:p>
          <w:p w:rsidR="00A456E3" w:rsidRPr="000C119F" w:rsidRDefault="00A456E3" w:rsidP="00A456E3">
            <w:pPr>
              <w:spacing w:before="0"/>
              <w:jc w:val="both"/>
              <w:rPr>
                <w:bCs/>
                <w:sz w:val="24"/>
                <w:szCs w:val="24"/>
              </w:rPr>
            </w:pPr>
            <w:bookmarkStart w:id="6" w:name="khoan_2_43"/>
            <w:r w:rsidRPr="000C119F">
              <w:rPr>
                <w:bCs/>
                <w:sz w:val="24"/>
                <w:szCs w:val="24"/>
              </w:rPr>
              <w:t>2. Đơn giá khởi điểm cho thuê đất do Chủ tịch Ủy ban nhân dân cấp có thẩm quyền cho thuê đất quyết định.</w:t>
            </w:r>
            <w:bookmarkEnd w:id="6"/>
          </w:p>
          <w:p w:rsidR="00A456E3" w:rsidRPr="000C119F" w:rsidRDefault="00A456E3" w:rsidP="00A456E3">
            <w:pPr>
              <w:spacing w:before="0"/>
              <w:jc w:val="both"/>
              <w:rPr>
                <w:bCs/>
                <w:sz w:val="24"/>
                <w:szCs w:val="24"/>
              </w:rPr>
            </w:pPr>
            <w:bookmarkStart w:id="7" w:name="khoan_3_43"/>
            <w:r w:rsidRPr="000C119F">
              <w:rPr>
                <w:bCs/>
                <w:sz w:val="24"/>
                <w:szCs w:val="24"/>
              </w:rPr>
              <w:t>3. Tiền cho thuê đất và tài sản gắn liền với đất được tính vào doanh thu và hạch toán theo quy định của pháp luật đối với đơn vị sự nghiệp công lập.</w:t>
            </w:r>
            <w:bookmarkEnd w:id="7"/>
          </w:p>
          <w:p w:rsidR="00A456E3" w:rsidRPr="000C119F" w:rsidRDefault="00A456E3" w:rsidP="00A456E3">
            <w:pPr>
              <w:spacing w:before="0"/>
              <w:jc w:val="both"/>
              <w:rPr>
                <w:bCs/>
                <w:sz w:val="24"/>
                <w:szCs w:val="24"/>
              </w:rPr>
            </w:pPr>
            <w:bookmarkStart w:id="8" w:name="khoan_4_43"/>
            <w:r w:rsidRPr="000C119F">
              <w:rPr>
                <w:bCs/>
                <w:sz w:val="24"/>
                <w:szCs w:val="24"/>
              </w:rPr>
              <w:t>4. Tổ chức, cá nhân thuê đất không được xây dựng các công trình kiên cố và phải cam kết tự nguyện tháo dỡ công trình khi được thông báo của tổ chức phát triển quỹ đất về việc chấm dứt hợp đồng, không được bồi thường về đất, tài sản và chi phí đầu tư vào đất. Tổ chức, cá nhân thuê đất phải nộp khoản tiền đặt cọc đối với trách nhiệm tháo dỡ công trình.</w:t>
            </w:r>
            <w:bookmarkEnd w:id="8"/>
          </w:p>
          <w:p w:rsidR="00A456E3" w:rsidRPr="000C119F" w:rsidRDefault="00A456E3" w:rsidP="00A456E3">
            <w:pPr>
              <w:spacing w:before="0"/>
              <w:jc w:val="both"/>
              <w:rPr>
                <w:bCs/>
                <w:sz w:val="24"/>
                <w:szCs w:val="24"/>
              </w:rPr>
            </w:pPr>
            <w:bookmarkStart w:id="9" w:name="khoan_5_43"/>
            <w:r w:rsidRPr="000C119F">
              <w:rPr>
                <w:bCs/>
                <w:sz w:val="24"/>
                <w:szCs w:val="24"/>
              </w:rPr>
              <w:t>5. Tổ chức phát triển quỹ đất có trách nhiệm lập danh mục các khu đất, thửa đất có khả năng khai thác ngắn hạn, công bố công khai trên cổng thông tin điện tử, trang thông tin điện tử của Ủy ban nhân dân cấp tỉnh, Ủy ban nhân dân</w:t>
            </w:r>
            <w:bookmarkEnd w:id="9"/>
            <w:r w:rsidRPr="000C119F">
              <w:rPr>
                <w:bCs/>
                <w:sz w:val="24"/>
                <w:szCs w:val="24"/>
              </w:rPr>
              <w:t xml:space="preserve"> </w:t>
            </w:r>
            <w:bookmarkStart w:id="10" w:name="cumtu_5_43"/>
            <w:r w:rsidRPr="000C119F">
              <w:rPr>
                <w:bCs/>
                <w:sz w:val="24"/>
                <w:szCs w:val="24"/>
              </w:rPr>
              <w:t xml:space="preserve">cấp </w:t>
            </w:r>
            <w:bookmarkEnd w:id="10"/>
            <w:r w:rsidRPr="000C119F">
              <w:rPr>
                <w:bCs/>
                <w:sz w:val="24"/>
                <w:szCs w:val="24"/>
              </w:rPr>
              <w:t xml:space="preserve">xã </w:t>
            </w:r>
            <w:bookmarkStart w:id="11" w:name="khoan_5_43_name"/>
            <w:r w:rsidRPr="000C119F">
              <w:rPr>
                <w:bCs/>
                <w:sz w:val="24"/>
                <w:szCs w:val="24"/>
              </w:rPr>
              <w:t>nơi có đất và của tổ chức phát triển quỹ đất để lựa chọn các tổ chức, cá nhân có đơn xin thuê đất và có đề xuất đơn giá thuê cao nhất trong thời hạn không quá 30 ngày kể từ ngày công bố.</w:t>
            </w:r>
            <w:bookmarkEnd w:id="11"/>
          </w:p>
          <w:p w:rsidR="00A456E3" w:rsidRPr="000C119F" w:rsidRDefault="00A456E3" w:rsidP="00A456E3">
            <w:pPr>
              <w:spacing w:before="0"/>
              <w:jc w:val="both"/>
              <w:rPr>
                <w:bCs/>
                <w:sz w:val="24"/>
                <w:szCs w:val="24"/>
              </w:rPr>
            </w:pPr>
            <w:r w:rsidRPr="000C119F">
              <w:rPr>
                <w:bCs/>
                <w:sz w:val="24"/>
                <w:szCs w:val="24"/>
              </w:rPr>
              <w:t>Trường hợp chỉ có một tổ chức hoặc cá nhân có đơn xin thuê đất và có đề xuất đơn giá thuê đất không thấp hơn đơn giá khởi điểm quy định tại khoản 2 Điều này thì tổ chức phát triển quỹ đất ký hợp đồng cho thuê đất đối với tổ chức, cá nhân đó.</w:t>
            </w:r>
          </w:p>
          <w:p w:rsidR="00A456E3" w:rsidRPr="000C119F" w:rsidRDefault="00A456E3" w:rsidP="00A456E3">
            <w:pPr>
              <w:spacing w:before="0"/>
              <w:jc w:val="both"/>
              <w:rPr>
                <w:bCs/>
                <w:sz w:val="24"/>
                <w:szCs w:val="24"/>
              </w:rPr>
            </w:pPr>
            <w:r w:rsidRPr="000C119F">
              <w:rPr>
                <w:bCs/>
                <w:sz w:val="24"/>
                <w:szCs w:val="24"/>
              </w:rPr>
              <w:t>Trường hợp hết thời hạn 30 ngày mà không có tổ chức, cá nhân xin thuê đất thì thực hiện lại việc công bố công khai theo quy định tại khoản này.</w:t>
            </w:r>
          </w:p>
          <w:p w:rsidR="00A456E3" w:rsidRPr="000C119F" w:rsidRDefault="00A456E3" w:rsidP="00A456E3">
            <w:pPr>
              <w:spacing w:before="0"/>
              <w:jc w:val="both"/>
              <w:rPr>
                <w:bCs/>
                <w:sz w:val="24"/>
                <w:szCs w:val="24"/>
              </w:rPr>
            </w:pPr>
            <w:bookmarkStart w:id="12" w:name="khoan_6_43"/>
            <w:r w:rsidRPr="000C119F">
              <w:rPr>
                <w:bCs/>
                <w:sz w:val="24"/>
                <w:szCs w:val="24"/>
              </w:rPr>
              <w:t>6. Việc cho thuê đất ngắn hạn quy định tại Điều này không phải đấu giá quyền sử dụng đất, không đấu thầu lựa chọn nhà đầu tư thực hiện dự án có sử dụng đất, không phải đáp ứng yêu cầu về sự phù hợp với quy hoạch, kế hoạch sử dụng đất như giao đất, cho thuê đất để thực hiện dự án đầu tư.</w:t>
            </w:r>
            <w:bookmarkEnd w:id="12"/>
          </w:p>
          <w:p w:rsidR="00651B2B" w:rsidRPr="000C119F" w:rsidRDefault="00A456E3" w:rsidP="00A456E3">
            <w:pPr>
              <w:spacing w:before="0"/>
              <w:jc w:val="both"/>
              <w:rPr>
                <w:bCs/>
                <w:sz w:val="24"/>
                <w:szCs w:val="24"/>
              </w:rPr>
            </w:pPr>
            <w:bookmarkStart w:id="13" w:name="khoan_7_43"/>
            <w:r w:rsidRPr="000C119F">
              <w:rPr>
                <w:bCs/>
                <w:sz w:val="24"/>
                <w:szCs w:val="24"/>
              </w:rPr>
              <w:t>7. Ủy ban nhân dân cấp tỉnh quy định cụ thể trình tự, thủ tục cho thuê quỹ đất ngắn hạn tại địa phương.</w:t>
            </w:r>
            <w:bookmarkEnd w:id="13"/>
          </w:p>
        </w:tc>
        <w:tc>
          <w:tcPr>
            <w:tcW w:w="1512" w:type="pct"/>
            <w:tcBorders>
              <w:top w:val="single" w:sz="4" w:space="0" w:color="auto"/>
              <w:bottom w:val="single" w:sz="4" w:space="0" w:color="auto"/>
            </w:tcBorders>
          </w:tcPr>
          <w:p w:rsidR="0071112C" w:rsidRPr="000C119F" w:rsidRDefault="0071112C" w:rsidP="0071112C">
            <w:pPr>
              <w:keepNext/>
              <w:keepLines/>
              <w:spacing w:before="0"/>
              <w:jc w:val="both"/>
              <w:outlineLvl w:val="0"/>
              <w:rPr>
                <w:rFonts w:eastAsia="Times New Roman"/>
                <w:b/>
                <w:kern w:val="0"/>
                <w:sz w:val="24"/>
                <w:szCs w:val="24"/>
              </w:rPr>
            </w:pPr>
            <w:r w:rsidRPr="000C119F">
              <w:rPr>
                <w:rFonts w:eastAsia="Times New Roman"/>
                <w:b/>
                <w:kern w:val="0"/>
                <w:sz w:val="24"/>
                <w:szCs w:val="24"/>
              </w:rPr>
              <w:t xml:space="preserve">Điều 2. Quản lý, khai thác đối với </w:t>
            </w:r>
            <w:r w:rsidRPr="000C119F">
              <w:rPr>
                <w:rFonts w:eastAsia="Times New Roman"/>
                <w:b/>
                <w:kern w:val="0"/>
                <w:sz w:val="24"/>
                <w:szCs w:val="24"/>
                <w:lang w:val="vi-VN"/>
              </w:rPr>
              <w:t>n</w:t>
            </w:r>
            <w:r w:rsidRPr="000C119F">
              <w:rPr>
                <w:rFonts w:eastAsia="Times New Roman"/>
                <w:b/>
                <w:kern w:val="0"/>
                <w:sz w:val="24"/>
                <w:szCs w:val="24"/>
              </w:rPr>
              <w:t>hà, đất dôi dư do tổ chức phát</w:t>
            </w:r>
            <w:r w:rsidRPr="000C119F">
              <w:rPr>
                <w:rFonts w:eastAsia="Times New Roman"/>
                <w:b/>
                <w:kern w:val="0"/>
                <w:sz w:val="24"/>
                <w:szCs w:val="24"/>
                <w:lang w:val="vi-VN"/>
              </w:rPr>
              <w:t xml:space="preserve"> triển quỹ đất</w:t>
            </w:r>
            <w:r w:rsidRPr="000C119F">
              <w:rPr>
                <w:rFonts w:eastAsia="Times New Roman"/>
                <w:b/>
                <w:kern w:val="0"/>
                <w:sz w:val="24"/>
                <w:szCs w:val="24"/>
              </w:rPr>
              <w:t>, Ủy ban nhân dân cấp xã tiếp nhận theo quyết định của cơ quan, người có thẩm quyền từ ngày 01 tháng 3 năm 2025</w:t>
            </w:r>
            <w:r w:rsidRPr="000C119F">
              <w:rPr>
                <w:rFonts w:eastAsia="Times New Roman"/>
                <w:b/>
                <w:kern w:val="0"/>
                <w:sz w:val="24"/>
                <w:szCs w:val="24"/>
                <w:lang w:val="vi-VN"/>
              </w:rPr>
              <w:t xml:space="preserve"> để quản lý, khai thác theo quy định của pháp luật về đất đai</w:t>
            </w:r>
            <w:r w:rsidRPr="000C119F">
              <w:rPr>
                <w:rFonts w:eastAsia="Times New Roman"/>
                <w:b/>
                <w:kern w:val="0"/>
                <w:sz w:val="24"/>
                <w:szCs w:val="24"/>
              </w:rPr>
              <w:t xml:space="preserve"> </w:t>
            </w:r>
          </w:p>
          <w:p w:rsidR="0071112C" w:rsidRPr="000C119F" w:rsidRDefault="0071112C" w:rsidP="0071112C">
            <w:pPr>
              <w:keepNext/>
              <w:keepLines/>
              <w:spacing w:before="0"/>
              <w:jc w:val="both"/>
              <w:outlineLvl w:val="0"/>
              <w:rPr>
                <w:rFonts w:eastAsia="Times New Roman"/>
                <w:kern w:val="0"/>
                <w:sz w:val="24"/>
                <w:szCs w:val="24"/>
              </w:rPr>
            </w:pPr>
            <w:r w:rsidRPr="000C119F">
              <w:rPr>
                <w:rFonts w:eastAsia="Times New Roman"/>
                <w:kern w:val="0"/>
                <w:sz w:val="24"/>
                <w:szCs w:val="24"/>
              </w:rPr>
              <w:t>1. Đối</w:t>
            </w:r>
            <w:r w:rsidRPr="000C119F">
              <w:rPr>
                <w:rFonts w:eastAsia="Times New Roman"/>
                <w:kern w:val="0"/>
                <w:sz w:val="24"/>
                <w:szCs w:val="24"/>
                <w:lang w:val="vi-VN"/>
              </w:rPr>
              <w:t xml:space="preserve"> với n</w:t>
            </w:r>
            <w:r w:rsidRPr="000C119F">
              <w:rPr>
                <w:rFonts w:eastAsia="Times New Roman"/>
                <w:kern w:val="0"/>
                <w:sz w:val="24"/>
                <w:szCs w:val="24"/>
              </w:rPr>
              <w:t>hà, đất dôi dư do tổ chức phát</w:t>
            </w:r>
            <w:r w:rsidRPr="000C119F">
              <w:rPr>
                <w:rFonts w:eastAsia="Times New Roman"/>
                <w:kern w:val="0"/>
                <w:sz w:val="24"/>
                <w:szCs w:val="24"/>
                <w:lang w:val="vi-VN"/>
              </w:rPr>
              <w:t xml:space="preserve"> triển quỹ đất</w:t>
            </w:r>
            <w:r w:rsidRPr="000C119F">
              <w:rPr>
                <w:rFonts w:eastAsia="Times New Roman"/>
                <w:kern w:val="0"/>
                <w:sz w:val="24"/>
                <w:szCs w:val="24"/>
              </w:rPr>
              <w:t xml:space="preserve"> tiếp nhận theo quyết định hoặc văn bản phân công của cơ quan, người có thẩm quyền </w:t>
            </w:r>
            <w:r w:rsidRPr="000C119F">
              <w:rPr>
                <w:rFonts w:eastAsia="Times New Roman"/>
                <w:kern w:val="0"/>
                <w:sz w:val="24"/>
                <w:szCs w:val="24"/>
                <w:lang w:val="vi-VN"/>
              </w:rPr>
              <w:t xml:space="preserve">để quản lý, khai thác theo quy định của pháp luật về đất đai thì việc giao đất, cho thuê đất, cho thuê đất ngắn hạn </w:t>
            </w:r>
            <w:r w:rsidRPr="000C119F">
              <w:rPr>
                <w:rFonts w:eastAsia="Times New Roman"/>
                <w:kern w:val="0"/>
                <w:sz w:val="24"/>
                <w:szCs w:val="24"/>
              </w:rPr>
              <w:t xml:space="preserve">được thực hiện </w:t>
            </w:r>
            <w:r w:rsidRPr="000C119F">
              <w:rPr>
                <w:rFonts w:eastAsia="Times New Roman"/>
                <w:kern w:val="0"/>
                <w:sz w:val="24"/>
                <w:szCs w:val="24"/>
                <w:lang w:val="vi-VN"/>
              </w:rPr>
              <w:t xml:space="preserve">theo quy định của </w:t>
            </w:r>
            <w:r w:rsidRPr="000C119F">
              <w:rPr>
                <w:rFonts w:eastAsia="Times New Roman"/>
                <w:kern w:val="0"/>
                <w:sz w:val="24"/>
                <w:szCs w:val="24"/>
              </w:rPr>
              <w:t>pháp luật về đất đai và pháp luật có liên quan.</w:t>
            </w:r>
          </w:p>
          <w:p w:rsidR="0071112C" w:rsidRPr="000C119F" w:rsidRDefault="0071112C" w:rsidP="0071112C">
            <w:pPr>
              <w:keepNext/>
              <w:keepLines/>
              <w:spacing w:before="0"/>
              <w:jc w:val="both"/>
              <w:outlineLvl w:val="0"/>
              <w:rPr>
                <w:rFonts w:eastAsia="Times New Roman"/>
                <w:kern w:val="0"/>
                <w:sz w:val="24"/>
                <w:szCs w:val="24"/>
              </w:rPr>
            </w:pPr>
            <w:r w:rsidRPr="000C119F">
              <w:rPr>
                <w:rFonts w:eastAsia="Times New Roman"/>
                <w:kern w:val="0"/>
                <w:sz w:val="24"/>
                <w:szCs w:val="24"/>
                <w:lang w:val="vi-VN"/>
              </w:rPr>
              <w:t xml:space="preserve">Trường hợp tổ chức phát triển quỹ đất đề </w:t>
            </w:r>
            <w:r w:rsidRPr="000C119F">
              <w:rPr>
                <w:rFonts w:eastAsia="Times New Roman"/>
                <w:kern w:val="0"/>
                <w:sz w:val="24"/>
                <w:szCs w:val="24"/>
              </w:rPr>
              <w:t>nghị</w:t>
            </w:r>
            <w:r w:rsidRPr="000C119F">
              <w:rPr>
                <w:rFonts w:eastAsia="Times New Roman"/>
                <w:kern w:val="0"/>
                <w:sz w:val="24"/>
                <w:szCs w:val="24"/>
                <w:lang w:val="vi-VN"/>
              </w:rPr>
              <w:t xml:space="preserve"> và C</w:t>
            </w:r>
            <w:r w:rsidRPr="000C119F">
              <w:rPr>
                <w:rFonts w:eastAsia="Times New Roman"/>
                <w:kern w:val="0"/>
                <w:sz w:val="24"/>
                <w:szCs w:val="24"/>
              </w:rPr>
              <w:t>hủ tịch</w:t>
            </w:r>
            <w:r w:rsidRPr="000C119F">
              <w:rPr>
                <w:rFonts w:eastAsia="Times New Roman"/>
                <w:kern w:val="0"/>
                <w:sz w:val="24"/>
                <w:szCs w:val="24"/>
                <w:lang w:val="vi-VN"/>
              </w:rPr>
              <w:t xml:space="preserve"> </w:t>
            </w:r>
            <w:r w:rsidRPr="000C119F">
              <w:rPr>
                <w:rFonts w:eastAsia="Times New Roman"/>
                <w:bCs/>
                <w:kern w:val="0"/>
                <w:sz w:val="24"/>
                <w:szCs w:val="24"/>
              </w:rPr>
              <w:t>Ủy</w:t>
            </w:r>
            <w:r w:rsidRPr="000C119F">
              <w:rPr>
                <w:rFonts w:eastAsia="Times New Roman"/>
                <w:bCs/>
                <w:kern w:val="0"/>
                <w:sz w:val="24"/>
                <w:szCs w:val="24"/>
                <w:lang w:val="vi-VN"/>
              </w:rPr>
              <w:t xml:space="preserve"> ban nhân dân cấp</w:t>
            </w:r>
            <w:r w:rsidRPr="000C119F">
              <w:rPr>
                <w:rFonts w:eastAsia="Times New Roman"/>
                <w:bCs/>
                <w:kern w:val="0"/>
                <w:sz w:val="24"/>
                <w:szCs w:val="24"/>
              </w:rPr>
              <w:t xml:space="preserve"> tỉnh</w:t>
            </w:r>
            <w:r w:rsidRPr="000C119F">
              <w:rPr>
                <w:rFonts w:eastAsia="Times New Roman"/>
                <w:bCs/>
                <w:kern w:val="0"/>
                <w:sz w:val="24"/>
                <w:szCs w:val="24"/>
                <w:lang w:val="vi-VN"/>
              </w:rPr>
              <w:t xml:space="preserve"> </w:t>
            </w:r>
            <w:r w:rsidRPr="000C119F">
              <w:rPr>
                <w:rFonts w:eastAsia="Times New Roman"/>
                <w:kern w:val="0"/>
                <w:sz w:val="24"/>
                <w:szCs w:val="24"/>
              </w:rPr>
              <w:t>đồng ý</w:t>
            </w:r>
            <w:r w:rsidRPr="000C119F">
              <w:rPr>
                <w:rFonts w:eastAsia="Times New Roman"/>
                <w:kern w:val="0"/>
                <w:sz w:val="24"/>
                <w:szCs w:val="24"/>
                <w:lang w:val="vi-VN"/>
              </w:rPr>
              <w:t xml:space="preserve"> thì tổ chức phát triển quỹ đất được </w:t>
            </w:r>
            <w:r w:rsidRPr="000C119F">
              <w:rPr>
                <w:rFonts w:eastAsia="Times New Roman"/>
                <w:kern w:val="0"/>
                <w:sz w:val="24"/>
                <w:szCs w:val="24"/>
              </w:rPr>
              <w:t xml:space="preserve">cho thuê nhà, đất dôi dư đã tiếp nhận như tổ chức có chức năng quản lý, kinh doanh nhà địa phương (sau đây gọi là tổ chức quản lý, kinh doanh nhà) theo quy định tại </w:t>
            </w:r>
            <w:r w:rsidRPr="000C119F">
              <w:rPr>
                <w:rFonts w:eastAsia="Times New Roman"/>
                <w:kern w:val="0"/>
                <w:sz w:val="24"/>
                <w:szCs w:val="24"/>
                <w:lang w:val="vi-VN"/>
              </w:rPr>
              <w:t>Nghị định số 108/2024/NĐ-CP</w:t>
            </w:r>
            <w:r w:rsidRPr="000C119F">
              <w:rPr>
                <w:rFonts w:eastAsia="Times New Roman"/>
                <w:iCs/>
                <w:kern w:val="0"/>
                <w:sz w:val="24"/>
                <w:szCs w:val="24"/>
                <w:lang w:val="vi-VN"/>
              </w:rPr>
              <w:t xml:space="preserve"> </w:t>
            </w:r>
            <w:r w:rsidRPr="000C119F">
              <w:rPr>
                <w:rFonts w:eastAsia="Times New Roman"/>
                <w:iCs/>
                <w:kern w:val="0"/>
                <w:sz w:val="24"/>
                <w:szCs w:val="24"/>
              </w:rPr>
              <w:t>ngày 23 tháng 8 năm 2024 của Chính phủ (</w:t>
            </w:r>
            <w:r w:rsidRPr="000C119F">
              <w:rPr>
                <w:rFonts w:eastAsia="Times New Roman"/>
                <w:iCs/>
                <w:kern w:val="0"/>
                <w:sz w:val="24"/>
                <w:szCs w:val="24"/>
                <w:lang w:val="vi-VN"/>
              </w:rPr>
              <w:t xml:space="preserve">được sửa đổi, bổ sung tại Điều 1 Nghị định số </w:t>
            </w:r>
            <w:r w:rsidRPr="000C119F">
              <w:rPr>
                <w:rFonts w:eastAsia="Times New Roman"/>
                <w:kern w:val="0"/>
                <w:sz w:val="24"/>
                <w:szCs w:val="24"/>
                <w:lang w:val="vi-VN"/>
              </w:rPr>
              <w:t xml:space="preserve">286/2025/NĐ-CP ngày </w:t>
            </w:r>
            <w:r w:rsidRPr="000C119F">
              <w:rPr>
                <w:rFonts w:eastAsia="Times New Roman"/>
                <w:kern w:val="0"/>
                <w:sz w:val="24"/>
                <w:szCs w:val="24"/>
              </w:rPr>
              <w:t>03 tháng 11 năm 2025 của Chính phủ</w:t>
            </w:r>
            <w:r w:rsidRPr="000C119F">
              <w:rPr>
                <w:rFonts w:eastAsia="Times New Roman"/>
                <w:iCs/>
                <w:kern w:val="0"/>
                <w:sz w:val="24"/>
                <w:szCs w:val="24"/>
              </w:rPr>
              <w:t>),</w:t>
            </w:r>
            <w:r w:rsidRPr="000C119F">
              <w:rPr>
                <w:rFonts w:eastAsia="Times New Roman"/>
                <w:kern w:val="0"/>
                <w:sz w:val="24"/>
                <w:szCs w:val="24"/>
              </w:rPr>
              <w:t xml:space="preserve"> Nghị quyết số 31/2026/NQ-CP trong thời gian chưa thực hiện giao đất, cho thuê đất theo quy định của pháp luật về đất đai mà không phải làm thủ tục bổ sung nhiệm vụ quản lý, kinh doanh nhà cho tổ chức phát triển quỹ đất; riêng t</w:t>
            </w:r>
            <w:r w:rsidRPr="000C119F">
              <w:rPr>
                <w:rFonts w:eastAsia="Times New Roman"/>
                <w:kern w:val="0"/>
                <w:sz w:val="24"/>
                <w:szCs w:val="24"/>
                <w:lang w:val="vi-VN"/>
              </w:rPr>
              <w:t>hời hạn cho thuê</w:t>
            </w:r>
            <w:r w:rsidRPr="000C119F">
              <w:rPr>
                <w:rFonts w:eastAsia="Times New Roman"/>
                <w:kern w:val="0"/>
                <w:sz w:val="24"/>
                <w:szCs w:val="24"/>
              </w:rPr>
              <w:t xml:space="preserve"> </w:t>
            </w:r>
            <w:r w:rsidRPr="000C119F">
              <w:rPr>
                <w:rFonts w:eastAsia="Times New Roman"/>
                <w:kern w:val="0"/>
                <w:sz w:val="24"/>
                <w:szCs w:val="24"/>
                <w:lang w:val="vi-VN"/>
              </w:rPr>
              <w:t>tối đa là 05 năm.</w:t>
            </w:r>
          </w:p>
          <w:p w:rsidR="0071112C" w:rsidRPr="000C119F" w:rsidRDefault="0071112C" w:rsidP="0071112C">
            <w:pPr>
              <w:keepNext/>
              <w:keepLines/>
              <w:spacing w:before="0"/>
              <w:jc w:val="both"/>
              <w:outlineLvl w:val="0"/>
              <w:rPr>
                <w:rFonts w:eastAsia="Times New Roman"/>
                <w:kern w:val="0"/>
                <w:sz w:val="24"/>
                <w:szCs w:val="24"/>
              </w:rPr>
            </w:pPr>
            <w:r w:rsidRPr="000C119F">
              <w:rPr>
                <w:rFonts w:eastAsia="Times New Roman"/>
                <w:kern w:val="0"/>
                <w:sz w:val="24"/>
                <w:szCs w:val="24"/>
              </w:rPr>
              <w:t>2. Đối</w:t>
            </w:r>
            <w:r w:rsidRPr="000C119F">
              <w:rPr>
                <w:rFonts w:eastAsia="Times New Roman"/>
                <w:kern w:val="0"/>
                <w:sz w:val="24"/>
                <w:szCs w:val="24"/>
                <w:lang w:val="vi-VN"/>
              </w:rPr>
              <w:t xml:space="preserve"> với n</w:t>
            </w:r>
            <w:r w:rsidRPr="000C119F">
              <w:rPr>
                <w:rFonts w:eastAsia="Times New Roman"/>
                <w:kern w:val="0"/>
                <w:sz w:val="24"/>
                <w:szCs w:val="24"/>
              </w:rPr>
              <w:t>hà, đất dôi dư do Ủy ban nhân dân cấp xã</w:t>
            </w:r>
            <w:r w:rsidRPr="000C119F">
              <w:rPr>
                <w:rFonts w:eastAsia="Times New Roman"/>
                <w:kern w:val="0"/>
                <w:sz w:val="24"/>
                <w:szCs w:val="24"/>
                <w:lang w:val="vi-VN"/>
              </w:rPr>
              <w:t xml:space="preserve"> </w:t>
            </w:r>
            <w:r w:rsidRPr="000C119F">
              <w:rPr>
                <w:rFonts w:eastAsia="Times New Roman"/>
                <w:kern w:val="0"/>
                <w:sz w:val="24"/>
                <w:szCs w:val="24"/>
              </w:rPr>
              <w:t xml:space="preserve">tiếp nhận theo quyết định hoặc văn bản phân công của cơ quan, người có thẩm quyền </w:t>
            </w:r>
            <w:r w:rsidRPr="000C119F">
              <w:rPr>
                <w:rFonts w:eastAsia="Times New Roman"/>
                <w:kern w:val="0"/>
                <w:sz w:val="24"/>
                <w:szCs w:val="24"/>
                <w:lang w:val="vi-VN"/>
              </w:rPr>
              <w:t>để quản lý, khai thác theo quy định của pháp luật về đất đai thì việc giao đất, cho thuê đất</w:t>
            </w:r>
            <w:r w:rsidRPr="000C119F">
              <w:rPr>
                <w:rFonts w:eastAsia="Times New Roman"/>
                <w:kern w:val="0"/>
                <w:sz w:val="24"/>
                <w:szCs w:val="24"/>
              </w:rPr>
              <w:t xml:space="preserve"> thực hiện </w:t>
            </w:r>
            <w:r w:rsidRPr="000C119F">
              <w:rPr>
                <w:rFonts w:eastAsia="Times New Roman"/>
                <w:kern w:val="0"/>
                <w:sz w:val="24"/>
                <w:szCs w:val="24"/>
                <w:lang w:val="vi-VN"/>
              </w:rPr>
              <w:t xml:space="preserve">theo quy định của </w:t>
            </w:r>
            <w:r w:rsidRPr="000C119F">
              <w:rPr>
                <w:rFonts w:eastAsia="Times New Roman"/>
                <w:kern w:val="0"/>
                <w:sz w:val="24"/>
                <w:szCs w:val="24"/>
              </w:rPr>
              <w:t>pháp luật về đất đai và pháp luật có liên quan.</w:t>
            </w:r>
          </w:p>
          <w:p w:rsidR="0071112C" w:rsidRPr="000C119F" w:rsidRDefault="0071112C" w:rsidP="0071112C">
            <w:pPr>
              <w:keepNext/>
              <w:keepLines/>
              <w:spacing w:before="0"/>
              <w:jc w:val="both"/>
              <w:outlineLvl w:val="0"/>
              <w:rPr>
                <w:rFonts w:eastAsia="Times New Roman"/>
                <w:kern w:val="0"/>
                <w:sz w:val="24"/>
                <w:szCs w:val="24"/>
              </w:rPr>
            </w:pPr>
            <w:r w:rsidRPr="000C119F">
              <w:rPr>
                <w:rFonts w:eastAsia="Times New Roman"/>
                <w:kern w:val="0"/>
                <w:sz w:val="24"/>
                <w:szCs w:val="24"/>
                <w:lang w:val="vi-VN"/>
              </w:rPr>
              <w:t xml:space="preserve">Trường hợp </w:t>
            </w:r>
            <w:r w:rsidRPr="000C119F">
              <w:rPr>
                <w:rFonts w:eastAsia="Times New Roman"/>
                <w:kern w:val="0"/>
                <w:sz w:val="24"/>
                <w:szCs w:val="24"/>
              </w:rPr>
              <w:t>Ủy ban nhân dân cấp xã</w:t>
            </w:r>
            <w:r w:rsidRPr="000C119F">
              <w:rPr>
                <w:rFonts w:eastAsia="Times New Roman"/>
                <w:kern w:val="0"/>
                <w:sz w:val="24"/>
                <w:szCs w:val="24"/>
                <w:lang w:val="vi-VN"/>
              </w:rPr>
              <w:t xml:space="preserve"> có nhu cầu khai thác ngắn hạn trong thời gian chưa thực hiện việc giao đất, cho thuê đất </w:t>
            </w:r>
            <w:r w:rsidRPr="000C119F">
              <w:rPr>
                <w:rFonts w:eastAsia="Times New Roman"/>
                <w:kern w:val="0"/>
                <w:sz w:val="24"/>
                <w:szCs w:val="24"/>
              </w:rPr>
              <w:t xml:space="preserve">theo quy định tại pháp luật về đất đai </w:t>
            </w:r>
            <w:r w:rsidRPr="000C119F">
              <w:rPr>
                <w:rFonts w:eastAsia="Times New Roman"/>
                <w:kern w:val="0"/>
                <w:sz w:val="24"/>
                <w:szCs w:val="24"/>
                <w:lang w:val="vi-VN"/>
              </w:rPr>
              <w:t>thì</w:t>
            </w:r>
            <w:r w:rsidRPr="000C119F">
              <w:rPr>
                <w:rFonts w:eastAsia="Times New Roman"/>
                <w:kern w:val="0"/>
                <w:sz w:val="24"/>
                <w:szCs w:val="24"/>
              </w:rPr>
              <w:t xml:space="preserve"> Chủ tịch Ủy ban nhân dân cấp xã được</w:t>
            </w:r>
            <w:r w:rsidRPr="000C119F">
              <w:rPr>
                <w:rFonts w:eastAsia="Times New Roman"/>
                <w:kern w:val="0"/>
                <w:sz w:val="24"/>
                <w:szCs w:val="24"/>
                <w:lang w:val="vi-VN"/>
              </w:rPr>
              <w:t xml:space="preserve"> giao đơn vị sự nghiệp công lập </w:t>
            </w:r>
            <w:r w:rsidRPr="000C119F">
              <w:rPr>
                <w:rFonts w:eastAsia="Times New Roman"/>
                <w:kern w:val="0"/>
                <w:sz w:val="24"/>
                <w:szCs w:val="24"/>
              </w:rPr>
              <w:t xml:space="preserve">trong </w:t>
            </w:r>
            <w:r w:rsidRPr="000C119F">
              <w:rPr>
                <w:rFonts w:eastAsia="Times New Roman"/>
                <w:kern w:val="0"/>
                <w:sz w:val="24"/>
                <w:szCs w:val="24"/>
                <w:lang w:val="vi-VN"/>
              </w:rPr>
              <w:t>lĩnh vực kinh</w:t>
            </w:r>
            <w:r w:rsidRPr="000C119F">
              <w:rPr>
                <w:rFonts w:eastAsia="Times New Roman"/>
                <w:kern w:val="0"/>
                <w:sz w:val="24"/>
                <w:szCs w:val="24"/>
              </w:rPr>
              <w:t xml:space="preserve"> </w:t>
            </w:r>
            <w:r w:rsidRPr="000C119F">
              <w:rPr>
                <w:rFonts w:eastAsia="Times New Roman"/>
                <w:kern w:val="0"/>
                <w:sz w:val="24"/>
                <w:szCs w:val="24"/>
                <w:lang w:val="vi-VN"/>
              </w:rPr>
              <w:t xml:space="preserve">tế </w:t>
            </w:r>
            <w:r w:rsidRPr="000C119F">
              <w:rPr>
                <w:rFonts w:eastAsia="Times New Roman"/>
                <w:kern w:val="0"/>
                <w:sz w:val="24"/>
                <w:szCs w:val="24"/>
              </w:rPr>
              <w:t>trực thuộc Ủy ban nhân dân cấp xã</w:t>
            </w:r>
            <w:r w:rsidRPr="000C119F">
              <w:rPr>
                <w:rFonts w:eastAsia="Times New Roman"/>
                <w:kern w:val="0"/>
                <w:sz w:val="24"/>
                <w:szCs w:val="24"/>
                <w:lang w:val="vi-VN"/>
              </w:rPr>
              <w:t xml:space="preserve"> </w:t>
            </w:r>
            <w:r w:rsidRPr="000C119F">
              <w:rPr>
                <w:rFonts w:eastAsia="Times New Roman"/>
                <w:kern w:val="0"/>
                <w:sz w:val="24"/>
                <w:szCs w:val="24"/>
              </w:rPr>
              <w:t xml:space="preserve">cho thuê nhà, đất dôi dư đã tiếp nhận như tổ chức quản lý, kinh doanh nhà theo quy định tại </w:t>
            </w:r>
            <w:r w:rsidRPr="000C119F">
              <w:rPr>
                <w:rFonts w:eastAsia="Times New Roman"/>
                <w:kern w:val="0"/>
                <w:sz w:val="24"/>
                <w:szCs w:val="24"/>
                <w:lang w:val="vi-VN"/>
              </w:rPr>
              <w:t>Nghị định số 108/2024/NĐ-CP</w:t>
            </w:r>
            <w:r w:rsidRPr="000C119F">
              <w:rPr>
                <w:rFonts w:eastAsia="Times New Roman"/>
                <w:iCs/>
                <w:kern w:val="0"/>
                <w:sz w:val="24"/>
                <w:szCs w:val="24"/>
                <w:lang w:val="vi-VN"/>
              </w:rPr>
              <w:t xml:space="preserve"> </w:t>
            </w:r>
            <w:r w:rsidRPr="000C119F">
              <w:rPr>
                <w:rFonts w:eastAsia="Times New Roman"/>
                <w:iCs/>
                <w:kern w:val="0"/>
                <w:sz w:val="24"/>
                <w:szCs w:val="24"/>
              </w:rPr>
              <w:t>(</w:t>
            </w:r>
            <w:r w:rsidRPr="000C119F">
              <w:rPr>
                <w:rFonts w:eastAsia="Times New Roman"/>
                <w:iCs/>
                <w:kern w:val="0"/>
                <w:sz w:val="24"/>
                <w:szCs w:val="24"/>
                <w:lang w:val="vi-VN"/>
              </w:rPr>
              <w:t xml:space="preserve">được sửa đổi, bổ sung tại Điều 1 Nghị định số </w:t>
            </w:r>
            <w:r w:rsidRPr="000C119F">
              <w:rPr>
                <w:rFonts w:eastAsia="Times New Roman"/>
                <w:kern w:val="0"/>
                <w:sz w:val="24"/>
                <w:szCs w:val="24"/>
                <w:lang w:val="vi-VN"/>
              </w:rPr>
              <w:t>286/2025/NĐ-CP</w:t>
            </w:r>
            <w:r w:rsidRPr="000C119F">
              <w:rPr>
                <w:rFonts w:eastAsia="Times New Roman"/>
                <w:iCs/>
                <w:kern w:val="0"/>
                <w:sz w:val="24"/>
                <w:szCs w:val="24"/>
              </w:rPr>
              <w:t>),</w:t>
            </w:r>
            <w:r w:rsidRPr="000C119F">
              <w:rPr>
                <w:rFonts w:eastAsia="Times New Roman"/>
                <w:kern w:val="0"/>
                <w:sz w:val="24"/>
                <w:szCs w:val="24"/>
              </w:rPr>
              <w:t xml:space="preserve"> Nghị quyết số 31/2026/NQ-CP trong thời gian chưa thực hiện giao đất, cho thuê đất theo quy định của pháp luật về đất đai mà không phải làm thủ tục bổ sung nhiệm vụ quản lý, kinh doanh nhà cho đơn vị sự nghiệp công lập; riêng t</w:t>
            </w:r>
            <w:r w:rsidRPr="000C119F">
              <w:rPr>
                <w:rFonts w:eastAsia="Times New Roman"/>
                <w:kern w:val="0"/>
                <w:sz w:val="24"/>
                <w:szCs w:val="24"/>
                <w:lang w:val="vi-VN"/>
              </w:rPr>
              <w:t>hời hạn cho thuê</w:t>
            </w:r>
            <w:r w:rsidRPr="000C119F">
              <w:rPr>
                <w:rFonts w:eastAsia="Times New Roman"/>
                <w:kern w:val="0"/>
                <w:sz w:val="24"/>
                <w:szCs w:val="24"/>
              </w:rPr>
              <w:t xml:space="preserve"> </w:t>
            </w:r>
            <w:r w:rsidRPr="000C119F">
              <w:rPr>
                <w:rFonts w:eastAsia="Times New Roman"/>
                <w:kern w:val="0"/>
                <w:sz w:val="24"/>
                <w:szCs w:val="24"/>
                <w:lang w:val="vi-VN"/>
              </w:rPr>
              <w:t>tối đa là 05 năm.</w:t>
            </w:r>
          </w:p>
          <w:p w:rsidR="004955B4" w:rsidRPr="000C119F" w:rsidRDefault="0071112C" w:rsidP="005F0B55">
            <w:pPr>
              <w:keepNext/>
              <w:keepLines/>
              <w:spacing w:before="0"/>
              <w:jc w:val="both"/>
              <w:outlineLvl w:val="0"/>
              <w:rPr>
                <w:rFonts w:eastAsia="Times New Roman"/>
                <w:kern w:val="0"/>
                <w:sz w:val="24"/>
                <w:szCs w:val="24"/>
              </w:rPr>
            </w:pPr>
            <w:r w:rsidRPr="000C119F">
              <w:rPr>
                <w:rFonts w:eastAsia="Times New Roman"/>
                <w:kern w:val="0"/>
                <w:sz w:val="24"/>
                <w:szCs w:val="24"/>
              </w:rPr>
              <w:t>3. Trong thời hạn thuê nhà theo quy định tại khoản 1, khoản 2 Điều này mà Nhà nước thực hiện kế hoạch sử dụng đất thì phải chấm dứt Hợp đồng trước hạn và thực hiện theo quy định tại Nghị quyết số 31/2026/NQ-CP</w:t>
            </w:r>
            <w:r w:rsidR="000C119F">
              <w:rPr>
                <w:rFonts w:eastAsia="Times New Roman"/>
                <w:kern w:val="0"/>
                <w:sz w:val="24"/>
                <w:szCs w:val="24"/>
              </w:rPr>
              <w:t>.</w:t>
            </w:r>
          </w:p>
        </w:tc>
        <w:tc>
          <w:tcPr>
            <w:tcW w:w="1055" w:type="pct"/>
            <w:tcBorders>
              <w:top w:val="single" w:sz="4" w:space="0" w:color="auto"/>
              <w:bottom w:val="single" w:sz="4" w:space="0" w:color="auto"/>
            </w:tcBorders>
          </w:tcPr>
          <w:p w:rsidR="000E6FBE" w:rsidRPr="000C119F" w:rsidRDefault="004955B4" w:rsidP="004955B4">
            <w:pPr>
              <w:spacing w:before="20" w:after="20"/>
              <w:ind w:left="34" w:hanging="34"/>
              <w:jc w:val="both"/>
              <w:rPr>
                <w:rFonts w:eastAsia="Times New Roman"/>
                <w:spacing w:val="-2"/>
                <w:kern w:val="0"/>
                <w:sz w:val="24"/>
                <w:szCs w:val="24"/>
              </w:rPr>
            </w:pPr>
            <w:r w:rsidRPr="000C119F">
              <w:rPr>
                <w:spacing w:val="-2"/>
                <w:sz w:val="24"/>
                <w:szCs w:val="24"/>
              </w:rPr>
              <w:lastRenderedPageBreak/>
              <w:t xml:space="preserve"> Dự thảo quy định </w:t>
            </w:r>
            <w:r w:rsidR="000E6FBE" w:rsidRPr="000C119F">
              <w:rPr>
                <w:rFonts w:eastAsia="Times New Roman"/>
                <w:spacing w:val="-2"/>
                <w:kern w:val="0"/>
                <w:sz w:val="24"/>
                <w:szCs w:val="24"/>
              </w:rPr>
              <w:t xml:space="preserve">nhà, đất dôi dư được giao để quản lý, khai thác theo quy định của pháp luật về đất đai thì được quản lý, khai thác nhà, đất theo quy định tại </w:t>
            </w:r>
            <w:r w:rsidR="000E6FBE" w:rsidRPr="000C119F">
              <w:rPr>
                <w:rFonts w:eastAsia="Times New Roman"/>
                <w:spacing w:val="-2"/>
                <w:kern w:val="0"/>
                <w:sz w:val="24"/>
                <w:szCs w:val="24"/>
                <w:lang w:val="vi-VN"/>
              </w:rPr>
              <w:t>Nghị định số 108/2024/NĐ-CP</w:t>
            </w:r>
            <w:r w:rsidR="000E6FBE" w:rsidRPr="000C119F">
              <w:rPr>
                <w:rFonts w:eastAsia="Times New Roman"/>
                <w:iCs/>
                <w:spacing w:val="-2"/>
                <w:kern w:val="0"/>
                <w:sz w:val="24"/>
                <w:szCs w:val="24"/>
              </w:rPr>
              <w:t>,</w:t>
            </w:r>
            <w:r w:rsidR="000E6FBE" w:rsidRPr="000C119F">
              <w:rPr>
                <w:rFonts w:eastAsia="Times New Roman"/>
                <w:spacing w:val="-2"/>
                <w:kern w:val="0"/>
                <w:sz w:val="24"/>
                <w:szCs w:val="24"/>
              </w:rPr>
              <w:t xml:space="preserve"> Nghị quyết số 31/2026/NQ-CP trong thời gian chưa thực hiện giao đất, cho thuê đất mà không phải làm thủ tục bổ sung nhiệm vụ quản lý, kinh doanh nhà</w:t>
            </w:r>
            <w:r w:rsidR="003E3BDD" w:rsidRPr="000C119F">
              <w:rPr>
                <w:rFonts w:eastAsia="Times New Roman"/>
                <w:spacing w:val="-2"/>
                <w:kern w:val="0"/>
                <w:sz w:val="24"/>
                <w:szCs w:val="24"/>
              </w:rPr>
              <w:t xml:space="preserve">, </w:t>
            </w:r>
            <w:r w:rsidR="000E6FBE" w:rsidRPr="000C119F">
              <w:rPr>
                <w:rFonts w:eastAsia="Times New Roman"/>
                <w:spacing w:val="-2"/>
                <w:kern w:val="0"/>
                <w:sz w:val="24"/>
                <w:szCs w:val="24"/>
              </w:rPr>
              <w:t>thời hạn cho thuê không quá 05 năm (theo thời hạn quy định tại điểm b khoản 1 Điều 43 Nghị định số 102/2024/NĐ-CP) là để đẩy nhanh tiến độ đưa nhà, đất dôi dư được giao để quản lý, khai thác theo quy định của pháp luật về đất đai vào khai thác</w:t>
            </w:r>
            <w:r w:rsidR="003E3BDD" w:rsidRPr="000C119F">
              <w:rPr>
                <w:rFonts w:eastAsia="Times New Roman"/>
                <w:spacing w:val="-2"/>
                <w:kern w:val="0"/>
                <w:sz w:val="24"/>
                <w:szCs w:val="24"/>
              </w:rPr>
              <w:t>; đồng thời,</w:t>
            </w:r>
            <w:r w:rsidR="000E6FBE" w:rsidRPr="000C119F">
              <w:rPr>
                <w:rFonts w:eastAsia="Times New Roman"/>
                <w:spacing w:val="-2"/>
                <w:kern w:val="0"/>
                <w:sz w:val="24"/>
                <w:szCs w:val="24"/>
              </w:rPr>
              <w:t xml:space="preserve"> địa phương được chủ động hơn trong triển khai thực hiện</w:t>
            </w:r>
            <w:r w:rsidR="003E3BDD" w:rsidRPr="000C119F">
              <w:rPr>
                <w:rFonts w:eastAsia="Times New Roman"/>
                <w:spacing w:val="-2"/>
                <w:kern w:val="0"/>
                <w:sz w:val="24"/>
                <w:szCs w:val="24"/>
              </w:rPr>
              <w:t>, đảm bảo phù hợp với thực tế.</w:t>
            </w:r>
          </w:p>
          <w:p w:rsidR="00E36E6B" w:rsidRPr="000C119F" w:rsidRDefault="00E36E6B" w:rsidP="00F23F1F">
            <w:pPr>
              <w:spacing w:before="20" w:after="20"/>
              <w:jc w:val="both"/>
              <w:rPr>
                <w:sz w:val="24"/>
                <w:szCs w:val="24"/>
              </w:rPr>
            </w:pPr>
          </w:p>
        </w:tc>
      </w:tr>
      <w:tr w:rsidR="000C119F" w:rsidRPr="000C119F" w:rsidTr="000C119F">
        <w:tc>
          <w:tcPr>
            <w:tcW w:w="2433" w:type="pct"/>
            <w:tcBorders>
              <w:top w:val="single" w:sz="4" w:space="0" w:color="auto"/>
              <w:bottom w:val="single" w:sz="4" w:space="0" w:color="auto"/>
            </w:tcBorders>
          </w:tcPr>
          <w:p w:rsidR="00791932" w:rsidRPr="000C119F" w:rsidRDefault="000E0F8C" w:rsidP="00E84E42">
            <w:pPr>
              <w:spacing w:before="20" w:after="20"/>
              <w:jc w:val="both"/>
              <w:rPr>
                <w:bCs/>
                <w:i/>
                <w:sz w:val="24"/>
                <w:szCs w:val="24"/>
                <w:lang w:val="en-GB"/>
              </w:rPr>
            </w:pPr>
            <w:bookmarkStart w:id="14" w:name="dieu_36"/>
            <w:r w:rsidRPr="000C119F">
              <w:rPr>
                <w:bCs/>
                <w:i/>
                <w:sz w:val="24"/>
                <w:szCs w:val="24"/>
                <w:lang w:val="en-GB"/>
              </w:rPr>
              <w:t xml:space="preserve">* </w:t>
            </w:r>
            <w:bookmarkStart w:id="15" w:name="dieu_6"/>
            <w:bookmarkEnd w:id="14"/>
            <w:r w:rsidR="00F23F1F" w:rsidRPr="000C119F">
              <w:rPr>
                <w:bCs/>
                <w:i/>
                <w:sz w:val="24"/>
                <w:szCs w:val="24"/>
                <w:lang w:val="en-GB"/>
              </w:rPr>
              <w:t>Điểm a k</w:t>
            </w:r>
            <w:r w:rsidR="00E84E42" w:rsidRPr="000C119F">
              <w:rPr>
                <w:bCs/>
                <w:i/>
                <w:sz w:val="24"/>
                <w:szCs w:val="24"/>
                <w:lang w:val="en-GB"/>
              </w:rPr>
              <w:t xml:space="preserve">hoản </w:t>
            </w:r>
            <w:r w:rsidR="00F23F1F" w:rsidRPr="000C119F">
              <w:rPr>
                <w:bCs/>
                <w:i/>
                <w:sz w:val="24"/>
                <w:szCs w:val="24"/>
                <w:lang w:val="en-GB"/>
              </w:rPr>
              <w:t>2</w:t>
            </w:r>
            <w:r w:rsidR="00E84E42" w:rsidRPr="000C119F">
              <w:rPr>
                <w:bCs/>
                <w:i/>
                <w:sz w:val="24"/>
                <w:szCs w:val="24"/>
                <w:lang w:val="en-GB"/>
              </w:rPr>
              <w:t xml:space="preserve"> Điều </w:t>
            </w:r>
            <w:r w:rsidR="00F23F1F" w:rsidRPr="000C119F">
              <w:rPr>
                <w:bCs/>
                <w:i/>
                <w:sz w:val="24"/>
                <w:szCs w:val="24"/>
                <w:lang w:val="en-GB"/>
              </w:rPr>
              <w:t>10</w:t>
            </w:r>
            <w:r w:rsidR="00E84E42" w:rsidRPr="000C119F">
              <w:rPr>
                <w:bCs/>
                <w:i/>
                <w:sz w:val="24"/>
                <w:szCs w:val="24"/>
                <w:lang w:val="en-GB"/>
              </w:rPr>
              <w:t xml:space="preserve"> </w:t>
            </w:r>
            <w:r w:rsidRPr="000C119F">
              <w:rPr>
                <w:bCs/>
                <w:i/>
                <w:sz w:val="24"/>
                <w:szCs w:val="24"/>
                <w:lang w:val="en-GB"/>
              </w:rPr>
              <w:t>Nghị định số 108/2024/NĐ-CP</w:t>
            </w:r>
            <w:r w:rsidR="00DD3A4D" w:rsidRPr="000C119F">
              <w:rPr>
                <w:bCs/>
                <w:i/>
                <w:sz w:val="24"/>
                <w:szCs w:val="24"/>
                <w:lang w:val="en-GB"/>
              </w:rPr>
              <w:t xml:space="preserve"> </w:t>
            </w:r>
            <w:r w:rsidR="00F23F1F" w:rsidRPr="000C119F">
              <w:rPr>
                <w:bCs/>
                <w:i/>
                <w:sz w:val="24"/>
                <w:szCs w:val="24"/>
                <w:lang w:val="en-GB"/>
              </w:rPr>
              <w:t>(</w:t>
            </w:r>
            <w:r w:rsidR="00DD3A4D" w:rsidRPr="000C119F">
              <w:rPr>
                <w:bCs/>
                <w:i/>
                <w:sz w:val="24"/>
                <w:szCs w:val="24"/>
                <w:lang w:val="en-GB"/>
              </w:rPr>
              <w:t xml:space="preserve">sửa đổi, bổ sung </w:t>
            </w:r>
            <w:r w:rsidR="00F23F1F" w:rsidRPr="000C119F">
              <w:rPr>
                <w:bCs/>
                <w:i/>
                <w:sz w:val="24"/>
                <w:szCs w:val="24"/>
                <w:lang w:val="en-GB"/>
              </w:rPr>
              <w:t>bởi</w:t>
            </w:r>
            <w:r w:rsidR="00DD3A4D" w:rsidRPr="000C119F">
              <w:rPr>
                <w:bCs/>
                <w:i/>
                <w:sz w:val="24"/>
                <w:szCs w:val="24"/>
                <w:lang w:val="en-GB"/>
              </w:rPr>
              <w:t xml:space="preserve"> Nghị định số 286/2025/NĐ-CP</w:t>
            </w:r>
            <w:r w:rsidR="00F23F1F" w:rsidRPr="000C119F">
              <w:rPr>
                <w:bCs/>
                <w:i/>
                <w:sz w:val="24"/>
                <w:szCs w:val="24"/>
                <w:lang w:val="en-GB"/>
              </w:rPr>
              <w:t>) quy định</w:t>
            </w:r>
            <w:r w:rsidRPr="000C119F">
              <w:rPr>
                <w:bCs/>
                <w:i/>
                <w:sz w:val="24"/>
                <w:szCs w:val="24"/>
                <w:lang w:val="en-GB"/>
              </w:rPr>
              <w:t>:</w:t>
            </w:r>
          </w:p>
          <w:p w:rsidR="00F23F1F" w:rsidRPr="000C119F" w:rsidRDefault="00F23F1F" w:rsidP="00F23F1F">
            <w:pPr>
              <w:spacing w:before="20" w:after="20"/>
              <w:jc w:val="both"/>
              <w:rPr>
                <w:b/>
                <w:bCs/>
                <w:sz w:val="24"/>
                <w:szCs w:val="24"/>
              </w:rPr>
            </w:pPr>
            <w:bookmarkStart w:id="16" w:name="dieu_10"/>
            <w:bookmarkEnd w:id="15"/>
            <w:r w:rsidRPr="000C119F">
              <w:rPr>
                <w:b/>
                <w:bCs/>
                <w:sz w:val="24"/>
                <w:szCs w:val="24"/>
                <w:lang w:val="en-GB"/>
              </w:rPr>
              <w:t>Điều 10. Phương thức cho thuê nhà</w:t>
            </w:r>
            <w:bookmarkEnd w:id="16"/>
          </w:p>
          <w:p w:rsidR="00F23F1F" w:rsidRPr="000C119F" w:rsidRDefault="00F23F1F" w:rsidP="00F23F1F">
            <w:pPr>
              <w:spacing w:before="20" w:after="20"/>
              <w:jc w:val="both"/>
              <w:rPr>
                <w:bCs/>
                <w:sz w:val="24"/>
                <w:szCs w:val="24"/>
              </w:rPr>
            </w:pPr>
            <w:r w:rsidRPr="000C119F">
              <w:rPr>
                <w:bCs/>
                <w:sz w:val="24"/>
                <w:szCs w:val="24"/>
                <w:lang w:val="en-GB"/>
              </w:rPr>
              <w:t>2. Việc cho thuê nhà được thực hiện theo phương thức niêm yết giá đối với các trường hợp sau đây:</w:t>
            </w:r>
          </w:p>
          <w:p w:rsidR="00F23F1F" w:rsidRPr="000C119F" w:rsidRDefault="00F23F1F" w:rsidP="00F23F1F">
            <w:pPr>
              <w:spacing w:before="20" w:after="20"/>
              <w:jc w:val="both"/>
              <w:rPr>
                <w:bCs/>
                <w:sz w:val="24"/>
                <w:szCs w:val="24"/>
              </w:rPr>
            </w:pPr>
            <w:bookmarkStart w:id="17" w:name="diem_a_2_10"/>
            <w:r w:rsidRPr="000C119F">
              <w:rPr>
                <w:bCs/>
                <w:sz w:val="24"/>
                <w:szCs w:val="24"/>
                <w:lang w:val="en-GB"/>
              </w:rPr>
              <w:t>a) Cho các đối tượng ưu tiên thuê nhà; đối tượng ưu tiên gồm:</w:t>
            </w:r>
            <w:bookmarkEnd w:id="17"/>
          </w:p>
          <w:p w:rsidR="00F23F1F" w:rsidRPr="000C119F" w:rsidRDefault="00F23F1F" w:rsidP="00F23F1F">
            <w:pPr>
              <w:spacing w:before="20" w:after="20"/>
              <w:jc w:val="both"/>
              <w:rPr>
                <w:bCs/>
                <w:sz w:val="24"/>
                <w:szCs w:val="24"/>
              </w:rPr>
            </w:pPr>
            <w:r w:rsidRPr="000C119F">
              <w:rPr>
                <w:bCs/>
                <w:sz w:val="24"/>
                <w:szCs w:val="24"/>
                <w:lang w:val="en-GB"/>
              </w:rPr>
              <w:t>Tổ chức hội có tính chất đặc thù theo quy định của pháp luật về hội thuê để làm trụ sở làm việc trong trường hợp chưa có trụ sở làm việc;</w:t>
            </w:r>
          </w:p>
          <w:p w:rsidR="00F23F1F" w:rsidRPr="000C119F" w:rsidRDefault="00F23F1F" w:rsidP="00F23F1F">
            <w:pPr>
              <w:spacing w:before="20" w:after="20"/>
              <w:jc w:val="both"/>
              <w:rPr>
                <w:bCs/>
                <w:sz w:val="24"/>
                <w:szCs w:val="24"/>
                <w:lang w:val="en-GB"/>
              </w:rPr>
            </w:pPr>
            <w:r w:rsidRPr="000C119F">
              <w:rPr>
                <w:bCs/>
                <w:sz w:val="24"/>
                <w:szCs w:val="24"/>
                <w:lang w:val="en-GB"/>
              </w:rPr>
              <w:t>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p>
          <w:p w:rsidR="00F23F1F" w:rsidRPr="000C119F" w:rsidRDefault="00F23F1F" w:rsidP="00F23F1F">
            <w:pPr>
              <w:spacing w:before="20" w:after="20"/>
              <w:jc w:val="both"/>
              <w:rPr>
                <w:bCs/>
                <w:sz w:val="24"/>
                <w:szCs w:val="24"/>
              </w:rPr>
            </w:pPr>
            <w:r w:rsidRPr="000C119F">
              <w:rPr>
                <w:bCs/>
                <w:sz w:val="24"/>
                <w:szCs w:val="24"/>
              </w:rPr>
              <w:t>Hợp tác xã, liên hiệp hợp tác xã, tổ hợp tác đáp ứng các tiêu chí để được thụ hưởng chính sách hỗ trợ của Nhà nước theo quy định tại Luật Hợp tác xã, Nghị định của Chính phủ quy định chi tiết một số điều của Luật Hợp tác xã thuê để làm trụ sở, nhà kho, cửa hàng mua bán, trưng bày, giới thiệu sản phẩm phục vụ hoạt động sản xuất, kinh doanh.</w:t>
            </w:r>
          </w:p>
          <w:p w:rsidR="00F23F1F" w:rsidRPr="000C119F" w:rsidRDefault="00F23F1F" w:rsidP="00F23F1F">
            <w:pPr>
              <w:spacing w:before="20" w:after="20"/>
              <w:jc w:val="both"/>
              <w:rPr>
                <w:bCs/>
                <w:i/>
                <w:sz w:val="24"/>
                <w:szCs w:val="24"/>
                <w:lang w:val="en-GB"/>
              </w:rPr>
            </w:pPr>
            <w:r w:rsidRPr="000C119F">
              <w:rPr>
                <w:bCs/>
                <w:i/>
                <w:sz w:val="24"/>
                <w:szCs w:val="24"/>
                <w:lang w:val="en-GB"/>
              </w:rPr>
              <w:t>* Khoản 2 Điều 16 Nghị định số 108/2024/NĐ-CP (sửa đổi, bổ sung bởi Nghị định số 286/2025/NĐ-CP) quy định:</w:t>
            </w:r>
          </w:p>
          <w:p w:rsidR="00F23F1F" w:rsidRPr="000C119F" w:rsidRDefault="00F23F1F" w:rsidP="00F23F1F">
            <w:pPr>
              <w:spacing w:before="20" w:after="20"/>
              <w:jc w:val="both"/>
              <w:rPr>
                <w:bCs/>
                <w:sz w:val="24"/>
                <w:szCs w:val="24"/>
              </w:rPr>
            </w:pPr>
            <w:bookmarkStart w:id="18" w:name="dieu_16"/>
            <w:r w:rsidRPr="000C119F">
              <w:rPr>
                <w:b/>
                <w:bCs/>
                <w:sz w:val="24"/>
                <w:szCs w:val="24"/>
                <w:lang w:val="en-GB"/>
              </w:rPr>
              <w:t>Điều 16. Tiền thuê nhà</w:t>
            </w:r>
            <w:bookmarkEnd w:id="18"/>
          </w:p>
          <w:p w:rsidR="00F23F1F" w:rsidRPr="000C119F" w:rsidRDefault="00F23F1F" w:rsidP="00F23F1F">
            <w:pPr>
              <w:spacing w:before="20" w:after="20"/>
              <w:jc w:val="both"/>
              <w:rPr>
                <w:bCs/>
                <w:sz w:val="24"/>
                <w:szCs w:val="24"/>
              </w:rPr>
            </w:pPr>
            <w:r w:rsidRPr="000C119F">
              <w:rPr>
                <w:bCs/>
                <w:sz w:val="24"/>
                <w:szCs w:val="24"/>
              </w:rPr>
              <w:t xml:space="preserve">2. Căn cứ thực tế của địa phương, Ủy ban nhân dân cấp tỉnh quy định chính sách ưu đãi (miễn, giảm) tiền thuê nhà cho </w:t>
            </w:r>
            <w:r w:rsidRPr="000C119F">
              <w:rPr>
                <w:bCs/>
                <w:sz w:val="24"/>
                <w:szCs w:val="24"/>
                <w:u w:val="single"/>
              </w:rPr>
              <w:t>các đối tượng ưu tiên quy định tại điểm a khoản 2 Điều 10 Nghị định này.</w:t>
            </w:r>
            <w:r w:rsidRPr="000C119F">
              <w:rPr>
                <w:bCs/>
                <w:sz w:val="24"/>
                <w:szCs w:val="24"/>
              </w:rPr>
              <w:t xml:space="preserve"> Trình tự, thủ tục miễn, giảm tiền thuê nhà thực hiện như sau:</w:t>
            </w:r>
          </w:p>
          <w:p w:rsidR="000C119F" w:rsidRDefault="00F23F1F" w:rsidP="00F23F1F">
            <w:pPr>
              <w:spacing w:before="20" w:after="20"/>
              <w:jc w:val="both"/>
              <w:rPr>
                <w:bCs/>
                <w:sz w:val="24"/>
                <w:szCs w:val="24"/>
              </w:rPr>
            </w:pPr>
            <w:r w:rsidRPr="000C119F">
              <w:rPr>
                <w:bCs/>
                <w:sz w:val="24"/>
                <w:szCs w:val="24"/>
              </w:rPr>
              <w:t>a) Người được quyền thuê nhà thuộc đối tượng ưu tiên có đơn đề nghị miễn, giảm tiền thuê nhà kèm theo bản sao các hồ sơ, tài liệu chứng minh thuộc đối tượng ưu tiên, gửi tổ chức quản lý, kinh doanh nhà. Đơn đề nghị miễn, giảm tiền thuê nhà theo Mẫu số 07 tại Phụ lục ban hành kèm theo Nghị định này.</w:t>
            </w:r>
          </w:p>
          <w:p w:rsidR="00F23F1F" w:rsidRPr="000C119F" w:rsidRDefault="00F23F1F" w:rsidP="00F23F1F">
            <w:pPr>
              <w:spacing w:before="20" w:after="20"/>
              <w:jc w:val="both"/>
              <w:rPr>
                <w:bCs/>
                <w:sz w:val="24"/>
                <w:szCs w:val="24"/>
              </w:rPr>
            </w:pPr>
            <w:r w:rsidRPr="000C119F">
              <w:rPr>
                <w:bCs/>
                <w:sz w:val="24"/>
                <w:szCs w:val="24"/>
              </w:rPr>
              <w:t>b) Trong thời hạn 10 ngày, kể từ ngày nhận được đầy đủ hồ sơ quy định tại điểm a khoản này, tổ chức quản lý, kinh doanh nhà căn cứ chính sách ưu đãi (miễn, giảm) tiền thuê nhà do Ủy ban nhân dân cấp tỉnh ban hành, đơn đề nghị miễn, giảm tiền thuê nhà của tổ chức, cá nhân thuê nhà và hồ sơ, tài liệu kèm theo để xem xét, quyết định miễn, giảm tiền thuê nhà cho tổ chức, cá nhân thuê nhà.</w:t>
            </w:r>
          </w:p>
          <w:p w:rsidR="00F23F1F" w:rsidRPr="000C119F" w:rsidRDefault="00F23F1F" w:rsidP="00F23F1F">
            <w:pPr>
              <w:spacing w:before="20" w:after="20"/>
              <w:jc w:val="both"/>
              <w:rPr>
                <w:bCs/>
                <w:i/>
                <w:sz w:val="24"/>
                <w:szCs w:val="24"/>
                <w:lang w:val="en-GB"/>
              </w:rPr>
            </w:pPr>
            <w:r w:rsidRPr="000C119F">
              <w:rPr>
                <w:bCs/>
                <w:i/>
                <w:sz w:val="24"/>
                <w:szCs w:val="24"/>
                <w:lang w:val="en-GB"/>
              </w:rPr>
              <w:t>* Khoản 1 Điều 8 Nghị quyết số 31/2026/NQ-CP quy định:</w:t>
            </w:r>
          </w:p>
          <w:p w:rsidR="00F23F1F" w:rsidRPr="000C119F" w:rsidRDefault="00F23F1F" w:rsidP="00F23F1F">
            <w:pPr>
              <w:spacing w:before="20" w:after="20"/>
              <w:jc w:val="both"/>
              <w:rPr>
                <w:bCs/>
                <w:sz w:val="24"/>
                <w:szCs w:val="24"/>
              </w:rPr>
            </w:pPr>
            <w:bookmarkStart w:id="19" w:name="dieu_8"/>
            <w:r w:rsidRPr="000C119F">
              <w:rPr>
                <w:b/>
                <w:bCs/>
                <w:sz w:val="24"/>
                <w:szCs w:val="24"/>
              </w:rPr>
              <w:t>Điều 8. Xác định người được quyền thuê nhà theo phương thức niêm yết giá</w:t>
            </w:r>
            <w:bookmarkEnd w:id="19"/>
          </w:p>
          <w:p w:rsidR="007705FF" w:rsidRPr="000C119F" w:rsidRDefault="00F23F1F" w:rsidP="00E84E42">
            <w:pPr>
              <w:spacing w:before="20" w:after="20"/>
              <w:jc w:val="both"/>
              <w:rPr>
                <w:bCs/>
                <w:sz w:val="24"/>
                <w:szCs w:val="24"/>
              </w:rPr>
            </w:pPr>
            <w:r w:rsidRPr="000C119F">
              <w:rPr>
                <w:bCs/>
                <w:sz w:val="24"/>
                <w:szCs w:val="24"/>
              </w:rPr>
              <w:t xml:space="preserve">1. Việc cho thuê nhà theo phương thức niêm yết giá áp dụng đối với các </w:t>
            </w:r>
            <w:r w:rsidRPr="000C119F">
              <w:rPr>
                <w:bCs/>
                <w:sz w:val="24"/>
                <w:szCs w:val="24"/>
                <w:u w:val="single"/>
              </w:rPr>
              <w:t xml:space="preserve">trường hợp quy định tại </w:t>
            </w:r>
            <w:bookmarkStart w:id="20" w:name="dc_11"/>
            <w:r w:rsidRPr="000C119F">
              <w:rPr>
                <w:bCs/>
                <w:sz w:val="24"/>
                <w:szCs w:val="24"/>
                <w:u w:val="single"/>
              </w:rPr>
              <w:t>khoản 2 Điều 10 Nghị định số 108/2024/NĐ-CP</w:t>
            </w:r>
            <w:bookmarkEnd w:id="20"/>
            <w:r w:rsidRPr="000C119F">
              <w:rPr>
                <w:bCs/>
                <w:sz w:val="24"/>
                <w:szCs w:val="24"/>
                <w:u w:val="single"/>
              </w:rPr>
              <w:t xml:space="preserve"> (được sửa đổi, bổ sung bởi Nghị định số 286/2025/NĐ-CP)</w:t>
            </w:r>
            <w:r w:rsidRPr="000C119F">
              <w:rPr>
                <w:bCs/>
                <w:sz w:val="24"/>
                <w:szCs w:val="24"/>
              </w:rPr>
              <w:t xml:space="preserve">, </w:t>
            </w:r>
            <w:bookmarkStart w:id="21" w:name="dc_12"/>
            <w:r w:rsidRPr="000C119F">
              <w:rPr>
                <w:bCs/>
                <w:sz w:val="24"/>
                <w:szCs w:val="24"/>
              </w:rPr>
              <w:t>Điều 6 Nghị định số 20/2026/NĐ-CP</w:t>
            </w:r>
            <w:bookmarkEnd w:id="21"/>
            <w:r w:rsidRPr="000C119F">
              <w:rPr>
                <w:bCs/>
                <w:sz w:val="24"/>
                <w:szCs w:val="24"/>
              </w:rPr>
              <w:t xml:space="preserve">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p>
        </w:tc>
        <w:tc>
          <w:tcPr>
            <w:tcW w:w="1512" w:type="pct"/>
            <w:tcBorders>
              <w:top w:val="single" w:sz="4" w:space="0" w:color="auto"/>
              <w:bottom w:val="single" w:sz="4" w:space="0" w:color="auto"/>
            </w:tcBorders>
          </w:tcPr>
          <w:p w:rsidR="00F23F1F" w:rsidRPr="000C119F" w:rsidRDefault="00F23F1F" w:rsidP="00F23F1F">
            <w:pPr>
              <w:keepNext/>
              <w:keepLines/>
              <w:spacing w:before="0"/>
              <w:jc w:val="both"/>
              <w:outlineLvl w:val="0"/>
              <w:rPr>
                <w:rFonts w:eastAsia="Times New Roman"/>
                <w:b/>
                <w:bCs/>
                <w:spacing w:val="-4"/>
                <w:kern w:val="0"/>
                <w:sz w:val="24"/>
                <w:szCs w:val="24"/>
              </w:rPr>
            </w:pPr>
            <w:r w:rsidRPr="000C119F">
              <w:rPr>
                <w:rFonts w:eastAsia="Times New Roman"/>
                <w:b/>
                <w:spacing w:val="-4"/>
                <w:kern w:val="0"/>
                <w:sz w:val="24"/>
                <w:szCs w:val="24"/>
              </w:rPr>
              <w:lastRenderedPageBreak/>
              <w:t>Điều 3. X</w:t>
            </w:r>
            <w:r w:rsidRPr="000C119F">
              <w:rPr>
                <w:rFonts w:eastAsia="Times New Roman"/>
                <w:b/>
                <w:bCs/>
                <w:spacing w:val="-4"/>
                <w:kern w:val="0"/>
                <w:sz w:val="24"/>
                <w:szCs w:val="24"/>
                <w:lang w:val="vi-VN"/>
              </w:rPr>
              <w:t>ác định đối tượng ưu tiên</w:t>
            </w:r>
            <w:r w:rsidRPr="000C119F">
              <w:rPr>
                <w:rFonts w:eastAsia="Times New Roman"/>
                <w:b/>
                <w:bCs/>
                <w:spacing w:val="-4"/>
                <w:kern w:val="0"/>
                <w:sz w:val="24"/>
                <w:szCs w:val="24"/>
              </w:rPr>
              <w:t xml:space="preserve"> thuê nhà</w:t>
            </w:r>
            <w:r w:rsidRPr="000C119F">
              <w:rPr>
                <w:rFonts w:eastAsia="Times New Roman"/>
                <w:b/>
                <w:bCs/>
                <w:spacing w:val="-4"/>
                <w:kern w:val="0"/>
                <w:sz w:val="24"/>
                <w:szCs w:val="24"/>
                <w:lang w:val="vi-VN"/>
              </w:rPr>
              <w:t xml:space="preserve"> là cơ sở thực hiện xã hội hóa</w:t>
            </w:r>
            <w:r w:rsidRPr="000C119F">
              <w:rPr>
                <w:rFonts w:eastAsia="Times New Roman"/>
                <w:b/>
                <w:bCs/>
                <w:spacing w:val="-4"/>
                <w:kern w:val="0"/>
                <w:sz w:val="24"/>
                <w:szCs w:val="24"/>
              </w:rPr>
              <w:t xml:space="preserve"> </w:t>
            </w:r>
          </w:p>
          <w:p w:rsidR="00F23F1F" w:rsidRPr="000C119F" w:rsidRDefault="00F23F1F" w:rsidP="00F23F1F">
            <w:pPr>
              <w:keepNext/>
              <w:keepLines/>
              <w:spacing w:before="0"/>
              <w:jc w:val="both"/>
              <w:outlineLvl w:val="0"/>
              <w:rPr>
                <w:rFonts w:eastAsia="Times New Roman"/>
                <w:bCs/>
                <w:spacing w:val="-4"/>
                <w:kern w:val="0"/>
                <w:sz w:val="24"/>
                <w:szCs w:val="24"/>
              </w:rPr>
            </w:pPr>
            <w:r w:rsidRPr="000C119F">
              <w:rPr>
                <w:rFonts w:eastAsia="Times New Roman"/>
                <w:bCs/>
                <w:spacing w:val="-4"/>
                <w:kern w:val="0"/>
                <w:sz w:val="24"/>
                <w:szCs w:val="24"/>
              </w:rPr>
              <w:t xml:space="preserve">1. Cơ sở thực hiện xã hội hóa được xác định là đối tượng ưu tiên thuê nhà theo quy định tại </w:t>
            </w:r>
            <w:r w:rsidRPr="000C119F">
              <w:rPr>
                <w:rFonts w:eastAsia="Times New Roman"/>
                <w:spacing w:val="-4"/>
                <w:kern w:val="0"/>
                <w:sz w:val="24"/>
                <w:szCs w:val="24"/>
                <w:lang w:val="vi-VN"/>
              </w:rPr>
              <w:t>Nghị định số 108/2024/NĐ-CP</w:t>
            </w:r>
            <w:r w:rsidRPr="000C119F">
              <w:rPr>
                <w:rFonts w:eastAsia="Times New Roman"/>
                <w:iCs/>
                <w:spacing w:val="-4"/>
                <w:kern w:val="0"/>
                <w:sz w:val="24"/>
                <w:szCs w:val="24"/>
                <w:lang w:val="vi-VN"/>
              </w:rPr>
              <w:t xml:space="preserve"> </w:t>
            </w:r>
            <w:r w:rsidRPr="000C119F">
              <w:rPr>
                <w:rFonts w:eastAsia="Times New Roman"/>
                <w:iCs/>
                <w:spacing w:val="-4"/>
                <w:kern w:val="0"/>
                <w:sz w:val="24"/>
                <w:szCs w:val="24"/>
              </w:rPr>
              <w:t>(</w:t>
            </w:r>
            <w:r w:rsidRPr="000C119F">
              <w:rPr>
                <w:rFonts w:eastAsia="Times New Roman"/>
                <w:iCs/>
                <w:spacing w:val="-4"/>
                <w:kern w:val="0"/>
                <w:sz w:val="24"/>
                <w:szCs w:val="24"/>
                <w:lang w:val="vi-VN"/>
              </w:rPr>
              <w:t xml:space="preserve">được sửa đổi, bổ sung tại Điều 1 Nghị định số </w:t>
            </w:r>
            <w:r w:rsidRPr="000C119F">
              <w:rPr>
                <w:rFonts w:eastAsia="Times New Roman"/>
                <w:spacing w:val="-4"/>
                <w:kern w:val="0"/>
                <w:sz w:val="24"/>
                <w:szCs w:val="24"/>
                <w:lang w:val="vi-VN"/>
              </w:rPr>
              <w:t>286/2025/NĐ-CP</w:t>
            </w:r>
            <w:r w:rsidRPr="000C119F">
              <w:rPr>
                <w:rFonts w:eastAsia="Times New Roman"/>
                <w:iCs/>
                <w:spacing w:val="-4"/>
                <w:kern w:val="0"/>
                <w:sz w:val="24"/>
                <w:szCs w:val="24"/>
              </w:rPr>
              <w:t xml:space="preserve">), </w:t>
            </w:r>
            <w:r w:rsidRPr="000C119F">
              <w:rPr>
                <w:rFonts w:eastAsia="Times New Roman"/>
                <w:spacing w:val="-4"/>
                <w:kern w:val="0"/>
                <w:sz w:val="24"/>
                <w:szCs w:val="24"/>
              </w:rPr>
              <w:t xml:space="preserve">Nghị quyết số 31/2026/NQ-CP và Nghị quyết này </w:t>
            </w:r>
            <w:r w:rsidRPr="000C119F">
              <w:rPr>
                <w:rFonts w:eastAsia="Times New Roman"/>
                <w:bCs/>
                <w:spacing w:val="-4"/>
                <w:kern w:val="0"/>
                <w:sz w:val="24"/>
                <w:szCs w:val="24"/>
              </w:rPr>
              <w:t>là cơ sở t</w:t>
            </w:r>
            <w:r w:rsidRPr="000C119F">
              <w:rPr>
                <w:rFonts w:eastAsia="Times New Roman"/>
                <w:bCs/>
                <w:spacing w:val="-4"/>
                <w:kern w:val="0"/>
                <w:sz w:val="24"/>
                <w:szCs w:val="24"/>
                <w:lang w:val="vi-VN"/>
              </w:rPr>
              <w:t>huộc danh mục các loại hình</w:t>
            </w:r>
            <w:r w:rsidRPr="000C119F">
              <w:rPr>
                <w:rFonts w:eastAsia="Times New Roman"/>
                <w:bCs/>
                <w:spacing w:val="-4"/>
                <w:kern w:val="0"/>
                <w:sz w:val="24"/>
                <w:szCs w:val="24"/>
              </w:rPr>
              <w:t xml:space="preserve"> </w:t>
            </w:r>
            <w:r w:rsidRPr="000C119F">
              <w:rPr>
                <w:rFonts w:eastAsia="Times New Roman"/>
                <w:bCs/>
                <w:spacing w:val="-4"/>
                <w:kern w:val="0"/>
                <w:sz w:val="24"/>
                <w:szCs w:val="24"/>
                <w:lang w:val="vi-VN"/>
              </w:rPr>
              <w:t>của cơ sở thực hiện xã hội hóa do Thủ t</w:t>
            </w:r>
            <w:r w:rsidRPr="000C119F">
              <w:rPr>
                <w:rFonts w:eastAsia="Times New Roman"/>
                <w:bCs/>
                <w:spacing w:val="-4"/>
                <w:kern w:val="0"/>
                <w:sz w:val="24"/>
                <w:szCs w:val="24"/>
              </w:rPr>
              <w:t>ướ</w:t>
            </w:r>
            <w:r w:rsidRPr="000C119F">
              <w:rPr>
                <w:rFonts w:eastAsia="Times New Roman"/>
                <w:bCs/>
                <w:spacing w:val="-4"/>
                <w:kern w:val="0"/>
                <w:sz w:val="24"/>
                <w:szCs w:val="24"/>
                <w:lang w:val="vi-VN"/>
              </w:rPr>
              <w:t>ng Chính phủ ban hành</w:t>
            </w:r>
            <w:r w:rsidRPr="000C119F">
              <w:rPr>
                <w:rFonts w:eastAsia="Times New Roman"/>
                <w:bCs/>
                <w:spacing w:val="-4"/>
                <w:kern w:val="0"/>
                <w:sz w:val="24"/>
                <w:szCs w:val="24"/>
              </w:rPr>
              <w:t xml:space="preserve"> và đã đáp ứng các tiêu chí về </w:t>
            </w:r>
            <w:r w:rsidRPr="000C119F">
              <w:rPr>
                <w:rFonts w:eastAsia="Times New Roman"/>
                <w:bCs/>
                <w:spacing w:val="-4"/>
                <w:kern w:val="0"/>
                <w:sz w:val="24"/>
                <w:szCs w:val="24"/>
                <w:lang w:val="vi-VN"/>
              </w:rPr>
              <w:t xml:space="preserve">quy mô, tiêu chuẩn của cơ sở xã hội hoá </w:t>
            </w:r>
            <w:r w:rsidRPr="000C119F">
              <w:rPr>
                <w:rFonts w:eastAsia="Times New Roman"/>
                <w:bCs/>
                <w:spacing w:val="-4"/>
                <w:kern w:val="0"/>
                <w:sz w:val="24"/>
                <w:szCs w:val="24"/>
              </w:rPr>
              <w:t xml:space="preserve">theo quy định của </w:t>
            </w:r>
            <w:r w:rsidRPr="000C119F">
              <w:rPr>
                <w:rFonts w:eastAsia="Times New Roman"/>
                <w:bCs/>
                <w:spacing w:val="-4"/>
                <w:kern w:val="0"/>
                <w:sz w:val="24"/>
                <w:szCs w:val="24"/>
                <w:lang w:val="vi-VN"/>
              </w:rPr>
              <w:t>Thủ tướng Chính phủ</w:t>
            </w:r>
            <w:r w:rsidRPr="000C119F">
              <w:rPr>
                <w:rFonts w:eastAsia="Times New Roman"/>
                <w:bCs/>
                <w:spacing w:val="-4"/>
                <w:kern w:val="0"/>
                <w:sz w:val="24"/>
                <w:szCs w:val="24"/>
              </w:rPr>
              <w:t xml:space="preserve"> hoặc nếu được thuê nhà mà cơ sở thực hiện xã hội hóa đăng ký thì sẽ đáp ứng các tiêu chí về </w:t>
            </w:r>
            <w:r w:rsidRPr="000C119F">
              <w:rPr>
                <w:rFonts w:eastAsia="Times New Roman"/>
                <w:bCs/>
                <w:spacing w:val="-4"/>
                <w:kern w:val="0"/>
                <w:sz w:val="24"/>
                <w:szCs w:val="24"/>
                <w:lang w:val="vi-VN"/>
              </w:rPr>
              <w:t xml:space="preserve">quy mô, tiêu chuẩn của cơ sở xã hội hoá </w:t>
            </w:r>
            <w:r w:rsidRPr="000C119F">
              <w:rPr>
                <w:rFonts w:eastAsia="Times New Roman"/>
                <w:bCs/>
                <w:spacing w:val="-4"/>
                <w:kern w:val="0"/>
                <w:sz w:val="24"/>
                <w:szCs w:val="24"/>
              </w:rPr>
              <w:t xml:space="preserve">theo quy định của </w:t>
            </w:r>
            <w:r w:rsidRPr="000C119F">
              <w:rPr>
                <w:rFonts w:eastAsia="Times New Roman"/>
                <w:bCs/>
                <w:spacing w:val="-4"/>
                <w:kern w:val="0"/>
                <w:sz w:val="24"/>
                <w:szCs w:val="24"/>
                <w:lang w:val="vi-VN"/>
              </w:rPr>
              <w:t>Thủ tướng Chính phủ</w:t>
            </w:r>
            <w:r w:rsidRPr="000C119F">
              <w:rPr>
                <w:rFonts w:eastAsia="Times New Roman"/>
                <w:bCs/>
                <w:spacing w:val="-4"/>
                <w:kern w:val="0"/>
                <w:sz w:val="24"/>
                <w:szCs w:val="24"/>
              </w:rPr>
              <w:t>.</w:t>
            </w:r>
          </w:p>
          <w:p w:rsidR="00F23F1F" w:rsidRPr="000C119F" w:rsidRDefault="00F23F1F" w:rsidP="00F23F1F">
            <w:pPr>
              <w:keepNext/>
              <w:keepLines/>
              <w:spacing w:before="0"/>
              <w:jc w:val="both"/>
              <w:outlineLvl w:val="0"/>
              <w:rPr>
                <w:rFonts w:eastAsia="Times New Roman"/>
                <w:bCs/>
                <w:spacing w:val="-4"/>
                <w:kern w:val="0"/>
                <w:sz w:val="24"/>
                <w:szCs w:val="24"/>
                <w:lang w:val="vi-VN"/>
              </w:rPr>
            </w:pPr>
            <w:r w:rsidRPr="000C119F">
              <w:rPr>
                <w:rFonts w:eastAsia="Times New Roman"/>
                <w:bCs/>
                <w:spacing w:val="-4"/>
                <w:kern w:val="0"/>
                <w:sz w:val="24"/>
                <w:szCs w:val="24"/>
              </w:rPr>
              <w:t>2.</w:t>
            </w:r>
            <w:r w:rsidRPr="000C119F">
              <w:rPr>
                <w:rFonts w:eastAsia="Times New Roman"/>
                <w:bCs/>
                <w:spacing w:val="-4"/>
                <w:kern w:val="0"/>
                <w:sz w:val="24"/>
                <w:szCs w:val="24"/>
                <w:lang w:val="vi-VN"/>
              </w:rPr>
              <w:t xml:space="preserve"> </w:t>
            </w:r>
            <w:r w:rsidRPr="000C119F">
              <w:rPr>
                <w:rFonts w:eastAsia="Times New Roman"/>
                <w:bCs/>
                <w:spacing w:val="-4"/>
                <w:kern w:val="0"/>
                <w:sz w:val="24"/>
                <w:szCs w:val="24"/>
              </w:rPr>
              <w:t xml:space="preserve">Việc ưu tiên thuê nhà đối với đối tượng là cơ sở thực hiện xã hội hóa chỉ được áp dụng trong trường hợp cơ sở thực hiện xã hội hóa thuê nhà để sử dụng </w:t>
            </w:r>
            <w:r w:rsidRPr="000C119F">
              <w:rPr>
                <w:rFonts w:eastAsia="Times New Roman"/>
                <w:bCs/>
                <w:spacing w:val="-4"/>
                <w:kern w:val="0"/>
                <w:sz w:val="24"/>
                <w:szCs w:val="24"/>
                <w:lang w:val="vi-VN"/>
              </w:rPr>
              <w:t>vào mục đích phù hợp với lĩnh vực, loại hình</w:t>
            </w:r>
            <w:r w:rsidRPr="000C119F">
              <w:rPr>
                <w:rFonts w:eastAsia="Times New Roman"/>
                <w:bCs/>
                <w:spacing w:val="-4"/>
                <w:kern w:val="0"/>
                <w:sz w:val="24"/>
                <w:szCs w:val="24"/>
              </w:rPr>
              <w:t xml:space="preserve"> xã hội hóa của cơ sở đó</w:t>
            </w:r>
            <w:r w:rsidRPr="000C119F">
              <w:rPr>
                <w:rFonts w:eastAsia="Times New Roman"/>
                <w:bCs/>
                <w:spacing w:val="-4"/>
                <w:kern w:val="0"/>
                <w:sz w:val="24"/>
                <w:szCs w:val="24"/>
                <w:lang w:val="vi-VN"/>
              </w:rPr>
              <w:t>.</w:t>
            </w:r>
          </w:p>
          <w:p w:rsidR="00F23F1F" w:rsidRPr="000C119F" w:rsidRDefault="00F23F1F" w:rsidP="00F23F1F">
            <w:pPr>
              <w:keepNext/>
              <w:keepLines/>
              <w:spacing w:before="0"/>
              <w:jc w:val="both"/>
              <w:outlineLvl w:val="0"/>
              <w:rPr>
                <w:rFonts w:eastAsia="Times New Roman"/>
                <w:bCs/>
                <w:spacing w:val="-4"/>
                <w:kern w:val="0"/>
                <w:sz w:val="24"/>
                <w:szCs w:val="24"/>
              </w:rPr>
            </w:pPr>
            <w:r w:rsidRPr="000C119F">
              <w:rPr>
                <w:rFonts w:eastAsia="Times New Roman"/>
                <w:bCs/>
                <w:spacing w:val="-4"/>
                <w:kern w:val="0"/>
                <w:sz w:val="24"/>
                <w:szCs w:val="24"/>
                <w:lang w:val="vi-VN"/>
              </w:rPr>
              <w:t>3. Cơ sở thực hiện xã hội hóa phải có bản Thuyết minh về việc đáp ứng các tiêu chí về quy mô, tiêu chuẩn của cơ sở xã hội hoá theo quy định của pháp luật về chính sách khuyến khích xã hội hoá đối với các hoạt động trong lĩnh vực giáo dục, dạy nghề, y tế, văn hóa, thể thao, môi trường và chịu trách nhiệm về tính chính xác, trung thực của nội dung thuyết minh.</w:t>
            </w:r>
          </w:p>
          <w:p w:rsidR="00547614" w:rsidRPr="000C119F" w:rsidRDefault="00547614" w:rsidP="00F23F1F">
            <w:pPr>
              <w:keepNext/>
              <w:keepLines/>
              <w:spacing w:before="0"/>
              <w:jc w:val="both"/>
              <w:outlineLvl w:val="0"/>
              <w:rPr>
                <w:rFonts w:eastAsia="Times New Roman"/>
                <w:b/>
                <w:bCs/>
                <w:spacing w:val="-4"/>
                <w:kern w:val="0"/>
                <w:sz w:val="24"/>
                <w:szCs w:val="24"/>
              </w:rPr>
            </w:pPr>
            <w:r w:rsidRPr="000C119F">
              <w:rPr>
                <w:rFonts w:eastAsia="Times New Roman"/>
                <w:b/>
                <w:bCs/>
                <w:spacing w:val="-4"/>
                <w:kern w:val="0"/>
                <w:sz w:val="24"/>
                <w:szCs w:val="24"/>
              </w:rPr>
              <w:t>Điều 4. Cơ chế, chính sách khác</w:t>
            </w:r>
          </w:p>
          <w:p w:rsidR="006A78DE" w:rsidRPr="000C119F" w:rsidRDefault="00547614" w:rsidP="000C119F">
            <w:pPr>
              <w:keepNext/>
              <w:keepLines/>
              <w:spacing w:before="0"/>
              <w:jc w:val="both"/>
              <w:outlineLvl w:val="0"/>
              <w:rPr>
                <w:rFonts w:eastAsia="Times New Roman"/>
                <w:bCs/>
                <w:iCs/>
                <w:spacing w:val="-4"/>
                <w:kern w:val="0"/>
                <w:sz w:val="24"/>
                <w:szCs w:val="24"/>
              </w:rPr>
            </w:pPr>
            <w:r w:rsidRPr="000C119F">
              <w:rPr>
                <w:rFonts w:eastAsia="Times New Roman"/>
                <w:bCs/>
                <w:iCs/>
                <w:spacing w:val="-4"/>
                <w:kern w:val="0"/>
                <w:sz w:val="24"/>
                <w:szCs w:val="24"/>
              </w:rPr>
              <w:t>…</w:t>
            </w:r>
            <w:r w:rsidRPr="000C119F">
              <w:rPr>
                <w:rFonts w:eastAsia="Times New Roman"/>
                <w:bCs/>
                <w:iCs/>
                <w:spacing w:val="-4"/>
                <w:kern w:val="0"/>
                <w:sz w:val="24"/>
                <w:szCs w:val="24"/>
                <w:lang w:val="vi-VN"/>
              </w:rPr>
              <w:t>3. Trường hợp các cơ quan chức năng kiểm tra, thanh tra, giám sát mà phát hiện đối tượng ưu tiên thuê nhà không đáp ứng điều kiện đối tượng ưu tiên theo quy định để được hưởng các chính sách ưu tiên khi thuê nhà thì đối tượng thuê nhà đó phải hoàn trả Nhà nước số tiền thuê nhà đã được miễn, giảm, khoản nộp tương đương với khoản tiền chậm nộp theo quy định của pháp luật về quản lý thuế cho thời gian thuê nhà mà không đáp ứng điều kiện được ưu tiên và không được hưởng các chính sách ưu tiên khi thuê nhà trong thời gian thuê nhà còn lại trong Hợp đồng thuê nhà; tổ chức quản lý, kinh doanh nhà có trách nhiệm điều chỉnh nội dung Hợp đồng thuê nhà tại Phụ lục Hợp đồng.</w:t>
            </w:r>
          </w:p>
        </w:tc>
        <w:tc>
          <w:tcPr>
            <w:tcW w:w="1055" w:type="pct"/>
            <w:tcBorders>
              <w:top w:val="single" w:sz="4" w:space="0" w:color="auto"/>
              <w:bottom w:val="single" w:sz="4" w:space="0" w:color="auto"/>
            </w:tcBorders>
          </w:tcPr>
          <w:p w:rsidR="00547614" w:rsidRPr="000C119F" w:rsidRDefault="00C62015" w:rsidP="00C62015">
            <w:pPr>
              <w:spacing w:before="20" w:after="20"/>
              <w:ind w:left="34" w:hanging="34"/>
              <w:jc w:val="both"/>
              <w:rPr>
                <w:spacing w:val="-4"/>
                <w:sz w:val="24"/>
                <w:szCs w:val="24"/>
              </w:rPr>
            </w:pPr>
            <w:r w:rsidRPr="000C119F">
              <w:rPr>
                <w:spacing w:val="-4"/>
                <w:sz w:val="24"/>
                <w:szCs w:val="24"/>
              </w:rPr>
              <w:lastRenderedPageBreak/>
              <w:t>Dự</w:t>
            </w:r>
            <w:r w:rsidRPr="000C119F">
              <w:rPr>
                <w:spacing w:val="-4"/>
                <w:sz w:val="24"/>
                <w:szCs w:val="24"/>
                <w:lang w:val="vi-VN"/>
              </w:rPr>
              <w:t xml:space="preserve"> thảo </w:t>
            </w:r>
            <w:r w:rsidR="00547614" w:rsidRPr="000C119F">
              <w:rPr>
                <w:spacing w:val="-4"/>
                <w:sz w:val="24"/>
                <w:szCs w:val="24"/>
              </w:rPr>
              <w:t>quy định về cách thức xác định đối tượng ưu tiên thuê nhà là cơ sở thực hiện xã hội hóa là để giúp tổ chức, quản lý kinh doanh nhà có cơ sở rõ ràng khi áp dụng chính sách ưu đãi đối với các đối tượng ưu tiên thuê nhà là cơ sở thực hiện xã hội hóa; đồng thời, hạn chế khả năng trục lợi chính sách của các cơ sở thực hiện xã hội hóa không đáp ứng điều kiện đối tượng ưu tiên thuê nhà theo quy định.</w:t>
            </w:r>
          </w:p>
          <w:p w:rsidR="001C6B8B" w:rsidRPr="000C119F" w:rsidRDefault="001C6B8B" w:rsidP="001C6B8B">
            <w:pPr>
              <w:spacing w:before="20" w:after="20"/>
              <w:ind w:left="34" w:hanging="34"/>
              <w:jc w:val="both"/>
              <w:rPr>
                <w:sz w:val="24"/>
                <w:szCs w:val="24"/>
              </w:rPr>
            </w:pPr>
          </w:p>
        </w:tc>
      </w:tr>
      <w:tr w:rsidR="000C119F" w:rsidRPr="000C119F" w:rsidTr="000C119F">
        <w:tc>
          <w:tcPr>
            <w:tcW w:w="2433" w:type="pct"/>
            <w:tcBorders>
              <w:top w:val="single" w:sz="4" w:space="0" w:color="auto"/>
              <w:bottom w:val="single" w:sz="4" w:space="0" w:color="auto"/>
            </w:tcBorders>
          </w:tcPr>
          <w:p w:rsidR="003A6149" w:rsidRPr="000C119F" w:rsidRDefault="003A6149" w:rsidP="000C119F">
            <w:pPr>
              <w:spacing w:before="0"/>
              <w:jc w:val="both"/>
              <w:rPr>
                <w:bCs/>
                <w:i/>
                <w:sz w:val="24"/>
                <w:szCs w:val="24"/>
                <w:lang w:val="en-GB"/>
              </w:rPr>
            </w:pPr>
            <w:r w:rsidRPr="000C119F">
              <w:rPr>
                <w:bCs/>
                <w:i/>
                <w:sz w:val="24"/>
                <w:szCs w:val="24"/>
                <w:lang w:val="en-GB"/>
              </w:rPr>
              <w:t xml:space="preserve">* </w:t>
            </w:r>
            <w:r w:rsidR="00547614" w:rsidRPr="000C119F">
              <w:rPr>
                <w:bCs/>
                <w:i/>
                <w:sz w:val="24"/>
                <w:szCs w:val="24"/>
                <w:lang w:val="en-GB"/>
              </w:rPr>
              <w:t>Khoản 1 Điều 5 Nghị quyết số 31/2026/NQ-CP quy định:</w:t>
            </w:r>
          </w:p>
          <w:p w:rsidR="00547614" w:rsidRPr="000C119F" w:rsidRDefault="00547614" w:rsidP="000C119F">
            <w:pPr>
              <w:widowControl w:val="0"/>
              <w:spacing w:before="0" w:line="252" w:lineRule="auto"/>
              <w:jc w:val="both"/>
              <w:rPr>
                <w:b/>
                <w:sz w:val="24"/>
                <w:szCs w:val="24"/>
              </w:rPr>
            </w:pPr>
            <w:r w:rsidRPr="000C119F">
              <w:rPr>
                <w:b/>
                <w:sz w:val="24"/>
                <w:szCs w:val="24"/>
              </w:rPr>
              <w:t>Điều 5. Đơn giá và tiền cho thuê nhà</w:t>
            </w:r>
          </w:p>
          <w:p w:rsidR="00547614" w:rsidRPr="000C119F" w:rsidRDefault="00547614" w:rsidP="000C119F">
            <w:pPr>
              <w:widowControl w:val="0"/>
              <w:spacing w:before="0"/>
              <w:jc w:val="both"/>
              <w:rPr>
                <w:sz w:val="24"/>
                <w:szCs w:val="24"/>
                <w:lang w:val="vi-VN"/>
              </w:rPr>
            </w:pPr>
            <w:r w:rsidRPr="000C119F">
              <w:rPr>
                <w:sz w:val="24"/>
                <w:szCs w:val="24"/>
              </w:rPr>
              <w:t>1. Đơn giá cho thuê nhà do tổ chức quản lý, kinh doanh nhà xác định theo công thức sau:</w:t>
            </w:r>
          </w:p>
          <w:p w:rsidR="00547614" w:rsidRPr="000C119F" w:rsidRDefault="00547614" w:rsidP="000C119F">
            <w:pPr>
              <w:widowControl w:val="0"/>
              <w:spacing w:before="0" w:line="252" w:lineRule="auto"/>
              <w:ind w:firstLine="720"/>
              <w:jc w:val="both"/>
              <w:rPr>
                <w:iCs/>
                <w:sz w:val="24"/>
                <w:szCs w:val="24"/>
              </w:rPr>
            </w:pPr>
            <m:oMathPara>
              <m:oMath>
                <m:r>
                  <m:rPr>
                    <m:sty m:val="p"/>
                  </m:rPr>
                  <w:rPr>
                    <w:rFonts w:ascii="Cambria Math"/>
                    <w:sz w:val="24"/>
                    <w:szCs w:val="24"/>
                  </w:rPr>
                  <m:t>G</m:t>
                </m:r>
                <m:r>
                  <m:rPr>
                    <m:nor/>
                  </m:rPr>
                  <w:rPr>
                    <w:iCs/>
                    <w:sz w:val="24"/>
                    <w:szCs w:val="24"/>
                    <w:vertAlign w:val="subscript"/>
                  </w:rPr>
                  <m:t>t</m:t>
                </m:r>
                <m:r>
                  <w:rPr>
                    <w:rFonts w:ascii="Cambria Math"/>
                    <w:sz w:val="24"/>
                    <w:szCs w:val="24"/>
                  </w:rPr>
                  <m:t>=</m:t>
                </m:r>
                <m:f>
                  <m:fPr>
                    <m:ctrlPr>
                      <w:rPr>
                        <w:rFonts w:ascii="Cambria Math" w:hAnsi="Cambria Math" w:cs="Cambria Math"/>
                        <w:i/>
                        <w:sz w:val="24"/>
                        <w:szCs w:val="24"/>
                      </w:rPr>
                    </m:ctrlPr>
                  </m:fPr>
                  <m:num>
                    <m:r>
                      <m:rPr>
                        <m:sty m:val="p"/>
                      </m:rPr>
                      <w:rPr>
                        <w:rFonts w:ascii="Cambria Math" w:hAnsi="Cambria Math"/>
                        <w:sz w:val="24"/>
                        <w:szCs w:val="24"/>
                      </w:rPr>
                      <m:t>G</m:t>
                    </m:r>
                    <m:r>
                      <m:rPr>
                        <m:nor/>
                      </m:rPr>
                      <w:rPr>
                        <w:rFonts w:ascii="Cambria Math" w:hAnsi="Cambria Math"/>
                        <w:iCs/>
                        <w:sz w:val="24"/>
                        <w:szCs w:val="24"/>
                        <w:vertAlign w:val="subscript"/>
                      </w:rPr>
                      <m:t>hm</m:t>
                    </m:r>
                    <m:r>
                      <m:rPr>
                        <m:sty m:val="p"/>
                      </m:rPr>
                      <w:rPr>
                        <w:rFonts w:ascii="Cambria Math"/>
                        <w:sz w:val="24"/>
                        <w:szCs w:val="24"/>
                      </w:rPr>
                      <m:t>+</m:t>
                    </m:r>
                    <m:d>
                      <m:dPr>
                        <m:ctrlPr>
                          <w:rPr>
                            <w:rFonts w:ascii="Cambria Math" w:hAnsi="Cambria Math"/>
                            <w:sz w:val="24"/>
                            <w:szCs w:val="24"/>
                          </w:rPr>
                        </m:ctrlPr>
                      </m:dPr>
                      <m:e>
                        <m:r>
                          <m:rPr>
                            <m:sty m:val="p"/>
                          </m:rPr>
                          <w:rPr>
                            <w:rFonts w:ascii="Cambria Math" w:hAnsi="Cambria Math"/>
                            <w:sz w:val="24"/>
                            <w:szCs w:val="24"/>
                            <w:vertAlign w:val="subscript"/>
                          </w:rPr>
                          <m:t>G</m:t>
                        </m:r>
                        <m:r>
                          <m:rPr>
                            <m:nor/>
                          </m:rPr>
                          <w:rPr>
                            <w:rFonts w:ascii="Cambria Math" w:hAnsi="Cambria Math"/>
                            <w:iCs/>
                            <w:sz w:val="24"/>
                            <w:szCs w:val="24"/>
                            <w:vertAlign w:val="subscript"/>
                          </w:rPr>
                          <m:t>tđ</m:t>
                        </m:r>
                        <m:r>
                          <w:rPr>
                            <w:rFonts w:ascii="Cambria Math" w:hAnsi="Cambria Math"/>
                            <w:sz w:val="24"/>
                            <w:szCs w:val="24"/>
                            <w:vertAlign w:val="subscript"/>
                          </w:rPr>
                          <m:t>×</m:t>
                        </m:r>
                        <m:r>
                          <m:rPr>
                            <m:sty m:val="p"/>
                          </m:rPr>
                          <w:rPr>
                            <w:rFonts w:ascii="Cambria Math" w:hAnsi="Cambria Math"/>
                            <w:sz w:val="24"/>
                            <w:szCs w:val="24"/>
                            <w:vertAlign w:val="subscript"/>
                          </w:rPr>
                          <m:t>S</m:t>
                        </m:r>
                        <m:r>
                          <m:rPr>
                            <m:nor/>
                          </m:rPr>
                          <w:rPr>
                            <w:rFonts w:ascii="Cambria Math" w:hAnsi="Cambria Math"/>
                            <w:iCs/>
                            <w:sz w:val="24"/>
                            <w:szCs w:val="24"/>
                            <w:vertAlign w:val="subscript"/>
                          </w:rPr>
                          <m:t>đất</m:t>
                        </m:r>
                      </m:e>
                    </m:d>
                  </m:num>
                  <m:den>
                    <m:r>
                      <m:rPr>
                        <m:sty m:val="p"/>
                      </m:rPr>
                      <w:rPr>
                        <w:rFonts w:ascii="Cambria Math"/>
                        <w:sz w:val="24"/>
                        <w:szCs w:val="24"/>
                      </w:rPr>
                      <m:t>S</m:t>
                    </m:r>
                    <m:r>
                      <m:rPr>
                        <m:nor/>
                      </m:rPr>
                      <w:rPr>
                        <w:rFonts w:ascii="Cambria Math" w:hAnsi="Cambria Math"/>
                        <w:iCs/>
                        <w:sz w:val="24"/>
                        <w:szCs w:val="24"/>
                        <w:vertAlign w:val="subscript"/>
                      </w:rPr>
                      <m:t>nhà</m:t>
                    </m:r>
                  </m:den>
                </m:f>
                <m:r>
                  <w:rPr>
                    <w:rFonts w:ascii="Cambria Math" w:hAnsi="Cambria Math" w:cs="Cambria Math"/>
                    <w:sz w:val="24"/>
                    <w:szCs w:val="24"/>
                  </w:rPr>
                  <m:t>×</m:t>
                </m:r>
                <m:d>
                  <m:dPr>
                    <m:ctrlPr>
                      <w:rPr>
                        <w:rFonts w:ascii="Cambria Math" w:hAnsi="Cambria Math"/>
                        <w:i/>
                        <w:iCs/>
                        <w:sz w:val="24"/>
                        <w:szCs w:val="24"/>
                      </w:rPr>
                    </m:ctrlPr>
                  </m:dPr>
                  <m:e>
                    <m:r>
                      <w:rPr>
                        <w:rFonts w:ascii="Cambria Math" w:hAnsi="Cambria Math"/>
                        <w:sz w:val="24"/>
                        <w:szCs w:val="24"/>
                      </w:rPr>
                      <m:t>100%+</m:t>
                    </m:r>
                    <m:r>
                      <m:rPr>
                        <m:sty m:val="p"/>
                      </m:rPr>
                      <w:rPr>
                        <w:rFonts w:ascii="Cambria Math" w:hAnsi="Cambria Math"/>
                        <w:sz w:val="24"/>
                        <w:szCs w:val="24"/>
                      </w:rPr>
                      <m:t>k</m:t>
                    </m:r>
                  </m:e>
                </m:d>
              </m:oMath>
            </m:oMathPara>
          </w:p>
          <w:p w:rsidR="00547614" w:rsidRPr="000C119F" w:rsidRDefault="00547614" w:rsidP="000C119F">
            <w:pPr>
              <w:widowControl w:val="0"/>
              <w:spacing w:before="0"/>
              <w:jc w:val="both"/>
              <w:rPr>
                <w:iCs/>
                <w:sz w:val="24"/>
                <w:szCs w:val="24"/>
              </w:rPr>
            </w:pPr>
            <w:r w:rsidRPr="000C119F">
              <w:rPr>
                <w:iCs/>
                <w:sz w:val="24"/>
                <w:szCs w:val="24"/>
              </w:rPr>
              <w:t>Trong đó:</w:t>
            </w:r>
          </w:p>
          <w:p w:rsidR="00547614" w:rsidRPr="000C119F" w:rsidRDefault="00547614" w:rsidP="000C119F">
            <w:pPr>
              <w:widowControl w:val="0"/>
              <w:spacing w:before="0"/>
              <w:jc w:val="both"/>
              <w:rPr>
                <w:iCs/>
                <w:sz w:val="24"/>
                <w:szCs w:val="24"/>
              </w:rPr>
            </w:pPr>
            <w:r w:rsidRPr="000C119F">
              <w:rPr>
                <w:iCs/>
                <w:sz w:val="24"/>
                <w:szCs w:val="24"/>
              </w:rPr>
              <w:t>* G</w:t>
            </w:r>
            <w:r w:rsidRPr="000C119F">
              <w:rPr>
                <w:iCs/>
                <w:sz w:val="24"/>
                <w:szCs w:val="24"/>
                <w:vertAlign w:val="subscript"/>
              </w:rPr>
              <w:t>t</w:t>
            </w:r>
            <w:r w:rsidRPr="000C119F">
              <w:rPr>
                <w:iCs/>
                <w:sz w:val="24"/>
                <w:szCs w:val="24"/>
              </w:rPr>
              <w:t xml:space="preserve"> là đơn giá cho thuê nhà </w:t>
            </w:r>
            <w:r w:rsidRPr="000C119F">
              <w:rPr>
                <w:i/>
                <w:iCs/>
                <w:sz w:val="24"/>
                <w:szCs w:val="24"/>
              </w:rPr>
              <w:t>(đồng/m</w:t>
            </w:r>
            <w:r w:rsidRPr="000C119F">
              <w:rPr>
                <w:i/>
                <w:iCs/>
                <w:sz w:val="24"/>
                <w:szCs w:val="24"/>
                <w:vertAlign w:val="superscript"/>
              </w:rPr>
              <w:t>2</w:t>
            </w:r>
            <w:r w:rsidRPr="000C119F">
              <w:rPr>
                <w:i/>
                <w:iCs/>
                <w:sz w:val="24"/>
                <w:szCs w:val="24"/>
              </w:rPr>
              <w:t>/năm).</w:t>
            </w:r>
          </w:p>
          <w:p w:rsidR="00547614" w:rsidRPr="000C119F" w:rsidRDefault="00547614" w:rsidP="000C119F">
            <w:pPr>
              <w:widowControl w:val="0"/>
              <w:spacing w:before="0"/>
              <w:jc w:val="both"/>
              <w:rPr>
                <w:iCs/>
                <w:sz w:val="24"/>
                <w:szCs w:val="24"/>
              </w:rPr>
            </w:pPr>
            <w:r w:rsidRPr="000C119F">
              <w:rPr>
                <w:iCs/>
                <w:sz w:val="24"/>
                <w:szCs w:val="24"/>
              </w:rPr>
              <w:t>* G</w:t>
            </w:r>
            <w:r w:rsidRPr="000C119F">
              <w:rPr>
                <w:iCs/>
                <w:sz w:val="24"/>
                <w:szCs w:val="24"/>
                <w:vertAlign w:val="subscript"/>
              </w:rPr>
              <w:t xml:space="preserve">hm </w:t>
            </w:r>
            <w:r w:rsidRPr="000C119F">
              <w:rPr>
                <w:iCs/>
                <w:sz w:val="24"/>
                <w:szCs w:val="24"/>
              </w:rPr>
              <w:t xml:space="preserve">là giá trị hao mòn hằng năm của nhà, công trình gắn liền với đất </w:t>
            </w:r>
            <w:r w:rsidRPr="000C119F">
              <w:rPr>
                <w:i/>
                <w:iCs/>
                <w:sz w:val="24"/>
                <w:szCs w:val="24"/>
              </w:rPr>
              <w:t>(đồng/năm)</w:t>
            </w:r>
            <w:r w:rsidRPr="000C119F">
              <w:rPr>
                <w:iCs/>
                <w:sz w:val="24"/>
                <w:szCs w:val="24"/>
              </w:rPr>
              <w:t xml:space="preserve"> và được xác định như sau:</w:t>
            </w:r>
          </w:p>
          <w:p w:rsidR="00547614" w:rsidRPr="000C119F" w:rsidRDefault="00547614" w:rsidP="000C119F">
            <w:pPr>
              <w:widowControl w:val="0"/>
              <w:spacing w:before="0"/>
              <w:jc w:val="both"/>
              <w:rPr>
                <w:iCs/>
                <w:sz w:val="24"/>
                <w:szCs w:val="24"/>
              </w:rPr>
            </w:pPr>
            <w:r w:rsidRPr="000C119F">
              <w:rPr>
                <w:iCs/>
                <w:sz w:val="24"/>
                <w:szCs w:val="24"/>
              </w:rPr>
              <w:t>- Trường hợp thời gian sử dụng để tính hao mòn còn lại lớn hơn hoặc bằng thời hạn cho thuê nhà:</w:t>
            </w:r>
          </w:p>
          <w:p w:rsidR="00547614" w:rsidRPr="000C119F" w:rsidRDefault="00547614" w:rsidP="000C119F">
            <w:pPr>
              <w:widowControl w:val="0"/>
              <w:spacing w:before="0"/>
              <w:ind w:firstLine="720"/>
              <w:jc w:val="both"/>
              <w:rPr>
                <w:iCs/>
                <w:sz w:val="24"/>
                <w:szCs w:val="24"/>
              </w:rPr>
            </w:pPr>
            <m:oMathPara>
              <m:oMath>
                <m:r>
                  <m:rPr>
                    <m:sty m:val="p"/>
                  </m:rPr>
                  <w:rPr>
                    <w:rFonts w:ascii="Cambria Math"/>
                    <w:sz w:val="24"/>
                    <w:szCs w:val="24"/>
                  </w:rPr>
                  <m:t>G</m:t>
                </m:r>
                <m:r>
                  <m:rPr>
                    <m:nor/>
                  </m:rPr>
                  <w:rPr>
                    <w:iCs/>
                    <w:sz w:val="24"/>
                    <w:szCs w:val="24"/>
                    <w:vertAlign w:val="subscript"/>
                  </w:rPr>
                  <m:t>hm</m:t>
                </m:r>
                <m:r>
                  <w:rPr>
                    <w:rFonts w:ascii="Cambria Math"/>
                    <w:sz w:val="24"/>
                    <w:szCs w:val="24"/>
                    <w:vertAlign w:val="subscript"/>
                  </w:rPr>
                  <m:t>=</m:t>
                </m:r>
                <m:r>
                  <m:rPr>
                    <m:sty m:val="p"/>
                  </m:rPr>
                  <w:rPr>
                    <w:rFonts w:ascii="Cambria Math"/>
                    <w:sz w:val="24"/>
                    <w:szCs w:val="24"/>
                  </w:rPr>
                  <m:t>M</m:t>
                </m:r>
                <m:r>
                  <m:rPr>
                    <m:sty m:val="p"/>
                  </m:rPr>
                  <w:rPr>
                    <w:rFonts w:ascii="Cambria Math" w:hAnsi="Cambria Math"/>
                    <w:sz w:val="24"/>
                    <w:szCs w:val="24"/>
                  </w:rPr>
                  <m:t>ứ</m:t>
                </m:r>
                <m:r>
                  <m:rPr>
                    <m:sty m:val="p"/>
                  </m:rPr>
                  <w:rPr>
                    <w:rFonts w:ascii="Cambria Math"/>
                    <w:sz w:val="24"/>
                    <w:szCs w:val="24"/>
                  </w:rPr>
                  <m:t>c hao m</m:t>
                </m:r>
                <m:r>
                  <m:rPr>
                    <m:sty m:val="p"/>
                  </m:rPr>
                  <w:rPr>
                    <w:rFonts w:ascii="Cambria Math" w:hAnsi="Cambria Math"/>
                    <w:sz w:val="24"/>
                    <w:szCs w:val="24"/>
                  </w:rPr>
                  <m:t>ò</m:t>
                </m:r>
                <m:r>
                  <m:rPr>
                    <m:sty m:val="p"/>
                  </m:rPr>
                  <w:rPr>
                    <w:rFonts w:ascii="Cambria Math"/>
                    <w:sz w:val="24"/>
                    <w:szCs w:val="24"/>
                  </w:rPr>
                  <m:t>n h</m:t>
                </m:r>
                <m:r>
                  <m:rPr>
                    <m:sty m:val="p"/>
                  </m:rPr>
                  <w:rPr>
                    <w:rFonts w:ascii="Cambria Math" w:hAnsi="Cambria Math"/>
                    <w:sz w:val="24"/>
                    <w:szCs w:val="24"/>
                  </w:rPr>
                  <m:t>ằ</m:t>
                </m:r>
                <m:r>
                  <m:rPr>
                    <m:sty m:val="p"/>
                  </m:rPr>
                  <w:rPr>
                    <w:rFonts w:ascii="Cambria Math"/>
                    <w:sz w:val="24"/>
                    <w:szCs w:val="24"/>
                  </w:rPr>
                  <m:t>ng n</m:t>
                </m:r>
                <m:r>
                  <m:rPr>
                    <m:sty m:val="p"/>
                  </m:rPr>
                  <w:rPr>
                    <w:rFonts w:ascii="Cambria Math" w:hAnsi="Cambria Math"/>
                    <w:sz w:val="24"/>
                    <w:szCs w:val="24"/>
                  </w:rPr>
                  <m:t>ă</m:t>
                </m:r>
                <m:r>
                  <m:rPr>
                    <m:sty m:val="p"/>
                  </m:rPr>
                  <w:rPr>
                    <w:rFonts w:ascii="Cambria Math"/>
                    <w:sz w:val="24"/>
                    <w:szCs w:val="24"/>
                  </w:rPr>
                  <m:t>m c</m:t>
                </m:r>
                <m:r>
                  <m:rPr>
                    <m:sty m:val="p"/>
                  </m:rPr>
                  <w:rPr>
                    <w:rFonts w:ascii="Cambria Math" w:hAnsi="Cambria Math"/>
                    <w:sz w:val="24"/>
                    <w:szCs w:val="24"/>
                  </w:rPr>
                  <m:t>ủ</m:t>
                </m:r>
                <m:r>
                  <m:rPr>
                    <m:sty m:val="p"/>
                  </m:rPr>
                  <w:rPr>
                    <w:rFonts w:ascii="Cambria Math"/>
                    <w:sz w:val="24"/>
                    <w:szCs w:val="24"/>
                  </w:rPr>
                  <m:t>a nh</m:t>
                </m:r>
                <m:r>
                  <m:rPr>
                    <m:sty m:val="p"/>
                  </m:rPr>
                  <w:rPr>
                    <w:rFonts w:ascii="Cambria Math" w:hAnsi="Cambria Math"/>
                    <w:sz w:val="24"/>
                    <w:szCs w:val="24"/>
                  </w:rPr>
                  <m:t>à</m:t>
                </m:r>
                <m:r>
                  <m:rPr>
                    <m:sty m:val="p"/>
                  </m:rPr>
                  <w:rPr>
                    <w:rFonts w:ascii="Cambria Math"/>
                    <w:sz w:val="24"/>
                    <w:szCs w:val="24"/>
                  </w:rPr>
                  <m:t>,c</m:t>
                </m:r>
                <m:r>
                  <m:rPr>
                    <m:sty m:val="p"/>
                  </m:rPr>
                  <w:rPr>
                    <w:rFonts w:ascii="Cambria Math" w:hAnsi="Cambria Math"/>
                    <w:sz w:val="24"/>
                    <w:szCs w:val="24"/>
                  </w:rPr>
                  <m:t>ô</m:t>
                </m:r>
                <m:r>
                  <m:rPr>
                    <m:sty m:val="p"/>
                  </m:rPr>
                  <w:rPr>
                    <w:rFonts w:ascii="Cambria Math"/>
                    <w:sz w:val="24"/>
                    <w:szCs w:val="24"/>
                  </w:rPr>
                  <m:t>ng tr</m:t>
                </m:r>
                <m:r>
                  <m:rPr>
                    <m:sty m:val="p"/>
                  </m:rPr>
                  <w:rPr>
                    <w:rFonts w:ascii="Cambria Math" w:hAnsi="Cambria Math"/>
                    <w:sz w:val="24"/>
                    <w:szCs w:val="24"/>
                  </w:rPr>
                  <m:t>ì</m:t>
                </m:r>
                <m:r>
                  <m:rPr>
                    <m:sty m:val="p"/>
                  </m:rPr>
                  <w:rPr>
                    <w:rFonts w:ascii="Cambria Math"/>
                    <w:sz w:val="24"/>
                    <w:szCs w:val="24"/>
                  </w:rPr>
                  <m:t>nh g</m:t>
                </m:r>
                <m:r>
                  <m:rPr>
                    <m:sty m:val="p"/>
                  </m:rPr>
                  <w:rPr>
                    <w:rFonts w:ascii="Cambria Math" w:hAnsi="Cambria Math"/>
                    <w:sz w:val="24"/>
                    <w:szCs w:val="24"/>
                  </w:rPr>
                  <m:t>ắ</m:t>
                </m:r>
                <m:r>
                  <m:rPr>
                    <m:sty m:val="p"/>
                  </m:rPr>
                  <w:rPr>
                    <w:rFonts w:ascii="Cambria Math"/>
                    <w:sz w:val="24"/>
                    <w:szCs w:val="24"/>
                  </w:rPr>
                  <m:t>n li</m:t>
                </m:r>
                <m:r>
                  <m:rPr>
                    <m:sty m:val="p"/>
                  </m:rPr>
                  <w:rPr>
                    <w:rFonts w:ascii="Cambria Math" w:hAnsi="Cambria Math"/>
                    <w:sz w:val="24"/>
                    <w:szCs w:val="24"/>
                  </w:rPr>
                  <m:t>ề</m:t>
                </m:r>
                <m:r>
                  <m:rPr>
                    <m:sty m:val="p"/>
                  </m:rPr>
                  <w:rPr>
                    <w:rFonts w:ascii="Cambria Math"/>
                    <w:sz w:val="24"/>
                    <w:szCs w:val="24"/>
                  </w:rPr>
                  <m:t>n v</m:t>
                </m:r>
                <m:r>
                  <m:rPr>
                    <m:sty m:val="p"/>
                  </m:rPr>
                  <w:rPr>
                    <w:rFonts w:ascii="Cambria Math" w:hAnsi="Cambria Math"/>
                    <w:sz w:val="24"/>
                    <w:szCs w:val="24"/>
                  </w:rPr>
                  <m:t>ớ</m:t>
                </m:r>
                <m:r>
                  <m:rPr>
                    <m:sty m:val="p"/>
                  </m:rPr>
                  <w:rPr>
                    <w:rFonts w:ascii="Cambria Math"/>
                    <w:sz w:val="24"/>
                    <w:szCs w:val="24"/>
                  </w:rPr>
                  <m:t xml:space="preserve">i </m:t>
                </m:r>
                <m:r>
                  <m:rPr>
                    <m:sty m:val="p"/>
                  </m:rPr>
                  <w:rPr>
                    <w:rFonts w:ascii="Cambria Math" w:hAnsi="Cambria Math"/>
                    <w:sz w:val="24"/>
                    <w:szCs w:val="24"/>
                  </w:rPr>
                  <m:t>đấ</m:t>
                </m:r>
                <m:r>
                  <m:rPr>
                    <m:sty m:val="p"/>
                  </m:rPr>
                  <w:rPr>
                    <w:rFonts w:ascii="Cambria Math"/>
                    <w:sz w:val="24"/>
                    <w:szCs w:val="24"/>
                  </w:rPr>
                  <m:t>t (</m:t>
                </m:r>
                <m:r>
                  <m:rPr>
                    <m:sty m:val="p"/>
                  </m:rPr>
                  <w:rPr>
                    <w:rFonts w:ascii="Cambria Math" w:hAnsi="Cambria Math"/>
                    <w:sz w:val="24"/>
                    <w:szCs w:val="24"/>
                  </w:rPr>
                  <m:t>đồ</m:t>
                </m:r>
                <m:r>
                  <m:rPr>
                    <m:sty m:val="p"/>
                  </m:rPr>
                  <w:rPr>
                    <w:rFonts w:ascii="Cambria Math"/>
                    <w:sz w:val="24"/>
                    <w:szCs w:val="24"/>
                  </w:rPr>
                  <m:t>ng/n</m:t>
                </m:r>
                <m:r>
                  <m:rPr>
                    <m:sty m:val="p"/>
                  </m:rPr>
                  <w:rPr>
                    <w:rFonts w:ascii="Cambria Math" w:hAnsi="Cambria Math"/>
                    <w:sz w:val="24"/>
                    <w:szCs w:val="24"/>
                  </w:rPr>
                  <m:t>ă</m:t>
                </m:r>
                <m:r>
                  <m:rPr>
                    <m:sty m:val="p"/>
                  </m:rPr>
                  <w:rPr>
                    <w:rFonts w:ascii="Cambria Math"/>
                    <w:sz w:val="24"/>
                    <w:szCs w:val="24"/>
                  </w:rPr>
                  <m:t>m)</m:t>
                </m:r>
              </m:oMath>
            </m:oMathPara>
          </w:p>
          <w:p w:rsidR="00547614" w:rsidRPr="000C119F" w:rsidRDefault="00547614" w:rsidP="000C119F">
            <w:pPr>
              <w:widowControl w:val="0"/>
              <w:spacing w:before="0"/>
              <w:jc w:val="both"/>
              <w:rPr>
                <w:iCs/>
                <w:spacing w:val="-2"/>
                <w:sz w:val="24"/>
                <w:szCs w:val="24"/>
              </w:rPr>
            </w:pPr>
            <w:r w:rsidRPr="000C119F">
              <w:rPr>
                <w:iCs/>
                <w:spacing w:val="-2"/>
                <w:sz w:val="24"/>
                <w:szCs w:val="24"/>
              </w:rPr>
              <w:t>- Trường hợp thời gian sử dụng để tính hao mòn còn lại nhỏ hơn thời hạn cho thuê nhà mà giá trị còn lại trên sổ kế toán lớn hơn 10% nguyên giá:</w:t>
            </w:r>
          </w:p>
          <w:p w:rsidR="00547614" w:rsidRPr="000C119F" w:rsidRDefault="00547614" w:rsidP="000C119F">
            <w:pPr>
              <w:widowControl w:val="0"/>
              <w:spacing w:before="0"/>
              <w:ind w:firstLine="720"/>
              <w:jc w:val="both"/>
              <w:rPr>
                <w:iCs/>
                <w:sz w:val="24"/>
                <w:szCs w:val="24"/>
              </w:rPr>
            </w:pPr>
            <m:oMathPara>
              <m:oMath>
                <m:r>
                  <m:rPr>
                    <m:sty m:val="p"/>
                  </m:rPr>
                  <w:rPr>
                    <w:rFonts w:ascii="Cambria Math"/>
                    <w:sz w:val="24"/>
                    <w:szCs w:val="24"/>
                  </w:rPr>
                  <m:t>G</m:t>
                </m:r>
                <m:r>
                  <m:rPr>
                    <m:nor/>
                  </m:rPr>
                  <w:rPr>
                    <w:iCs/>
                    <w:sz w:val="24"/>
                    <w:szCs w:val="24"/>
                    <w:vertAlign w:val="subscript"/>
                  </w:rPr>
                  <m:t xml:space="preserve">hm </m:t>
                </m:r>
                <m:r>
                  <w:rPr>
                    <w:rFonts w:ascii="Cambria Math"/>
                    <w:sz w:val="24"/>
                    <w:szCs w:val="24"/>
                    <w:vertAlign w:val="subscript"/>
                  </w:rPr>
                  <m:t>=</m:t>
                </m:r>
                <m:f>
                  <m:fPr>
                    <m:ctrlPr>
                      <w:rPr>
                        <w:rFonts w:ascii="Cambria Math" w:hAnsi="Cambria Math"/>
                        <w:iCs/>
                        <w:sz w:val="24"/>
                        <w:szCs w:val="24"/>
                        <w:vertAlign w:val="subscript"/>
                      </w:rPr>
                    </m:ctrlPr>
                  </m:fPr>
                  <m:num>
                    <m:r>
                      <m:rPr>
                        <m:sty m:val="p"/>
                      </m:rPr>
                      <w:rPr>
                        <w:rFonts w:ascii="Cambria Math"/>
                        <w:sz w:val="24"/>
                        <w:szCs w:val="24"/>
                        <w:vertAlign w:val="subscript"/>
                      </w:rPr>
                      <m:t>Gi</m:t>
                    </m:r>
                    <m:r>
                      <m:rPr>
                        <m:sty m:val="p"/>
                      </m:rPr>
                      <w:rPr>
                        <w:rFonts w:ascii="Cambria Math" w:hAnsi="Cambria Math"/>
                        <w:sz w:val="24"/>
                        <w:szCs w:val="24"/>
                        <w:vertAlign w:val="subscript"/>
                      </w:rPr>
                      <m:t>á</m:t>
                    </m:r>
                    <m:r>
                      <m:rPr>
                        <m:sty m:val="p"/>
                      </m:rPr>
                      <w:rPr>
                        <w:rFonts w:ascii="Cambria Math"/>
                        <w:sz w:val="24"/>
                        <w:szCs w:val="24"/>
                        <w:vertAlign w:val="subscript"/>
                      </w:rPr>
                      <m:t xml:space="preserve"> tr</m:t>
                    </m:r>
                    <m:r>
                      <m:rPr>
                        <m:sty m:val="p"/>
                      </m:rPr>
                      <w:rPr>
                        <w:rFonts w:ascii="Cambria Math" w:hAnsi="Cambria Math"/>
                        <w:sz w:val="24"/>
                        <w:szCs w:val="24"/>
                        <w:vertAlign w:val="subscript"/>
                      </w:rPr>
                      <m:t>ị</m:t>
                    </m:r>
                    <m:r>
                      <m:rPr>
                        <m:sty m:val="p"/>
                      </m:rPr>
                      <w:rPr>
                        <w:rFonts w:ascii="Cambria Math"/>
                        <w:sz w:val="24"/>
                        <w:szCs w:val="24"/>
                        <w:vertAlign w:val="subscript"/>
                      </w:rPr>
                      <m:t xml:space="preserve"> c</m:t>
                    </m:r>
                    <m:r>
                      <m:rPr>
                        <m:sty m:val="p"/>
                      </m:rPr>
                      <w:rPr>
                        <w:rFonts w:ascii="Cambria Math" w:hAnsi="Cambria Math"/>
                        <w:sz w:val="24"/>
                        <w:szCs w:val="24"/>
                        <w:vertAlign w:val="subscript"/>
                      </w:rPr>
                      <m:t>ò</m:t>
                    </m:r>
                    <m:r>
                      <m:rPr>
                        <m:sty m:val="p"/>
                      </m:rPr>
                      <w:rPr>
                        <w:rFonts w:ascii="Cambria Math"/>
                        <w:sz w:val="24"/>
                        <w:szCs w:val="24"/>
                        <w:vertAlign w:val="subscript"/>
                      </w:rPr>
                      <m:t>n l</m:t>
                    </m:r>
                    <m:r>
                      <m:rPr>
                        <m:sty m:val="p"/>
                      </m:rPr>
                      <w:rPr>
                        <w:rFonts w:ascii="Cambria Math" w:hAnsi="Cambria Math"/>
                        <w:sz w:val="24"/>
                        <w:szCs w:val="24"/>
                        <w:vertAlign w:val="subscript"/>
                      </w:rPr>
                      <m:t>ạ</m:t>
                    </m:r>
                    <m:r>
                      <m:rPr>
                        <m:sty m:val="p"/>
                      </m:rPr>
                      <w:rPr>
                        <w:rFonts w:ascii="Cambria Math"/>
                        <w:sz w:val="24"/>
                        <w:szCs w:val="24"/>
                        <w:vertAlign w:val="subscript"/>
                      </w:rPr>
                      <m:t>i tr</m:t>
                    </m:r>
                    <m:r>
                      <m:rPr>
                        <m:sty m:val="p"/>
                      </m:rPr>
                      <w:rPr>
                        <w:rFonts w:ascii="Cambria Math" w:hAnsi="Cambria Math"/>
                        <w:sz w:val="24"/>
                        <w:szCs w:val="24"/>
                        <w:vertAlign w:val="subscript"/>
                      </w:rPr>
                      <m:t>ê</m:t>
                    </m:r>
                    <m:r>
                      <m:rPr>
                        <m:sty m:val="p"/>
                      </m:rPr>
                      <w:rPr>
                        <w:rFonts w:ascii="Cambria Math"/>
                        <w:sz w:val="24"/>
                        <w:szCs w:val="24"/>
                        <w:vertAlign w:val="subscript"/>
                      </w:rPr>
                      <m:t>n s</m:t>
                    </m:r>
                    <m:r>
                      <m:rPr>
                        <m:sty m:val="p"/>
                      </m:rPr>
                      <w:rPr>
                        <w:rFonts w:ascii="Cambria Math" w:hAnsi="Cambria Math"/>
                        <w:sz w:val="24"/>
                        <w:szCs w:val="24"/>
                        <w:vertAlign w:val="subscript"/>
                      </w:rPr>
                      <m:t>ổ</m:t>
                    </m:r>
                    <m:r>
                      <m:rPr>
                        <m:sty m:val="p"/>
                      </m:rPr>
                      <w:rPr>
                        <w:rFonts w:ascii="Cambria Math"/>
                        <w:sz w:val="24"/>
                        <w:szCs w:val="24"/>
                        <w:vertAlign w:val="subscript"/>
                      </w:rPr>
                      <m:t xml:space="preserve"> k</m:t>
                    </m:r>
                    <m:r>
                      <m:rPr>
                        <m:sty m:val="p"/>
                      </m:rPr>
                      <w:rPr>
                        <w:rFonts w:ascii="Cambria Math" w:hAnsi="Cambria Math"/>
                        <w:sz w:val="24"/>
                        <w:szCs w:val="24"/>
                        <w:vertAlign w:val="subscript"/>
                      </w:rPr>
                      <m:t>ế</m:t>
                    </m:r>
                    <m:r>
                      <m:rPr>
                        <m:sty m:val="p"/>
                      </m:rPr>
                      <w:rPr>
                        <w:rFonts w:ascii="Cambria Math"/>
                        <w:sz w:val="24"/>
                        <w:szCs w:val="24"/>
                        <w:vertAlign w:val="subscript"/>
                      </w:rPr>
                      <m:t xml:space="preserve"> to</m:t>
                    </m:r>
                    <m:r>
                      <m:rPr>
                        <m:sty m:val="p"/>
                      </m:rPr>
                      <w:rPr>
                        <w:rFonts w:ascii="Cambria Math" w:hAnsi="Cambria Math"/>
                        <w:sz w:val="24"/>
                        <w:szCs w:val="24"/>
                        <w:vertAlign w:val="subscript"/>
                      </w:rPr>
                      <m:t>á</m:t>
                    </m:r>
                    <m:r>
                      <m:rPr>
                        <m:sty m:val="p"/>
                      </m:rPr>
                      <w:rPr>
                        <w:rFonts w:ascii="Cambria Math"/>
                        <w:sz w:val="24"/>
                        <w:szCs w:val="24"/>
                        <w:vertAlign w:val="subscript"/>
                      </w:rPr>
                      <m:t>n c</m:t>
                    </m:r>
                    <m:r>
                      <m:rPr>
                        <m:sty m:val="p"/>
                      </m:rPr>
                      <w:rPr>
                        <w:rFonts w:ascii="Cambria Math" w:hAnsi="Cambria Math"/>
                        <w:sz w:val="24"/>
                        <w:szCs w:val="24"/>
                        <w:vertAlign w:val="subscript"/>
                      </w:rPr>
                      <m:t>ủ</m:t>
                    </m:r>
                    <m:r>
                      <m:rPr>
                        <m:sty m:val="p"/>
                      </m:rPr>
                      <w:rPr>
                        <w:rFonts w:ascii="Cambria Math"/>
                        <w:sz w:val="24"/>
                        <w:szCs w:val="24"/>
                        <w:vertAlign w:val="subscript"/>
                      </w:rPr>
                      <m:t>a nh</m:t>
                    </m:r>
                    <m:r>
                      <m:rPr>
                        <m:sty m:val="p"/>
                      </m:rPr>
                      <w:rPr>
                        <w:rFonts w:ascii="Cambria Math" w:hAnsi="Cambria Math"/>
                        <w:sz w:val="24"/>
                        <w:szCs w:val="24"/>
                        <w:vertAlign w:val="subscript"/>
                      </w:rPr>
                      <m:t>à</m:t>
                    </m:r>
                    <m:r>
                      <m:rPr>
                        <m:sty m:val="p"/>
                      </m:rPr>
                      <w:rPr>
                        <w:rFonts w:ascii="Cambria Math"/>
                        <w:sz w:val="24"/>
                        <w:szCs w:val="24"/>
                        <w:vertAlign w:val="subscript"/>
                      </w:rPr>
                      <m:t>, c</m:t>
                    </m:r>
                    <m:r>
                      <m:rPr>
                        <m:sty m:val="p"/>
                      </m:rPr>
                      <w:rPr>
                        <w:rFonts w:ascii="Cambria Math" w:hAnsi="Cambria Math"/>
                        <w:sz w:val="24"/>
                        <w:szCs w:val="24"/>
                        <w:vertAlign w:val="subscript"/>
                      </w:rPr>
                      <m:t>ô</m:t>
                    </m:r>
                    <m:r>
                      <m:rPr>
                        <m:sty m:val="p"/>
                      </m:rPr>
                      <w:rPr>
                        <w:rFonts w:ascii="Cambria Math"/>
                        <w:sz w:val="24"/>
                        <w:szCs w:val="24"/>
                        <w:vertAlign w:val="subscript"/>
                      </w:rPr>
                      <m:t>ng tr</m:t>
                    </m:r>
                    <m:r>
                      <m:rPr>
                        <m:sty m:val="p"/>
                      </m:rPr>
                      <w:rPr>
                        <w:rFonts w:ascii="Cambria Math" w:hAnsi="Cambria Math"/>
                        <w:sz w:val="24"/>
                        <w:szCs w:val="24"/>
                        <w:vertAlign w:val="subscript"/>
                      </w:rPr>
                      <m:t>ì</m:t>
                    </m:r>
                    <m:r>
                      <m:rPr>
                        <m:sty m:val="p"/>
                      </m:rPr>
                      <w:rPr>
                        <w:rFonts w:ascii="Cambria Math"/>
                        <w:sz w:val="24"/>
                        <w:szCs w:val="24"/>
                        <w:vertAlign w:val="subscript"/>
                      </w:rPr>
                      <m:t>nh g</m:t>
                    </m:r>
                    <m:r>
                      <m:rPr>
                        <m:sty m:val="p"/>
                      </m:rPr>
                      <w:rPr>
                        <w:rFonts w:ascii="Cambria Math" w:hAnsi="Cambria Math"/>
                        <w:sz w:val="24"/>
                        <w:szCs w:val="24"/>
                        <w:vertAlign w:val="subscript"/>
                      </w:rPr>
                      <m:t>ắ</m:t>
                    </m:r>
                    <m:r>
                      <m:rPr>
                        <m:sty m:val="p"/>
                      </m:rPr>
                      <w:rPr>
                        <w:rFonts w:ascii="Cambria Math"/>
                        <w:sz w:val="24"/>
                        <w:szCs w:val="24"/>
                        <w:vertAlign w:val="subscript"/>
                      </w:rPr>
                      <m:t>n li</m:t>
                    </m:r>
                    <m:r>
                      <m:rPr>
                        <m:sty m:val="p"/>
                      </m:rPr>
                      <w:rPr>
                        <w:rFonts w:ascii="Cambria Math" w:hAnsi="Cambria Math"/>
                        <w:sz w:val="24"/>
                        <w:szCs w:val="24"/>
                        <w:vertAlign w:val="subscript"/>
                      </w:rPr>
                      <m:t>ề</m:t>
                    </m:r>
                    <m:r>
                      <m:rPr>
                        <m:sty m:val="p"/>
                      </m:rPr>
                      <w:rPr>
                        <w:rFonts w:ascii="Cambria Math"/>
                        <w:sz w:val="24"/>
                        <w:szCs w:val="24"/>
                        <w:vertAlign w:val="subscript"/>
                      </w:rPr>
                      <m:t>n v</m:t>
                    </m:r>
                    <m:r>
                      <m:rPr>
                        <m:sty m:val="p"/>
                      </m:rPr>
                      <w:rPr>
                        <w:rFonts w:ascii="Cambria Math" w:hAnsi="Cambria Math"/>
                        <w:sz w:val="24"/>
                        <w:szCs w:val="24"/>
                        <w:vertAlign w:val="subscript"/>
                      </w:rPr>
                      <m:t>ớ</m:t>
                    </m:r>
                    <m:r>
                      <m:rPr>
                        <m:sty m:val="p"/>
                      </m:rPr>
                      <w:rPr>
                        <w:rFonts w:ascii="Cambria Math"/>
                        <w:sz w:val="24"/>
                        <w:szCs w:val="24"/>
                        <w:vertAlign w:val="subscript"/>
                      </w:rPr>
                      <m:t xml:space="preserve">i </m:t>
                    </m:r>
                    <m:r>
                      <m:rPr>
                        <m:sty m:val="p"/>
                      </m:rPr>
                      <w:rPr>
                        <w:rFonts w:ascii="Cambria Math" w:hAnsi="Cambria Math"/>
                        <w:sz w:val="24"/>
                        <w:szCs w:val="24"/>
                        <w:vertAlign w:val="subscript"/>
                      </w:rPr>
                      <m:t>đấ</m:t>
                    </m:r>
                    <m:r>
                      <m:rPr>
                        <m:sty m:val="p"/>
                      </m:rPr>
                      <w:rPr>
                        <w:rFonts w:ascii="Cambria Math"/>
                        <w:sz w:val="24"/>
                        <w:szCs w:val="24"/>
                        <w:vertAlign w:val="subscript"/>
                      </w:rPr>
                      <m:t>t (</m:t>
                    </m:r>
                    <m:r>
                      <m:rPr>
                        <m:sty m:val="p"/>
                      </m:rPr>
                      <w:rPr>
                        <w:rFonts w:ascii="Cambria Math" w:hAnsi="Cambria Math"/>
                        <w:sz w:val="24"/>
                        <w:szCs w:val="24"/>
                        <w:vertAlign w:val="subscript"/>
                      </w:rPr>
                      <m:t>đồ</m:t>
                    </m:r>
                    <m:r>
                      <m:rPr>
                        <m:sty m:val="p"/>
                      </m:rPr>
                      <w:rPr>
                        <w:rFonts w:ascii="Cambria Math"/>
                        <w:sz w:val="24"/>
                        <w:szCs w:val="24"/>
                        <w:vertAlign w:val="subscript"/>
                      </w:rPr>
                      <m:t>ng)</m:t>
                    </m:r>
                  </m:num>
                  <m:den>
                    <m:r>
                      <m:rPr>
                        <m:sty m:val="p"/>
                      </m:rPr>
                      <w:rPr>
                        <w:rFonts w:ascii="Cambria Math"/>
                        <w:sz w:val="24"/>
                        <w:szCs w:val="24"/>
                        <w:vertAlign w:val="subscript"/>
                      </w:rPr>
                      <m:t>Th</m:t>
                    </m:r>
                    <m:r>
                      <m:rPr>
                        <m:sty m:val="p"/>
                      </m:rPr>
                      <w:rPr>
                        <w:rFonts w:ascii="Cambria Math" w:hAnsi="Cambria Math"/>
                        <w:sz w:val="24"/>
                        <w:szCs w:val="24"/>
                        <w:vertAlign w:val="subscript"/>
                      </w:rPr>
                      <m:t>ờ</m:t>
                    </m:r>
                    <m:r>
                      <m:rPr>
                        <m:sty m:val="p"/>
                      </m:rPr>
                      <w:rPr>
                        <w:rFonts w:ascii="Cambria Math"/>
                        <w:sz w:val="24"/>
                        <w:szCs w:val="24"/>
                        <w:vertAlign w:val="subscript"/>
                      </w:rPr>
                      <m:t>i h</m:t>
                    </m:r>
                    <m:r>
                      <m:rPr>
                        <m:sty m:val="p"/>
                      </m:rPr>
                      <w:rPr>
                        <w:rFonts w:ascii="Cambria Math" w:hAnsi="Cambria Math"/>
                        <w:sz w:val="24"/>
                        <w:szCs w:val="24"/>
                        <w:vertAlign w:val="subscript"/>
                      </w:rPr>
                      <m:t>ạ</m:t>
                    </m:r>
                    <m:r>
                      <m:rPr>
                        <m:sty m:val="p"/>
                      </m:rPr>
                      <w:rPr>
                        <w:rFonts w:ascii="Cambria Math"/>
                        <w:sz w:val="24"/>
                        <w:szCs w:val="24"/>
                        <w:vertAlign w:val="subscript"/>
                      </w:rPr>
                      <m:t>n cho thu</m:t>
                    </m:r>
                    <m:r>
                      <m:rPr>
                        <m:sty m:val="p"/>
                      </m:rPr>
                      <w:rPr>
                        <w:rFonts w:ascii="Cambria Math" w:hAnsi="Cambria Math"/>
                        <w:sz w:val="24"/>
                        <w:szCs w:val="24"/>
                        <w:vertAlign w:val="subscript"/>
                      </w:rPr>
                      <m:t>ê</m:t>
                    </m:r>
                    <m:r>
                      <m:rPr>
                        <m:sty m:val="p"/>
                      </m:rPr>
                      <w:rPr>
                        <w:rFonts w:ascii="Cambria Math"/>
                        <w:sz w:val="24"/>
                        <w:szCs w:val="24"/>
                        <w:vertAlign w:val="subscript"/>
                      </w:rPr>
                      <m:t xml:space="preserve"> nh</m:t>
                    </m:r>
                    <m:r>
                      <m:rPr>
                        <m:sty m:val="p"/>
                      </m:rPr>
                      <w:rPr>
                        <w:rFonts w:ascii="Cambria Math" w:hAnsi="Cambria Math"/>
                        <w:sz w:val="24"/>
                        <w:szCs w:val="24"/>
                        <w:vertAlign w:val="subscript"/>
                      </w:rPr>
                      <m:t>à</m:t>
                    </m:r>
                    <m:r>
                      <m:rPr>
                        <m:sty m:val="p"/>
                      </m:rPr>
                      <w:rPr>
                        <w:rFonts w:ascii="Cambria Math"/>
                        <w:sz w:val="24"/>
                        <w:szCs w:val="24"/>
                        <w:vertAlign w:val="subscript"/>
                      </w:rPr>
                      <m:t xml:space="preserve"> (n</m:t>
                    </m:r>
                    <m:r>
                      <m:rPr>
                        <m:sty m:val="p"/>
                      </m:rPr>
                      <w:rPr>
                        <w:rFonts w:ascii="Cambria Math" w:hAnsi="Cambria Math"/>
                        <w:sz w:val="24"/>
                        <w:szCs w:val="24"/>
                        <w:vertAlign w:val="subscript"/>
                      </w:rPr>
                      <m:t>ă</m:t>
                    </m:r>
                    <m:r>
                      <m:rPr>
                        <m:sty m:val="p"/>
                      </m:rPr>
                      <w:rPr>
                        <w:rFonts w:ascii="Cambria Math"/>
                        <w:sz w:val="24"/>
                        <w:szCs w:val="24"/>
                        <w:vertAlign w:val="subscript"/>
                      </w:rPr>
                      <m:t>m)</m:t>
                    </m:r>
                  </m:den>
                </m:f>
              </m:oMath>
            </m:oMathPara>
          </w:p>
          <w:p w:rsidR="00547614" w:rsidRPr="000C119F" w:rsidRDefault="00547614" w:rsidP="000C119F">
            <w:pPr>
              <w:widowControl w:val="0"/>
              <w:spacing w:before="0"/>
              <w:jc w:val="both"/>
              <w:rPr>
                <w:iCs/>
                <w:sz w:val="24"/>
                <w:szCs w:val="24"/>
              </w:rPr>
            </w:pPr>
            <w:r w:rsidRPr="000C119F">
              <w:rPr>
                <w:iCs/>
                <w:sz w:val="24"/>
                <w:szCs w:val="24"/>
              </w:rPr>
              <w:t>- Trường hợp thời gian sử dụng để tính hao mòn còn lại nhỏ hơn thời hạn cho thuê nhà mà giá trị còn lại trên sổ kế toán nhỏ hơn hoặc bằng 10% nguyên giá:</w:t>
            </w:r>
          </w:p>
          <w:p w:rsidR="00547614" w:rsidRPr="000C119F" w:rsidRDefault="00547614" w:rsidP="000C119F">
            <w:pPr>
              <w:widowControl w:val="0"/>
              <w:spacing w:before="0"/>
              <w:jc w:val="both"/>
              <w:rPr>
                <w:iCs/>
                <w:sz w:val="24"/>
                <w:szCs w:val="24"/>
              </w:rPr>
            </w:pPr>
            <m:oMathPara>
              <m:oMath>
                <m:r>
                  <m:rPr>
                    <m:sty m:val="p"/>
                  </m:rPr>
                  <w:rPr>
                    <w:rFonts w:ascii="Cambria Math"/>
                    <w:sz w:val="24"/>
                    <w:szCs w:val="24"/>
                  </w:rPr>
                  <m:t>G</m:t>
                </m:r>
                <m:r>
                  <m:rPr>
                    <m:nor/>
                  </m:rPr>
                  <w:rPr>
                    <w:iCs/>
                    <w:sz w:val="24"/>
                    <w:szCs w:val="24"/>
                    <w:vertAlign w:val="subscript"/>
                  </w:rPr>
                  <m:t xml:space="preserve">hm </m:t>
                </m:r>
                <m:r>
                  <w:rPr>
                    <w:rFonts w:ascii="Cambria Math"/>
                    <w:sz w:val="24"/>
                    <w:szCs w:val="24"/>
                    <w:vertAlign w:val="subscript"/>
                  </w:rPr>
                  <m:t xml:space="preserve">= </m:t>
                </m:r>
                <m:f>
                  <m:fPr>
                    <m:ctrlPr>
                      <w:rPr>
                        <w:rFonts w:ascii="Cambria Math" w:hAnsi="Cambria Math"/>
                        <w:sz w:val="24"/>
                        <w:szCs w:val="24"/>
                        <w:vertAlign w:val="subscript"/>
                      </w:rPr>
                    </m:ctrlPr>
                  </m:fPr>
                  <m:num>
                    <m:r>
                      <m:rPr>
                        <m:sty m:val="p"/>
                      </m:rPr>
                      <w:rPr>
                        <w:rFonts w:ascii="Cambria Math"/>
                        <w:sz w:val="24"/>
                        <w:szCs w:val="24"/>
                        <w:vertAlign w:val="subscript"/>
                      </w:rPr>
                      <m:t>Nguy</m:t>
                    </m:r>
                    <m:r>
                      <m:rPr>
                        <m:sty m:val="p"/>
                      </m:rPr>
                      <w:rPr>
                        <w:rFonts w:ascii="Cambria Math" w:hAnsi="Cambria Math"/>
                        <w:sz w:val="24"/>
                        <w:szCs w:val="24"/>
                        <w:vertAlign w:val="subscript"/>
                      </w:rPr>
                      <m:t>ê</m:t>
                    </m:r>
                    <m:r>
                      <m:rPr>
                        <m:sty m:val="p"/>
                      </m:rPr>
                      <w:rPr>
                        <w:rFonts w:ascii="Cambria Math"/>
                        <w:sz w:val="24"/>
                        <w:szCs w:val="24"/>
                        <w:vertAlign w:val="subscript"/>
                      </w:rPr>
                      <m:t>n gi</m:t>
                    </m:r>
                    <m:r>
                      <m:rPr>
                        <m:sty m:val="p"/>
                      </m:rPr>
                      <w:rPr>
                        <w:rFonts w:ascii="Cambria Math" w:hAnsi="Cambria Math"/>
                        <w:sz w:val="24"/>
                        <w:szCs w:val="24"/>
                        <w:vertAlign w:val="subscript"/>
                      </w:rPr>
                      <m:t>á</m:t>
                    </m:r>
                    <m:r>
                      <m:rPr>
                        <m:sty m:val="p"/>
                      </m:rPr>
                      <w:rPr>
                        <w:rFonts w:ascii="Cambria Math"/>
                        <w:sz w:val="24"/>
                        <w:szCs w:val="24"/>
                        <w:vertAlign w:val="subscript"/>
                      </w:rPr>
                      <m:t xml:space="preserve"> tr</m:t>
                    </m:r>
                    <m:r>
                      <m:rPr>
                        <m:sty m:val="p"/>
                      </m:rPr>
                      <w:rPr>
                        <w:rFonts w:ascii="Cambria Math" w:hAnsi="Cambria Math"/>
                        <w:sz w:val="24"/>
                        <w:szCs w:val="24"/>
                        <w:vertAlign w:val="subscript"/>
                      </w:rPr>
                      <m:t>ê</m:t>
                    </m:r>
                    <m:r>
                      <m:rPr>
                        <m:sty m:val="p"/>
                      </m:rPr>
                      <w:rPr>
                        <w:rFonts w:ascii="Cambria Math"/>
                        <w:sz w:val="24"/>
                        <w:szCs w:val="24"/>
                        <w:vertAlign w:val="subscript"/>
                      </w:rPr>
                      <m:t>n s</m:t>
                    </m:r>
                    <m:r>
                      <m:rPr>
                        <m:sty m:val="p"/>
                      </m:rPr>
                      <w:rPr>
                        <w:rFonts w:ascii="Cambria Math" w:hAnsi="Cambria Math"/>
                        <w:sz w:val="24"/>
                        <w:szCs w:val="24"/>
                        <w:vertAlign w:val="subscript"/>
                      </w:rPr>
                      <m:t>ổ</m:t>
                    </m:r>
                    <m:r>
                      <m:rPr>
                        <m:sty m:val="p"/>
                      </m:rPr>
                      <w:rPr>
                        <w:rFonts w:ascii="Cambria Math"/>
                        <w:sz w:val="24"/>
                        <w:szCs w:val="24"/>
                        <w:vertAlign w:val="subscript"/>
                      </w:rPr>
                      <m:t xml:space="preserve"> k</m:t>
                    </m:r>
                    <m:r>
                      <m:rPr>
                        <m:sty m:val="p"/>
                      </m:rPr>
                      <w:rPr>
                        <w:rFonts w:ascii="Cambria Math" w:hAnsi="Cambria Math"/>
                        <w:sz w:val="24"/>
                        <w:szCs w:val="24"/>
                        <w:vertAlign w:val="subscript"/>
                      </w:rPr>
                      <m:t>ế</m:t>
                    </m:r>
                    <m:r>
                      <m:rPr>
                        <m:sty m:val="p"/>
                      </m:rPr>
                      <w:rPr>
                        <w:rFonts w:ascii="Cambria Math"/>
                        <w:sz w:val="24"/>
                        <w:szCs w:val="24"/>
                        <w:vertAlign w:val="subscript"/>
                      </w:rPr>
                      <m:t xml:space="preserve"> to</m:t>
                    </m:r>
                    <m:r>
                      <m:rPr>
                        <m:sty m:val="p"/>
                      </m:rPr>
                      <w:rPr>
                        <w:rFonts w:ascii="Cambria Math" w:hAnsi="Cambria Math"/>
                        <w:sz w:val="24"/>
                        <w:szCs w:val="24"/>
                        <w:vertAlign w:val="subscript"/>
                      </w:rPr>
                      <m:t>á</m:t>
                    </m:r>
                    <m:r>
                      <m:rPr>
                        <m:sty m:val="p"/>
                      </m:rPr>
                      <w:rPr>
                        <w:rFonts w:ascii="Cambria Math"/>
                        <w:sz w:val="24"/>
                        <w:szCs w:val="24"/>
                        <w:vertAlign w:val="subscript"/>
                      </w:rPr>
                      <m:t>n c</m:t>
                    </m:r>
                    <m:r>
                      <m:rPr>
                        <m:sty m:val="p"/>
                      </m:rPr>
                      <w:rPr>
                        <w:rFonts w:ascii="Cambria Math" w:hAnsi="Cambria Math"/>
                        <w:sz w:val="24"/>
                        <w:szCs w:val="24"/>
                        <w:vertAlign w:val="subscript"/>
                      </w:rPr>
                      <m:t>ủ</m:t>
                    </m:r>
                    <m:r>
                      <m:rPr>
                        <m:sty m:val="p"/>
                      </m:rPr>
                      <w:rPr>
                        <w:rFonts w:ascii="Cambria Math"/>
                        <w:sz w:val="24"/>
                        <w:szCs w:val="24"/>
                        <w:vertAlign w:val="subscript"/>
                      </w:rPr>
                      <m:t>a nh</m:t>
                    </m:r>
                    <m:r>
                      <m:rPr>
                        <m:sty m:val="p"/>
                      </m:rPr>
                      <w:rPr>
                        <w:rFonts w:ascii="Cambria Math" w:hAnsi="Cambria Math"/>
                        <w:sz w:val="24"/>
                        <w:szCs w:val="24"/>
                        <w:vertAlign w:val="subscript"/>
                      </w:rPr>
                      <m:t>à</m:t>
                    </m:r>
                    <m:r>
                      <m:rPr>
                        <m:sty m:val="p"/>
                      </m:rPr>
                      <w:rPr>
                        <w:rFonts w:ascii="Cambria Math"/>
                        <w:sz w:val="24"/>
                        <w:szCs w:val="24"/>
                        <w:vertAlign w:val="subscript"/>
                      </w:rPr>
                      <m:t>, c</m:t>
                    </m:r>
                    <m:r>
                      <m:rPr>
                        <m:sty m:val="p"/>
                      </m:rPr>
                      <w:rPr>
                        <w:rFonts w:ascii="Cambria Math" w:hAnsi="Cambria Math"/>
                        <w:sz w:val="24"/>
                        <w:szCs w:val="24"/>
                        <w:vertAlign w:val="subscript"/>
                      </w:rPr>
                      <m:t>ô</m:t>
                    </m:r>
                    <m:r>
                      <m:rPr>
                        <m:sty m:val="p"/>
                      </m:rPr>
                      <w:rPr>
                        <w:rFonts w:ascii="Cambria Math"/>
                        <w:sz w:val="24"/>
                        <w:szCs w:val="24"/>
                        <w:vertAlign w:val="subscript"/>
                      </w:rPr>
                      <m:t>ng tr</m:t>
                    </m:r>
                    <m:r>
                      <m:rPr>
                        <m:sty m:val="p"/>
                      </m:rPr>
                      <w:rPr>
                        <w:rFonts w:ascii="Cambria Math" w:hAnsi="Cambria Math"/>
                        <w:sz w:val="24"/>
                        <w:szCs w:val="24"/>
                        <w:vertAlign w:val="subscript"/>
                      </w:rPr>
                      <m:t>ì</m:t>
                    </m:r>
                    <m:r>
                      <m:rPr>
                        <m:sty m:val="p"/>
                      </m:rPr>
                      <w:rPr>
                        <w:rFonts w:ascii="Cambria Math"/>
                        <w:sz w:val="24"/>
                        <w:szCs w:val="24"/>
                        <w:vertAlign w:val="subscript"/>
                      </w:rPr>
                      <m:t>nh g</m:t>
                    </m:r>
                    <m:r>
                      <m:rPr>
                        <m:sty m:val="p"/>
                      </m:rPr>
                      <w:rPr>
                        <w:rFonts w:ascii="Cambria Math" w:hAnsi="Cambria Math"/>
                        <w:sz w:val="24"/>
                        <w:szCs w:val="24"/>
                        <w:vertAlign w:val="subscript"/>
                      </w:rPr>
                      <m:t>ắ</m:t>
                    </m:r>
                    <m:r>
                      <m:rPr>
                        <m:sty m:val="p"/>
                      </m:rPr>
                      <w:rPr>
                        <w:rFonts w:ascii="Cambria Math"/>
                        <w:sz w:val="24"/>
                        <w:szCs w:val="24"/>
                        <w:vertAlign w:val="subscript"/>
                      </w:rPr>
                      <m:t>n li</m:t>
                    </m:r>
                    <m:r>
                      <m:rPr>
                        <m:sty m:val="p"/>
                      </m:rPr>
                      <w:rPr>
                        <w:rFonts w:ascii="Cambria Math" w:hAnsi="Cambria Math"/>
                        <w:sz w:val="24"/>
                        <w:szCs w:val="24"/>
                        <w:vertAlign w:val="subscript"/>
                      </w:rPr>
                      <m:t>ề</m:t>
                    </m:r>
                    <m:r>
                      <m:rPr>
                        <m:sty m:val="p"/>
                      </m:rPr>
                      <w:rPr>
                        <w:rFonts w:ascii="Cambria Math"/>
                        <w:sz w:val="24"/>
                        <w:szCs w:val="24"/>
                        <w:vertAlign w:val="subscript"/>
                      </w:rPr>
                      <m:t>n v</m:t>
                    </m:r>
                    <m:r>
                      <m:rPr>
                        <m:sty m:val="p"/>
                      </m:rPr>
                      <w:rPr>
                        <w:rFonts w:ascii="Cambria Math" w:hAnsi="Cambria Math"/>
                        <w:sz w:val="24"/>
                        <w:szCs w:val="24"/>
                        <w:vertAlign w:val="subscript"/>
                      </w:rPr>
                      <m:t>ớ</m:t>
                    </m:r>
                    <m:r>
                      <m:rPr>
                        <m:sty m:val="p"/>
                      </m:rPr>
                      <w:rPr>
                        <w:rFonts w:ascii="Cambria Math"/>
                        <w:sz w:val="24"/>
                        <w:szCs w:val="24"/>
                        <w:vertAlign w:val="subscript"/>
                      </w:rPr>
                      <m:t xml:space="preserve">i </m:t>
                    </m:r>
                    <m:r>
                      <m:rPr>
                        <m:sty m:val="p"/>
                      </m:rPr>
                      <w:rPr>
                        <w:rFonts w:ascii="Cambria Math" w:hAnsi="Cambria Math"/>
                        <w:sz w:val="24"/>
                        <w:szCs w:val="24"/>
                        <w:vertAlign w:val="subscript"/>
                      </w:rPr>
                      <m:t>đấ</m:t>
                    </m:r>
                    <m:r>
                      <m:rPr>
                        <m:sty m:val="p"/>
                      </m:rPr>
                      <w:rPr>
                        <w:rFonts w:ascii="Cambria Math"/>
                        <w:sz w:val="24"/>
                        <w:szCs w:val="24"/>
                        <w:vertAlign w:val="subscript"/>
                      </w:rPr>
                      <m:t xml:space="preserve">t </m:t>
                    </m:r>
                    <m:d>
                      <m:dPr>
                        <m:ctrlPr>
                          <w:rPr>
                            <w:rFonts w:ascii="Cambria Math" w:hAnsi="Cambria Math"/>
                            <w:sz w:val="24"/>
                            <w:szCs w:val="24"/>
                            <w:vertAlign w:val="subscript"/>
                          </w:rPr>
                        </m:ctrlPr>
                      </m:dPr>
                      <m:e>
                        <m:r>
                          <m:rPr>
                            <m:sty m:val="p"/>
                          </m:rPr>
                          <w:rPr>
                            <w:rFonts w:ascii="Cambria Math" w:hAnsi="Cambria Math"/>
                            <w:sz w:val="24"/>
                            <w:szCs w:val="24"/>
                            <w:vertAlign w:val="subscript"/>
                          </w:rPr>
                          <m:t>đồ</m:t>
                        </m:r>
                        <m:r>
                          <m:rPr>
                            <m:sty m:val="p"/>
                          </m:rPr>
                          <w:rPr>
                            <w:rFonts w:ascii="Cambria Math"/>
                            <w:sz w:val="24"/>
                            <w:szCs w:val="24"/>
                            <w:vertAlign w:val="subscript"/>
                          </w:rPr>
                          <m:t>ng</m:t>
                        </m:r>
                      </m:e>
                    </m:d>
                    <m:r>
                      <m:rPr>
                        <m:sty m:val="p"/>
                      </m:rPr>
                      <w:rPr>
                        <w:rFonts w:ascii="Cambria Math" w:hAnsi="Cambria Math"/>
                        <w:sz w:val="24"/>
                        <w:szCs w:val="24"/>
                        <w:vertAlign w:val="subscript"/>
                      </w:rPr>
                      <m:t>×</m:t>
                    </m:r>
                    <m:r>
                      <m:rPr>
                        <m:sty m:val="p"/>
                      </m:rPr>
                      <w:rPr>
                        <w:rFonts w:ascii="Cambria Math"/>
                        <w:sz w:val="24"/>
                        <w:szCs w:val="24"/>
                        <w:vertAlign w:val="subscript"/>
                      </w:rPr>
                      <m:t>10%</m:t>
                    </m:r>
                  </m:num>
                  <m:den>
                    <m:r>
                      <m:rPr>
                        <m:sty m:val="p"/>
                      </m:rPr>
                      <w:rPr>
                        <w:rFonts w:ascii="Cambria Math"/>
                        <w:sz w:val="24"/>
                        <w:szCs w:val="24"/>
                        <w:vertAlign w:val="subscript"/>
                      </w:rPr>
                      <m:t>Th</m:t>
                    </m:r>
                    <m:r>
                      <m:rPr>
                        <m:sty m:val="p"/>
                      </m:rPr>
                      <w:rPr>
                        <w:rFonts w:ascii="Cambria Math" w:hAnsi="Cambria Math"/>
                        <w:sz w:val="24"/>
                        <w:szCs w:val="24"/>
                        <w:vertAlign w:val="subscript"/>
                      </w:rPr>
                      <m:t>ờ</m:t>
                    </m:r>
                    <m:r>
                      <m:rPr>
                        <m:sty m:val="p"/>
                      </m:rPr>
                      <w:rPr>
                        <w:rFonts w:ascii="Cambria Math"/>
                        <w:sz w:val="24"/>
                        <w:szCs w:val="24"/>
                        <w:vertAlign w:val="subscript"/>
                      </w:rPr>
                      <m:t>i h</m:t>
                    </m:r>
                    <m:r>
                      <m:rPr>
                        <m:sty m:val="p"/>
                      </m:rPr>
                      <w:rPr>
                        <w:rFonts w:ascii="Cambria Math" w:hAnsi="Cambria Math"/>
                        <w:sz w:val="24"/>
                        <w:szCs w:val="24"/>
                        <w:vertAlign w:val="subscript"/>
                      </w:rPr>
                      <m:t>ạ</m:t>
                    </m:r>
                    <m:r>
                      <m:rPr>
                        <m:sty m:val="p"/>
                      </m:rPr>
                      <w:rPr>
                        <w:rFonts w:ascii="Cambria Math"/>
                        <w:sz w:val="24"/>
                        <w:szCs w:val="24"/>
                        <w:vertAlign w:val="subscript"/>
                      </w:rPr>
                      <m:t>n cho thu</m:t>
                    </m:r>
                    <m:r>
                      <m:rPr>
                        <m:sty m:val="p"/>
                      </m:rPr>
                      <w:rPr>
                        <w:rFonts w:ascii="Cambria Math" w:hAnsi="Cambria Math"/>
                        <w:sz w:val="24"/>
                        <w:szCs w:val="24"/>
                        <w:vertAlign w:val="subscript"/>
                      </w:rPr>
                      <m:t>ê</m:t>
                    </m:r>
                    <m:r>
                      <m:rPr>
                        <m:sty m:val="p"/>
                      </m:rPr>
                      <w:rPr>
                        <w:rFonts w:ascii="Cambria Math"/>
                        <w:sz w:val="24"/>
                        <w:szCs w:val="24"/>
                        <w:vertAlign w:val="subscript"/>
                      </w:rPr>
                      <m:t xml:space="preserve"> nh</m:t>
                    </m:r>
                    <m:r>
                      <m:rPr>
                        <m:sty m:val="p"/>
                      </m:rPr>
                      <w:rPr>
                        <w:rFonts w:ascii="Cambria Math" w:hAnsi="Cambria Math"/>
                        <w:sz w:val="24"/>
                        <w:szCs w:val="24"/>
                        <w:vertAlign w:val="subscript"/>
                      </w:rPr>
                      <m:t>à</m:t>
                    </m:r>
                    <m:r>
                      <m:rPr>
                        <m:sty m:val="p"/>
                      </m:rPr>
                      <w:rPr>
                        <w:rFonts w:ascii="Cambria Math"/>
                        <w:sz w:val="24"/>
                        <w:szCs w:val="24"/>
                        <w:vertAlign w:val="subscript"/>
                      </w:rPr>
                      <m:t xml:space="preserve"> (n</m:t>
                    </m:r>
                    <m:r>
                      <m:rPr>
                        <m:sty m:val="p"/>
                      </m:rPr>
                      <w:rPr>
                        <w:rFonts w:ascii="Cambria Math" w:hAnsi="Cambria Math"/>
                        <w:sz w:val="24"/>
                        <w:szCs w:val="24"/>
                        <w:vertAlign w:val="subscript"/>
                      </w:rPr>
                      <m:t>ă</m:t>
                    </m:r>
                    <m:r>
                      <m:rPr>
                        <m:sty m:val="p"/>
                      </m:rPr>
                      <w:rPr>
                        <w:rFonts w:ascii="Cambria Math"/>
                        <w:sz w:val="24"/>
                        <w:szCs w:val="24"/>
                        <w:vertAlign w:val="subscript"/>
                      </w:rPr>
                      <m:t>m)</m:t>
                    </m:r>
                  </m:den>
                </m:f>
              </m:oMath>
            </m:oMathPara>
          </w:p>
          <w:p w:rsidR="00547614" w:rsidRPr="000C119F" w:rsidRDefault="00547614" w:rsidP="000C119F">
            <w:pPr>
              <w:widowControl w:val="0"/>
              <w:spacing w:before="0"/>
              <w:jc w:val="both"/>
              <w:rPr>
                <w:iCs/>
                <w:sz w:val="24"/>
                <w:szCs w:val="24"/>
              </w:rPr>
            </w:pPr>
            <w:r w:rsidRPr="000C119F">
              <w:rPr>
                <w:iCs/>
                <w:sz w:val="24"/>
                <w:szCs w:val="24"/>
              </w:rPr>
              <w:t>Trường hợp nhà, công trình gắn liền với đất chưa được theo dõi trên sổ kế toán thì việc xác định nguyên giá, mức hao mòn hằng năm, giá trị còn lại được thực hiện theo hướng dẫn của Bộ Tài chính về chế độ quản lý, tính hao mòn, khấu hao tài sản cố định tại cơ quan, tổ chức, đơn vị và tài sản cố định do Nhà nước giao cho doanh nghiệp quản lý không tính thành phần vốn nhà nước tại doanh nghiệp.</w:t>
            </w:r>
          </w:p>
          <w:p w:rsidR="00547614" w:rsidRPr="000C119F" w:rsidRDefault="00547614" w:rsidP="000C119F">
            <w:pPr>
              <w:widowControl w:val="0"/>
              <w:spacing w:before="0"/>
              <w:jc w:val="both"/>
              <w:rPr>
                <w:iCs/>
                <w:sz w:val="24"/>
                <w:szCs w:val="24"/>
                <w:u w:val="single"/>
              </w:rPr>
            </w:pPr>
            <w:r w:rsidRPr="000C119F">
              <w:rPr>
                <w:iCs/>
                <w:sz w:val="24"/>
                <w:szCs w:val="24"/>
                <w:u w:val="single"/>
              </w:rPr>
              <w:t>* G</w:t>
            </w:r>
            <w:r w:rsidRPr="000C119F">
              <w:rPr>
                <w:iCs/>
                <w:sz w:val="24"/>
                <w:szCs w:val="24"/>
                <w:u w:val="single"/>
                <w:vertAlign w:val="subscript"/>
              </w:rPr>
              <w:t>tđ</w:t>
            </w:r>
            <w:r w:rsidRPr="000C119F">
              <w:rPr>
                <w:iCs/>
                <w:sz w:val="24"/>
                <w:szCs w:val="24"/>
                <w:u w:val="single"/>
              </w:rPr>
              <w:t xml:space="preserve"> là đơn giá thuê đất hằng năm của mục đích cho thuê theo quy định của pháp luật về đất đai </w:t>
            </w:r>
            <w:r w:rsidRPr="000C119F">
              <w:rPr>
                <w:i/>
                <w:iCs/>
                <w:sz w:val="24"/>
                <w:szCs w:val="24"/>
                <w:u w:val="single"/>
              </w:rPr>
              <w:t>(đồng/m2/năm).</w:t>
            </w:r>
          </w:p>
          <w:p w:rsidR="00547614" w:rsidRPr="000C119F" w:rsidRDefault="00547614" w:rsidP="000C119F">
            <w:pPr>
              <w:widowControl w:val="0"/>
              <w:spacing w:before="0"/>
              <w:jc w:val="both"/>
              <w:rPr>
                <w:iCs/>
                <w:sz w:val="24"/>
                <w:szCs w:val="24"/>
              </w:rPr>
            </w:pPr>
            <w:r w:rsidRPr="000C119F">
              <w:rPr>
                <w:iCs/>
                <w:sz w:val="24"/>
                <w:szCs w:val="24"/>
              </w:rPr>
              <w:t>* S</w:t>
            </w:r>
            <w:r w:rsidRPr="000C119F">
              <w:rPr>
                <w:iCs/>
                <w:sz w:val="24"/>
                <w:szCs w:val="24"/>
                <w:vertAlign w:val="subscript"/>
              </w:rPr>
              <w:t>đất</w:t>
            </w:r>
            <w:r w:rsidRPr="000C119F">
              <w:rPr>
                <w:iCs/>
                <w:sz w:val="24"/>
                <w:szCs w:val="24"/>
              </w:rPr>
              <w:t xml:space="preserve"> là diện tích đất của cơ sở nhà, đất </w:t>
            </w:r>
            <w:r w:rsidRPr="000C119F">
              <w:rPr>
                <w:i/>
                <w:iCs/>
                <w:sz w:val="24"/>
                <w:szCs w:val="24"/>
              </w:rPr>
              <w:t>(m2)</w:t>
            </w:r>
            <w:r w:rsidRPr="000C119F">
              <w:rPr>
                <w:iCs/>
                <w:sz w:val="24"/>
                <w:szCs w:val="24"/>
              </w:rPr>
              <w:t xml:space="preserve"> theo các hồ sơ pháp lý có liên quan hoặc theo diện tích đo vẽ thực tế của tổ chức quản lý, kinh doanh nhà.</w:t>
            </w:r>
          </w:p>
          <w:p w:rsidR="00547614" w:rsidRPr="000C119F" w:rsidRDefault="00547614" w:rsidP="000C119F">
            <w:pPr>
              <w:widowControl w:val="0"/>
              <w:spacing w:before="0"/>
              <w:jc w:val="both"/>
              <w:rPr>
                <w:i/>
                <w:iCs/>
                <w:sz w:val="24"/>
                <w:szCs w:val="24"/>
              </w:rPr>
            </w:pPr>
            <w:r w:rsidRPr="000C119F">
              <w:rPr>
                <w:iCs/>
                <w:sz w:val="24"/>
                <w:szCs w:val="24"/>
              </w:rPr>
              <w:t>* S</w:t>
            </w:r>
            <w:r w:rsidRPr="000C119F">
              <w:rPr>
                <w:iCs/>
                <w:sz w:val="24"/>
                <w:szCs w:val="24"/>
                <w:vertAlign w:val="subscript"/>
              </w:rPr>
              <w:t>nhà</w:t>
            </w:r>
            <w:r w:rsidRPr="000C119F">
              <w:rPr>
                <w:iCs/>
                <w:sz w:val="24"/>
                <w:szCs w:val="24"/>
              </w:rPr>
              <w:t xml:space="preserve"> là tổng diện tích sàn sử dụng nhà của cơ sở nhà, đất </w:t>
            </w:r>
            <w:r w:rsidRPr="000C119F">
              <w:rPr>
                <w:i/>
                <w:iCs/>
                <w:sz w:val="24"/>
                <w:szCs w:val="24"/>
              </w:rPr>
              <w:t>(m2)</w:t>
            </w:r>
            <w:r w:rsidRPr="000C119F">
              <w:rPr>
                <w:iCs/>
                <w:sz w:val="24"/>
                <w:szCs w:val="24"/>
              </w:rPr>
              <w:t xml:space="preserve"> theo các hồ sơ pháp lý có liên quan hoặc theo diện tích đo vẽ thực tế của tổ chức quản lý, kinh doanh nhà.</w:t>
            </w:r>
          </w:p>
          <w:p w:rsidR="00026EF0" w:rsidRPr="000C119F" w:rsidRDefault="00547614" w:rsidP="000C119F">
            <w:pPr>
              <w:spacing w:before="0"/>
              <w:jc w:val="both"/>
              <w:rPr>
                <w:sz w:val="24"/>
                <w:szCs w:val="24"/>
              </w:rPr>
            </w:pPr>
            <w:r w:rsidRPr="000C119F">
              <w:rPr>
                <w:sz w:val="24"/>
                <w:szCs w:val="24"/>
              </w:rPr>
              <w:t>* k là hệ số chi phí quản lý, khai thác nhà, đất và được xác định là 10%.</w:t>
            </w:r>
          </w:p>
        </w:tc>
        <w:tc>
          <w:tcPr>
            <w:tcW w:w="1512" w:type="pct"/>
            <w:tcBorders>
              <w:top w:val="single" w:sz="4" w:space="0" w:color="auto"/>
              <w:bottom w:val="single" w:sz="4" w:space="0" w:color="auto"/>
            </w:tcBorders>
          </w:tcPr>
          <w:p w:rsidR="000C119F" w:rsidRPr="000C119F" w:rsidRDefault="000C119F" w:rsidP="000C119F">
            <w:pPr>
              <w:widowControl w:val="0"/>
              <w:spacing w:before="0"/>
              <w:jc w:val="both"/>
              <w:rPr>
                <w:b/>
                <w:sz w:val="24"/>
                <w:szCs w:val="24"/>
              </w:rPr>
            </w:pPr>
            <w:r w:rsidRPr="000C119F">
              <w:rPr>
                <w:b/>
                <w:sz w:val="24"/>
                <w:szCs w:val="24"/>
              </w:rPr>
              <w:t xml:space="preserve">Điều 4. Cơ chế, chính sách khác </w:t>
            </w:r>
          </w:p>
          <w:p w:rsidR="00026EF0" w:rsidRPr="000C119F" w:rsidRDefault="000C119F" w:rsidP="000C119F">
            <w:pPr>
              <w:widowControl w:val="0"/>
              <w:spacing w:before="0"/>
              <w:jc w:val="both"/>
              <w:rPr>
                <w:i/>
                <w:iCs/>
                <w:sz w:val="24"/>
                <w:szCs w:val="24"/>
              </w:rPr>
            </w:pPr>
            <w:r w:rsidRPr="000C119F">
              <w:rPr>
                <w:sz w:val="24"/>
                <w:szCs w:val="24"/>
              </w:rPr>
              <w:t>1. Đơn giá thuê đất hằng năm của mục đích cho thuê theo quy định của pháp luật đất đai (Gtđ) quy định tại khoản 1 Điều 5 Nghị quyết số 31/2026/NQ-CP là đơn giá thuê đất hằng năm của loại đất tương ứng với mục đích cho thuê theo quy định của pháp luật về đất đai.</w:t>
            </w:r>
          </w:p>
        </w:tc>
        <w:tc>
          <w:tcPr>
            <w:tcW w:w="1055" w:type="pct"/>
            <w:tcBorders>
              <w:top w:val="single" w:sz="4" w:space="0" w:color="auto"/>
              <w:bottom w:val="single" w:sz="4" w:space="0" w:color="auto"/>
            </w:tcBorders>
          </w:tcPr>
          <w:p w:rsidR="00026EF0" w:rsidRPr="000C119F" w:rsidRDefault="00512C2E" w:rsidP="00512C2E">
            <w:pPr>
              <w:spacing w:before="0"/>
              <w:jc w:val="both"/>
              <w:rPr>
                <w:sz w:val="24"/>
                <w:szCs w:val="24"/>
              </w:rPr>
            </w:pPr>
            <w:r w:rsidRPr="000C119F">
              <w:rPr>
                <w:sz w:val="24"/>
                <w:szCs w:val="24"/>
              </w:rPr>
              <w:t>Dự</w:t>
            </w:r>
            <w:r w:rsidRPr="000C119F">
              <w:rPr>
                <w:sz w:val="24"/>
                <w:szCs w:val="24"/>
                <w:lang w:val="vi-VN"/>
              </w:rPr>
              <w:t xml:space="preserve"> thảo q</w:t>
            </w:r>
            <w:r w:rsidR="00C62015" w:rsidRPr="000C119F">
              <w:rPr>
                <w:sz w:val="24"/>
                <w:szCs w:val="24"/>
              </w:rPr>
              <w:t xml:space="preserve">uy định </w:t>
            </w:r>
            <w:r w:rsidR="000C119F" w:rsidRPr="000C119F">
              <w:rPr>
                <w:sz w:val="24"/>
                <w:szCs w:val="24"/>
              </w:rPr>
              <w:t>đơn giá thuê đất hằng năm của mục đích cho thuê theo quy định của pháp luật đất đai (G</w:t>
            </w:r>
            <w:r w:rsidR="000C119F" w:rsidRPr="000C119F">
              <w:rPr>
                <w:sz w:val="24"/>
                <w:szCs w:val="24"/>
                <w:vertAlign w:val="subscript"/>
              </w:rPr>
              <w:t>tđ</w:t>
            </w:r>
            <w:r w:rsidR="000C119F" w:rsidRPr="000C119F">
              <w:rPr>
                <w:sz w:val="24"/>
                <w:szCs w:val="24"/>
              </w:rPr>
              <w:t>) là đơn giá thuê đất hằng năm của loại đất tương ứng với mục đích cho thuê theo quy định của pháp luật về đất đai là để phù hợp với quy định tại khoản 1 Điều 12 Nghị định số 71/2024/NĐ-CP ngày 27/6/2024 của Chính phủ quy định cụ thể giá các loại đất, trong đó có: giá đất thương mại, dịch vụ; giá đất cơ sở sản xuất phi nông nghiệp.</w:t>
            </w:r>
          </w:p>
          <w:p w:rsidR="00A64D05" w:rsidRPr="000C119F" w:rsidRDefault="00A64D05" w:rsidP="00556933">
            <w:pPr>
              <w:spacing w:before="0"/>
              <w:jc w:val="both"/>
              <w:rPr>
                <w:sz w:val="24"/>
                <w:szCs w:val="24"/>
                <w:lang w:val="vi-VN"/>
              </w:rPr>
            </w:pPr>
          </w:p>
        </w:tc>
      </w:tr>
      <w:tr w:rsidR="000C119F" w:rsidRPr="000C119F" w:rsidTr="000C119F">
        <w:tc>
          <w:tcPr>
            <w:tcW w:w="2433" w:type="pct"/>
            <w:tcBorders>
              <w:top w:val="single" w:sz="4" w:space="0" w:color="auto"/>
              <w:bottom w:val="single" w:sz="4" w:space="0" w:color="auto"/>
            </w:tcBorders>
          </w:tcPr>
          <w:p w:rsidR="000C119F" w:rsidRDefault="00B035B5" w:rsidP="000C119F">
            <w:pPr>
              <w:pStyle w:val="NormalWeb"/>
              <w:shd w:val="clear" w:color="auto" w:fill="FFFFFF"/>
              <w:spacing w:before="0" w:beforeAutospacing="0" w:after="0" w:afterAutospacing="0"/>
              <w:jc w:val="both"/>
              <w:rPr>
                <w:bCs/>
                <w:i/>
                <w:lang w:val="en-GB"/>
              </w:rPr>
            </w:pPr>
            <w:bookmarkStart w:id="22" w:name="dieu_12"/>
            <w:r w:rsidRPr="000C119F">
              <w:rPr>
                <w:rFonts w:eastAsiaTheme="minorHAnsi"/>
                <w:bCs/>
                <w:i/>
                <w:kern w:val="2"/>
                <w:lang w:val="en-GB"/>
              </w:rPr>
              <w:t xml:space="preserve">* </w:t>
            </w:r>
            <w:r w:rsidR="000C119F" w:rsidRPr="000C119F">
              <w:rPr>
                <w:rFonts w:eastAsiaTheme="minorHAnsi"/>
                <w:bCs/>
                <w:i/>
                <w:kern w:val="2"/>
                <w:lang w:val="en-GB"/>
              </w:rPr>
              <w:t xml:space="preserve">Khoản 2 </w:t>
            </w:r>
            <w:r w:rsidRPr="000C119F">
              <w:rPr>
                <w:rFonts w:eastAsiaTheme="minorHAnsi"/>
                <w:bCs/>
                <w:i/>
                <w:kern w:val="2"/>
                <w:lang w:val="en-GB"/>
              </w:rPr>
              <w:t xml:space="preserve">Điều </w:t>
            </w:r>
            <w:r w:rsidR="000C119F" w:rsidRPr="000C119F">
              <w:rPr>
                <w:rFonts w:eastAsiaTheme="minorHAnsi"/>
                <w:bCs/>
                <w:i/>
                <w:kern w:val="2"/>
                <w:lang w:val="en-GB"/>
              </w:rPr>
              <w:t>8</w:t>
            </w:r>
            <w:r w:rsidRPr="000C119F">
              <w:rPr>
                <w:rFonts w:eastAsiaTheme="minorHAnsi"/>
                <w:bCs/>
                <w:i/>
                <w:kern w:val="2"/>
                <w:lang w:val="en-GB"/>
              </w:rPr>
              <w:t xml:space="preserve"> </w:t>
            </w:r>
            <w:r w:rsidR="000C119F" w:rsidRPr="000C119F">
              <w:rPr>
                <w:bCs/>
                <w:i/>
                <w:lang w:val="en-GB"/>
              </w:rPr>
              <w:t>Nghị quyết số 31/2026/NQ-CP quy định:</w:t>
            </w:r>
          </w:p>
          <w:p w:rsidR="000C119F" w:rsidRPr="000C119F" w:rsidRDefault="000C119F" w:rsidP="000C119F">
            <w:pPr>
              <w:pStyle w:val="NormalWeb"/>
              <w:shd w:val="clear" w:color="auto" w:fill="FFFFFF"/>
              <w:spacing w:before="0" w:beforeAutospacing="0" w:after="0" w:afterAutospacing="0"/>
              <w:jc w:val="both"/>
              <w:rPr>
                <w:bCs/>
              </w:rPr>
            </w:pPr>
            <w:r w:rsidRPr="000C119F">
              <w:rPr>
                <w:b/>
                <w:bCs/>
              </w:rPr>
              <w:t>Điều 8. Xác định người được quyền thuê nhà theo phương thức niêm yết giá</w:t>
            </w:r>
          </w:p>
          <w:p w:rsidR="000C119F" w:rsidRPr="000C119F" w:rsidRDefault="000C119F" w:rsidP="000C119F">
            <w:pPr>
              <w:pStyle w:val="NormalWeb"/>
              <w:spacing w:before="0" w:beforeAutospacing="0" w:after="0" w:afterAutospacing="0"/>
              <w:jc w:val="both"/>
              <w:rPr>
                <w:bCs/>
              </w:rPr>
            </w:pPr>
            <w:r w:rsidRPr="000C119F">
              <w:rPr>
                <w:bCs/>
              </w:rPr>
              <w:t xml:space="preserve">2. Tổ chức, cá nhân có nhu cầu thuê nhà (sau đây gọi là người đăng ký thuê nhà) nộp Phiếu đăng ký thuê nhà, tiền đặt trước trong thời hạn đã được thông báo. Phiếu đăng ký thuê nhà theo </w:t>
            </w:r>
            <w:bookmarkStart w:id="23" w:name="bieumau_ms_2"/>
            <w:r w:rsidRPr="000C119F">
              <w:rPr>
                <w:bCs/>
              </w:rPr>
              <w:t>Mẫu số 02</w:t>
            </w:r>
            <w:bookmarkEnd w:id="23"/>
            <w:r w:rsidRPr="000C119F">
              <w:rPr>
                <w:bCs/>
              </w:rPr>
              <w:t xml:space="preserve"> tại Phụ lục ban hành kèm theo Nghị quyết này. Những người không được đăng ký thuê nhà thực hiện theo quy định tại </w:t>
            </w:r>
            <w:bookmarkStart w:id="24" w:name="dc_13"/>
            <w:r w:rsidRPr="000C119F">
              <w:rPr>
                <w:bCs/>
              </w:rPr>
              <w:t>điểm b khoản 8 Điều 29 Nghị định số 108/2024/NĐ-CP</w:t>
            </w:r>
            <w:bookmarkEnd w:id="24"/>
            <w:r w:rsidRPr="000C119F">
              <w:rPr>
                <w:bCs/>
              </w:rPr>
              <w:t>. Khi nộp Phiếu đăng ký thuê nhà, người đăng ký thuê nhà bỏ Phiếu đăng ký thuê nhà vào hòm kín có niêm phong của tổ chức quản lý, kinh doanh nhà.</w:t>
            </w:r>
          </w:p>
          <w:p w:rsidR="000C119F" w:rsidRPr="000C119F" w:rsidRDefault="000C119F" w:rsidP="000C119F">
            <w:pPr>
              <w:pStyle w:val="NormalWeb"/>
              <w:spacing w:before="0" w:beforeAutospacing="0" w:after="0" w:afterAutospacing="0"/>
              <w:jc w:val="both"/>
              <w:rPr>
                <w:bCs/>
              </w:rPr>
            </w:pPr>
            <w:r w:rsidRPr="000C119F">
              <w:rPr>
                <w:bCs/>
              </w:rPr>
              <w:t>Phiếu đăng ký thuê nhà hợp lệ là Phiếu đăng ký thuê nhà do tổ chức quản lý, kinh doanh nhà phát hành, được đóng dấu treo của tổ chức quản lý, kinh doanh nhà và có đầy đủ các thông tin theo yêu cầu.</w:t>
            </w:r>
          </w:p>
          <w:p w:rsidR="00026EF0" w:rsidRPr="000C119F" w:rsidRDefault="000C119F" w:rsidP="000C119F">
            <w:pPr>
              <w:pStyle w:val="NormalWeb"/>
              <w:spacing w:before="0" w:beforeAutospacing="0" w:after="0" w:afterAutospacing="0"/>
              <w:jc w:val="both"/>
              <w:rPr>
                <w:bCs/>
                <w:u w:val="single"/>
              </w:rPr>
            </w:pPr>
            <w:r w:rsidRPr="000C119F">
              <w:rPr>
                <w:bCs/>
                <w:u w:val="single"/>
              </w:rPr>
              <w:t xml:space="preserve">Tiền đặt trước được xác định bằng 5% của tiền thuê nhà cho cả thời hạn thuê nhà; trong đó tiền thuê nhà cho cả thời hạn thuê nhà bằng (=) diện tích nhà cho thuê nhân (x) với đơn giá cho thuê nhà quy định tại </w:t>
            </w:r>
            <w:bookmarkStart w:id="25" w:name="tc_7"/>
            <w:r w:rsidRPr="000C119F">
              <w:rPr>
                <w:bCs/>
                <w:u w:val="single"/>
              </w:rPr>
              <w:t>khoản 1, khoản 2 Điều 5 Nghị quyết này</w:t>
            </w:r>
            <w:bookmarkEnd w:id="25"/>
            <w:r w:rsidRPr="000C119F">
              <w:rPr>
                <w:bCs/>
                <w:u w:val="single"/>
              </w:rPr>
              <w:t xml:space="preserve"> nhân (x) với thời hạn thuê nhà.</w:t>
            </w:r>
            <w:bookmarkEnd w:id="22"/>
          </w:p>
        </w:tc>
        <w:tc>
          <w:tcPr>
            <w:tcW w:w="1512" w:type="pct"/>
            <w:tcBorders>
              <w:top w:val="single" w:sz="4" w:space="0" w:color="auto"/>
              <w:bottom w:val="single" w:sz="4" w:space="0" w:color="auto"/>
            </w:tcBorders>
          </w:tcPr>
          <w:p w:rsidR="000C119F" w:rsidRPr="000C119F" w:rsidRDefault="000C119F" w:rsidP="000C119F">
            <w:pPr>
              <w:widowControl w:val="0"/>
              <w:spacing w:before="0"/>
              <w:jc w:val="both"/>
              <w:rPr>
                <w:b/>
                <w:sz w:val="24"/>
                <w:szCs w:val="24"/>
              </w:rPr>
            </w:pPr>
            <w:r w:rsidRPr="000C119F">
              <w:rPr>
                <w:b/>
                <w:sz w:val="24"/>
                <w:szCs w:val="24"/>
              </w:rPr>
              <w:t xml:space="preserve">Điều 4. Cơ chế, chính sách khác </w:t>
            </w:r>
          </w:p>
          <w:p w:rsidR="005F3EC4" w:rsidRPr="000C119F" w:rsidRDefault="000C119F" w:rsidP="005F0B55">
            <w:pPr>
              <w:widowControl w:val="0"/>
              <w:spacing w:before="0"/>
              <w:jc w:val="both"/>
              <w:rPr>
                <w:spacing w:val="-2"/>
                <w:sz w:val="24"/>
                <w:szCs w:val="24"/>
              </w:rPr>
            </w:pPr>
            <w:r w:rsidRPr="000C119F">
              <w:rPr>
                <w:sz w:val="24"/>
                <w:szCs w:val="24"/>
              </w:rPr>
              <w:t>2. Trường hợp tiền đặt trước được xác định theo quy định tại khoản 2 Điều 8 Nghị quyết số 31/2026/NQ-CP thấp hơn tiền thuê nhà của 03 tháng thuê nhà theo đơn giá cho thuê đã được niêm yết và thông báo công khai thì tiền đặt trước được xác định bằng tiền thuê nhà của 03 tháng theo đơn giá cho thuê đã được niêm yết và thông báo công khai; trường hợp cho thuê nhà từ 03 tháng trở xuống thì khoản tiền đặt trước được xác định bằng tổng số tiền thuê nhà theo đơn giá cho thuê đã được niêm yết và thông báo công khai.</w:t>
            </w:r>
          </w:p>
        </w:tc>
        <w:tc>
          <w:tcPr>
            <w:tcW w:w="1055" w:type="pct"/>
            <w:tcBorders>
              <w:top w:val="single" w:sz="4" w:space="0" w:color="auto"/>
              <w:bottom w:val="single" w:sz="4" w:space="0" w:color="auto"/>
            </w:tcBorders>
          </w:tcPr>
          <w:p w:rsidR="000C119F" w:rsidRPr="000C119F" w:rsidRDefault="004A1BF0" w:rsidP="000C119F">
            <w:pPr>
              <w:spacing w:before="0"/>
              <w:jc w:val="both"/>
              <w:rPr>
                <w:sz w:val="24"/>
                <w:szCs w:val="24"/>
              </w:rPr>
            </w:pPr>
            <w:r w:rsidRPr="000C119F">
              <w:rPr>
                <w:sz w:val="24"/>
                <w:szCs w:val="24"/>
                <w:lang w:val="vi-VN"/>
              </w:rPr>
              <w:t>Dự thả</w:t>
            </w:r>
            <w:r w:rsidR="000C119F" w:rsidRPr="000C119F">
              <w:rPr>
                <w:sz w:val="24"/>
                <w:szCs w:val="24"/>
                <w:lang w:val="vi-VN"/>
              </w:rPr>
              <w:t>o</w:t>
            </w:r>
            <w:r w:rsidR="000C119F" w:rsidRPr="000C119F">
              <w:rPr>
                <w:sz w:val="24"/>
                <w:szCs w:val="24"/>
              </w:rPr>
              <w:t xml:space="preserve"> quy định trường hợp tiền đặt trước thấp hơn tiền thuê nhà của 03 tháng thuê nhà theo đơn giá cho thuê đã được niêm yết và thông báo công khai thì tiền đặt trước được xác định bằng tiền thuê nhà của 03 tháng là để đảm bảo tiền đặt trước khi chuyển thành tiền đặt cọc (khi ký Hợp đồng thuê nhà) đủ để thực hiện nghĩa vụ của bên thuê nhà.</w:t>
            </w:r>
          </w:p>
          <w:p w:rsidR="00026EF0" w:rsidRPr="000C119F" w:rsidRDefault="00026EF0" w:rsidP="00863B48">
            <w:pPr>
              <w:spacing w:before="0"/>
              <w:jc w:val="both"/>
              <w:rPr>
                <w:sz w:val="24"/>
                <w:szCs w:val="24"/>
              </w:rPr>
            </w:pPr>
          </w:p>
        </w:tc>
      </w:tr>
      <w:tr w:rsidR="000C119F" w:rsidRPr="000C119F" w:rsidTr="000C119F">
        <w:tc>
          <w:tcPr>
            <w:tcW w:w="2433" w:type="pct"/>
            <w:tcBorders>
              <w:top w:val="single" w:sz="4" w:space="0" w:color="auto"/>
              <w:bottom w:val="single" w:sz="4" w:space="0" w:color="auto"/>
            </w:tcBorders>
          </w:tcPr>
          <w:p w:rsidR="00965CF1" w:rsidRPr="000C119F" w:rsidRDefault="000C119F" w:rsidP="000C119F">
            <w:pPr>
              <w:widowControl w:val="0"/>
              <w:spacing w:before="0"/>
              <w:jc w:val="both"/>
              <w:rPr>
                <w:i/>
                <w:sz w:val="24"/>
                <w:szCs w:val="24"/>
              </w:rPr>
            </w:pPr>
            <w:r w:rsidRPr="000C119F">
              <w:rPr>
                <w:i/>
                <w:sz w:val="24"/>
                <w:szCs w:val="24"/>
              </w:rPr>
              <w:t>* Điểm c khoản 5 Điều 14</w:t>
            </w:r>
            <w:r>
              <w:rPr>
                <w:i/>
                <w:sz w:val="24"/>
                <w:szCs w:val="24"/>
              </w:rPr>
              <w:t xml:space="preserve">, điểm c khoản 5 Điều 50 </w:t>
            </w:r>
            <w:r w:rsidRPr="000C119F">
              <w:rPr>
                <w:i/>
                <w:sz w:val="24"/>
                <w:szCs w:val="24"/>
              </w:rPr>
              <w:t xml:space="preserve">Nghị định số 186/2025/NĐ-CP quy định: </w:t>
            </w:r>
          </w:p>
          <w:p w:rsidR="000C119F" w:rsidRPr="000C119F" w:rsidRDefault="000C119F" w:rsidP="000C119F">
            <w:pPr>
              <w:widowControl w:val="0"/>
              <w:spacing w:before="0"/>
              <w:jc w:val="both"/>
              <w:rPr>
                <w:sz w:val="24"/>
                <w:szCs w:val="24"/>
              </w:rPr>
            </w:pPr>
            <w:bookmarkStart w:id="26" w:name="dieu_14"/>
            <w:r w:rsidRPr="000C119F">
              <w:rPr>
                <w:b/>
                <w:bCs/>
                <w:sz w:val="24"/>
                <w:szCs w:val="24"/>
                <w:lang w:val="en-GB"/>
              </w:rPr>
              <w:t>Điều 14. Khai thác tài sản công tại cơ quan nhà nước</w:t>
            </w:r>
            <w:bookmarkEnd w:id="26"/>
          </w:p>
          <w:p w:rsidR="000C119F" w:rsidRPr="000C119F" w:rsidRDefault="000C119F" w:rsidP="000C119F">
            <w:pPr>
              <w:widowControl w:val="0"/>
              <w:spacing w:before="0"/>
              <w:jc w:val="both"/>
              <w:rPr>
                <w:sz w:val="24"/>
                <w:szCs w:val="24"/>
              </w:rPr>
            </w:pPr>
            <w:r w:rsidRPr="000C119F">
              <w:rPr>
                <w:sz w:val="24"/>
                <w:szCs w:val="24"/>
              </w:rPr>
              <w:t>5. Hình thức khai thác:</w:t>
            </w:r>
          </w:p>
          <w:p w:rsidR="000C119F" w:rsidRPr="000C119F" w:rsidRDefault="000C119F" w:rsidP="000C119F">
            <w:pPr>
              <w:widowControl w:val="0"/>
              <w:spacing w:before="0"/>
              <w:jc w:val="both"/>
              <w:rPr>
                <w:sz w:val="24"/>
                <w:szCs w:val="24"/>
              </w:rPr>
            </w:pPr>
            <w:r w:rsidRPr="000C119F">
              <w:rPr>
                <w:sz w:val="24"/>
                <w:szCs w:val="24"/>
              </w:rPr>
              <w:t>c) Cho tổ chức, cá nhân khác sử dụng vị trí tại trụ sở làm việc để lắp đặt máy rút tiền tự động, máy bán hàng tự động, lắp đặt, xây dựng công trình viễn thông, trạm sạc điện phương tiện giao thông, lắp đặt màn hình led, tấm pano phục vụ thông tin, tuyên truyền kết hợp quảng cáo theo quy định của pháp luật.</w:t>
            </w:r>
          </w:p>
          <w:p w:rsidR="000C119F" w:rsidRPr="000C119F" w:rsidRDefault="000C119F" w:rsidP="000C119F">
            <w:pPr>
              <w:widowControl w:val="0"/>
              <w:spacing w:before="0"/>
              <w:jc w:val="both"/>
              <w:rPr>
                <w:sz w:val="24"/>
                <w:szCs w:val="24"/>
              </w:rPr>
            </w:pPr>
            <w:r w:rsidRPr="000C119F">
              <w:rPr>
                <w:sz w:val="24"/>
                <w:szCs w:val="24"/>
              </w:rPr>
              <w:t>Việc cho tổ chức, cá nhân khác sử dụng vị trí tại trụ sở làm việc để lắp đặt máy rút tiền tự động, lắp đặt, xây dựng công trình viễn thông được thực hiện theo hình thức thỏa thuận trực tiếp với tổ chức, cá nhân có nhu cầu. Cơ quan có tài sản công chuẩn bị phương án cho tổ chức, cá nhân khác sử dụng vị trí tại trụ sở làm việc để lắp đặt máy rút tiền tự động, lắp đặt, xây dựng công trình viễn thông gửi tới tổ chức, cá nhân có nhu cầu; trên cơ sở hồ sơ đăng ký của tổ chức, cá nhân có nhu cầu, cơ quan có tài sản công thực hiện thương thảo Hợp đồng cho sử dụng vị trí để lắp đặt máy rút tiền tự động, lắp đặt, xây dựng công trình viễn thông và ký kết Hợp đồng làm cơ sở thực hiện. Giá cho tổ chức, cá nhân khác sử dụng vị trí tại trụ sở làm việc là giá đã thương thảo với tổ chức, cá nhân có nhu cầu và ghi nhận tại Hợp đồng.</w:t>
            </w:r>
          </w:p>
          <w:p w:rsidR="000C119F" w:rsidRDefault="000C119F" w:rsidP="000C119F">
            <w:pPr>
              <w:widowControl w:val="0"/>
              <w:spacing w:before="0"/>
              <w:jc w:val="both"/>
              <w:rPr>
                <w:sz w:val="24"/>
                <w:szCs w:val="24"/>
              </w:rPr>
            </w:pPr>
            <w:r w:rsidRPr="000C119F">
              <w:rPr>
                <w:sz w:val="24"/>
                <w:szCs w:val="24"/>
              </w:rPr>
              <w:t>Việc lựa chọn tổ chức, cá nhân sử dụng vị trí tại trụ sở làm việc để lắp đặt máy bán hàng tự động, trạm sạc điện phương tiện giao thông, màn hình led, tấm pano phục vụ thông tin, tuyên truyền kết hợp quảng cáo được thực hiện theo quy định tại điểm b khoản này.</w:t>
            </w:r>
          </w:p>
          <w:p w:rsidR="000C119F" w:rsidRPr="000C119F" w:rsidRDefault="000C119F" w:rsidP="000C119F">
            <w:pPr>
              <w:widowControl w:val="0"/>
              <w:spacing w:before="0"/>
              <w:jc w:val="both"/>
              <w:rPr>
                <w:b/>
                <w:sz w:val="24"/>
                <w:szCs w:val="24"/>
              </w:rPr>
            </w:pPr>
            <w:r w:rsidRPr="000C119F">
              <w:rPr>
                <w:b/>
                <w:sz w:val="24"/>
                <w:szCs w:val="24"/>
              </w:rPr>
              <w:t>Điều 50. Khai thác tài sản công tại đơn vị sự nghiệp công lập</w:t>
            </w:r>
          </w:p>
          <w:p w:rsidR="000C119F" w:rsidRPr="000C119F" w:rsidRDefault="000C119F" w:rsidP="000C119F">
            <w:pPr>
              <w:widowControl w:val="0"/>
              <w:spacing w:before="0"/>
              <w:jc w:val="both"/>
              <w:rPr>
                <w:sz w:val="24"/>
                <w:szCs w:val="24"/>
              </w:rPr>
            </w:pPr>
            <w:r w:rsidRPr="000C119F">
              <w:rPr>
                <w:sz w:val="24"/>
                <w:szCs w:val="24"/>
              </w:rPr>
              <w:t>5. Hình thức khai thác:</w:t>
            </w:r>
          </w:p>
          <w:p w:rsidR="000C119F" w:rsidRPr="000C119F" w:rsidRDefault="000C119F" w:rsidP="000C119F">
            <w:pPr>
              <w:widowControl w:val="0"/>
              <w:spacing w:before="0"/>
              <w:jc w:val="both"/>
              <w:rPr>
                <w:sz w:val="24"/>
                <w:szCs w:val="24"/>
              </w:rPr>
            </w:pPr>
            <w:r w:rsidRPr="000C119F">
              <w:rPr>
                <w:sz w:val="24"/>
                <w:szCs w:val="24"/>
              </w:rPr>
              <w:t>c) Cho tổ chức, cá nhân khác sử dụng vị trí tại cơ sở hoạt động sự nghiệp để lắp đặt máy rút tiền tự động, lắp đặt, xây dựng công trình viễn thông theo quy định của pháp luật.</w:t>
            </w:r>
          </w:p>
          <w:p w:rsidR="000C119F" w:rsidRDefault="000C119F" w:rsidP="000C119F">
            <w:pPr>
              <w:widowControl w:val="0"/>
              <w:spacing w:before="0"/>
              <w:jc w:val="both"/>
              <w:rPr>
                <w:sz w:val="24"/>
                <w:szCs w:val="24"/>
              </w:rPr>
            </w:pPr>
            <w:r w:rsidRPr="000C119F">
              <w:rPr>
                <w:sz w:val="24"/>
                <w:szCs w:val="24"/>
              </w:rPr>
              <w:t>Việc cho tổ chức, cá nhân khác sử dụng vị trí tại cơ sở hoạt động sự nghiệp để lắp đặt máy rút tiền tự động, lắp đặt, xây dựng công trình viễn thông được thực hiện theo hình thức thỏa thuận trực tiếp với tổ chức, cá nhân có nhu cầu. Đơn vị sự nghiệp công lập chuẩn bị phương án cho tổ chức, cá nhân khác sử dụng vị trí tại cơ sở hoạt động sự nghiệp để lắp đặt máy rút tiền tự động, lắp đặt, xây dựng công trình viễn thông gửi tới tổ chức, cá nhân có nhu cầu; trên cơ sở hồ sơ đăng ký của tổ chức, cá nhân có nhu cầu, đơn vị sự nghiệp công lập thực hiện thương thảo hợp đồng cho sử dụng vị trí để lắp đặt máy rút tiền tự động, lắp đặt, xây dựng công trình viễn thông và ký kết hợp đồng làm cơ sở thực hiện. Giá cho tổ chức, cá nhân khác sử dụng vị trí tại cơ sở hoạt động sự nghiệp để lắp đặt máy rút tiền tự động, lắp đặt, xây dựng công trình viễn thông là giá đã thương thảo với tổ chức, cá nhân có nhu cầu và ghi nhận tại hợp đồng.</w:t>
            </w:r>
          </w:p>
          <w:p w:rsidR="000C119F" w:rsidRPr="000C119F" w:rsidRDefault="000C119F" w:rsidP="000C119F">
            <w:pPr>
              <w:spacing w:before="20" w:after="20"/>
              <w:jc w:val="both"/>
              <w:rPr>
                <w:bCs/>
                <w:i/>
                <w:sz w:val="24"/>
                <w:szCs w:val="24"/>
                <w:lang w:val="en-GB"/>
              </w:rPr>
            </w:pPr>
            <w:r w:rsidRPr="000C119F">
              <w:rPr>
                <w:bCs/>
                <w:i/>
                <w:sz w:val="24"/>
                <w:szCs w:val="24"/>
                <w:lang w:val="en-GB"/>
              </w:rPr>
              <w:t>* Điểm a khoản 2 Điều 10 Nghị định số 108/2024/NĐ-CP (sửa đổi, bổ sung bởi Nghị định số 286/2025/NĐ-CP) quy định:</w:t>
            </w:r>
          </w:p>
          <w:p w:rsidR="000C119F" w:rsidRDefault="000C119F" w:rsidP="000C119F">
            <w:pPr>
              <w:widowControl w:val="0"/>
              <w:spacing w:before="0"/>
              <w:jc w:val="both"/>
              <w:rPr>
                <w:b/>
                <w:bCs/>
                <w:sz w:val="24"/>
                <w:szCs w:val="24"/>
                <w:lang w:val="en-GB"/>
              </w:rPr>
            </w:pPr>
            <w:bookmarkStart w:id="27" w:name="dieu_23"/>
            <w:r w:rsidRPr="000C119F">
              <w:rPr>
                <w:b/>
                <w:bCs/>
                <w:sz w:val="24"/>
                <w:szCs w:val="24"/>
                <w:lang w:val="en-GB"/>
              </w:rPr>
              <w:t>Điều 23. Quản lý số tiền thu được từ khai thác nhà, đất</w:t>
            </w:r>
            <w:bookmarkEnd w:id="27"/>
          </w:p>
          <w:p w:rsidR="000C119F" w:rsidRPr="000C119F" w:rsidRDefault="000C119F" w:rsidP="000C119F">
            <w:pPr>
              <w:widowControl w:val="0"/>
              <w:spacing w:before="0"/>
              <w:jc w:val="both"/>
              <w:rPr>
                <w:sz w:val="24"/>
                <w:szCs w:val="24"/>
              </w:rPr>
            </w:pPr>
            <w:r w:rsidRPr="000C119F">
              <w:rPr>
                <w:sz w:val="24"/>
                <w:szCs w:val="24"/>
              </w:rPr>
              <w:t>2. Số tiền thu được từ khai thác nhà, đất (tiền thuê nhà, tiền chậm nộp, chi phí sử dụng nhà, đất tạm thời theo quy định tại khoản 1 Điều này), số tiền thu được do lắp đặt công trình viễn thông trên nhà, đất của tổ chức quản lý, kinh doanh nhà theo quy định của pháp luật về viễn thông phát sinh trong tháng được nộp đầy đủ vào ngân sách nhà nước trước ngày 30 của tháng đó (đối với tổ chức quản lý, kinh doanh nhà là đơn vị sự nghiệp công lập); được nộp vào ngân sách nhà nước sau khi trừ các khoản chi phí quy định tại Điều 25 Nghị định này (nếu phát sinh) trước ngày 31 tháng 12 năm đó (đối với tổ chức quản lý, kinh doanh nhà là Công ty quản lý, kinh doanh nhà).</w:t>
            </w:r>
          </w:p>
        </w:tc>
        <w:tc>
          <w:tcPr>
            <w:tcW w:w="1512" w:type="pct"/>
            <w:tcBorders>
              <w:top w:val="single" w:sz="4" w:space="0" w:color="auto"/>
              <w:bottom w:val="single" w:sz="4" w:space="0" w:color="auto"/>
            </w:tcBorders>
          </w:tcPr>
          <w:p w:rsidR="000C119F" w:rsidRPr="000C119F" w:rsidRDefault="000C119F" w:rsidP="000C119F">
            <w:pPr>
              <w:widowControl w:val="0"/>
              <w:spacing w:before="0"/>
              <w:jc w:val="both"/>
              <w:rPr>
                <w:b/>
                <w:sz w:val="24"/>
                <w:szCs w:val="24"/>
              </w:rPr>
            </w:pPr>
            <w:r w:rsidRPr="000C119F">
              <w:rPr>
                <w:b/>
                <w:sz w:val="24"/>
                <w:szCs w:val="24"/>
              </w:rPr>
              <w:t xml:space="preserve">Điều 4. Cơ chế, chính sách khác </w:t>
            </w:r>
          </w:p>
          <w:p w:rsidR="00965CF1" w:rsidRPr="000C119F" w:rsidRDefault="000C119F" w:rsidP="005F0B55">
            <w:pPr>
              <w:suppressLineNumbers/>
              <w:tabs>
                <w:tab w:val="left" w:pos="1279"/>
              </w:tabs>
              <w:suppressAutoHyphens/>
              <w:spacing w:before="0"/>
              <w:jc w:val="both"/>
              <w:rPr>
                <w:sz w:val="24"/>
                <w:szCs w:val="24"/>
              </w:rPr>
            </w:pPr>
            <w:r w:rsidRPr="000C119F">
              <w:rPr>
                <w:sz w:val="24"/>
                <w:szCs w:val="24"/>
              </w:rPr>
              <w:t>4. Trường hợp nhà, đất dôi dư có lắp đặt công trình viễn thông theo quy định của pháp luật về viễn thông trước ngày tổ chức quản lý, kinh doanh nhà, tổ chức phát triển quỹ đất, đơn vị sự nghiệp công lập cấp xã tiếp nhận để quản lý, khai thác thì tổ chức, đơn vị tiếp nhận để khai thác quản lý, kinh doanh nhà được kế thừa Hợp đồng đã ký kết hoặc tiếp tục khai thác theo quy định; số tiền thu được thực hiện theo quy định tại khoản 2 Điều 23 Nghị định số 108/2024/NĐ-CP (được sửa đổi, bổ sung tại Điều 1 Nghị định số 286/2025/NĐ-CP).</w:t>
            </w:r>
          </w:p>
        </w:tc>
        <w:tc>
          <w:tcPr>
            <w:tcW w:w="1055" w:type="pct"/>
            <w:tcBorders>
              <w:top w:val="single" w:sz="4" w:space="0" w:color="auto"/>
              <w:bottom w:val="single" w:sz="4" w:space="0" w:color="auto"/>
            </w:tcBorders>
          </w:tcPr>
          <w:p w:rsidR="00965CF1" w:rsidRPr="000C119F" w:rsidRDefault="00965CF1" w:rsidP="000C119F">
            <w:pPr>
              <w:spacing w:before="20" w:after="20"/>
              <w:jc w:val="both"/>
              <w:rPr>
                <w:iCs/>
                <w:sz w:val="24"/>
                <w:szCs w:val="24"/>
              </w:rPr>
            </w:pPr>
            <w:r w:rsidRPr="000C119F">
              <w:rPr>
                <w:iCs/>
                <w:sz w:val="24"/>
                <w:szCs w:val="24"/>
                <w:lang w:val="vi-VN"/>
              </w:rPr>
              <w:t xml:space="preserve">Dự thảo </w:t>
            </w:r>
            <w:r w:rsidR="000C119F" w:rsidRPr="000C119F">
              <w:rPr>
                <w:iCs/>
                <w:sz w:val="24"/>
                <w:szCs w:val="24"/>
                <w:lang w:val="vi-VN"/>
              </w:rPr>
              <w:t xml:space="preserve">quy định trường hợp nhà, đất dôi dư có lắp đặt công trình viễn thông trước ngày </w:t>
            </w:r>
            <w:r w:rsidR="000C119F" w:rsidRPr="000C119F">
              <w:rPr>
                <w:iCs/>
                <w:sz w:val="24"/>
                <w:szCs w:val="24"/>
              </w:rPr>
              <w:t>các tổ chức, đơn vị</w:t>
            </w:r>
            <w:r w:rsidR="000C119F" w:rsidRPr="000C119F">
              <w:rPr>
                <w:iCs/>
                <w:sz w:val="24"/>
                <w:szCs w:val="24"/>
                <w:lang w:val="vi-VN"/>
              </w:rPr>
              <w:t xml:space="preserve"> tiếp nhận để quản lý, khai thác về địa phương thì tổ chức, đơn vị </w:t>
            </w:r>
            <w:r w:rsidR="000C119F" w:rsidRPr="000C119F">
              <w:rPr>
                <w:iCs/>
                <w:sz w:val="24"/>
                <w:szCs w:val="24"/>
              </w:rPr>
              <w:t xml:space="preserve">đó </w:t>
            </w:r>
            <w:r w:rsidR="000C119F" w:rsidRPr="000C119F">
              <w:rPr>
                <w:iCs/>
                <w:sz w:val="24"/>
                <w:szCs w:val="24"/>
                <w:lang w:val="vi-VN"/>
              </w:rPr>
              <w:t>được kế thừa Hợp đồng đã ký kết hoặc tiếp tục khai thác theo quy định</w:t>
            </w:r>
            <w:r w:rsidR="000C119F" w:rsidRPr="000C119F">
              <w:rPr>
                <w:iCs/>
                <w:sz w:val="24"/>
                <w:szCs w:val="24"/>
              </w:rPr>
              <w:t xml:space="preserve"> là để</w:t>
            </w:r>
            <w:r w:rsidR="000C119F" w:rsidRPr="000C119F">
              <w:rPr>
                <w:sz w:val="24"/>
                <w:szCs w:val="24"/>
              </w:rPr>
              <w:t xml:space="preserve"> </w:t>
            </w:r>
            <w:r w:rsidR="000C119F" w:rsidRPr="000C119F">
              <w:rPr>
                <w:iCs/>
                <w:sz w:val="24"/>
                <w:szCs w:val="24"/>
              </w:rPr>
              <w:t>đảm bảo không gián đoạn tín hiệu viễn thông của đơn vị đã cung cấp trên địa bàn địa phương, do thực tế một số các cơ sở nhà, đất dôi dư của các cơ quan, tổ chức, đơn vị khi khi điều chuyển, chuyển giao về địa phương đã có các công trình viễn thông lắp đặt theo quy định của pháp luật về viễn thông và đã được cơ quan, đơn vị ký Hợp đồng với các đơn vị cung cấp tín hiệu viễn thông hoặc các đơn vị cung cấp tín hiệu viễn thông vẫn có nhu cầu thuê.</w:t>
            </w:r>
          </w:p>
        </w:tc>
      </w:tr>
    </w:tbl>
    <w:p w:rsidR="006A78DE" w:rsidRPr="00AE774C" w:rsidRDefault="006A78DE" w:rsidP="00FA6AFB"/>
    <w:sectPr w:rsidR="006A78DE" w:rsidRPr="00AE774C" w:rsidSect="000F45F1">
      <w:headerReference w:type="default" r:id="rId8"/>
      <w:pgSz w:w="16841" w:h="11906" w:orient="landscape"/>
      <w:pgMar w:top="1021" w:right="964" w:bottom="794" w:left="964" w:header="397" w:footer="68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12C" w:rsidRDefault="0071112C">
      <w:pPr>
        <w:spacing w:before="0"/>
      </w:pPr>
      <w:r>
        <w:separator/>
      </w:r>
    </w:p>
  </w:endnote>
  <w:endnote w:type="continuationSeparator" w:id="0">
    <w:p w:rsidR="0071112C" w:rsidRDefault="0071112C">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12C" w:rsidRDefault="0071112C">
      <w:pPr>
        <w:spacing w:before="0"/>
      </w:pPr>
      <w:r>
        <w:separator/>
      </w:r>
    </w:p>
  </w:footnote>
  <w:footnote w:type="continuationSeparator" w:id="0">
    <w:p w:rsidR="0071112C" w:rsidRDefault="0071112C">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0725153"/>
    </w:sdtPr>
    <w:sdtEndPr>
      <w:rPr>
        <w:sz w:val="26"/>
        <w:szCs w:val="26"/>
      </w:rPr>
    </w:sdtEndPr>
    <w:sdtContent>
      <w:p w:rsidR="0071112C" w:rsidRDefault="0071112C">
        <w:pPr>
          <w:pStyle w:val="Header"/>
          <w:jc w:val="center"/>
          <w:rPr>
            <w:sz w:val="26"/>
            <w:szCs w:val="26"/>
          </w:rPr>
        </w:pPr>
        <w:r w:rsidRPr="000F45F1">
          <w:rPr>
            <w:sz w:val="22"/>
          </w:rPr>
          <w:fldChar w:fldCharType="begin"/>
        </w:r>
        <w:r w:rsidRPr="000F45F1">
          <w:rPr>
            <w:sz w:val="22"/>
          </w:rPr>
          <w:instrText xml:space="preserve"> PAGE   \* MERGEFORMAT </w:instrText>
        </w:r>
        <w:r w:rsidRPr="000F45F1">
          <w:rPr>
            <w:sz w:val="22"/>
          </w:rPr>
          <w:fldChar w:fldCharType="separate"/>
        </w:r>
        <w:r w:rsidR="000C119F">
          <w:rPr>
            <w:noProof/>
            <w:sz w:val="22"/>
          </w:rPr>
          <w:t>4</w:t>
        </w:r>
        <w:r w:rsidRPr="000F45F1">
          <w:rPr>
            <w:sz w:val="22"/>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8473C9"/>
    <w:multiLevelType w:val="hybridMultilevel"/>
    <w:tmpl w:val="980EC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4B6416"/>
    <w:multiLevelType w:val="multilevel"/>
    <w:tmpl w:val="7E4B6416"/>
    <w:lvl w:ilvl="0">
      <w:start w:val="1"/>
      <w:numFmt w:val="decimal"/>
      <w:pStyle w:val="dieu"/>
      <w:suff w:val="nothing"/>
      <w:lvlText w:val="Điều %1."/>
      <w:lvlJc w:val="left"/>
      <w:pPr>
        <w:ind w:left="360" w:hanging="360"/>
      </w:pPr>
      <w:rPr>
        <w:rFonts w:cs="Times New Roman"/>
        <w:b/>
        <w:bCs/>
        <w:i w:val="0"/>
        <w:iCs w:val="0"/>
        <w:caps w:val="0"/>
        <w:smallCaps w:val="0"/>
        <w:strike w:val="0"/>
        <w:dstrike w:val="0"/>
        <w:vanish w:val="0"/>
        <w:color w:val="000000"/>
        <w:spacing w:val="0"/>
        <w:kern w:val="0"/>
        <w:position w:val="0"/>
        <w:u w:val="none"/>
        <w:vertAlign w:val="baseline"/>
      </w:rPr>
    </w:lvl>
    <w:lvl w:ilvl="1">
      <w:start w:val="1"/>
      <w:numFmt w:val="decimal"/>
      <w:suff w:val="space"/>
      <w:lvlText w:val="%2."/>
      <w:lvlJc w:val="left"/>
      <w:pPr>
        <w:ind w:left="1260" w:hanging="360"/>
      </w:pPr>
      <w:rPr>
        <w:rFonts w:cs="Times New Roman" w:hint="default"/>
        <w:i w:val="0"/>
        <w:iCs w:val="0"/>
      </w:rPr>
    </w:lvl>
    <w:lvl w:ilvl="2">
      <w:start w:val="1"/>
      <w:numFmt w:val="lowerLetter"/>
      <w:suff w:val="space"/>
      <w:lvlText w:val="%3)"/>
      <w:lvlJc w:val="left"/>
      <w:pPr>
        <w:ind w:left="967" w:hanging="825"/>
      </w:pPr>
      <w:rPr>
        <w:rFonts w:cs="Times New Roman" w:hint="default"/>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hideSpellingErrors/>
  <w:defaultTabStop w:val="720"/>
  <w:drawingGridHorizontalSpacing w:val="140"/>
  <w:drawingGridVerticalSpacing w:val="299"/>
  <w:displayHorizontalDrawingGridEvery w:val="2"/>
  <w:characterSpacingControl w:val="doNotCompress"/>
  <w:footnotePr>
    <w:footnote w:id="-1"/>
    <w:footnote w:id="0"/>
  </w:footnotePr>
  <w:endnotePr>
    <w:endnote w:id="-1"/>
    <w:endnote w:id="0"/>
  </w:endnotePr>
  <w:compat/>
  <w:rsids>
    <w:rsidRoot w:val="00F915AD"/>
    <w:rsid w:val="0000125F"/>
    <w:rsid w:val="00010257"/>
    <w:rsid w:val="00017AFB"/>
    <w:rsid w:val="00026EF0"/>
    <w:rsid w:val="00027A58"/>
    <w:rsid w:val="00032093"/>
    <w:rsid w:val="00041F6B"/>
    <w:rsid w:val="00043F6B"/>
    <w:rsid w:val="00047692"/>
    <w:rsid w:val="000705B8"/>
    <w:rsid w:val="00073193"/>
    <w:rsid w:val="00082C4A"/>
    <w:rsid w:val="00085148"/>
    <w:rsid w:val="000868BF"/>
    <w:rsid w:val="000876CC"/>
    <w:rsid w:val="000A087B"/>
    <w:rsid w:val="000A4F65"/>
    <w:rsid w:val="000A6965"/>
    <w:rsid w:val="000C119F"/>
    <w:rsid w:val="000C3AE6"/>
    <w:rsid w:val="000C5B90"/>
    <w:rsid w:val="000D0B49"/>
    <w:rsid w:val="000D3E61"/>
    <w:rsid w:val="000D4FA7"/>
    <w:rsid w:val="000E0F8C"/>
    <w:rsid w:val="000E3C58"/>
    <w:rsid w:val="000E6A5F"/>
    <w:rsid w:val="000E6FBE"/>
    <w:rsid w:val="000F45F1"/>
    <w:rsid w:val="00100C50"/>
    <w:rsid w:val="00100E67"/>
    <w:rsid w:val="00104FCF"/>
    <w:rsid w:val="0010554E"/>
    <w:rsid w:val="00106383"/>
    <w:rsid w:val="001102DA"/>
    <w:rsid w:val="001113B3"/>
    <w:rsid w:val="001137BD"/>
    <w:rsid w:val="0011501D"/>
    <w:rsid w:val="0012016D"/>
    <w:rsid w:val="00121BA7"/>
    <w:rsid w:val="001273BF"/>
    <w:rsid w:val="00130FD2"/>
    <w:rsid w:val="00136F68"/>
    <w:rsid w:val="001412EC"/>
    <w:rsid w:val="00146C64"/>
    <w:rsid w:val="00150666"/>
    <w:rsid w:val="00157095"/>
    <w:rsid w:val="00160035"/>
    <w:rsid w:val="00160499"/>
    <w:rsid w:val="00161400"/>
    <w:rsid w:val="001628B5"/>
    <w:rsid w:val="00163B36"/>
    <w:rsid w:val="00173508"/>
    <w:rsid w:val="001747EC"/>
    <w:rsid w:val="00175C7E"/>
    <w:rsid w:val="00180BF1"/>
    <w:rsid w:val="00181076"/>
    <w:rsid w:val="00181DAF"/>
    <w:rsid w:val="00181DB2"/>
    <w:rsid w:val="0018241D"/>
    <w:rsid w:val="0019680D"/>
    <w:rsid w:val="0019720A"/>
    <w:rsid w:val="001A152E"/>
    <w:rsid w:val="001A6DD3"/>
    <w:rsid w:val="001B55D9"/>
    <w:rsid w:val="001C0677"/>
    <w:rsid w:val="001C6B8B"/>
    <w:rsid w:val="001C7BC0"/>
    <w:rsid w:val="001E3E8E"/>
    <w:rsid w:val="001E5382"/>
    <w:rsid w:val="001E7715"/>
    <w:rsid w:val="001F4017"/>
    <w:rsid w:val="002145D1"/>
    <w:rsid w:val="0022161F"/>
    <w:rsid w:val="002301B9"/>
    <w:rsid w:val="0023713C"/>
    <w:rsid w:val="00251087"/>
    <w:rsid w:val="00255441"/>
    <w:rsid w:val="00260B3A"/>
    <w:rsid w:val="00270E96"/>
    <w:rsid w:val="00280DF7"/>
    <w:rsid w:val="00283D20"/>
    <w:rsid w:val="002860C3"/>
    <w:rsid w:val="00287930"/>
    <w:rsid w:val="00292F59"/>
    <w:rsid w:val="002940E8"/>
    <w:rsid w:val="00296FC1"/>
    <w:rsid w:val="002A12E6"/>
    <w:rsid w:val="002B0FA0"/>
    <w:rsid w:val="002B7911"/>
    <w:rsid w:val="002C330F"/>
    <w:rsid w:val="002D1795"/>
    <w:rsid w:val="002D1977"/>
    <w:rsid w:val="002D275E"/>
    <w:rsid w:val="002D518A"/>
    <w:rsid w:val="002E4309"/>
    <w:rsid w:val="00300D14"/>
    <w:rsid w:val="0031464A"/>
    <w:rsid w:val="00316C37"/>
    <w:rsid w:val="003303DE"/>
    <w:rsid w:val="003401DA"/>
    <w:rsid w:val="00343646"/>
    <w:rsid w:val="00351E07"/>
    <w:rsid w:val="00356BE0"/>
    <w:rsid w:val="00357D2B"/>
    <w:rsid w:val="003641D1"/>
    <w:rsid w:val="0036752F"/>
    <w:rsid w:val="00377096"/>
    <w:rsid w:val="0038138B"/>
    <w:rsid w:val="00395E0E"/>
    <w:rsid w:val="003A1711"/>
    <w:rsid w:val="003A3B62"/>
    <w:rsid w:val="003A6149"/>
    <w:rsid w:val="003B6F50"/>
    <w:rsid w:val="003D03B4"/>
    <w:rsid w:val="003D3155"/>
    <w:rsid w:val="003D55D6"/>
    <w:rsid w:val="003D6154"/>
    <w:rsid w:val="003D7D07"/>
    <w:rsid w:val="003E3BDD"/>
    <w:rsid w:val="003F5CC3"/>
    <w:rsid w:val="003F777D"/>
    <w:rsid w:val="00407A86"/>
    <w:rsid w:val="00417391"/>
    <w:rsid w:val="0042201C"/>
    <w:rsid w:val="00422548"/>
    <w:rsid w:val="00436234"/>
    <w:rsid w:val="00437352"/>
    <w:rsid w:val="004377F6"/>
    <w:rsid w:val="00440613"/>
    <w:rsid w:val="00452132"/>
    <w:rsid w:val="0045533A"/>
    <w:rsid w:val="00457D59"/>
    <w:rsid w:val="004629C6"/>
    <w:rsid w:val="0046389A"/>
    <w:rsid w:val="00464794"/>
    <w:rsid w:val="004719C5"/>
    <w:rsid w:val="00471AD3"/>
    <w:rsid w:val="00481B6B"/>
    <w:rsid w:val="004829E2"/>
    <w:rsid w:val="004869C1"/>
    <w:rsid w:val="00491808"/>
    <w:rsid w:val="004955B4"/>
    <w:rsid w:val="004A1BF0"/>
    <w:rsid w:val="004A6315"/>
    <w:rsid w:val="004A6D2F"/>
    <w:rsid w:val="004A6D46"/>
    <w:rsid w:val="004B5037"/>
    <w:rsid w:val="004B5119"/>
    <w:rsid w:val="004C0705"/>
    <w:rsid w:val="004C3692"/>
    <w:rsid w:val="004C51E0"/>
    <w:rsid w:val="004D081D"/>
    <w:rsid w:val="004D0C0D"/>
    <w:rsid w:val="004D4A8F"/>
    <w:rsid w:val="004D65C1"/>
    <w:rsid w:val="004E6110"/>
    <w:rsid w:val="004E792F"/>
    <w:rsid w:val="004F183B"/>
    <w:rsid w:val="005031F6"/>
    <w:rsid w:val="00505717"/>
    <w:rsid w:val="00505EF4"/>
    <w:rsid w:val="00506189"/>
    <w:rsid w:val="005127E7"/>
    <w:rsid w:val="00512C2E"/>
    <w:rsid w:val="0051385E"/>
    <w:rsid w:val="00517EA5"/>
    <w:rsid w:val="00526CF0"/>
    <w:rsid w:val="005319DC"/>
    <w:rsid w:val="00540F18"/>
    <w:rsid w:val="00547614"/>
    <w:rsid w:val="0055266F"/>
    <w:rsid w:val="00556933"/>
    <w:rsid w:val="0056107F"/>
    <w:rsid w:val="00561AF5"/>
    <w:rsid w:val="00561E96"/>
    <w:rsid w:val="00594F94"/>
    <w:rsid w:val="005B6671"/>
    <w:rsid w:val="005C2047"/>
    <w:rsid w:val="005C586D"/>
    <w:rsid w:val="005D2450"/>
    <w:rsid w:val="005D2BFB"/>
    <w:rsid w:val="005D6E8B"/>
    <w:rsid w:val="005E207F"/>
    <w:rsid w:val="005F0B55"/>
    <w:rsid w:val="005F20E1"/>
    <w:rsid w:val="005F29AC"/>
    <w:rsid w:val="005F3EC4"/>
    <w:rsid w:val="005F7B07"/>
    <w:rsid w:val="006074FD"/>
    <w:rsid w:val="00613BA4"/>
    <w:rsid w:val="00616ADE"/>
    <w:rsid w:val="006338CE"/>
    <w:rsid w:val="0063540F"/>
    <w:rsid w:val="0063734E"/>
    <w:rsid w:val="0064062A"/>
    <w:rsid w:val="00642DDB"/>
    <w:rsid w:val="00644EBA"/>
    <w:rsid w:val="00647701"/>
    <w:rsid w:val="00651B2B"/>
    <w:rsid w:val="0067035E"/>
    <w:rsid w:val="00677F97"/>
    <w:rsid w:val="00682D46"/>
    <w:rsid w:val="006917DC"/>
    <w:rsid w:val="0069252B"/>
    <w:rsid w:val="00694106"/>
    <w:rsid w:val="006A2275"/>
    <w:rsid w:val="006A768E"/>
    <w:rsid w:val="006A78DE"/>
    <w:rsid w:val="006B4815"/>
    <w:rsid w:val="006C794F"/>
    <w:rsid w:val="006D262F"/>
    <w:rsid w:val="006D6781"/>
    <w:rsid w:val="006D6C25"/>
    <w:rsid w:val="006E33D8"/>
    <w:rsid w:val="006F1726"/>
    <w:rsid w:val="006F217F"/>
    <w:rsid w:val="007026DC"/>
    <w:rsid w:val="00707A8D"/>
    <w:rsid w:val="0071112C"/>
    <w:rsid w:val="00716577"/>
    <w:rsid w:val="007228DF"/>
    <w:rsid w:val="00733CF1"/>
    <w:rsid w:val="00734BE8"/>
    <w:rsid w:val="007402CD"/>
    <w:rsid w:val="0074342C"/>
    <w:rsid w:val="00754457"/>
    <w:rsid w:val="00764541"/>
    <w:rsid w:val="00766F59"/>
    <w:rsid w:val="00770275"/>
    <w:rsid w:val="007705FF"/>
    <w:rsid w:val="00774EF0"/>
    <w:rsid w:val="00786E73"/>
    <w:rsid w:val="0079020F"/>
    <w:rsid w:val="00791932"/>
    <w:rsid w:val="0079240F"/>
    <w:rsid w:val="007A10BD"/>
    <w:rsid w:val="007B3269"/>
    <w:rsid w:val="007B543A"/>
    <w:rsid w:val="007C0918"/>
    <w:rsid w:val="007D058A"/>
    <w:rsid w:val="007D32BA"/>
    <w:rsid w:val="007D5158"/>
    <w:rsid w:val="007F2002"/>
    <w:rsid w:val="00801F45"/>
    <w:rsid w:val="00803B29"/>
    <w:rsid w:val="008139C0"/>
    <w:rsid w:val="00820DB0"/>
    <w:rsid w:val="00825C04"/>
    <w:rsid w:val="008266A1"/>
    <w:rsid w:val="00832FE3"/>
    <w:rsid w:val="0083436B"/>
    <w:rsid w:val="00835977"/>
    <w:rsid w:val="00836F24"/>
    <w:rsid w:val="00840AF5"/>
    <w:rsid w:val="008460FA"/>
    <w:rsid w:val="00853D33"/>
    <w:rsid w:val="00854BEE"/>
    <w:rsid w:val="0085649B"/>
    <w:rsid w:val="00862362"/>
    <w:rsid w:val="00863B48"/>
    <w:rsid w:val="00863EF5"/>
    <w:rsid w:val="00864D02"/>
    <w:rsid w:val="00867B22"/>
    <w:rsid w:val="00867E77"/>
    <w:rsid w:val="0087002C"/>
    <w:rsid w:val="00870054"/>
    <w:rsid w:val="00870D76"/>
    <w:rsid w:val="008808F0"/>
    <w:rsid w:val="008821EF"/>
    <w:rsid w:val="00882485"/>
    <w:rsid w:val="00884171"/>
    <w:rsid w:val="008930E8"/>
    <w:rsid w:val="008966AF"/>
    <w:rsid w:val="008A346C"/>
    <w:rsid w:val="008B2F3F"/>
    <w:rsid w:val="008C5C64"/>
    <w:rsid w:val="008C7411"/>
    <w:rsid w:val="008D14FE"/>
    <w:rsid w:val="008D6587"/>
    <w:rsid w:val="008E5215"/>
    <w:rsid w:val="008F0F0A"/>
    <w:rsid w:val="008F504E"/>
    <w:rsid w:val="0091320D"/>
    <w:rsid w:val="00913FFD"/>
    <w:rsid w:val="00915262"/>
    <w:rsid w:val="00915EA4"/>
    <w:rsid w:val="00921E9B"/>
    <w:rsid w:val="009251E6"/>
    <w:rsid w:val="00926D1D"/>
    <w:rsid w:val="00927E1A"/>
    <w:rsid w:val="00945AC4"/>
    <w:rsid w:val="0094672A"/>
    <w:rsid w:val="00952300"/>
    <w:rsid w:val="009601FE"/>
    <w:rsid w:val="00965CF1"/>
    <w:rsid w:val="009838A6"/>
    <w:rsid w:val="00983BC7"/>
    <w:rsid w:val="009876E9"/>
    <w:rsid w:val="00994AD3"/>
    <w:rsid w:val="009A088C"/>
    <w:rsid w:val="009A1435"/>
    <w:rsid w:val="009A41B9"/>
    <w:rsid w:val="009A5F0E"/>
    <w:rsid w:val="009C3485"/>
    <w:rsid w:val="009C5986"/>
    <w:rsid w:val="009E2980"/>
    <w:rsid w:val="009E333A"/>
    <w:rsid w:val="009F2709"/>
    <w:rsid w:val="00A02341"/>
    <w:rsid w:val="00A0340F"/>
    <w:rsid w:val="00A11083"/>
    <w:rsid w:val="00A1651D"/>
    <w:rsid w:val="00A20E75"/>
    <w:rsid w:val="00A22753"/>
    <w:rsid w:val="00A23C5E"/>
    <w:rsid w:val="00A25D9F"/>
    <w:rsid w:val="00A33027"/>
    <w:rsid w:val="00A453A1"/>
    <w:rsid w:val="00A456E3"/>
    <w:rsid w:val="00A47D97"/>
    <w:rsid w:val="00A5600D"/>
    <w:rsid w:val="00A57529"/>
    <w:rsid w:val="00A64D05"/>
    <w:rsid w:val="00A65B73"/>
    <w:rsid w:val="00A722ED"/>
    <w:rsid w:val="00A751E3"/>
    <w:rsid w:val="00A75F2D"/>
    <w:rsid w:val="00A82DD5"/>
    <w:rsid w:val="00A85575"/>
    <w:rsid w:val="00A875CD"/>
    <w:rsid w:val="00A87B86"/>
    <w:rsid w:val="00A95440"/>
    <w:rsid w:val="00AA1311"/>
    <w:rsid w:val="00AA6216"/>
    <w:rsid w:val="00AA6585"/>
    <w:rsid w:val="00AB5345"/>
    <w:rsid w:val="00AB6907"/>
    <w:rsid w:val="00AC2FFA"/>
    <w:rsid w:val="00AC33F5"/>
    <w:rsid w:val="00AD073C"/>
    <w:rsid w:val="00AD2612"/>
    <w:rsid w:val="00AD2DF4"/>
    <w:rsid w:val="00AD3FA9"/>
    <w:rsid w:val="00AD623D"/>
    <w:rsid w:val="00AE774C"/>
    <w:rsid w:val="00AF3740"/>
    <w:rsid w:val="00AF53B8"/>
    <w:rsid w:val="00AF5C1D"/>
    <w:rsid w:val="00B035B5"/>
    <w:rsid w:val="00B07ACA"/>
    <w:rsid w:val="00B15B88"/>
    <w:rsid w:val="00B1721E"/>
    <w:rsid w:val="00B3104C"/>
    <w:rsid w:val="00B31D11"/>
    <w:rsid w:val="00B33998"/>
    <w:rsid w:val="00B36F95"/>
    <w:rsid w:val="00B41CFF"/>
    <w:rsid w:val="00B44C14"/>
    <w:rsid w:val="00B453A0"/>
    <w:rsid w:val="00B55503"/>
    <w:rsid w:val="00B60547"/>
    <w:rsid w:val="00B64BAB"/>
    <w:rsid w:val="00B64D6A"/>
    <w:rsid w:val="00B662E9"/>
    <w:rsid w:val="00B66BAE"/>
    <w:rsid w:val="00B70A1C"/>
    <w:rsid w:val="00B75628"/>
    <w:rsid w:val="00B81571"/>
    <w:rsid w:val="00B816AE"/>
    <w:rsid w:val="00B8188A"/>
    <w:rsid w:val="00B859E9"/>
    <w:rsid w:val="00BC6D00"/>
    <w:rsid w:val="00BC7ABE"/>
    <w:rsid w:val="00BD3E6A"/>
    <w:rsid w:val="00BE343E"/>
    <w:rsid w:val="00BF0C96"/>
    <w:rsid w:val="00BF1CC8"/>
    <w:rsid w:val="00C061BC"/>
    <w:rsid w:val="00C06BC9"/>
    <w:rsid w:val="00C06BF1"/>
    <w:rsid w:val="00C1087E"/>
    <w:rsid w:val="00C12DB2"/>
    <w:rsid w:val="00C13246"/>
    <w:rsid w:val="00C1334E"/>
    <w:rsid w:val="00C303A0"/>
    <w:rsid w:val="00C43775"/>
    <w:rsid w:val="00C516A5"/>
    <w:rsid w:val="00C51943"/>
    <w:rsid w:val="00C53B47"/>
    <w:rsid w:val="00C561A9"/>
    <w:rsid w:val="00C62015"/>
    <w:rsid w:val="00C80F08"/>
    <w:rsid w:val="00C82B38"/>
    <w:rsid w:val="00C84DDD"/>
    <w:rsid w:val="00C87162"/>
    <w:rsid w:val="00C915BD"/>
    <w:rsid w:val="00C936C8"/>
    <w:rsid w:val="00CA27D7"/>
    <w:rsid w:val="00CA2CF8"/>
    <w:rsid w:val="00CB0589"/>
    <w:rsid w:val="00CB5142"/>
    <w:rsid w:val="00CC487F"/>
    <w:rsid w:val="00CC6446"/>
    <w:rsid w:val="00CD31CA"/>
    <w:rsid w:val="00CD4620"/>
    <w:rsid w:val="00CE4410"/>
    <w:rsid w:val="00CF3A8F"/>
    <w:rsid w:val="00CF7DAB"/>
    <w:rsid w:val="00D03AF0"/>
    <w:rsid w:val="00D136DB"/>
    <w:rsid w:val="00D16A28"/>
    <w:rsid w:val="00D238C8"/>
    <w:rsid w:val="00D25469"/>
    <w:rsid w:val="00D30C2B"/>
    <w:rsid w:val="00D3670A"/>
    <w:rsid w:val="00D41D50"/>
    <w:rsid w:val="00D449A9"/>
    <w:rsid w:val="00D44BCF"/>
    <w:rsid w:val="00D60129"/>
    <w:rsid w:val="00D649BB"/>
    <w:rsid w:val="00D761C7"/>
    <w:rsid w:val="00D81531"/>
    <w:rsid w:val="00D8509E"/>
    <w:rsid w:val="00D8796B"/>
    <w:rsid w:val="00DA2C29"/>
    <w:rsid w:val="00DA3EFB"/>
    <w:rsid w:val="00DA4786"/>
    <w:rsid w:val="00DA5840"/>
    <w:rsid w:val="00DB0B09"/>
    <w:rsid w:val="00DB202C"/>
    <w:rsid w:val="00DC0949"/>
    <w:rsid w:val="00DC0E18"/>
    <w:rsid w:val="00DC19F0"/>
    <w:rsid w:val="00DC595C"/>
    <w:rsid w:val="00DD19AC"/>
    <w:rsid w:val="00DD3A4D"/>
    <w:rsid w:val="00DD69F6"/>
    <w:rsid w:val="00DE16CC"/>
    <w:rsid w:val="00DF468A"/>
    <w:rsid w:val="00DF7333"/>
    <w:rsid w:val="00E02977"/>
    <w:rsid w:val="00E15FC2"/>
    <w:rsid w:val="00E16D3F"/>
    <w:rsid w:val="00E33907"/>
    <w:rsid w:val="00E36E6B"/>
    <w:rsid w:val="00E43A05"/>
    <w:rsid w:val="00E501E3"/>
    <w:rsid w:val="00E50322"/>
    <w:rsid w:val="00E51BD9"/>
    <w:rsid w:val="00E6045F"/>
    <w:rsid w:val="00E834EF"/>
    <w:rsid w:val="00E84CDD"/>
    <w:rsid w:val="00E84E42"/>
    <w:rsid w:val="00E90275"/>
    <w:rsid w:val="00EA4C76"/>
    <w:rsid w:val="00EA5AC0"/>
    <w:rsid w:val="00EC5493"/>
    <w:rsid w:val="00EC682E"/>
    <w:rsid w:val="00ED1A89"/>
    <w:rsid w:val="00ED671F"/>
    <w:rsid w:val="00ED6D33"/>
    <w:rsid w:val="00EE7259"/>
    <w:rsid w:val="00EF09D4"/>
    <w:rsid w:val="00F01722"/>
    <w:rsid w:val="00F01767"/>
    <w:rsid w:val="00F0423B"/>
    <w:rsid w:val="00F053B5"/>
    <w:rsid w:val="00F23F1F"/>
    <w:rsid w:val="00F24885"/>
    <w:rsid w:val="00F27C26"/>
    <w:rsid w:val="00F33F0D"/>
    <w:rsid w:val="00F3441A"/>
    <w:rsid w:val="00F36DD8"/>
    <w:rsid w:val="00F417F8"/>
    <w:rsid w:val="00F5018D"/>
    <w:rsid w:val="00F5131A"/>
    <w:rsid w:val="00F57E65"/>
    <w:rsid w:val="00F656EA"/>
    <w:rsid w:val="00F65D16"/>
    <w:rsid w:val="00F67C73"/>
    <w:rsid w:val="00F75F5C"/>
    <w:rsid w:val="00F849BE"/>
    <w:rsid w:val="00F915AD"/>
    <w:rsid w:val="00F92365"/>
    <w:rsid w:val="00FA6AFB"/>
    <w:rsid w:val="00FA757D"/>
    <w:rsid w:val="00FC0CAC"/>
    <w:rsid w:val="00FD3D82"/>
    <w:rsid w:val="00FE2563"/>
    <w:rsid w:val="00FF2345"/>
    <w:rsid w:val="00FF785D"/>
    <w:rsid w:val="00FF7ACC"/>
    <w:rsid w:val="2D76418B"/>
    <w:rsid w:val="37B214EF"/>
    <w:rsid w:val="4FEF4047"/>
    <w:rsid w:val="50517D4F"/>
    <w:rsid w:val="53255C84"/>
    <w:rsid w:val="6CDB6C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semiHidden="0"/>
    <w:lsdException w:name="footer" w:semiHidden="0" w:qFormat="1"/>
    <w:lsdException w:name="caption" w:uiPriority="35" w:qFormat="1"/>
    <w:lsdException w:name="footnote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234"/>
    <w:pPr>
      <w:spacing w:before="120"/>
    </w:pPr>
    <w:rPr>
      <w:kern w:val="2"/>
      <w:sz w:val="28"/>
      <w:szCs w:val="22"/>
    </w:rPr>
  </w:style>
  <w:style w:type="paragraph" w:styleId="Heading1">
    <w:name w:val="heading 1"/>
    <w:basedOn w:val="Normal"/>
    <w:next w:val="Normal"/>
    <w:link w:val="Heading1Char"/>
    <w:uiPriority w:val="9"/>
    <w:qFormat/>
    <w:rsid w:val="00436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43623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3623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3623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3623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3623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36234"/>
    <w:pPr>
      <w:keepNext/>
      <w:keepLines/>
      <w:spacing w:before="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rsid w:val="00436234"/>
    <w:pPr>
      <w:keepNext/>
      <w:keepLines/>
      <w:spacing w:before="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436234"/>
    <w:pPr>
      <w:tabs>
        <w:tab w:val="center" w:pos="4680"/>
        <w:tab w:val="right" w:pos="9360"/>
      </w:tabs>
      <w:spacing w:before="0"/>
    </w:pPr>
  </w:style>
  <w:style w:type="paragraph" w:styleId="Header">
    <w:name w:val="header"/>
    <w:basedOn w:val="Normal"/>
    <w:link w:val="HeaderChar"/>
    <w:uiPriority w:val="99"/>
    <w:unhideWhenUsed/>
    <w:rsid w:val="00436234"/>
    <w:pPr>
      <w:tabs>
        <w:tab w:val="center" w:pos="4680"/>
        <w:tab w:val="right" w:pos="9360"/>
      </w:tabs>
      <w:spacing w:before="0"/>
    </w:pPr>
  </w:style>
  <w:style w:type="paragraph" w:styleId="Subtitle">
    <w:name w:val="Subtitle"/>
    <w:basedOn w:val="Normal"/>
    <w:next w:val="Normal"/>
    <w:link w:val="SubtitleChar"/>
    <w:uiPriority w:val="11"/>
    <w:qFormat/>
    <w:rsid w:val="00436234"/>
    <w:pPr>
      <w:spacing w:after="160"/>
    </w:pPr>
    <w:rPr>
      <w:rFonts w:asciiTheme="minorHAnsi" w:eastAsiaTheme="majorEastAsia" w:hAnsiTheme="minorHAnsi" w:cstheme="majorBidi"/>
      <w:color w:val="595959" w:themeColor="text1" w:themeTint="A6"/>
      <w:spacing w:val="15"/>
      <w:szCs w:val="28"/>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qFormat/>
    <w:rsid w:val="004362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436234"/>
    <w:pPr>
      <w:spacing w:before="0"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sid w:val="004362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2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qFormat/>
    <w:rsid w:val="00436234"/>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sid w:val="0043623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3623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sid w:val="0043623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3623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sid w:val="00436234"/>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rsid w:val="00436234"/>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rsid w:val="0043623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sid w:val="00436234"/>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36234"/>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sid w:val="00436234"/>
    <w:rPr>
      <w:i/>
      <w:iCs/>
      <w:color w:val="404040" w:themeColor="text1" w:themeTint="BF"/>
    </w:rPr>
  </w:style>
  <w:style w:type="paragraph" w:styleId="ListParagraph">
    <w:name w:val="List Paragraph"/>
    <w:basedOn w:val="Normal"/>
    <w:uiPriority w:val="34"/>
    <w:qFormat/>
    <w:rsid w:val="00436234"/>
    <w:pPr>
      <w:ind w:left="720"/>
      <w:contextualSpacing/>
    </w:pPr>
  </w:style>
  <w:style w:type="character" w:customStyle="1" w:styleId="IntenseEmphasis1">
    <w:name w:val="Intense Emphasis1"/>
    <w:basedOn w:val="DefaultParagraphFont"/>
    <w:uiPriority w:val="21"/>
    <w:qFormat/>
    <w:rsid w:val="00436234"/>
    <w:rPr>
      <w:i/>
      <w:iCs/>
      <w:color w:val="0F4761" w:themeColor="accent1" w:themeShade="BF"/>
    </w:rPr>
  </w:style>
  <w:style w:type="paragraph" w:styleId="IntenseQuote">
    <w:name w:val="Intense Quote"/>
    <w:basedOn w:val="Normal"/>
    <w:next w:val="Normal"/>
    <w:link w:val="IntenseQuoteChar"/>
    <w:uiPriority w:val="30"/>
    <w:qFormat/>
    <w:rsid w:val="00436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234"/>
    <w:rPr>
      <w:i/>
      <w:iCs/>
      <w:color w:val="0F4761" w:themeColor="accent1" w:themeShade="BF"/>
    </w:rPr>
  </w:style>
  <w:style w:type="character" w:customStyle="1" w:styleId="IntenseReference1">
    <w:name w:val="Intense Reference1"/>
    <w:basedOn w:val="DefaultParagraphFont"/>
    <w:uiPriority w:val="32"/>
    <w:qFormat/>
    <w:rsid w:val="00436234"/>
    <w:rPr>
      <w:b/>
      <w:bCs/>
      <w:smallCaps/>
      <w:color w:val="0F4761" w:themeColor="accent1" w:themeShade="BF"/>
      <w:spacing w:val="5"/>
    </w:rPr>
  </w:style>
  <w:style w:type="character" w:customStyle="1" w:styleId="HeaderChar">
    <w:name w:val="Header Char"/>
    <w:basedOn w:val="DefaultParagraphFont"/>
    <w:link w:val="Header"/>
    <w:uiPriority w:val="99"/>
    <w:qFormat/>
    <w:rsid w:val="00436234"/>
  </w:style>
  <w:style w:type="character" w:customStyle="1" w:styleId="FooterChar">
    <w:name w:val="Footer Char"/>
    <w:basedOn w:val="DefaultParagraphFont"/>
    <w:link w:val="Footer"/>
    <w:uiPriority w:val="99"/>
    <w:qFormat/>
    <w:rsid w:val="00436234"/>
  </w:style>
  <w:style w:type="paragraph" w:customStyle="1" w:styleId="BodyText4">
    <w:name w:val="Body Text4"/>
    <w:basedOn w:val="Normal"/>
    <w:link w:val="Bodytext"/>
    <w:rsid w:val="00436234"/>
    <w:pPr>
      <w:widowControl w:val="0"/>
      <w:shd w:val="clear" w:color="auto" w:fill="FFFFFF"/>
      <w:spacing w:after="120" w:line="379" w:lineRule="exact"/>
      <w:ind w:firstLine="567"/>
      <w:jc w:val="both"/>
    </w:pPr>
    <w:rPr>
      <w:rFonts w:eastAsia="Calibri"/>
      <w:i/>
      <w:iCs/>
      <w:kern w:val="0"/>
      <w:sz w:val="26"/>
      <w:szCs w:val="26"/>
      <w:lang w:eastAsia="en-GB"/>
    </w:rPr>
  </w:style>
  <w:style w:type="character" w:customStyle="1" w:styleId="Bodytext">
    <w:name w:val="Body text_"/>
    <w:link w:val="BodyText4"/>
    <w:qFormat/>
    <w:rsid w:val="00436234"/>
    <w:rPr>
      <w:rFonts w:eastAsia="Calibri"/>
      <w:i/>
      <w:iCs/>
      <w:kern w:val="0"/>
      <w:sz w:val="26"/>
      <w:szCs w:val="26"/>
      <w:shd w:val="clear" w:color="auto" w:fill="FFFFFF"/>
      <w:lang w:eastAsia="en-GB"/>
    </w:rPr>
  </w:style>
  <w:style w:type="paragraph" w:customStyle="1" w:styleId="dieu">
    <w:name w:val="dieu"/>
    <w:basedOn w:val="Normal"/>
    <w:uiPriority w:val="99"/>
    <w:qFormat/>
    <w:rsid w:val="00436234"/>
    <w:pPr>
      <w:numPr>
        <w:numId w:val="1"/>
      </w:numPr>
      <w:tabs>
        <w:tab w:val="left" w:pos="900"/>
      </w:tabs>
      <w:spacing w:before="60" w:after="60" w:line="312" w:lineRule="auto"/>
    </w:pPr>
    <w:rPr>
      <w:rFonts w:ascii="Calibri" w:eastAsia="Times New Roman" w:hAnsi="Calibri"/>
      <w:b/>
      <w:kern w:val="0"/>
      <w:szCs w:val="20"/>
      <w:lang w:eastAsia="ko-KR"/>
    </w:rPr>
  </w:style>
  <w:style w:type="table" w:customStyle="1" w:styleId="2">
    <w:name w:val="2"/>
    <w:basedOn w:val="TableNormal"/>
    <w:rsid w:val="00436234"/>
    <w:pPr>
      <w:jc w:val="both"/>
    </w:pPr>
    <w:rPr>
      <w:rFonts w:eastAsia="Times New Roman"/>
      <w:szCs w:val="28"/>
    </w:rPr>
    <w:tblPr>
      <w:tblInd w:w="0" w:type="dxa"/>
      <w:tblCellMar>
        <w:top w:w="0" w:type="dxa"/>
        <w:left w:w="115" w:type="dxa"/>
        <w:bottom w:w="0" w:type="dxa"/>
        <w:right w:w="115" w:type="dxa"/>
      </w:tblCellMar>
    </w:tblPr>
  </w:style>
  <w:style w:type="character" w:customStyle="1" w:styleId="normal-h">
    <w:name w:val="normal-h"/>
    <w:basedOn w:val="DefaultParagraphFont"/>
    <w:rsid w:val="00436234"/>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 Char Char C,fn,ft"/>
    <w:basedOn w:val="Normal"/>
    <w:link w:val="FootnoteTextChar"/>
    <w:uiPriority w:val="99"/>
    <w:qFormat/>
    <w:rsid w:val="00481B6B"/>
    <w:pPr>
      <w:spacing w:before="0"/>
    </w:pPr>
    <w:rPr>
      <w:rFonts w:eastAsia="Times New Roman"/>
      <w:kern w:val="0"/>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fn Char,ft Char"/>
    <w:basedOn w:val="DefaultParagraphFont"/>
    <w:link w:val="FootnoteText"/>
    <w:uiPriority w:val="99"/>
    <w:rsid w:val="00481B6B"/>
    <w:rPr>
      <w:rFonts w:eastAsia="Times New Roman"/>
    </w:rPr>
  </w:style>
  <w:style w:type="character" w:styleId="FootnoteReference">
    <w:name w:val="footnote reference"/>
    <w:aliases w:val="Footnote,Footnote text,ftref,BVI fnr,footnote ref,Footnote dich,SUPERS,(NECG) Footnote Reference,16 Point,Superscript 6 Point,Footnote + Arial,10 pt,Black,fr,BearingPoint,Footnote Reference Number,Footnote Reference_LVL6,Ref,R"/>
    <w:uiPriority w:val="99"/>
    <w:qFormat/>
    <w:rsid w:val="00481B6B"/>
    <w:rPr>
      <w:vertAlign w:val="superscript"/>
    </w:rPr>
  </w:style>
  <w:style w:type="paragraph" w:styleId="BalloonText">
    <w:name w:val="Balloon Text"/>
    <w:basedOn w:val="Normal"/>
    <w:link w:val="BalloonTextChar"/>
    <w:uiPriority w:val="99"/>
    <w:semiHidden/>
    <w:unhideWhenUsed/>
    <w:rsid w:val="00E02977"/>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977"/>
    <w:rPr>
      <w:rFonts w:ascii="Tahoma" w:hAnsi="Tahoma" w:cs="Tahoma"/>
      <w:kern w:val="2"/>
      <w:sz w:val="16"/>
      <w:szCs w:val="16"/>
    </w:rPr>
  </w:style>
  <w:style w:type="paragraph" w:styleId="NormalWeb">
    <w:name w:val="Normal (Web)"/>
    <w:basedOn w:val="Normal"/>
    <w:uiPriority w:val="99"/>
    <w:unhideWhenUsed/>
    <w:rsid w:val="003A6149"/>
    <w:pPr>
      <w:spacing w:before="100" w:beforeAutospacing="1" w:after="100" w:afterAutospacing="1"/>
    </w:pPr>
    <w:rPr>
      <w:rFonts w:eastAsia="Times New Roman"/>
      <w:kern w:val="0"/>
      <w:sz w:val="24"/>
      <w:szCs w:val="24"/>
    </w:rPr>
  </w:style>
  <w:style w:type="paragraph" w:customStyle="1" w:styleId="Normal1">
    <w:name w:val="Normal1"/>
    <w:rsid w:val="000C119F"/>
    <w:rPr>
      <w:rFonts w:eastAsia="Times New Roman"/>
      <w:sz w:val="24"/>
      <w:szCs w:val="24"/>
    </w:rPr>
  </w:style>
</w:styles>
</file>

<file path=word/webSettings.xml><?xml version="1.0" encoding="utf-8"?>
<w:webSettings xmlns:r="http://schemas.openxmlformats.org/officeDocument/2006/relationships" xmlns:w="http://schemas.openxmlformats.org/wordprocessingml/2006/main">
  <w:divs>
    <w:div w:id="61218243">
      <w:bodyDiv w:val="1"/>
      <w:marLeft w:val="0"/>
      <w:marRight w:val="0"/>
      <w:marTop w:val="0"/>
      <w:marBottom w:val="0"/>
      <w:divBdr>
        <w:top w:val="none" w:sz="0" w:space="0" w:color="auto"/>
        <w:left w:val="none" w:sz="0" w:space="0" w:color="auto"/>
        <w:bottom w:val="none" w:sz="0" w:space="0" w:color="auto"/>
        <w:right w:val="none" w:sz="0" w:space="0" w:color="auto"/>
      </w:divBdr>
    </w:div>
    <w:div w:id="165561087">
      <w:bodyDiv w:val="1"/>
      <w:marLeft w:val="0"/>
      <w:marRight w:val="0"/>
      <w:marTop w:val="0"/>
      <w:marBottom w:val="0"/>
      <w:divBdr>
        <w:top w:val="none" w:sz="0" w:space="0" w:color="auto"/>
        <w:left w:val="none" w:sz="0" w:space="0" w:color="auto"/>
        <w:bottom w:val="none" w:sz="0" w:space="0" w:color="auto"/>
        <w:right w:val="none" w:sz="0" w:space="0" w:color="auto"/>
      </w:divBdr>
    </w:div>
    <w:div w:id="203716494">
      <w:bodyDiv w:val="1"/>
      <w:marLeft w:val="0"/>
      <w:marRight w:val="0"/>
      <w:marTop w:val="0"/>
      <w:marBottom w:val="0"/>
      <w:divBdr>
        <w:top w:val="none" w:sz="0" w:space="0" w:color="auto"/>
        <w:left w:val="none" w:sz="0" w:space="0" w:color="auto"/>
        <w:bottom w:val="none" w:sz="0" w:space="0" w:color="auto"/>
        <w:right w:val="none" w:sz="0" w:space="0" w:color="auto"/>
      </w:divBdr>
    </w:div>
    <w:div w:id="286475988">
      <w:bodyDiv w:val="1"/>
      <w:marLeft w:val="0"/>
      <w:marRight w:val="0"/>
      <w:marTop w:val="0"/>
      <w:marBottom w:val="0"/>
      <w:divBdr>
        <w:top w:val="none" w:sz="0" w:space="0" w:color="auto"/>
        <w:left w:val="none" w:sz="0" w:space="0" w:color="auto"/>
        <w:bottom w:val="none" w:sz="0" w:space="0" w:color="auto"/>
        <w:right w:val="none" w:sz="0" w:space="0" w:color="auto"/>
      </w:divBdr>
    </w:div>
    <w:div w:id="288710565">
      <w:bodyDiv w:val="1"/>
      <w:marLeft w:val="0"/>
      <w:marRight w:val="0"/>
      <w:marTop w:val="0"/>
      <w:marBottom w:val="0"/>
      <w:divBdr>
        <w:top w:val="none" w:sz="0" w:space="0" w:color="auto"/>
        <w:left w:val="none" w:sz="0" w:space="0" w:color="auto"/>
        <w:bottom w:val="none" w:sz="0" w:space="0" w:color="auto"/>
        <w:right w:val="none" w:sz="0" w:space="0" w:color="auto"/>
      </w:divBdr>
    </w:div>
    <w:div w:id="309751098">
      <w:bodyDiv w:val="1"/>
      <w:marLeft w:val="0"/>
      <w:marRight w:val="0"/>
      <w:marTop w:val="0"/>
      <w:marBottom w:val="0"/>
      <w:divBdr>
        <w:top w:val="none" w:sz="0" w:space="0" w:color="auto"/>
        <w:left w:val="none" w:sz="0" w:space="0" w:color="auto"/>
        <w:bottom w:val="none" w:sz="0" w:space="0" w:color="auto"/>
        <w:right w:val="none" w:sz="0" w:space="0" w:color="auto"/>
      </w:divBdr>
    </w:div>
    <w:div w:id="324624564">
      <w:bodyDiv w:val="1"/>
      <w:marLeft w:val="0"/>
      <w:marRight w:val="0"/>
      <w:marTop w:val="0"/>
      <w:marBottom w:val="0"/>
      <w:divBdr>
        <w:top w:val="none" w:sz="0" w:space="0" w:color="auto"/>
        <w:left w:val="none" w:sz="0" w:space="0" w:color="auto"/>
        <w:bottom w:val="none" w:sz="0" w:space="0" w:color="auto"/>
        <w:right w:val="none" w:sz="0" w:space="0" w:color="auto"/>
      </w:divBdr>
    </w:div>
    <w:div w:id="375935879">
      <w:bodyDiv w:val="1"/>
      <w:marLeft w:val="0"/>
      <w:marRight w:val="0"/>
      <w:marTop w:val="0"/>
      <w:marBottom w:val="0"/>
      <w:divBdr>
        <w:top w:val="none" w:sz="0" w:space="0" w:color="auto"/>
        <w:left w:val="none" w:sz="0" w:space="0" w:color="auto"/>
        <w:bottom w:val="none" w:sz="0" w:space="0" w:color="auto"/>
        <w:right w:val="none" w:sz="0" w:space="0" w:color="auto"/>
      </w:divBdr>
    </w:div>
    <w:div w:id="469134992">
      <w:bodyDiv w:val="1"/>
      <w:marLeft w:val="0"/>
      <w:marRight w:val="0"/>
      <w:marTop w:val="0"/>
      <w:marBottom w:val="0"/>
      <w:divBdr>
        <w:top w:val="none" w:sz="0" w:space="0" w:color="auto"/>
        <w:left w:val="none" w:sz="0" w:space="0" w:color="auto"/>
        <w:bottom w:val="none" w:sz="0" w:space="0" w:color="auto"/>
        <w:right w:val="none" w:sz="0" w:space="0" w:color="auto"/>
      </w:divBdr>
    </w:div>
    <w:div w:id="544489841">
      <w:bodyDiv w:val="1"/>
      <w:marLeft w:val="0"/>
      <w:marRight w:val="0"/>
      <w:marTop w:val="0"/>
      <w:marBottom w:val="0"/>
      <w:divBdr>
        <w:top w:val="none" w:sz="0" w:space="0" w:color="auto"/>
        <w:left w:val="none" w:sz="0" w:space="0" w:color="auto"/>
        <w:bottom w:val="none" w:sz="0" w:space="0" w:color="auto"/>
        <w:right w:val="none" w:sz="0" w:space="0" w:color="auto"/>
      </w:divBdr>
    </w:div>
    <w:div w:id="610862213">
      <w:bodyDiv w:val="1"/>
      <w:marLeft w:val="0"/>
      <w:marRight w:val="0"/>
      <w:marTop w:val="0"/>
      <w:marBottom w:val="0"/>
      <w:divBdr>
        <w:top w:val="none" w:sz="0" w:space="0" w:color="auto"/>
        <w:left w:val="none" w:sz="0" w:space="0" w:color="auto"/>
        <w:bottom w:val="none" w:sz="0" w:space="0" w:color="auto"/>
        <w:right w:val="none" w:sz="0" w:space="0" w:color="auto"/>
      </w:divBdr>
    </w:div>
    <w:div w:id="672800502">
      <w:bodyDiv w:val="1"/>
      <w:marLeft w:val="0"/>
      <w:marRight w:val="0"/>
      <w:marTop w:val="0"/>
      <w:marBottom w:val="0"/>
      <w:divBdr>
        <w:top w:val="none" w:sz="0" w:space="0" w:color="auto"/>
        <w:left w:val="none" w:sz="0" w:space="0" w:color="auto"/>
        <w:bottom w:val="none" w:sz="0" w:space="0" w:color="auto"/>
        <w:right w:val="none" w:sz="0" w:space="0" w:color="auto"/>
      </w:divBdr>
    </w:div>
    <w:div w:id="952981798">
      <w:bodyDiv w:val="1"/>
      <w:marLeft w:val="0"/>
      <w:marRight w:val="0"/>
      <w:marTop w:val="0"/>
      <w:marBottom w:val="0"/>
      <w:divBdr>
        <w:top w:val="none" w:sz="0" w:space="0" w:color="auto"/>
        <w:left w:val="none" w:sz="0" w:space="0" w:color="auto"/>
        <w:bottom w:val="none" w:sz="0" w:space="0" w:color="auto"/>
        <w:right w:val="none" w:sz="0" w:space="0" w:color="auto"/>
      </w:divBdr>
    </w:div>
    <w:div w:id="1135948313">
      <w:bodyDiv w:val="1"/>
      <w:marLeft w:val="0"/>
      <w:marRight w:val="0"/>
      <w:marTop w:val="0"/>
      <w:marBottom w:val="0"/>
      <w:divBdr>
        <w:top w:val="none" w:sz="0" w:space="0" w:color="auto"/>
        <w:left w:val="none" w:sz="0" w:space="0" w:color="auto"/>
        <w:bottom w:val="none" w:sz="0" w:space="0" w:color="auto"/>
        <w:right w:val="none" w:sz="0" w:space="0" w:color="auto"/>
      </w:divBdr>
    </w:div>
    <w:div w:id="1199733689">
      <w:bodyDiv w:val="1"/>
      <w:marLeft w:val="0"/>
      <w:marRight w:val="0"/>
      <w:marTop w:val="0"/>
      <w:marBottom w:val="0"/>
      <w:divBdr>
        <w:top w:val="none" w:sz="0" w:space="0" w:color="auto"/>
        <w:left w:val="none" w:sz="0" w:space="0" w:color="auto"/>
        <w:bottom w:val="none" w:sz="0" w:space="0" w:color="auto"/>
        <w:right w:val="none" w:sz="0" w:space="0" w:color="auto"/>
      </w:divBdr>
    </w:div>
    <w:div w:id="1310865379">
      <w:bodyDiv w:val="1"/>
      <w:marLeft w:val="0"/>
      <w:marRight w:val="0"/>
      <w:marTop w:val="0"/>
      <w:marBottom w:val="0"/>
      <w:divBdr>
        <w:top w:val="none" w:sz="0" w:space="0" w:color="auto"/>
        <w:left w:val="none" w:sz="0" w:space="0" w:color="auto"/>
        <w:bottom w:val="none" w:sz="0" w:space="0" w:color="auto"/>
        <w:right w:val="none" w:sz="0" w:space="0" w:color="auto"/>
      </w:divBdr>
    </w:div>
    <w:div w:id="1377005254">
      <w:bodyDiv w:val="1"/>
      <w:marLeft w:val="0"/>
      <w:marRight w:val="0"/>
      <w:marTop w:val="0"/>
      <w:marBottom w:val="0"/>
      <w:divBdr>
        <w:top w:val="none" w:sz="0" w:space="0" w:color="auto"/>
        <w:left w:val="none" w:sz="0" w:space="0" w:color="auto"/>
        <w:bottom w:val="none" w:sz="0" w:space="0" w:color="auto"/>
        <w:right w:val="none" w:sz="0" w:space="0" w:color="auto"/>
      </w:divBdr>
    </w:div>
    <w:div w:id="1504320327">
      <w:bodyDiv w:val="1"/>
      <w:marLeft w:val="0"/>
      <w:marRight w:val="0"/>
      <w:marTop w:val="0"/>
      <w:marBottom w:val="0"/>
      <w:divBdr>
        <w:top w:val="none" w:sz="0" w:space="0" w:color="auto"/>
        <w:left w:val="none" w:sz="0" w:space="0" w:color="auto"/>
        <w:bottom w:val="none" w:sz="0" w:space="0" w:color="auto"/>
        <w:right w:val="none" w:sz="0" w:space="0" w:color="auto"/>
      </w:divBdr>
    </w:div>
    <w:div w:id="1576090697">
      <w:bodyDiv w:val="1"/>
      <w:marLeft w:val="0"/>
      <w:marRight w:val="0"/>
      <w:marTop w:val="0"/>
      <w:marBottom w:val="0"/>
      <w:divBdr>
        <w:top w:val="none" w:sz="0" w:space="0" w:color="auto"/>
        <w:left w:val="none" w:sz="0" w:space="0" w:color="auto"/>
        <w:bottom w:val="none" w:sz="0" w:space="0" w:color="auto"/>
        <w:right w:val="none" w:sz="0" w:space="0" w:color="auto"/>
      </w:divBdr>
    </w:div>
    <w:div w:id="1697731824">
      <w:bodyDiv w:val="1"/>
      <w:marLeft w:val="0"/>
      <w:marRight w:val="0"/>
      <w:marTop w:val="0"/>
      <w:marBottom w:val="0"/>
      <w:divBdr>
        <w:top w:val="none" w:sz="0" w:space="0" w:color="auto"/>
        <w:left w:val="none" w:sz="0" w:space="0" w:color="auto"/>
        <w:bottom w:val="none" w:sz="0" w:space="0" w:color="auto"/>
        <w:right w:val="none" w:sz="0" w:space="0" w:color="auto"/>
      </w:divBdr>
    </w:div>
    <w:div w:id="1727295723">
      <w:bodyDiv w:val="1"/>
      <w:marLeft w:val="0"/>
      <w:marRight w:val="0"/>
      <w:marTop w:val="0"/>
      <w:marBottom w:val="0"/>
      <w:divBdr>
        <w:top w:val="none" w:sz="0" w:space="0" w:color="auto"/>
        <w:left w:val="none" w:sz="0" w:space="0" w:color="auto"/>
        <w:bottom w:val="none" w:sz="0" w:space="0" w:color="auto"/>
        <w:right w:val="none" w:sz="0" w:space="0" w:color="auto"/>
      </w:divBdr>
    </w:div>
    <w:div w:id="1728719837">
      <w:bodyDiv w:val="1"/>
      <w:marLeft w:val="0"/>
      <w:marRight w:val="0"/>
      <w:marTop w:val="0"/>
      <w:marBottom w:val="0"/>
      <w:divBdr>
        <w:top w:val="none" w:sz="0" w:space="0" w:color="auto"/>
        <w:left w:val="none" w:sz="0" w:space="0" w:color="auto"/>
        <w:bottom w:val="none" w:sz="0" w:space="0" w:color="auto"/>
        <w:right w:val="none" w:sz="0" w:space="0" w:color="auto"/>
      </w:divBdr>
    </w:div>
    <w:div w:id="1761442549">
      <w:bodyDiv w:val="1"/>
      <w:marLeft w:val="0"/>
      <w:marRight w:val="0"/>
      <w:marTop w:val="0"/>
      <w:marBottom w:val="0"/>
      <w:divBdr>
        <w:top w:val="none" w:sz="0" w:space="0" w:color="auto"/>
        <w:left w:val="none" w:sz="0" w:space="0" w:color="auto"/>
        <w:bottom w:val="none" w:sz="0" w:space="0" w:color="auto"/>
        <w:right w:val="none" w:sz="0" w:space="0" w:color="auto"/>
      </w:divBdr>
    </w:div>
    <w:div w:id="1795126307">
      <w:bodyDiv w:val="1"/>
      <w:marLeft w:val="0"/>
      <w:marRight w:val="0"/>
      <w:marTop w:val="0"/>
      <w:marBottom w:val="0"/>
      <w:divBdr>
        <w:top w:val="none" w:sz="0" w:space="0" w:color="auto"/>
        <w:left w:val="none" w:sz="0" w:space="0" w:color="auto"/>
        <w:bottom w:val="none" w:sz="0" w:space="0" w:color="auto"/>
        <w:right w:val="none" w:sz="0" w:space="0" w:color="auto"/>
      </w:divBdr>
    </w:div>
    <w:div w:id="1896500978">
      <w:bodyDiv w:val="1"/>
      <w:marLeft w:val="0"/>
      <w:marRight w:val="0"/>
      <w:marTop w:val="0"/>
      <w:marBottom w:val="0"/>
      <w:divBdr>
        <w:top w:val="none" w:sz="0" w:space="0" w:color="auto"/>
        <w:left w:val="none" w:sz="0" w:space="0" w:color="auto"/>
        <w:bottom w:val="none" w:sz="0" w:space="0" w:color="auto"/>
        <w:right w:val="none" w:sz="0" w:space="0" w:color="auto"/>
      </w:divBdr>
    </w:div>
    <w:div w:id="2121804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A4C13-F1AD-4DB7-B71E-C5620832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7</Pages>
  <Words>3211</Words>
  <Characters>18306</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21475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 Anh TU</dc:creator>
  <cp:lastModifiedBy>ngodinhlong</cp:lastModifiedBy>
  <cp:revision>60</cp:revision>
  <cp:lastPrinted>2026-05-26T09:02:00Z</cp:lastPrinted>
  <dcterms:created xsi:type="dcterms:W3CDTF">2026-05-08T14:13:00Z</dcterms:created>
  <dcterms:modified xsi:type="dcterms:W3CDTF">2026-10-20T04:19:00Z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C581455B8A6441728CF77ACAA60BF669_12</vt:lpwstr>
  </property>
</Properties>
</file>