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88" w:rsidRPr="002D1D1E" w:rsidRDefault="00382788" w:rsidP="00382788">
      <w:pPr>
        <w:autoSpaceDE w:val="0"/>
        <w:autoSpaceDN w:val="0"/>
        <w:adjustRightInd w:val="0"/>
        <w:spacing w:before="120"/>
        <w:jc w:val="center"/>
      </w:pPr>
      <w:r w:rsidRPr="002D1D1E">
        <w:rPr>
          <w:b/>
          <w:bCs/>
        </w:rPr>
        <w:t>Phụ lục</w:t>
      </w:r>
    </w:p>
    <w:p w:rsidR="00AD16BE" w:rsidRPr="002D1D1E" w:rsidRDefault="00382788" w:rsidP="00382788">
      <w:pPr>
        <w:autoSpaceDE w:val="0"/>
        <w:autoSpaceDN w:val="0"/>
        <w:adjustRightInd w:val="0"/>
        <w:spacing w:before="120"/>
      </w:pPr>
      <w:r w:rsidRPr="002D1D1E">
        <w:rPr>
          <w:b/>
          <w:bCs/>
        </w:rPr>
        <w:t>1. Chủ trương, đường lối của Đảng có liên quan đến dự thảo Nghị định</w:t>
      </w:r>
    </w:p>
    <w:tbl>
      <w:tblPr>
        <w:tblStyle w:val="TableGrid"/>
        <w:tblW w:w="14283" w:type="dxa"/>
        <w:tblLook w:val="04A0"/>
      </w:tblPr>
      <w:tblGrid>
        <w:gridCol w:w="6629"/>
        <w:gridCol w:w="3402"/>
        <w:gridCol w:w="2409"/>
        <w:gridCol w:w="1843"/>
      </w:tblGrid>
      <w:tr w:rsidR="006001D3" w:rsidRPr="002D1D1E" w:rsidTr="00EA12AD">
        <w:trPr>
          <w:tblHeader/>
        </w:trPr>
        <w:tc>
          <w:tcPr>
            <w:tcW w:w="6629" w:type="dxa"/>
          </w:tcPr>
          <w:p w:rsidR="006001D3" w:rsidRPr="002D1D1E" w:rsidRDefault="006001D3" w:rsidP="00382788">
            <w:pPr>
              <w:widowControl w:val="0"/>
              <w:jc w:val="center"/>
              <w:rPr>
                <w:b/>
                <w:sz w:val="24"/>
                <w:szCs w:val="24"/>
              </w:rPr>
            </w:pPr>
            <w:r w:rsidRPr="002D1D1E">
              <w:rPr>
                <w:b/>
                <w:sz w:val="24"/>
                <w:szCs w:val="24"/>
              </w:rPr>
              <w:t>Chủ trương, đường lối của Đảng</w:t>
            </w:r>
          </w:p>
        </w:tc>
        <w:tc>
          <w:tcPr>
            <w:tcW w:w="3402" w:type="dxa"/>
          </w:tcPr>
          <w:p w:rsidR="006001D3" w:rsidRPr="002D1D1E" w:rsidRDefault="006001D3" w:rsidP="00382788">
            <w:pPr>
              <w:widowControl w:val="0"/>
              <w:jc w:val="center"/>
              <w:rPr>
                <w:b/>
                <w:sz w:val="24"/>
                <w:szCs w:val="24"/>
              </w:rPr>
            </w:pPr>
            <w:r w:rsidRPr="002D1D1E">
              <w:rPr>
                <w:b/>
                <w:sz w:val="24"/>
                <w:szCs w:val="24"/>
              </w:rPr>
              <w:t>Quy định của dự thảo Nghị định</w:t>
            </w:r>
          </w:p>
        </w:tc>
        <w:tc>
          <w:tcPr>
            <w:tcW w:w="2409" w:type="dxa"/>
          </w:tcPr>
          <w:p w:rsidR="006001D3" w:rsidRPr="002D1D1E" w:rsidRDefault="006001D3" w:rsidP="00382788">
            <w:pPr>
              <w:widowControl w:val="0"/>
              <w:jc w:val="center"/>
              <w:rPr>
                <w:b/>
                <w:sz w:val="24"/>
                <w:szCs w:val="24"/>
              </w:rPr>
            </w:pPr>
            <w:r w:rsidRPr="002D1D1E">
              <w:rPr>
                <w:b/>
                <w:sz w:val="24"/>
                <w:szCs w:val="24"/>
              </w:rPr>
              <w:t>Đánh giá</w:t>
            </w:r>
          </w:p>
        </w:tc>
        <w:tc>
          <w:tcPr>
            <w:tcW w:w="1843" w:type="dxa"/>
          </w:tcPr>
          <w:p w:rsidR="006001D3" w:rsidRPr="002D1D1E" w:rsidRDefault="006001D3" w:rsidP="00382788">
            <w:pPr>
              <w:widowControl w:val="0"/>
              <w:jc w:val="center"/>
              <w:rPr>
                <w:b/>
                <w:sz w:val="24"/>
                <w:szCs w:val="24"/>
              </w:rPr>
            </w:pPr>
            <w:r w:rsidRPr="002D1D1E">
              <w:rPr>
                <w:b/>
                <w:sz w:val="24"/>
                <w:szCs w:val="24"/>
              </w:rPr>
              <w:t>Đề xuất xử lý</w:t>
            </w:r>
          </w:p>
        </w:tc>
      </w:tr>
      <w:tr w:rsidR="006001D3" w:rsidRPr="002D1D1E" w:rsidTr="00EA12AD">
        <w:tc>
          <w:tcPr>
            <w:tcW w:w="6629" w:type="dxa"/>
          </w:tcPr>
          <w:p w:rsidR="00E8496A" w:rsidRPr="002D1D1E" w:rsidRDefault="00374400" w:rsidP="00E8496A">
            <w:pPr>
              <w:widowControl w:val="0"/>
              <w:rPr>
                <w:rFonts w:eastAsia="Calibri"/>
                <w:bCs/>
                <w:i/>
                <w:iCs/>
                <w:sz w:val="24"/>
                <w:szCs w:val="24"/>
                <w:lang w:val="nl-NL"/>
              </w:rPr>
            </w:pPr>
            <w:r w:rsidRPr="002D1D1E">
              <w:rPr>
                <w:rFonts w:eastAsia="Calibri"/>
                <w:bCs/>
                <w:iCs/>
                <w:sz w:val="24"/>
                <w:szCs w:val="24"/>
                <w:lang w:val="nl-NL"/>
              </w:rPr>
              <w:t xml:space="preserve">- </w:t>
            </w:r>
            <w:r w:rsidR="00E8496A" w:rsidRPr="002D1D1E">
              <w:rPr>
                <w:rFonts w:eastAsia="Calibri"/>
                <w:bCs/>
                <w:iCs/>
                <w:sz w:val="24"/>
                <w:szCs w:val="24"/>
                <w:lang w:val="nl-NL"/>
              </w:rPr>
              <w:t>Tại Nghị quyết số 24-NQ/TW ngày 03/6/2013 của Ban chấp hành Trung ương khoá XI về chủ động ứng phó với biến đổi khí hậu, tăng cường quản lý tài nguyên và bảo vệ môi trường đã nêu nhiệm vụ:</w:t>
            </w:r>
            <w:r w:rsidR="00E8496A" w:rsidRPr="002D1D1E">
              <w:rPr>
                <w:rFonts w:eastAsia="Calibri"/>
                <w:bCs/>
                <w:i/>
                <w:iCs/>
                <w:sz w:val="24"/>
                <w:szCs w:val="24"/>
                <w:lang w:val="nl-NL"/>
              </w:rPr>
              <w:t>“Hạn chế tối đa, từng bước tiến tới chấm dứt xuất khẩu khoáng sản thô và chỉ qua chế biến sơ, thúc đẩy chế biến sâu.”</w:t>
            </w:r>
          </w:p>
          <w:p w:rsidR="00E8496A" w:rsidRPr="002D1D1E" w:rsidRDefault="00374400" w:rsidP="00E8496A">
            <w:pPr>
              <w:widowControl w:val="0"/>
              <w:rPr>
                <w:rFonts w:eastAsia="Calibri"/>
                <w:bCs/>
                <w:i/>
                <w:iCs/>
                <w:sz w:val="24"/>
                <w:szCs w:val="24"/>
              </w:rPr>
            </w:pPr>
            <w:r w:rsidRPr="002D1D1E">
              <w:rPr>
                <w:rFonts w:eastAsia="Calibri"/>
                <w:bCs/>
                <w:iCs/>
                <w:sz w:val="24"/>
                <w:szCs w:val="24"/>
              </w:rPr>
              <w:t xml:space="preserve">- </w:t>
            </w:r>
            <w:r w:rsidR="00E8496A" w:rsidRPr="002D1D1E">
              <w:rPr>
                <w:rFonts w:eastAsia="Calibri"/>
                <w:bCs/>
                <w:iCs/>
                <w:sz w:val="24"/>
                <w:szCs w:val="24"/>
              </w:rPr>
              <w:t>T</w:t>
            </w:r>
            <w:r w:rsidR="00E8496A" w:rsidRPr="002D1D1E">
              <w:rPr>
                <w:rFonts w:eastAsia="Calibri"/>
                <w:bCs/>
                <w:iCs/>
                <w:sz w:val="24"/>
                <w:szCs w:val="24"/>
                <w:lang w:val="vi-VN"/>
              </w:rPr>
              <w:t>ại Nghị quyết số 39-NQ/TW ngày 15/01/2019 của Bộ Chính trị về nâng cao hiệu quả quản l</w:t>
            </w:r>
            <w:r w:rsidR="00E8496A" w:rsidRPr="002D1D1E">
              <w:rPr>
                <w:rFonts w:eastAsia="Calibri"/>
                <w:bCs/>
                <w:iCs/>
                <w:sz w:val="24"/>
                <w:szCs w:val="24"/>
              </w:rPr>
              <w:t>ý, khai thác, s</w:t>
            </w:r>
            <w:r w:rsidR="00E8496A" w:rsidRPr="002D1D1E">
              <w:rPr>
                <w:rFonts w:eastAsia="Calibri"/>
                <w:bCs/>
                <w:iCs/>
                <w:sz w:val="24"/>
                <w:szCs w:val="24"/>
                <w:lang w:val="vi-VN"/>
              </w:rPr>
              <w:t xml:space="preserve">ử dụng và phát huy các nguồn lực của nền kinh tế có nêu nhiệm vụ, giải pháp chủ yếu đối với nguồn tài lực: </w:t>
            </w:r>
            <w:r w:rsidR="00E8496A" w:rsidRPr="002D1D1E">
              <w:rPr>
                <w:rFonts w:eastAsia="Calibri"/>
                <w:bCs/>
                <w:i/>
                <w:iCs/>
                <w:sz w:val="24"/>
                <w:szCs w:val="24"/>
                <w:lang w:val="vi-VN"/>
              </w:rPr>
              <w:t>“... Rà soát, hoàn thiện chính sách tài chính về đất đai, khai thác tài nguyên thiên nhiên.”</w:t>
            </w:r>
            <w:r w:rsidR="00E8496A" w:rsidRPr="002D1D1E">
              <w:rPr>
                <w:rFonts w:eastAsia="Calibri"/>
                <w:bCs/>
                <w:i/>
                <w:iCs/>
                <w:sz w:val="24"/>
                <w:szCs w:val="24"/>
              </w:rPr>
              <w:t xml:space="preserve"> </w:t>
            </w:r>
          </w:p>
          <w:p w:rsidR="00E8496A" w:rsidRPr="002D1D1E" w:rsidRDefault="00374400" w:rsidP="00E8496A">
            <w:pPr>
              <w:widowControl w:val="0"/>
              <w:rPr>
                <w:rFonts w:eastAsia="Calibri"/>
                <w:bCs/>
                <w:iCs/>
                <w:sz w:val="24"/>
                <w:szCs w:val="24"/>
                <w:lang w:val="nl-NL"/>
              </w:rPr>
            </w:pPr>
            <w:r w:rsidRPr="002D1D1E">
              <w:rPr>
                <w:rFonts w:eastAsia="Calibri"/>
                <w:bCs/>
                <w:iCs/>
                <w:sz w:val="24"/>
                <w:szCs w:val="24"/>
                <w:lang w:val="nl-NL"/>
              </w:rPr>
              <w:t xml:space="preserve">- </w:t>
            </w:r>
            <w:r w:rsidR="00E8496A" w:rsidRPr="002D1D1E">
              <w:rPr>
                <w:rFonts w:eastAsia="Calibri"/>
                <w:bCs/>
                <w:iCs/>
                <w:sz w:val="24"/>
                <w:szCs w:val="24"/>
                <w:lang w:val="nl-NL"/>
              </w:rPr>
              <w:t xml:space="preserve">Tại Nghị quyết số 10-NQ/TW ngày 10/02/2022 của Bộ Chính trị về định hướng chiến lược địa chất, khoáng sản và công nghiệp khai khoáng đến năm 2030, tầm nhìn đến năm 2045 đã nêu nhiệm vụ: </w:t>
            </w:r>
            <w:r w:rsidR="00E8496A" w:rsidRPr="002D1D1E">
              <w:rPr>
                <w:rFonts w:eastAsia="Calibri"/>
                <w:bCs/>
                <w:i/>
                <w:iCs/>
                <w:sz w:val="24"/>
                <w:szCs w:val="24"/>
                <w:lang w:val="nl-NL"/>
              </w:rPr>
              <w:t>“ Hoàn thiện chính sách xuất - nhập khẩu và dự trữ khoáng sản, bảo đảm cân đối nhu cầu trước mắt với dự trữ khoáng sản lâu dài; xuất khẩu khoáng sản trên cơ sở cân đối hiệu quả đầu tư khai thác, chế biến khoáng sản...”</w:t>
            </w:r>
          </w:p>
          <w:p w:rsidR="00E8496A" w:rsidRPr="002D1D1E" w:rsidRDefault="00374400" w:rsidP="00E8496A">
            <w:pPr>
              <w:widowControl w:val="0"/>
              <w:rPr>
                <w:rFonts w:eastAsia="Calibri"/>
                <w:bCs/>
                <w:i/>
                <w:iCs/>
                <w:sz w:val="24"/>
                <w:szCs w:val="24"/>
              </w:rPr>
            </w:pPr>
            <w:r w:rsidRPr="002D1D1E">
              <w:rPr>
                <w:rFonts w:eastAsia="Calibri"/>
                <w:bCs/>
                <w:iCs/>
                <w:sz w:val="24"/>
                <w:szCs w:val="24"/>
              </w:rPr>
              <w:t xml:space="preserve">- </w:t>
            </w:r>
            <w:r w:rsidR="00E8496A" w:rsidRPr="002D1D1E">
              <w:rPr>
                <w:rFonts w:eastAsia="Calibri"/>
                <w:bCs/>
                <w:iCs/>
                <w:sz w:val="24"/>
                <w:szCs w:val="24"/>
                <w:lang w:val="vi-VN"/>
              </w:rPr>
              <w:t>Tại Quyết định số 2427/QĐ-TTg ngày 22/12/2011 của Thủ tướng Chính phủ về việc Phê duyệt “Chiến lược khoáng sản đến năm 2020, tầm nh</w:t>
            </w:r>
            <w:r w:rsidR="00E8496A" w:rsidRPr="002D1D1E">
              <w:rPr>
                <w:rFonts w:eastAsia="Calibri"/>
                <w:bCs/>
                <w:iCs/>
                <w:sz w:val="24"/>
                <w:szCs w:val="24"/>
              </w:rPr>
              <w:t>ìn</w:t>
            </w:r>
            <w:r w:rsidR="00E8496A" w:rsidRPr="002D1D1E">
              <w:rPr>
                <w:rFonts w:eastAsia="Calibri"/>
                <w:bCs/>
                <w:iCs/>
                <w:sz w:val="24"/>
                <w:szCs w:val="24"/>
                <w:lang w:val="vi-VN"/>
              </w:rPr>
              <w:t xml:space="preserve"> đến năm 2030” có nêu giải pháp </w:t>
            </w:r>
            <w:r w:rsidR="00E8496A" w:rsidRPr="002D1D1E">
              <w:rPr>
                <w:rFonts w:eastAsia="Calibri"/>
                <w:bCs/>
                <w:i/>
                <w:iCs/>
                <w:sz w:val="24"/>
                <w:szCs w:val="24"/>
                <w:lang w:val="vi-VN"/>
              </w:rPr>
              <w:t>“Điều chỉnh các chính sách tài chính có liên quan đến hoạt động xuất khẩu khoáng sản theo hướng chỉ xuất khẩu sản phẩm sau chế biến có giá trị cao đối với khoáng sản có quy mô lớn</w:t>
            </w:r>
            <w:r w:rsidR="00E8496A" w:rsidRPr="002D1D1E">
              <w:rPr>
                <w:rFonts w:eastAsia="Calibri"/>
                <w:bCs/>
                <w:i/>
                <w:iCs/>
                <w:sz w:val="24"/>
                <w:szCs w:val="24"/>
              </w:rPr>
              <w:t>…</w:t>
            </w:r>
            <w:r w:rsidR="00E8496A" w:rsidRPr="002D1D1E">
              <w:rPr>
                <w:rFonts w:eastAsia="Calibri"/>
                <w:bCs/>
                <w:i/>
                <w:iCs/>
                <w:sz w:val="24"/>
                <w:szCs w:val="24"/>
                <w:lang w:val="vi-VN"/>
              </w:rPr>
              <w:t>”</w:t>
            </w:r>
          </w:p>
          <w:p w:rsidR="00E8496A" w:rsidRPr="002D1D1E" w:rsidRDefault="00374400" w:rsidP="00E8496A">
            <w:pPr>
              <w:widowControl w:val="0"/>
              <w:rPr>
                <w:rFonts w:eastAsia="Calibri"/>
                <w:bCs/>
                <w:i/>
                <w:iCs/>
                <w:sz w:val="24"/>
                <w:szCs w:val="24"/>
                <w:lang w:val="nl-NL"/>
              </w:rPr>
            </w:pPr>
            <w:r w:rsidRPr="002D1D1E">
              <w:rPr>
                <w:rFonts w:eastAsia="Calibri"/>
                <w:bCs/>
                <w:iCs/>
                <w:sz w:val="24"/>
                <w:szCs w:val="24"/>
                <w:lang w:val="nl-NL"/>
              </w:rPr>
              <w:t xml:space="preserve">- </w:t>
            </w:r>
            <w:r w:rsidR="00E8496A" w:rsidRPr="002D1D1E">
              <w:rPr>
                <w:rFonts w:eastAsia="Calibri"/>
                <w:bCs/>
                <w:iCs/>
                <w:sz w:val="24"/>
                <w:szCs w:val="24"/>
                <w:lang w:val="nl-NL"/>
              </w:rPr>
              <w:t xml:space="preserve">Tại Quyết định số 726/QĐ-TTg ngày 16/6/2022 của Thủ tướng Chính phủ phê duyệt Chiến lược phát triển ngành công nghiệp hóa chất Việt Nam đến năm 2030, tầm nhìn đến năm 2040 đề ra định hướng </w:t>
            </w:r>
            <w:r w:rsidR="00E8496A" w:rsidRPr="002D1D1E">
              <w:rPr>
                <w:rFonts w:eastAsia="Calibri"/>
                <w:bCs/>
                <w:i/>
                <w:iCs/>
                <w:sz w:val="24"/>
                <w:szCs w:val="24"/>
                <w:lang w:val="nl-NL"/>
              </w:rPr>
              <w:t xml:space="preserve">“Nghiên cứu đầu tư các nhà máy sản xuất sunfat amon, </w:t>
            </w:r>
            <w:r w:rsidR="00E8496A" w:rsidRPr="002D1D1E">
              <w:rPr>
                <w:rFonts w:eastAsia="Calibri"/>
                <w:bCs/>
                <w:i/>
                <w:iCs/>
                <w:sz w:val="24"/>
                <w:szCs w:val="24"/>
                <w:lang w:val="nl-NL"/>
              </w:rPr>
              <w:lastRenderedPageBreak/>
              <w:t>phân bón kali, phân bón canxi amoni nitrat nhằm đáp ứng đủ nhu cầu về phân bón các loại cho sản xuất nông nghiệp, hướng đến xuất khẩu.”</w:t>
            </w:r>
          </w:p>
          <w:p w:rsidR="00E8496A" w:rsidRPr="002D1D1E" w:rsidRDefault="00374400" w:rsidP="00E8496A">
            <w:pPr>
              <w:widowControl w:val="0"/>
              <w:rPr>
                <w:rFonts w:eastAsia="Calibri"/>
                <w:bCs/>
                <w:i/>
                <w:iCs/>
                <w:sz w:val="24"/>
                <w:szCs w:val="24"/>
              </w:rPr>
            </w:pPr>
            <w:r w:rsidRPr="002D1D1E">
              <w:rPr>
                <w:rFonts w:eastAsia="Calibri"/>
                <w:bCs/>
                <w:iCs/>
                <w:sz w:val="24"/>
                <w:szCs w:val="24"/>
              </w:rPr>
              <w:t xml:space="preserve">- </w:t>
            </w:r>
            <w:r w:rsidR="00E8496A" w:rsidRPr="002D1D1E">
              <w:rPr>
                <w:rFonts w:eastAsia="Calibri"/>
                <w:bCs/>
                <w:iCs/>
                <w:sz w:val="24"/>
                <w:szCs w:val="24"/>
              </w:rPr>
              <w:t xml:space="preserve">Tại Quyết định số 334/QĐ-TTg ngày 01/4/2023 của Thủ tướng Chính phủ phê duyệt Chiến lược địa chất, khoáng sản và công nghiệp khai khoáng đến năm 2030, tầm nhìn đến năm 2045 đề ra nhiệm vụ </w:t>
            </w:r>
            <w:r w:rsidR="00E8496A" w:rsidRPr="002D1D1E">
              <w:rPr>
                <w:rFonts w:eastAsia="Calibri"/>
                <w:bCs/>
                <w:i/>
                <w:iCs/>
                <w:sz w:val="24"/>
                <w:szCs w:val="24"/>
              </w:rPr>
              <w:t>“Hoàn thiện chính sách xuất - nhập khẩu và dự trữ khoáng sản, bảo đảm cân đối nhu cầu trước mắt với dự trữ khoáng sản lâu dài, xuất khẩu khoáng sản trên cơ sở cân đối hiệu quả đầu tư khai thác, chế biến khoáng sản.”</w:t>
            </w:r>
          </w:p>
          <w:p w:rsidR="006001D3" w:rsidRPr="002D1D1E" w:rsidRDefault="00374400" w:rsidP="00E8496A">
            <w:pPr>
              <w:widowControl w:val="0"/>
              <w:rPr>
                <w:sz w:val="24"/>
                <w:szCs w:val="24"/>
              </w:rPr>
            </w:pPr>
            <w:r w:rsidRPr="002D1D1E">
              <w:rPr>
                <w:rFonts w:eastAsia="Calibri"/>
                <w:bCs/>
                <w:iCs/>
                <w:sz w:val="24"/>
                <w:szCs w:val="24"/>
              </w:rPr>
              <w:t xml:space="preserve">- </w:t>
            </w:r>
            <w:r w:rsidR="00E8496A" w:rsidRPr="002D1D1E">
              <w:rPr>
                <w:rFonts w:eastAsia="Calibri"/>
                <w:bCs/>
                <w:iCs/>
                <w:sz w:val="24"/>
                <w:szCs w:val="24"/>
              </w:rPr>
              <w:t xml:space="preserve">Tại Quyết định số 866/QĐ-TTg ngày 18/7/2023 của Thủ tướng Chính phủ phê duyệt Quy hoạch thăm dò, khai thác, chế biến và sử dụng các loại khoáng sản thời kỳ 2021 – 2030, tầm nhìn đến năm 2050 đề ra quan điểm </w:t>
            </w:r>
            <w:r w:rsidR="00E8496A" w:rsidRPr="002D1D1E">
              <w:rPr>
                <w:rFonts w:eastAsia="Calibri"/>
                <w:bCs/>
                <w:i/>
                <w:iCs/>
                <w:sz w:val="24"/>
                <w:szCs w:val="24"/>
              </w:rPr>
              <w:t>“Khoáng sản là tài nguyên hữu hạn; việc khai thác, chế biến và sử dụng các loại khoáng sản phải được thực hiện trên cơ sở thăm dò, đánh giá tổng thể các yếu tố về trữ lượng, tài nguyên và chất lượng các loại khoáng sản, năng lực khai thác, chế biến và nhu cầu sử dụng, bảo đảm tiết kiệm, hiệu quả và yêu cầu về nguồn khoáng sản dự trữ quốc gia”</w:t>
            </w:r>
            <w:r w:rsidR="00E8496A" w:rsidRPr="002D1D1E">
              <w:rPr>
                <w:rFonts w:eastAsia="Calibri"/>
                <w:bCs/>
                <w:iCs/>
                <w:sz w:val="24"/>
                <w:szCs w:val="24"/>
              </w:rPr>
              <w:t>;</w:t>
            </w:r>
            <w:r w:rsidR="00E8496A" w:rsidRPr="002D1D1E">
              <w:rPr>
                <w:rFonts w:eastAsia="Calibri"/>
                <w:bCs/>
                <w:i/>
                <w:iCs/>
                <w:sz w:val="24"/>
                <w:szCs w:val="24"/>
              </w:rPr>
              <w:t xml:space="preserve"> “… cân đối hợp lý, hiệu quả giữa xuất khẩu, nhập khẩu khoáng sản, ưu tiên đáp ứng nhu cầu sử dụng trong nước.”</w:t>
            </w:r>
          </w:p>
        </w:tc>
        <w:tc>
          <w:tcPr>
            <w:tcW w:w="3402" w:type="dxa"/>
          </w:tcPr>
          <w:p w:rsidR="001624C7" w:rsidRPr="002D1D1E" w:rsidRDefault="001624C7" w:rsidP="001624C7">
            <w:pPr>
              <w:rPr>
                <w:sz w:val="24"/>
                <w:szCs w:val="24"/>
              </w:rPr>
            </w:pPr>
            <w:r w:rsidRPr="002D1D1E">
              <w:rPr>
                <w:sz w:val="24"/>
                <w:szCs w:val="24"/>
              </w:rPr>
              <w:lastRenderedPageBreak/>
              <w:t>Điều 1 dự thảo Nghị định sửa đổi mức thuế suất thuế xuất khẩu của một số mặt hàng như sau:</w:t>
            </w:r>
          </w:p>
          <w:p w:rsidR="001624C7" w:rsidRPr="002D1D1E" w:rsidRDefault="001624C7" w:rsidP="001624C7">
            <w:pPr>
              <w:rPr>
                <w:sz w:val="24"/>
                <w:szCs w:val="24"/>
              </w:rPr>
            </w:pPr>
            <w:r w:rsidRPr="002D1D1E">
              <w:rPr>
                <w:sz w:val="24"/>
                <w:szCs w:val="24"/>
              </w:rPr>
              <w:t>- Giảm từ 5% xuống 0% đối với mặt hàng phân bón kali sulphat mã 3104.30.00.</w:t>
            </w:r>
          </w:p>
          <w:p w:rsidR="001624C7" w:rsidRPr="002D1D1E" w:rsidRDefault="001624C7" w:rsidP="001624C7">
            <w:pPr>
              <w:rPr>
                <w:sz w:val="24"/>
                <w:szCs w:val="24"/>
              </w:rPr>
            </w:pPr>
            <w:r w:rsidRPr="002D1D1E">
              <w:rPr>
                <w:sz w:val="24"/>
                <w:szCs w:val="24"/>
              </w:rPr>
              <w:t>- Giảm từ 10% xuống 5% đối với mặt hàng flouspar cấp axit (hàm lượng CaF2 &gt; 97%) mã 2529.22.00.</w:t>
            </w:r>
          </w:p>
          <w:p w:rsidR="006001D3" w:rsidRPr="002D1D1E" w:rsidRDefault="001624C7" w:rsidP="00EE2C7A">
            <w:pPr>
              <w:widowControl w:val="0"/>
              <w:rPr>
                <w:sz w:val="24"/>
                <w:szCs w:val="24"/>
              </w:rPr>
            </w:pPr>
            <w:r w:rsidRPr="002D1D1E">
              <w:rPr>
                <w:sz w:val="24"/>
                <w:szCs w:val="24"/>
              </w:rPr>
              <w:t xml:space="preserve">- </w:t>
            </w:r>
            <w:r w:rsidR="00EE2C7A" w:rsidRPr="002D1D1E">
              <w:rPr>
                <w:sz w:val="24"/>
                <w:szCs w:val="24"/>
              </w:rPr>
              <w:t>Giảm từ 5% xuống 0% đối với mặt hàng bismut xi măng (hàm lượng Bi &gt; 70%) thuộc nhóm  81</w:t>
            </w:r>
            <w:r w:rsidR="00F45D8D" w:rsidRPr="002D1D1E">
              <w:rPr>
                <w:sz w:val="24"/>
                <w:szCs w:val="24"/>
              </w:rPr>
              <w:t>.</w:t>
            </w:r>
            <w:r w:rsidR="00EE2C7A" w:rsidRPr="002D1D1E">
              <w:rPr>
                <w:sz w:val="24"/>
                <w:szCs w:val="24"/>
              </w:rPr>
              <w:t xml:space="preserve">06.  </w:t>
            </w:r>
          </w:p>
        </w:tc>
        <w:tc>
          <w:tcPr>
            <w:tcW w:w="2409" w:type="dxa"/>
          </w:tcPr>
          <w:p w:rsidR="006001D3" w:rsidRPr="002D1D1E" w:rsidRDefault="006001D3" w:rsidP="00382788">
            <w:pPr>
              <w:widowControl w:val="0"/>
              <w:rPr>
                <w:sz w:val="24"/>
                <w:szCs w:val="24"/>
              </w:rPr>
            </w:pPr>
            <w:r w:rsidRPr="002D1D1E">
              <w:rPr>
                <w:sz w:val="24"/>
                <w:szCs w:val="24"/>
              </w:rPr>
              <w:t>Đã thể chế</w:t>
            </w:r>
            <w:r w:rsidR="00057B64" w:rsidRPr="002D1D1E">
              <w:rPr>
                <w:sz w:val="24"/>
                <w:szCs w:val="24"/>
              </w:rPr>
              <w:t xml:space="preserve"> hóa</w:t>
            </w:r>
            <w:r w:rsidRPr="002D1D1E">
              <w:rPr>
                <w:sz w:val="24"/>
                <w:szCs w:val="24"/>
              </w:rPr>
              <w:t xml:space="preserve"> đầy đủ.</w:t>
            </w:r>
          </w:p>
          <w:p w:rsidR="006001D3" w:rsidRPr="002D1D1E" w:rsidRDefault="006001D3" w:rsidP="00BC4BEA">
            <w:pPr>
              <w:widowControl w:val="0"/>
              <w:rPr>
                <w:sz w:val="24"/>
                <w:szCs w:val="24"/>
              </w:rPr>
            </w:pPr>
            <w:r w:rsidRPr="002D1D1E">
              <w:rPr>
                <w:sz w:val="24"/>
                <w:szCs w:val="24"/>
              </w:rPr>
              <w:t>(</w:t>
            </w:r>
            <w:r w:rsidR="001C1CF4" w:rsidRPr="002D1D1E">
              <w:rPr>
                <w:sz w:val="24"/>
                <w:szCs w:val="24"/>
              </w:rPr>
              <w:t>Việc điều chỉnh mức thuế suất thuế xuất khẩu</w:t>
            </w:r>
            <w:r w:rsidR="00F234B1" w:rsidRPr="002D1D1E">
              <w:rPr>
                <w:sz w:val="24"/>
                <w:szCs w:val="24"/>
              </w:rPr>
              <w:t xml:space="preserve"> </w:t>
            </w:r>
            <w:r w:rsidR="007B07BF" w:rsidRPr="002D1D1E">
              <w:rPr>
                <w:sz w:val="24"/>
                <w:szCs w:val="24"/>
              </w:rPr>
              <w:t xml:space="preserve">tại dự thảo Nghị định </w:t>
            </w:r>
            <w:r w:rsidRPr="002D1D1E">
              <w:rPr>
                <w:sz w:val="24"/>
                <w:szCs w:val="24"/>
              </w:rPr>
              <w:t>đã thể chế hóa đầy đủ các chỉ đạo của Đả</w:t>
            </w:r>
            <w:r w:rsidR="005A0BDA" w:rsidRPr="002D1D1E">
              <w:rPr>
                <w:sz w:val="24"/>
                <w:szCs w:val="24"/>
              </w:rPr>
              <w:t>ng và Nhà nước về quản lý tài nguyên khoáng sản, bảo vệ môi trường,</w:t>
            </w:r>
            <w:r w:rsidRPr="002D1D1E">
              <w:rPr>
                <w:sz w:val="24"/>
                <w:szCs w:val="24"/>
              </w:rPr>
              <w:t xml:space="preserve"> bám sát thực tiễn của đất nước, </w:t>
            </w:r>
            <w:r w:rsidR="00260F11" w:rsidRPr="002D1D1E">
              <w:rPr>
                <w:sz w:val="24"/>
                <w:szCs w:val="24"/>
                <w:lang w:val="pt-BR"/>
              </w:rPr>
              <w:t xml:space="preserve">tuân thủ đúng định hướng của nhà nước về hạn chế xuất khẩu các tài nguyên, khoáng sản thô, </w:t>
            </w:r>
            <w:r w:rsidR="00260F11" w:rsidRPr="002D1D1E">
              <w:rPr>
                <w:iCs/>
                <w:sz w:val="24"/>
                <w:szCs w:val="24"/>
                <w:lang w:val="vi-VN"/>
              </w:rPr>
              <w:t>chỉ xuất khẩu sản phẩm sau chế biến có giá trị cao</w:t>
            </w:r>
            <w:r w:rsidR="001F03FF" w:rsidRPr="002D1D1E">
              <w:rPr>
                <w:iCs/>
                <w:sz w:val="24"/>
                <w:szCs w:val="24"/>
              </w:rPr>
              <w:t>, thúc đẩy chế biến sâu</w:t>
            </w:r>
            <w:r w:rsidR="00260F11" w:rsidRPr="002D1D1E">
              <w:rPr>
                <w:iCs/>
                <w:sz w:val="24"/>
                <w:szCs w:val="24"/>
              </w:rPr>
              <w:t>)</w:t>
            </w:r>
            <w:r w:rsidR="00FF4627" w:rsidRPr="002D1D1E">
              <w:rPr>
                <w:iCs/>
                <w:sz w:val="24"/>
                <w:szCs w:val="24"/>
              </w:rPr>
              <w:t>.</w:t>
            </w:r>
          </w:p>
        </w:tc>
        <w:tc>
          <w:tcPr>
            <w:tcW w:w="1843" w:type="dxa"/>
          </w:tcPr>
          <w:p w:rsidR="006001D3" w:rsidRPr="002D1D1E" w:rsidRDefault="006001D3" w:rsidP="009413DE">
            <w:pPr>
              <w:widowControl w:val="0"/>
              <w:rPr>
                <w:sz w:val="24"/>
                <w:szCs w:val="24"/>
              </w:rPr>
            </w:pPr>
            <w:r w:rsidRPr="002D1D1E">
              <w:rPr>
                <w:sz w:val="24"/>
                <w:szCs w:val="24"/>
              </w:rPr>
              <w:t>Giữ nguyên quy định tại dự thảo Nghị định.</w:t>
            </w:r>
          </w:p>
        </w:tc>
      </w:tr>
      <w:tr w:rsidR="00374400" w:rsidRPr="002D1D1E" w:rsidTr="00EA12AD">
        <w:tc>
          <w:tcPr>
            <w:tcW w:w="6629" w:type="dxa"/>
          </w:tcPr>
          <w:p w:rsidR="00374400" w:rsidRPr="002D1D1E" w:rsidRDefault="00374400" w:rsidP="00374400">
            <w:pPr>
              <w:widowControl w:val="0"/>
              <w:rPr>
                <w:rFonts w:eastAsia="Calibri"/>
                <w:bCs/>
                <w:iCs/>
                <w:sz w:val="24"/>
                <w:szCs w:val="24"/>
                <w:lang w:val="nl-NL"/>
              </w:rPr>
            </w:pPr>
            <w:r w:rsidRPr="002D1D1E">
              <w:rPr>
                <w:rFonts w:eastAsia="Calibri"/>
                <w:bCs/>
                <w:iCs/>
                <w:sz w:val="24"/>
                <w:szCs w:val="24"/>
                <w:lang w:val="nl-NL"/>
              </w:rPr>
              <w:lastRenderedPageBreak/>
              <w:t>Ngày 18/2/2025, Quốc hội đã thông qua Nghị quyết số 176/2025/QH15 ngày 18/2/2025 của Quốc hội về cơ cấu tổ chức của Chính phủ nhiệm kỳ Quốc hội khóa XV.</w:t>
            </w:r>
          </w:p>
        </w:tc>
        <w:tc>
          <w:tcPr>
            <w:tcW w:w="3402" w:type="dxa"/>
          </w:tcPr>
          <w:p w:rsidR="00374400" w:rsidRPr="002D1D1E" w:rsidRDefault="007969B3" w:rsidP="001624C7">
            <w:pPr>
              <w:rPr>
                <w:sz w:val="24"/>
                <w:szCs w:val="24"/>
              </w:rPr>
            </w:pPr>
            <w:r w:rsidRPr="002D1D1E">
              <w:rPr>
                <w:sz w:val="24"/>
                <w:szCs w:val="24"/>
              </w:rPr>
              <w:t xml:space="preserve">Điều 2 dự thảo Nghị định </w:t>
            </w:r>
            <w:r w:rsidR="00A07F35" w:rsidRPr="002D1D1E">
              <w:rPr>
                <w:sz w:val="24"/>
                <w:szCs w:val="24"/>
              </w:rPr>
              <w:t>quy định</w:t>
            </w:r>
            <w:r w:rsidR="00296B4F" w:rsidRPr="002D1D1E">
              <w:rPr>
                <w:sz w:val="24"/>
                <w:szCs w:val="24"/>
              </w:rPr>
              <w:t>:</w:t>
            </w:r>
          </w:p>
          <w:p w:rsidR="00A07F35" w:rsidRPr="002D1D1E" w:rsidRDefault="00A07F35" w:rsidP="00A07F35">
            <w:pPr>
              <w:rPr>
                <w:sz w:val="24"/>
                <w:szCs w:val="24"/>
              </w:rPr>
            </w:pPr>
            <w:r w:rsidRPr="002D1D1E">
              <w:rPr>
                <w:sz w:val="24"/>
                <w:szCs w:val="24"/>
              </w:rPr>
              <w:t xml:space="preserve">- Thay thế cụm từ “Bộ Kế hoạch và Đầu tư” tại </w:t>
            </w:r>
            <w:r w:rsidR="009F154D">
              <w:rPr>
                <w:sz w:val="24"/>
                <w:szCs w:val="24"/>
              </w:rPr>
              <w:t xml:space="preserve">khoản 1 Điều 6, </w:t>
            </w:r>
            <w:r w:rsidRPr="002D1D1E">
              <w:rPr>
                <w:sz w:val="24"/>
                <w:szCs w:val="24"/>
              </w:rPr>
              <w:t>điểm a.1 khoản 3 Điều 8, điểm c.2 khoản 3 Điều 9,  khoản 2 Điều 11, điểm b.1.1 và điểm b.9.1 khoản 2.2 Mục II Phụ lục II bằng cụm từ “Bộ Tài chính”;</w:t>
            </w:r>
          </w:p>
          <w:p w:rsidR="00A07F35" w:rsidRPr="002D1D1E" w:rsidRDefault="00245FC4" w:rsidP="00A07F35">
            <w:pPr>
              <w:rPr>
                <w:sz w:val="24"/>
                <w:szCs w:val="24"/>
              </w:rPr>
            </w:pPr>
            <w:r w:rsidRPr="002D1D1E">
              <w:rPr>
                <w:sz w:val="24"/>
                <w:szCs w:val="24"/>
              </w:rPr>
              <w:t>-</w:t>
            </w:r>
            <w:r w:rsidR="00A07F35" w:rsidRPr="002D1D1E">
              <w:rPr>
                <w:sz w:val="24"/>
                <w:szCs w:val="24"/>
              </w:rPr>
              <w:t xml:space="preserve"> Thay thế cụm từ “Bộ Giao </w:t>
            </w:r>
            <w:r w:rsidR="00A07F35" w:rsidRPr="002D1D1E">
              <w:rPr>
                <w:sz w:val="24"/>
                <w:szCs w:val="24"/>
              </w:rPr>
              <w:lastRenderedPageBreak/>
              <w:t>thông vận tải” tại điểm b.4 khoản 2.2 Mục II Phụ lục II bằng cụm từ “Bộ Xây dựng”;</w:t>
            </w:r>
          </w:p>
          <w:p w:rsidR="00296B4F" w:rsidRPr="002D1D1E" w:rsidRDefault="00245FC4" w:rsidP="00A07F35">
            <w:pPr>
              <w:rPr>
                <w:sz w:val="24"/>
                <w:szCs w:val="24"/>
              </w:rPr>
            </w:pPr>
            <w:r w:rsidRPr="002D1D1E">
              <w:rPr>
                <w:sz w:val="24"/>
                <w:szCs w:val="24"/>
              </w:rPr>
              <w:t>-</w:t>
            </w:r>
            <w:r w:rsidR="00A07F35" w:rsidRPr="002D1D1E">
              <w:rPr>
                <w:sz w:val="24"/>
                <w:szCs w:val="24"/>
              </w:rPr>
              <w:t xml:space="preserve"> Thay thế cụm từ “Bộ Thông tin và Truyền thông” tại điểm b.8 khoản 2.2 Mục II Phụ lục II, Mẫu số 03 và Mẫu số 04 bằng cụm từ “Bộ Khoa học và công nghệ”.</w:t>
            </w:r>
          </w:p>
        </w:tc>
        <w:tc>
          <w:tcPr>
            <w:tcW w:w="2409" w:type="dxa"/>
          </w:tcPr>
          <w:p w:rsidR="00374400" w:rsidRPr="002D1D1E" w:rsidRDefault="00D46F6D" w:rsidP="00382788">
            <w:pPr>
              <w:widowControl w:val="0"/>
              <w:rPr>
                <w:sz w:val="24"/>
                <w:szCs w:val="24"/>
              </w:rPr>
            </w:pPr>
            <w:r w:rsidRPr="002D1D1E">
              <w:rPr>
                <w:sz w:val="24"/>
                <w:szCs w:val="24"/>
              </w:rPr>
              <w:lastRenderedPageBreak/>
              <w:t>Đã thể chế</w:t>
            </w:r>
            <w:r w:rsidR="00057B64" w:rsidRPr="002D1D1E">
              <w:rPr>
                <w:sz w:val="24"/>
                <w:szCs w:val="24"/>
              </w:rPr>
              <w:t xml:space="preserve"> hóa</w:t>
            </w:r>
            <w:r w:rsidRPr="002D1D1E">
              <w:rPr>
                <w:sz w:val="24"/>
                <w:szCs w:val="24"/>
              </w:rPr>
              <w:t xml:space="preserve"> đầy đủ.</w:t>
            </w:r>
          </w:p>
          <w:p w:rsidR="00132D20" w:rsidRPr="002D1D1E" w:rsidRDefault="00132D20" w:rsidP="00382788">
            <w:pPr>
              <w:widowControl w:val="0"/>
              <w:rPr>
                <w:sz w:val="24"/>
                <w:szCs w:val="24"/>
              </w:rPr>
            </w:pPr>
            <w:r w:rsidRPr="002D1D1E">
              <w:rPr>
                <w:sz w:val="24"/>
                <w:szCs w:val="24"/>
              </w:rPr>
              <w:t xml:space="preserve">(Việc </w:t>
            </w:r>
            <w:r w:rsidR="00F11F1C" w:rsidRPr="002D1D1E">
              <w:rPr>
                <w:sz w:val="24"/>
                <w:szCs w:val="24"/>
              </w:rPr>
              <w:t xml:space="preserve">sửa đổi tên gọi của các Bộ, ngành đã đảm bảo thể chế hóa đầy đủ </w:t>
            </w:r>
            <w:r w:rsidR="009112B3" w:rsidRPr="002D1D1E">
              <w:rPr>
                <w:sz w:val="24"/>
                <w:szCs w:val="24"/>
              </w:rPr>
              <w:t>chủ trương của Đảng và Nhà nước về sắp xếp tổ chức bộ máy nhà nước.)</w:t>
            </w:r>
          </w:p>
        </w:tc>
        <w:tc>
          <w:tcPr>
            <w:tcW w:w="1843" w:type="dxa"/>
          </w:tcPr>
          <w:p w:rsidR="00374400" w:rsidRPr="002D1D1E" w:rsidRDefault="003156FB" w:rsidP="009413DE">
            <w:pPr>
              <w:widowControl w:val="0"/>
              <w:rPr>
                <w:sz w:val="24"/>
                <w:szCs w:val="24"/>
              </w:rPr>
            </w:pPr>
            <w:r w:rsidRPr="002D1D1E">
              <w:rPr>
                <w:sz w:val="24"/>
                <w:szCs w:val="24"/>
              </w:rPr>
              <w:t>Giữ nguyên quy định tại dự thảo Nghị định.</w:t>
            </w:r>
          </w:p>
        </w:tc>
      </w:tr>
    </w:tbl>
    <w:p w:rsidR="006001D3" w:rsidRPr="002D1D1E" w:rsidRDefault="00893D39" w:rsidP="00382788">
      <w:pPr>
        <w:spacing w:before="120" w:after="120" w:line="240" w:lineRule="auto"/>
        <w:ind w:firstLine="720"/>
        <w:rPr>
          <w:b/>
        </w:rPr>
      </w:pPr>
      <w:r w:rsidRPr="002D1D1E">
        <w:rPr>
          <w:b/>
        </w:rPr>
        <w:lastRenderedPageBreak/>
        <w:t>2. Văn bản quy phạm pháp luật có liên quan đến dự thảo</w:t>
      </w:r>
      <w:r w:rsidR="00DB0498" w:rsidRPr="002D1D1E">
        <w:rPr>
          <w:b/>
        </w:rPr>
        <w:t xml:space="preserve"> Nghị định</w:t>
      </w:r>
    </w:p>
    <w:tbl>
      <w:tblPr>
        <w:tblStyle w:val="TableGrid"/>
        <w:tblW w:w="14283" w:type="dxa"/>
        <w:tblLayout w:type="fixed"/>
        <w:tblLook w:val="04A0"/>
      </w:tblPr>
      <w:tblGrid>
        <w:gridCol w:w="2943"/>
        <w:gridCol w:w="7371"/>
        <w:gridCol w:w="2552"/>
        <w:gridCol w:w="1417"/>
      </w:tblGrid>
      <w:tr w:rsidR="00233E96" w:rsidRPr="002D1D1E" w:rsidTr="00F70911">
        <w:trPr>
          <w:tblHeader/>
        </w:trPr>
        <w:tc>
          <w:tcPr>
            <w:tcW w:w="2943" w:type="dxa"/>
          </w:tcPr>
          <w:p w:rsidR="00233E96" w:rsidRPr="002D1D1E" w:rsidRDefault="00233E96" w:rsidP="00382788">
            <w:pPr>
              <w:jc w:val="center"/>
              <w:rPr>
                <w:b/>
                <w:sz w:val="24"/>
                <w:szCs w:val="24"/>
              </w:rPr>
            </w:pPr>
            <w:r w:rsidRPr="002D1D1E">
              <w:rPr>
                <w:b/>
                <w:sz w:val="24"/>
                <w:szCs w:val="24"/>
              </w:rPr>
              <w:t>Quy định của dự thảo Nghị định</w:t>
            </w:r>
          </w:p>
        </w:tc>
        <w:tc>
          <w:tcPr>
            <w:tcW w:w="7371" w:type="dxa"/>
          </w:tcPr>
          <w:p w:rsidR="00233E96" w:rsidRPr="002D1D1E" w:rsidRDefault="00233E96" w:rsidP="00382788">
            <w:pPr>
              <w:jc w:val="center"/>
              <w:rPr>
                <w:b/>
                <w:sz w:val="24"/>
                <w:szCs w:val="24"/>
              </w:rPr>
            </w:pPr>
            <w:r w:rsidRPr="002D1D1E">
              <w:rPr>
                <w:b/>
                <w:sz w:val="24"/>
                <w:szCs w:val="24"/>
              </w:rPr>
              <w:t>Quy định của pháp luật hiện hành có liên quan</w:t>
            </w:r>
          </w:p>
        </w:tc>
        <w:tc>
          <w:tcPr>
            <w:tcW w:w="2552" w:type="dxa"/>
          </w:tcPr>
          <w:p w:rsidR="00233E96" w:rsidRPr="002D1D1E" w:rsidRDefault="00233E96" w:rsidP="00382788">
            <w:pPr>
              <w:jc w:val="center"/>
              <w:rPr>
                <w:b/>
                <w:sz w:val="24"/>
                <w:szCs w:val="24"/>
              </w:rPr>
            </w:pPr>
            <w:r w:rsidRPr="002D1D1E">
              <w:rPr>
                <w:b/>
                <w:sz w:val="24"/>
                <w:szCs w:val="24"/>
              </w:rPr>
              <w:t>Đánh giá</w:t>
            </w:r>
          </w:p>
        </w:tc>
        <w:tc>
          <w:tcPr>
            <w:tcW w:w="1417" w:type="dxa"/>
          </w:tcPr>
          <w:p w:rsidR="00233E96" w:rsidRPr="002D1D1E" w:rsidRDefault="00233E96" w:rsidP="00382788">
            <w:pPr>
              <w:jc w:val="center"/>
              <w:rPr>
                <w:b/>
                <w:sz w:val="24"/>
                <w:szCs w:val="24"/>
              </w:rPr>
            </w:pPr>
            <w:r w:rsidRPr="002D1D1E">
              <w:rPr>
                <w:b/>
                <w:sz w:val="24"/>
                <w:szCs w:val="24"/>
              </w:rPr>
              <w:t>Đề xuất xử lý</w:t>
            </w:r>
          </w:p>
        </w:tc>
      </w:tr>
      <w:tr w:rsidR="00260F11" w:rsidRPr="002D1D1E" w:rsidTr="00F70911">
        <w:tc>
          <w:tcPr>
            <w:tcW w:w="2943" w:type="dxa"/>
          </w:tcPr>
          <w:p w:rsidR="00DD2D71" w:rsidRPr="002D1D1E" w:rsidRDefault="00DD2D71" w:rsidP="00DD2D71">
            <w:pPr>
              <w:rPr>
                <w:sz w:val="24"/>
                <w:szCs w:val="24"/>
              </w:rPr>
            </w:pPr>
            <w:r w:rsidRPr="002D1D1E">
              <w:rPr>
                <w:sz w:val="24"/>
                <w:szCs w:val="24"/>
              </w:rPr>
              <w:t>Điều 1 dự thảo Nghị định sửa đổi mức thuế suất thuế xuất khẩu của một số mặt hàng như sau:</w:t>
            </w:r>
          </w:p>
          <w:p w:rsidR="00DD2D71" w:rsidRPr="002D1D1E" w:rsidRDefault="00DD2D71" w:rsidP="00DD2D71">
            <w:pPr>
              <w:rPr>
                <w:sz w:val="24"/>
                <w:szCs w:val="24"/>
              </w:rPr>
            </w:pPr>
            <w:r w:rsidRPr="002D1D1E">
              <w:rPr>
                <w:sz w:val="24"/>
                <w:szCs w:val="24"/>
              </w:rPr>
              <w:t>- Giảm từ 5% xuống 0% đối với mặt hàng phân bón kali sulphat mã 3104.30.00.</w:t>
            </w:r>
          </w:p>
          <w:p w:rsidR="00260F11" w:rsidRPr="002D1D1E" w:rsidRDefault="00DD2D71" w:rsidP="004238F0">
            <w:pPr>
              <w:rPr>
                <w:sz w:val="24"/>
                <w:szCs w:val="24"/>
              </w:rPr>
            </w:pPr>
            <w:r w:rsidRPr="002D1D1E">
              <w:rPr>
                <w:sz w:val="24"/>
                <w:szCs w:val="24"/>
              </w:rPr>
              <w:t xml:space="preserve">- </w:t>
            </w:r>
            <w:r w:rsidR="004238F0" w:rsidRPr="002D1D1E">
              <w:rPr>
                <w:sz w:val="24"/>
                <w:szCs w:val="24"/>
              </w:rPr>
              <w:t>Giảm từ 10% xuống 5% đối với mặt hàng flouspar cấp axit (hàm lượng CaF2 &gt; 97%) mã 2529.22.00</w:t>
            </w:r>
            <w:r w:rsidR="00493D3F" w:rsidRPr="002D1D1E">
              <w:rPr>
                <w:sz w:val="24"/>
                <w:szCs w:val="24"/>
              </w:rPr>
              <w:t>.</w:t>
            </w:r>
          </w:p>
          <w:p w:rsidR="00493D3F" w:rsidRPr="002D1D1E" w:rsidRDefault="004B4DB0" w:rsidP="004238F0">
            <w:pPr>
              <w:rPr>
                <w:sz w:val="24"/>
                <w:szCs w:val="24"/>
              </w:rPr>
            </w:pPr>
            <w:r w:rsidRPr="002D1D1E">
              <w:rPr>
                <w:sz w:val="24"/>
                <w:szCs w:val="24"/>
              </w:rPr>
              <w:t xml:space="preserve">- </w:t>
            </w:r>
            <w:r w:rsidR="00EE2C7A" w:rsidRPr="002D1D1E">
              <w:rPr>
                <w:sz w:val="24"/>
                <w:szCs w:val="24"/>
              </w:rPr>
              <w:t>Giảm từ 5% xuống 0% đối với mặt hàng bismut xi măng (hàm lượng Bi &gt; 70%) thuộc nhóm  81</w:t>
            </w:r>
            <w:r w:rsidR="00161625" w:rsidRPr="002D1D1E">
              <w:rPr>
                <w:sz w:val="24"/>
                <w:szCs w:val="24"/>
              </w:rPr>
              <w:t>.06</w:t>
            </w:r>
            <w:r w:rsidR="00EE2C7A" w:rsidRPr="002D1D1E">
              <w:rPr>
                <w:sz w:val="24"/>
                <w:szCs w:val="24"/>
              </w:rPr>
              <w:t xml:space="preserve">.  </w:t>
            </w:r>
          </w:p>
        </w:tc>
        <w:tc>
          <w:tcPr>
            <w:tcW w:w="7371" w:type="dxa"/>
          </w:tcPr>
          <w:p w:rsidR="00DD2D71" w:rsidRPr="002D1D1E" w:rsidRDefault="00DD2D71" w:rsidP="00DD2D71">
            <w:pPr>
              <w:rPr>
                <w:sz w:val="24"/>
                <w:szCs w:val="24"/>
              </w:rPr>
            </w:pPr>
            <w:r w:rsidRPr="002D1D1E">
              <w:rPr>
                <w:sz w:val="24"/>
                <w:szCs w:val="24"/>
              </w:rPr>
              <w:t>Luật Thuế xuất khẩu, thuế nhập khẩu quy định:</w:t>
            </w:r>
          </w:p>
          <w:p w:rsidR="00DD2D71" w:rsidRPr="002D1D1E" w:rsidRDefault="00DD2D71" w:rsidP="00DD2D71">
            <w:pPr>
              <w:rPr>
                <w:sz w:val="24"/>
                <w:szCs w:val="24"/>
              </w:rPr>
            </w:pPr>
            <w:r w:rsidRPr="002D1D1E">
              <w:rPr>
                <w:sz w:val="24"/>
                <w:szCs w:val="24"/>
              </w:rPr>
              <w:t>- Điều 10 về nguyên tắc ban hành biểu thuế, thuế suất:</w:t>
            </w:r>
          </w:p>
          <w:p w:rsidR="00DD2D71" w:rsidRPr="002D1D1E" w:rsidRDefault="00DD2D71" w:rsidP="00DD2D71">
            <w:pPr>
              <w:rPr>
                <w:i/>
                <w:sz w:val="24"/>
                <w:szCs w:val="24"/>
              </w:rPr>
            </w:pPr>
            <w:r w:rsidRPr="002D1D1E">
              <w:rPr>
                <w:i/>
                <w:sz w:val="24"/>
                <w:szCs w:val="24"/>
              </w:rPr>
              <w:t>“1. Khuyến khích nhập khẩu nguyên liệu, vật liệu, ưu tiên loại trong nước chưa đáp ứng nhu cầu; chú trọng phát triển lĩnh vực công nghệ cao, công nghệ nguồn, tiết kiệm năng lượng, bảo vệ môi trường.</w:t>
            </w:r>
          </w:p>
          <w:p w:rsidR="00DD2D71" w:rsidRPr="002D1D1E" w:rsidRDefault="00DD2D71" w:rsidP="00DD2D71">
            <w:pPr>
              <w:rPr>
                <w:i/>
                <w:sz w:val="24"/>
                <w:szCs w:val="24"/>
              </w:rPr>
            </w:pPr>
            <w:r w:rsidRPr="002D1D1E">
              <w:rPr>
                <w:i/>
                <w:sz w:val="24"/>
                <w:szCs w:val="24"/>
              </w:rPr>
              <w:t>2. Phù hợp với định hướng phát triển kinh tế - xã hội của Nhà nước và các cam kết về thuế xuất khẩu, thuế nhập khẩu trong các điều ước quốc tế mà Cộng hòa xã hội chủ nghĩa Việt Nam là thành viên.</w:t>
            </w:r>
          </w:p>
          <w:p w:rsidR="00DD2D71" w:rsidRPr="002D1D1E" w:rsidRDefault="00DD2D71" w:rsidP="00DD2D71">
            <w:pPr>
              <w:rPr>
                <w:i/>
                <w:sz w:val="24"/>
                <w:szCs w:val="24"/>
              </w:rPr>
            </w:pPr>
            <w:r w:rsidRPr="002D1D1E">
              <w:rPr>
                <w:i/>
                <w:sz w:val="24"/>
                <w:szCs w:val="24"/>
              </w:rPr>
              <w:t>3. Góp phần bình ổn thị trường và nguồn thu ngân sách nhà nước.</w:t>
            </w:r>
          </w:p>
          <w:p w:rsidR="00DD2D71" w:rsidRPr="002D1D1E" w:rsidRDefault="00DD2D71" w:rsidP="00DD2D71">
            <w:pPr>
              <w:rPr>
                <w:i/>
                <w:sz w:val="24"/>
                <w:szCs w:val="24"/>
              </w:rPr>
            </w:pPr>
            <w:r w:rsidRPr="002D1D1E">
              <w:rPr>
                <w:i/>
                <w:sz w:val="24"/>
                <w:szCs w:val="24"/>
              </w:rPr>
              <w:t>4. Đơn giản, minh bạch, tạo thuận lợi cho người nộp thuế và thực hiện cải cách thủ tục hành chính về thuế.</w:t>
            </w:r>
          </w:p>
          <w:p w:rsidR="00DD2D71" w:rsidRPr="002D1D1E" w:rsidRDefault="00DD2D71" w:rsidP="00DD2D71">
            <w:pPr>
              <w:rPr>
                <w:i/>
                <w:sz w:val="24"/>
                <w:szCs w:val="24"/>
              </w:rPr>
            </w:pPr>
            <w:r w:rsidRPr="002D1D1E">
              <w:rPr>
                <w:i/>
                <w:sz w:val="24"/>
                <w:szCs w:val="24"/>
              </w:rPr>
              <w:t>5. Áp dụng thống nhất mức thuế suất đối với hàng hóa có cùng bản chất, cấu tạo, công dụng, có tính năng kỹ thuật tương tự; thuế suất thuế nhập khẩu giảm dần từ thành phẩm đến nguyên liệu thô; thuế suất thuế xuất khẩu tăng dần từ thành phẩm đến nguyên liệu thô.”</w:t>
            </w:r>
          </w:p>
          <w:p w:rsidR="00DD2D71" w:rsidRPr="002D1D1E" w:rsidRDefault="00DD2D71" w:rsidP="00DD2D71">
            <w:pPr>
              <w:rPr>
                <w:sz w:val="24"/>
                <w:szCs w:val="24"/>
              </w:rPr>
            </w:pPr>
            <w:r w:rsidRPr="002D1D1E">
              <w:rPr>
                <w:sz w:val="24"/>
                <w:szCs w:val="24"/>
              </w:rPr>
              <w:t>- Điểm a khoản 1 Điều 11 về thẩm quyền ban hành biểu thuế, thuế suất:</w:t>
            </w:r>
          </w:p>
          <w:p w:rsidR="00DD2D71" w:rsidRPr="002D1D1E" w:rsidRDefault="00DD2D71" w:rsidP="00DD2D71">
            <w:pPr>
              <w:rPr>
                <w:i/>
                <w:sz w:val="24"/>
                <w:szCs w:val="24"/>
              </w:rPr>
            </w:pPr>
            <w:r w:rsidRPr="002D1D1E">
              <w:rPr>
                <w:i/>
                <w:sz w:val="24"/>
                <w:szCs w:val="24"/>
              </w:rPr>
              <w:t xml:space="preserve">“1. Chính phủ căn cứ quy định tại Điều 10 của Luật này, Biểu thuế xuất khẩu theo Danh mục nhóm hàng chịu thuế và khung thuế suất thuế xuất </w:t>
            </w:r>
            <w:r w:rsidRPr="002D1D1E">
              <w:rPr>
                <w:i/>
                <w:sz w:val="24"/>
                <w:szCs w:val="24"/>
              </w:rPr>
              <w:lastRenderedPageBreak/>
              <w:t>khẩu đối với từng nhóm hàng chịu thuế ban hành kèm theo Luật này, Biểu thuế ưu đãi cam kết tại Nghị định thư gia nhập Tổ chức thương mại thế giới (WTO) đã được Quốc hội phê chuẩn và các điều ước quốc tế khác mà Cộng hòa xã hội chủ nghĩa Việt Nam là thành viên để ban hành:</w:t>
            </w:r>
          </w:p>
          <w:p w:rsidR="00DD2D71" w:rsidRPr="002D1D1E" w:rsidRDefault="00DD2D71" w:rsidP="00DD2D71">
            <w:pPr>
              <w:rPr>
                <w:i/>
                <w:sz w:val="24"/>
                <w:szCs w:val="24"/>
              </w:rPr>
            </w:pPr>
            <w:r w:rsidRPr="002D1D1E">
              <w:rPr>
                <w:i/>
                <w:sz w:val="24"/>
                <w:szCs w:val="24"/>
              </w:rPr>
              <w:t>a) Biểu thuế xuất khẩu; Biểu thuế xuất khẩu ưu đãi;”</w:t>
            </w:r>
          </w:p>
          <w:p w:rsidR="00260F11" w:rsidRPr="002D1D1E" w:rsidRDefault="00DD2D71" w:rsidP="00382788">
            <w:pPr>
              <w:rPr>
                <w:sz w:val="24"/>
                <w:szCs w:val="24"/>
              </w:rPr>
            </w:pPr>
            <w:r w:rsidRPr="002D1D1E">
              <w:rPr>
                <w:sz w:val="24"/>
                <w:szCs w:val="24"/>
              </w:rPr>
              <w:t>- Tại Biểu thuế xuất khẩu theo Danh mục nhóm hàng chịu thuế và khung thuế suất thuế xuất khẩu đối với từng nhóm hàng chịu thuế ban hành kèm theo Luật Thuế xuất khẩu, thuế nhập khẩu quy định:</w:t>
            </w:r>
          </w:p>
          <w:p w:rsidR="00115D37" w:rsidRPr="002D1D1E" w:rsidRDefault="00115D37" w:rsidP="005A3ADB">
            <w:pPr>
              <w:rPr>
                <w:sz w:val="24"/>
                <w:szCs w:val="24"/>
              </w:rPr>
            </w:pPr>
            <w:r w:rsidRPr="002D1D1E">
              <w:rPr>
                <w:sz w:val="24"/>
                <w:szCs w:val="24"/>
              </w:rPr>
              <w:t>+ Nhóm hàng 25.29 (</w:t>
            </w:r>
            <w:r w:rsidR="00C024AE" w:rsidRPr="002D1D1E">
              <w:rPr>
                <w:sz w:val="24"/>
                <w:szCs w:val="24"/>
              </w:rPr>
              <w:t>Tràng thạch (đá bồ tát); lơxit (leucite), nephelin và nephelin xienit; khoáng fluorite) thuộc STT 45 có khung thuế suất thuế xuất khẩu 5 – 30%.</w:t>
            </w:r>
          </w:p>
          <w:p w:rsidR="005A3ADB" w:rsidRPr="002D1D1E" w:rsidRDefault="005A3ADB" w:rsidP="005A3ADB">
            <w:pPr>
              <w:rPr>
                <w:sz w:val="24"/>
                <w:szCs w:val="24"/>
              </w:rPr>
            </w:pPr>
            <w:r w:rsidRPr="002D1D1E">
              <w:rPr>
                <w:sz w:val="24"/>
                <w:szCs w:val="24"/>
              </w:rPr>
              <w:t xml:space="preserve">+ Nhóm hàng 31.04 (Phân khoáng hoặc phân hóa học, có chứa kali) thuộc STT 88 có khung thuế suất thuế xuất khẩu 0 - </w:t>
            </w:r>
            <w:r w:rsidR="0048706F" w:rsidRPr="002D1D1E">
              <w:rPr>
                <w:sz w:val="24"/>
                <w:szCs w:val="24"/>
              </w:rPr>
              <w:t>4</w:t>
            </w:r>
            <w:r w:rsidRPr="002D1D1E">
              <w:rPr>
                <w:sz w:val="24"/>
                <w:szCs w:val="24"/>
              </w:rPr>
              <w:t>0%.</w:t>
            </w:r>
          </w:p>
          <w:p w:rsidR="007C6CAE" w:rsidRPr="002D1D1E" w:rsidRDefault="00F61256" w:rsidP="001D5346">
            <w:pPr>
              <w:rPr>
                <w:sz w:val="24"/>
                <w:szCs w:val="24"/>
              </w:rPr>
            </w:pPr>
            <w:r w:rsidRPr="002D1D1E">
              <w:rPr>
                <w:sz w:val="24"/>
                <w:szCs w:val="24"/>
              </w:rPr>
              <w:t xml:space="preserve">+ Nhóm hàng </w:t>
            </w:r>
            <w:r w:rsidR="007C6CAE" w:rsidRPr="002D1D1E">
              <w:rPr>
                <w:sz w:val="24"/>
                <w:szCs w:val="24"/>
              </w:rPr>
              <w:t>81.06 thuộc STT 203 có khung thuế suất thuế xuất khẩu như sau:</w:t>
            </w:r>
            <w:r w:rsidR="001D5346" w:rsidRPr="002D1D1E">
              <w:rPr>
                <w:sz w:val="24"/>
                <w:szCs w:val="24"/>
              </w:rPr>
              <w:t xml:space="preserve"> (i)</w:t>
            </w:r>
            <w:r w:rsidR="007C6CAE" w:rsidRPr="002D1D1E">
              <w:rPr>
                <w:sz w:val="24"/>
                <w:szCs w:val="24"/>
              </w:rPr>
              <w:t xml:space="preserve"> Phế liệu và mảnh vụn của bismut</w:t>
            </w:r>
            <w:r w:rsidR="001D5346" w:rsidRPr="002D1D1E">
              <w:rPr>
                <w:sz w:val="24"/>
                <w:szCs w:val="24"/>
              </w:rPr>
              <w:t>:</w:t>
            </w:r>
            <w:r w:rsidR="007C6CAE" w:rsidRPr="002D1D1E">
              <w:rPr>
                <w:sz w:val="24"/>
                <w:szCs w:val="24"/>
              </w:rPr>
              <w:t xml:space="preserve"> </w:t>
            </w:r>
            <w:r w:rsidR="00EA1DB9" w:rsidRPr="002D1D1E">
              <w:rPr>
                <w:sz w:val="24"/>
                <w:szCs w:val="24"/>
              </w:rPr>
              <w:t>20 – 22%</w:t>
            </w:r>
            <w:r w:rsidR="001D5346" w:rsidRPr="002D1D1E">
              <w:rPr>
                <w:sz w:val="24"/>
                <w:szCs w:val="24"/>
              </w:rPr>
              <w:t>; (ii)</w:t>
            </w:r>
            <w:r w:rsidR="007C6CAE" w:rsidRPr="002D1D1E">
              <w:rPr>
                <w:sz w:val="24"/>
                <w:szCs w:val="24"/>
              </w:rPr>
              <w:t xml:space="preserve"> Bán thành phẩm kim loại thường của bismut: </w:t>
            </w:r>
            <w:r w:rsidR="00EA1DB9" w:rsidRPr="002D1D1E">
              <w:rPr>
                <w:sz w:val="24"/>
                <w:szCs w:val="24"/>
              </w:rPr>
              <w:t>5 - 40%</w:t>
            </w:r>
            <w:r w:rsidR="001D5346" w:rsidRPr="002D1D1E">
              <w:rPr>
                <w:sz w:val="24"/>
                <w:szCs w:val="24"/>
              </w:rPr>
              <w:t>; (iii)</w:t>
            </w:r>
            <w:r w:rsidR="007C6CAE" w:rsidRPr="002D1D1E">
              <w:rPr>
                <w:sz w:val="24"/>
                <w:szCs w:val="24"/>
              </w:rPr>
              <w:t xml:space="preserve"> Các sản phẩm của bismut:</w:t>
            </w:r>
            <w:r w:rsidR="00EA1DB9" w:rsidRPr="002D1D1E">
              <w:rPr>
                <w:sz w:val="24"/>
                <w:szCs w:val="24"/>
              </w:rPr>
              <w:t xml:space="preserve"> 0 - 30%.</w:t>
            </w:r>
          </w:p>
        </w:tc>
        <w:tc>
          <w:tcPr>
            <w:tcW w:w="2552" w:type="dxa"/>
          </w:tcPr>
          <w:p w:rsidR="00260F11" w:rsidRPr="002D1D1E" w:rsidRDefault="006D4771" w:rsidP="0059523F">
            <w:pPr>
              <w:rPr>
                <w:sz w:val="24"/>
                <w:szCs w:val="24"/>
              </w:rPr>
            </w:pPr>
            <w:r w:rsidRPr="002D1D1E">
              <w:rPr>
                <w:sz w:val="24"/>
                <w:szCs w:val="24"/>
              </w:rPr>
              <w:lastRenderedPageBreak/>
              <w:t>Việc điều chỉnh mức thuế suất thuế xuất khẩu của các mặt hàng tại dự thảo Nghị định là phù hợp với các nguyên tắc ban hành biểu thuế, thuế suất</w:t>
            </w:r>
            <w:r w:rsidR="007A6E1C" w:rsidRPr="002D1D1E">
              <w:rPr>
                <w:sz w:val="24"/>
                <w:szCs w:val="24"/>
              </w:rPr>
              <w:t xml:space="preserve"> quy định tại Điều 10, thẩm quyền ban hành Biểu thuế, thuế suất tại điểm a khoản 1 Điều 11</w:t>
            </w:r>
            <w:r w:rsidRPr="002D1D1E">
              <w:rPr>
                <w:sz w:val="24"/>
                <w:szCs w:val="24"/>
              </w:rPr>
              <w:t xml:space="preserve"> và phù hợp với khung thuế suất thuế xuất khẩu của các mặt hàng này  quy định tại</w:t>
            </w:r>
            <w:r w:rsidR="006A0A84" w:rsidRPr="002D1D1E">
              <w:rPr>
                <w:sz w:val="24"/>
                <w:szCs w:val="24"/>
              </w:rPr>
              <w:t xml:space="preserve"> Phụ lục ban hành kèm theo</w:t>
            </w:r>
            <w:r w:rsidRPr="002D1D1E">
              <w:rPr>
                <w:sz w:val="24"/>
                <w:szCs w:val="24"/>
              </w:rPr>
              <w:t xml:space="preserve"> Luật Thuế xuất khẩu, thuế nhập khẩu.</w:t>
            </w:r>
          </w:p>
        </w:tc>
        <w:tc>
          <w:tcPr>
            <w:tcW w:w="1417" w:type="dxa"/>
          </w:tcPr>
          <w:p w:rsidR="00260F11" w:rsidRPr="002D1D1E" w:rsidRDefault="00DD2D71" w:rsidP="00382788">
            <w:pPr>
              <w:rPr>
                <w:sz w:val="24"/>
                <w:szCs w:val="24"/>
              </w:rPr>
            </w:pPr>
            <w:r w:rsidRPr="002D1D1E">
              <w:rPr>
                <w:sz w:val="24"/>
                <w:szCs w:val="24"/>
              </w:rPr>
              <w:t>Giữ nguyên quy định tại dự thảo Nghị định.</w:t>
            </w:r>
          </w:p>
        </w:tc>
      </w:tr>
      <w:tr w:rsidR="006D1D7C" w:rsidRPr="002D1D1E" w:rsidTr="00F70911">
        <w:tc>
          <w:tcPr>
            <w:tcW w:w="2943" w:type="dxa"/>
          </w:tcPr>
          <w:p w:rsidR="006D1D7C" w:rsidRPr="002D1D1E" w:rsidRDefault="006D1D7C" w:rsidP="006D1D7C">
            <w:pPr>
              <w:rPr>
                <w:sz w:val="24"/>
                <w:szCs w:val="24"/>
              </w:rPr>
            </w:pPr>
            <w:r w:rsidRPr="002D1D1E">
              <w:rPr>
                <w:sz w:val="24"/>
                <w:szCs w:val="24"/>
              </w:rPr>
              <w:lastRenderedPageBreak/>
              <w:t>Điều 1 dự thảo Nghị định sửa đổi mức thuế suất thuế xuất khẩu của một số mặt hàng như sau:</w:t>
            </w:r>
          </w:p>
          <w:p w:rsidR="006D1D7C" w:rsidRPr="002D1D1E" w:rsidRDefault="006D1D7C" w:rsidP="006D1D7C">
            <w:pPr>
              <w:rPr>
                <w:sz w:val="24"/>
                <w:szCs w:val="24"/>
              </w:rPr>
            </w:pPr>
            <w:r w:rsidRPr="002D1D1E">
              <w:rPr>
                <w:sz w:val="24"/>
                <w:szCs w:val="24"/>
              </w:rPr>
              <w:t>- Giảm từ 5% xuống 0% đối với mặt hàng phân bón kali sulphat mã 3104.30.00.</w:t>
            </w:r>
          </w:p>
          <w:p w:rsidR="00AC7171" w:rsidRPr="002D1D1E" w:rsidRDefault="00AC7171" w:rsidP="00AC7171">
            <w:pPr>
              <w:rPr>
                <w:sz w:val="24"/>
                <w:szCs w:val="24"/>
              </w:rPr>
            </w:pPr>
            <w:r w:rsidRPr="002D1D1E">
              <w:rPr>
                <w:sz w:val="24"/>
                <w:szCs w:val="24"/>
              </w:rPr>
              <w:t>- Giảm từ 10% xuống 5% đối với mặt hàng flouspar cấp axit (hàm lượng CaF2 &gt; 97%) mã 2529.22.00.</w:t>
            </w:r>
          </w:p>
          <w:p w:rsidR="006D1D7C" w:rsidRPr="002D1D1E" w:rsidRDefault="00AC7171" w:rsidP="00AC7171">
            <w:pPr>
              <w:rPr>
                <w:sz w:val="24"/>
                <w:szCs w:val="24"/>
              </w:rPr>
            </w:pPr>
            <w:r w:rsidRPr="002D1D1E">
              <w:rPr>
                <w:sz w:val="24"/>
                <w:szCs w:val="24"/>
              </w:rPr>
              <w:t xml:space="preserve">- </w:t>
            </w:r>
            <w:r w:rsidR="00EE2C7A" w:rsidRPr="002D1D1E">
              <w:rPr>
                <w:sz w:val="24"/>
                <w:szCs w:val="24"/>
              </w:rPr>
              <w:t xml:space="preserve">Giảm từ 5% xuống 0% đối với mặt hàng bismut xi măng (hàm lượng Bi &gt; </w:t>
            </w:r>
            <w:r w:rsidR="00EE2C7A" w:rsidRPr="002D1D1E">
              <w:rPr>
                <w:sz w:val="24"/>
                <w:szCs w:val="24"/>
              </w:rPr>
              <w:lastRenderedPageBreak/>
              <w:t>70%) thuộc nhóm  81</w:t>
            </w:r>
            <w:r w:rsidR="006A0AEF" w:rsidRPr="002D1D1E">
              <w:rPr>
                <w:sz w:val="24"/>
                <w:szCs w:val="24"/>
              </w:rPr>
              <w:t>.06</w:t>
            </w:r>
            <w:r w:rsidR="00EE2C7A" w:rsidRPr="002D1D1E">
              <w:rPr>
                <w:sz w:val="24"/>
                <w:szCs w:val="24"/>
              </w:rPr>
              <w:t xml:space="preserve">.  </w:t>
            </w:r>
          </w:p>
        </w:tc>
        <w:tc>
          <w:tcPr>
            <w:tcW w:w="7371" w:type="dxa"/>
          </w:tcPr>
          <w:p w:rsidR="006D1D7C" w:rsidRPr="002D1D1E" w:rsidRDefault="006D1D7C" w:rsidP="00B56639">
            <w:pPr>
              <w:rPr>
                <w:sz w:val="24"/>
                <w:szCs w:val="24"/>
              </w:rPr>
            </w:pPr>
            <w:r w:rsidRPr="002D1D1E">
              <w:rPr>
                <w:sz w:val="24"/>
                <w:szCs w:val="24"/>
              </w:rPr>
              <w:lastRenderedPageBreak/>
              <w:t>Điều 4 Luật Quản lý ngoại thương quy định về nguyên tắc quản lý nhà nước về ngoại thương:</w:t>
            </w:r>
          </w:p>
          <w:p w:rsidR="006D1D7C" w:rsidRPr="002D1D1E" w:rsidRDefault="006D1D7C" w:rsidP="00B56639">
            <w:pPr>
              <w:rPr>
                <w:i/>
                <w:sz w:val="24"/>
                <w:szCs w:val="24"/>
              </w:rPr>
            </w:pPr>
            <w:r w:rsidRPr="002D1D1E">
              <w:rPr>
                <w:i/>
                <w:sz w:val="24"/>
                <w:szCs w:val="24"/>
              </w:rPr>
              <w:t>“1. Nhà nước quản lý ngoại thương theo quy định của pháp luật Việt Nam và điều ước quốc tế mà nước Cộng hòa xã hội chủ nghĩa Việt Nam là thành viên.</w:t>
            </w:r>
          </w:p>
          <w:p w:rsidR="006D1D7C" w:rsidRPr="002D1D1E" w:rsidRDefault="006D1D7C" w:rsidP="00B56639">
            <w:pPr>
              <w:rPr>
                <w:i/>
                <w:sz w:val="24"/>
                <w:szCs w:val="24"/>
              </w:rPr>
            </w:pPr>
            <w:r w:rsidRPr="002D1D1E">
              <w:rPr>
                <w:i/>
                <w:sz w:val="24"/>
                <w:szCs w:val="24"/>
              </w:rPr>
              <w:t>2. Bảo đảm minh bạch, công khai, bình đẳng, đơn giản hóa thủ tục hành chính; bảo đảm quyền và lợi ích hợp pháp của Nhà nước, thương nhân thuộc các thành phần kinh tế; thúc đẩy phát triển sản xuất trong nước và xuất khẩu, gắn với quản lý nhập khẩu.</w:t>
            </w:r>
          </w:p>
          <w:p w:rsidR="006D1D7C" w:rsidRPr="002D1D1E" w:rsidRDefault="006D1D7C" w:rsidP="00B56639">
            <w:pPr>
              <w:rPr>
                <w:i/>
                <w:sz w:val="24"/>
                <w:szCs w:val="24"/>
              </w:rPr>
            </w:pPr>
            <w:r w:rsidRPr="002D1D1E">
              <w:rPr>
                <w:i/>
                <w:sz w:val="24"/>
                <w:szCs w:val="24"/>
              </w:rPr>
              <w:t>3. Bảo đảm thực hiện đầy đủ các nguyên tắc đối xử tối huệ quốc, đối xử quốc gia trong hoạt động ngoại thương theo pháp luật Việt Nam và điều ước quốc tế mà nước Cộng hòa xã hội chủ nghĩa Việt Nam là thành viên.”</w:t>
            </w:r>
          </w:p>
        </w:tc>
        <w:tc>
          <w:tcPr>
            <w:tcW w:w="2552" w:type="dxa"/>
          </w:tcPr>
          <w:p w:rsidR="006D1D7C" w:rsidRPr="002D1D1E" w:rsidRDefault="006D1D7C" w:rsidP="00B56639">
            <w:pPr>
              <w:rPr>
                <w:sz w:val="24"/>
                <w:szCs w:val="24"/>
              </w:rPr>
            </w:pPr>
            <w:r w:rsidRPr="002D1D1E">
              <w:rPr>
                <w:sz w:val="24"/>
                <w:szCs w:val="24"/>
              </w:rPr>
              <w:t xml:space="preserve">Việc điều chỉnh mức thuế suất thuế xuất khẩu tại dự thảo Nghị định đảm bảo phù hợp với nguyên tắc về quản lý ngoại thương, phù hợp với quy định của pháp luật Việt Nam và tương thích với các điều ước quốc tế; đảm bảo minh bạch, công khai, bình đẳng, đơn giản hóa thủ tục hành chính; bảo đảm quyền và lợi ích </w:t>
            </w:r>
            <w:r w:rsidRPr="002D1D1E">
              <w:rPr>
                <w:sz w:val="24"/>
                <w:szCs w:val="24"/>
              </w:rPr>
              <w:lastRenderedPageBreak/>
              <w:t>hợp pháp của Nhà nước, thương nhân thuộc các thành phần kinh tế; thúc đẩy phát triển sản xuất trong nước và xuất khẩu.</w:t>
            </w:r>
          </w:p>
        </w:tc>
        <w:tc>
          <w:tcPr>
            <w:tcW w:w="1417" w:type="dxa"/>
          </w:tcPr>
          <w:p w:rsidR="006D1D7C" w:rsidRPr="002D1D1E" w:rsidRDefault="006D1D7C" w:rsidP="00B56639">
            <w:pPr>
              <w:rPr>
                <w:sz w:val="24"/>
                <w:szCs w:val="24"/>
              </w:rPr>
            </w:pPr>
            <w:r w:rsidRPr="002D1D1E">
              <w:rPr>
                <w:sz w:val="24"/>
                <w:szCs w:val="24"/>
              </w:rPr>
              <w:lastRenderedPageBreak/>
              <w:t>Giữ nguyên quy định tại dự thảo Nghị định.</w:t>
            </w:r>
          </w:p>
        </w:tc>
      </w:tr>
    </w:tbl>
    <w:p w:rsidR="00893D39" w:rsidRPr="002D1D1E" w:rsidRDefault="00893D39" w:rsidP="00893D39">
      <w:pPr>
        <w:spacing w:before="120" w:after="120" w:line="240" w:lineRule="auto"/>
        <w:ind w:firstLine="720"/>
        <w:rPr>
          <w:b/>
        </w:rPr>
      </w:pPr>
      <w:r w:rsidRPr="002D1D1E">
        <w:rPr>
          <w:b/>
        </w:rPr>
        <w:lastRenderedPageBreak/>
        <w:t>3. Điều ước quốc tế có liên quan đến dự thảo</w:t>
      </w:r>
      <w:r w:rsidR="00C64237" w:rsidRPr="002D1D1E">
        <w:rPr>
          <w:b/>
        </w:rPr>
        <w:t xml:space="preserve"> Nghị định</w:t>
      </w:r>
    </w:p>
    <w:tbl>
      <w:tblPr>
        <w:tblStyle w:val="TableGrid"/>
        <w:tblW w:w="14284" w:type="dxa"/>
        <w:tblLook w:val="04A0"/>
      </w:tblPr>
      <w:tblGrid>
        <w:gridCol w:w="2235"/>
        <w:gridCol w:w="8221"/>
        <w:gridCol w:w="2552"/>
        <w:gridCol w:w="1276"/>
      </w:tblGrid>
      <w:tr w:rsidR="001C3BAA" w:rsidRPr="002D1D1E" w:rsidTr="001C3BAA">
        <w:trPr>
          <w:tblHeader/>
        </w:trPr>
        <w:tc>
          <w:tcPr>
            <w:tcW w:w="2235" w:type="dxa"/>
          </w:tcPr>
          <w:p w:rsidR="001C3BAA" w:rsidRPr="002D1D1E" w:rsidRDefault="001C3BAA" w:rsidP="00B56639">
            <w:pPr>
              <w:jc w:val="center"/>
              <w:rPr>
                <w:b/>
                <w:sz w:val="24"/>
                <w:szCs w:val="24"/>
              </w:rPr>
            </w:pPr>
            <w:r w:rsidRPr="002D1D1E">
              <w:rPr>
                <w:b/>
                <w:sz w:val="24"/>
                <w:szCs w:val="24"/>
              </w:rPr>
              <w:t>Quy định của dự thảo Nghị định</w:t>
            </w:r>
          </w:p>
        </w:tc>
        <w:tc>
          <w:tcPr>
            <w:tcW w:w="8221" w:type="dxa"/>
          </w:tcPr>
          <w:p w:rsidR="001C3BAA" w:rsidRPr="002D1D1E" w:rsidRDefault="001C3BAA" w:rsidP="00B56639">
            <w:pPr>
              <w:jc w:val="center"/>
              <w:rPr>
                <w:b/>
                <w:sz w:val="24"/>
                <w:szCs w:val="24"/>
              </w:rPr>
            </w:pPr>
            <w:r w:rsidRPr="002D1D1E">
              <w:rPr>
                <w:b/>
                <w:sz w:val="24"/>
                <w:szCs w:val="24"/>
              </w:rPr>
              <w:t>Quy định của điều ước quốc tế có liên quan</w:t>
            </w:r>
          </w:p>
        </w:tc>
        <w:tc>
          <w:tcPr>
            <w:tcW w:w="2552" w:type="dxa"/>
          </w:tcPr>
          <w:p w:rsidR="001C3BAA" w:rsidRPr="002D1D1E" w:rsidRDefault="001C3BAA" w:rsidP="00B56639">
            <w:pPr>
              <w:jc w:val="center"/>
              <w:rPr>
                <w:b/>
                <w:sz w:val="24"/>
                <w:szCs w:val="24"/>
              </w:rPr>
            </w:pPr>
            <w:r w:rsidRPr="002D1D1E">
              <w:rPr>
                <w:b/>
                <w:sz w:val="24"/>
                <w:szCs w:val="24"/>
              </w:rPr>
              <w:t>Đánh giá</w:t>
            </w:r>
          </w:p>
        </w:tc>
        <w:tc>
          <w:tcPr>
            <w:tcW w:w="1276" w:type="dxa"/>
          </w:tcPr>
          <w:p w:rsidR="001C3BAA" w:rsidRPr="002D1D1E" w:rsidRDefault="001C3BAA" w:rsidP="00B56639">
            <w:pPr>
              <w:jc w:val="center"/>
              <w:rPr>
                <w:b/>
                <w:sz w:val="24"/>
                <w:szCs w:val="24"/>
              </w:rPr>
            </w:pPr>
            <w:r w:rsidRPr="002D1D1E">
              <w:rPr>
                <w:b/>
                <w:sz w:val="24"/>
                <w:szCs w:val="24"/>
              </w:rPr>
              <w:t>Đề xuất xử lý</w:t>
            </w:r>
          </w:p>
        </w:tc>
      </w:tr>
      <w:tr w:rsidR="001C3BAA" w:rsidRPr="002D1D1E" w:rsidTr="001C3BAA">
        <w:tc>
          <w:tcPr>
            <w:tcW w:w="2235" w:type="dxa"/>
          </w:tcPr>
          <w:p w:rsidR="001C3BAA" w:rsidRPr="002D1D1E" w:rsidRDefault="001C3BAA" w:rsidP="001C3BAA">
            <w:pPr>
              <w:rPr>
                <w:sz w:val="24"/>
                <w:szCs w:val="24"/>
              </w:rPr>
            </w:pPr>
            <w:r w:rsidRPr="002D1D1E">
              <w:rPr>
                <w:sz w:val="24"/>
                <w:szCs w:val="24"/>
              </w:rPr>
              <w:t>Điều 1 dự thảo Nghị định sửa đổi mức thuế suất thuế xuất khẩu của một số mặt hàng như sau:</w:t>
            </w:r>
          </w:p>
          <w:p w:rsidR="001C3BAA" w:rsidRPr="002D1D1E" w:rsidRDefault="00AE0268" w:rsidP="001C3BAA">
            <w:pPr>
              <w:rPr>
                <w:sz w:val="24"/>
                <w:szCs w:val="24"/>
              </w:rPr>
            </w:pPr>
            <w:r w:rsidRPr="002D1D1E">
              <w:rPr>
                <w:sz w:val="24"/>
                <w:szCs w:val="24"/>
              </w:rPr>
              <w:t>- Giảm từ 5% xuống 0% đối với mặt hàng phân bón kali sulphat mã 3104.30.00.</w:t>
            </w:r>
          </w:p>
          <w:p w:rsidR="00EE2C7A" w:rsidRPr="002D1D1E" w:rsidRDefault="00EE2C7A" w:rsidP="00EE2C7A">
            <w:pPr>
              <w:rPr>
                <w:sz w:val="24"/>
                <w:szCs w:val="24"/>
              </w:rPr>
            </w:pPr>
            <w:r w:rsidRPr="002D1D1E">
              <w:rPr>
                <w:sz w:val="24"/>
                <w:szCs w:val="24"/>
              </w:rPr>
              <w:t>- Giảm từ 10% xuống 5% đối với mặt hàng flouspar cấp axit (hàm lượng CaF2 &gt; 97%) mã 2529.22.00.</w:t>
            </w:r>
          </w:p>
          <w:p w:rsidR="0047745A" w:rsidRPr="002D1D1E" w:rsidRDefault="00EE2C7A" w:rsidP="00EE2C7A">
            <w:pPr>
              <w:rPr>
                <w:b/>
                <w:sz w:val="24"/>
                <w:szCs w:val="24"/>
              </w:rPr>
            </w:pPr>
            <w:r w:rsidRPr="002D1D1E">
              <w:rPr>
                <w:sz w:val="24"/>
                <w:szCs w:val="24"/>
              </w:rPr>
              <w:t xml:space="preserve">- Giảm từ 5% xuống 0% đối với mặt hàng bismut xi măng (hàm lượng Bi &gt; 70%) thuộc nhóm  </w:t>
            </w:r>
            <w:r w:rsidRPr="002D1D1E">
              <w:rPr>
                <w:sz w:val="24"/>
                <w:szCs w:val="24"/>
              </w:rPr>
              <w:lastRenderedPageBreak/>
              <w:t>81</w:t>
            </w:r>
            <w:r w:rsidR="00F33B6A" w:rsidRPr="002D1D1E">
              <w:rPr>
                <w:sz w:val="24"/>
                <w:szCs w:val="24"/>
              </w:rPr>
              <w:t>.06</w:t>
            </w:r>
            <w:r w:rsidRPr="002D1D1E">
              <w:rPr>
                <w:sz w:val="24"/>
                <w:szCs w:val="24"/>
              </w:rPr>
              <w:t xml:space="preserve">.  </w:t>
            </w:r>
          </w:p>
        </w:tc>
        <w:tc>
          <w:tcPr>
            <w:tcW w:w="8221" w:type="dxa"/>
          </w:tcPr>
          <w:p w:rsidR="001C3BAA" w:rsidRPr="002D1D1E" w:rsidRDefault="001C3BAA" w:rsidP="00B56639">
            <w:pPr>
              <w:rPr>
                <w:sz w:val="24"/>
                <w:szCs w:val="24"/>
              </w:rPr>
            </w:pPr>
            <w:r w:rsidRPr="002D1D1E">
              <w:rPr>
                <w:sz w:val="24"/>
                <w:szCs w:val="24"/>
              </w:rPr>
              <w:lastRenderedPageBreak/>
              <w:t>Khoản 1, 2 Điều II Hiệp định thành lập Tổ chức Thương mại Thế giới (WTO) – Phạm vi của WTO:</w:t>
            </w:r>
          </w:p>
          <w:p w:rsidR="001C3BAA" w:rsidRPr="002D1D1E" w:rsidRDefault="001C3BAA" w:rsidP="00B56639">
            <w:pPr>
              <w:rPr>
                <w:i/>
                <w:sz w:val="24"/>
                <w:szCs w:val="24"/>
              </w:rPr>
            </w:pPr>
            <w:r w:rsidRPr="002D1D1E">
              <w:rPr>
                <w:i/>
                <w:sz w:val="24"/>
                <w:szCs w:val="24"/>
              </w:rPr>
              <w:t>“1. WTO là một khuôn khổ định chế chung để điều chỉnh các mối quan hệ thương mại giữa các Thành viên của tổ chức về những vấn đề liên quan đến các Hiệp định và các văn bản pháp lý không tách rời gồm cả những Phụ lục của Hiệp định này.</w:t>
            </w:r>
          </w:p>
          <w:p w:rsidR="001C3BAA" w:rsidRPr="002D1D1E" w:rsidRDefault="001C3BAA" w:rsidP="00B56639">
            <w:pPr>
              <w:rPr>
                <w:i/>
                <w:sz w:val="24"/>
                <w:szCs w:val="24"/>
              </w:rPr>
            </w:pPr>
            <w:r w:rsidRPr="002D1D1E">
              <w:rPr>
                <w:i/>
                <w:sz w:val="24"/>
                <w:szCs w:val="24"/>
              </w:rPr>
              <w:t>2. Các Hiệp định và các văn bản pháp lý không tách rời gồm cả Phụ lục 1, 2 và 3 (dưới đây gọi là “Các Hiệp định Thương mại Đa biên”) là những phần không thể tách rời Hiệp định này và ràng buộc tất cả các Thành viên.”</w:t>
            </w:r>
          </w:p>
          <w:p w:rsidR="001C3BAA" w:rsidRPr="002D1D1E" w:rsidRDefault="001C3BAA" w:rsidP="00B56639">
            <w:pPr>
              <w:rPr>
                <w:i/>
                <w:sz w:val="24"/>
                <w:szCs w:val="24"/>
              </w:rPr>
            </w:pPr>
            <w:r w:rsidRPr="002D1D1E">
              <w:rPr>
                <w:sz w:val="24"/>
                <w:szCs w:val="24"/>
              </w:rPr>
              <w:t xml:space="preserve">Điều I Hiệp định chung về thuế quan và thương mại hàng hóa (GATT 1994) (thuộc Phụ lục 1A của Hiệp định thành lập WTO) – Quy định chung về Đối xử tối huệ quốc: </w:t>
            </w:r>
            <w:r w:rsidRPr="002D1D1E">
              <w:rPr>
                <w:i/>
                <w:sz w:val="24"/>
                <w:szCs w:val="24"/>
              </w:rPr>
              <w:t>“Với mọi khoản thuế quan và khoản thu thuộc bất cứ loại nào nhằm vào hay có liên hệ tới nhập khẩu và xuất khẩu hoặc đánh vào các khoản chuyển khoản để thanh toán hàng xuất nhập khẩu, hay phương thức đánh thuế hoặc áp dụng phụ thu nêu trên, hay với mọi luật lệ hay thủ tục trong xuất nhập khẩu và liên quan tới mọi nội dung đã được nêu tại khoản 2 và khoản 4 của Điều III, mọi lợi thế, biệt đãi, đặc quyền hay quyền miễn trừ được bất kỳ bên ký kết nào dành cho bất cứ một sản phẩm có xuất xứ từ hay được giao tới bất kỳ một nước nào khác sẽ được áp dụng cho sản phẩm tương tự có xuất xứ từ hay giao tới mọi bên ký kết khác ngay lập tức và một cách không điều kiện.”</w:t>
            </w:r>
          </w:p>
          <w:p w:rsidR="001C3BAA" w:rsidRPr="002D1D1E" w:rsidRDefault="001C3BAA" w:rsidP="00B56639">
            <w:pPr>
              <w:rPr>
                <w:i/>
                <w:sz w:val="24"/>
                <w:szCs w:val="24"/>
              </w:rPr>
            </w:pPr>
            <w:r w:rsidRPr="002D1D1E">
              <w:rPr>
                <w:sz w:val="24"/>
                <w:szCs w:val="24"/>
              </w:rPr>
              <w:t xml:space="preserve">Khoản 4, 5 Điều XXIV GATT 1994 – Áp dụng theo lãnh thổ, Hàng hóa biên mậu, Liên minh thuế quan và khu vực mậu dịch tự do: </w:t>
            </w:r>
            <w:r w:rsidRPr="002D1D1E">
              <w:rPr>
                <w:i/>
                <w:sz w:val="24"/>
                <w:szCs w:val="24"/>
              </w:rPr>
              <w:t xml:space="preserve">“4. Các bên ký kết thừa nhận </w:t>
            </w:r>
            <w:r w:rsidRPr="002D1D1E">
              <w:rPr>
                <w:i/>
                <w:sz w:val="24"/>
                <w:szCs w:val="24"/>
              </w:rPr>
              <w:lastRenderedPageBreak/>
              <w:t>lòng mong muốn thương mại được tự do hơn, thông qua các hiệp định được ký kết tự nguyện, nhờ đó phát triển sự hội nhập hơn nữa kinh tế các nước tham gia các hiệp định đó. Các Bên cũng thừa nhận rằng việc lập ra một liên minh quan thuế hay một khu vực mậu dịch tự do phải nhằm mục tiêu là tạo thuận lợi cho thương mại giữa các lãnh thổ thành viên và không tạo thêm trở ngại cho thương mại của các thành viên khác với các lãnh thổ này.</w:t>
            </w:r>
          </w:p>
          <w:p w:rsidR="001C3BAA" w:rsidRPr="002D1D1E" w:rsidRDefault="001C3BAA" w:rsidP="00B56639">
            <w:pPr>
              <w:rPr>
                <w:b/>
                <w:i/>
                <w:sz w:val="24"/>
                <w:szCs w:val="24"/>
              </w:rPr>
            </w:pPr>
            <w:r w:rsidRPr="002D1D1E">
              <w:rPr>
                <w:i/>
                <w:sz w:val="24"/>
                <w:szCs w:val="24"/>
              </w:rPr>
              <w:t>5. Do vậy, các quy định của Hiệp định này không gây trở ngại cho việc thành lập một liên minh quan thuế hay khu vực mậu dịch tự do hay chấp nhận một hiệp định tạm thời cần thiết để lập ra một liên minh quan thuế hay khu vực mậu dịch tự do giữa các lãnh thổ thành viên, …”</w:t>
            </w:r>
          </w:p>
        </w:tc>
        <w:tc>
          <w:tcPr>
            <w:tcW w:w="2552" w:type="dxa"/>
          </w:tcPr>
          <w:p w:rsidR="001C3BAA" w:rsidRPr="002D1D1E" w:rsidRDefault="001C3BAA" w:rsidP="00B56639">
            <w:pPr>
              <w:rPr>
                <w:sz w:val="24"/>
                <w:szCs w:val="24"/>
              </w:rPr>
            </w:pPr>
            <w:r w:rsidRPr="002D1D1E">
              <w:rPr>
                <w:sz w:val="24"/>
                <w:szCs w:val="24"/>
              </w:rPr>
              <w:lastRenderedPageBreak/>
              <w:t>Việc điều chỉnh mức thuế suất thuế xuất khẩu tại dự thảo Nghị định được lấy ý kiến công khai, minh bạch</w:t>
            </w:r>
            <w:r w:rsidR="005E04EF" w:rsidRPr="002D1D1E">
              <w:rPr>
                <w:sz w:val="24"/>
                <w:szCs w:val="24"/>
              </w:rPr>
              <w:t>;</w:t>
            </w:r>
            <w:r w:rsidRPr="002D1D1E">
              <w:rPr>
                <w:sz w:val="24"/>
                <w:szCs w:val="24"/>
              </w:rPr>
              <w:t xml:space="preserve"> mức thuế suất khi được ban hành sẽ được áp dụng thống nhất, không phân biệt đối xử giữa hàng hóa của các nước thành viên WTO (trừ hàng hóa có xuất xứ từ các quốc gia có hiệp định thương mại tự do hoặc các cam kết cắt giảm thuế khác với Việt Nam).</w:t>
            </w:r>
          </w:p>
          <w:p w:rsidR="001C3BAA" w:rsidRPr="002D1D1E" w:rsidRDefault="001C3BAA" w:rsidP="00B56639">
            <w:pPr>
              <w:rPr>
                <w:sz w:val="24"/>
                <w:szCs w:val="24"/>
              </w:rPr>
            </w:pPr>
            <w:r w:rsidRPr="002D1D1E">
              <w:rPr>
                <w:sz w:val="24"/>
                <w:szCs w:val="24"/>
              </w:rPr>
              <w:t xml:space="preserve">Như vậy, chính sách tại dự thảo Nghị định là tương thích với quy định của Hiệp định </w:t>
            </w:r>
            <w:r w:rsidRPr="002D1D1E">
              <w:rPr>
                <w:sz w:val="24"/>
                <w:szCs w:val="24"/>
              </w:rPr>
              <w:lastRenderedPageBreak/>
              <w:t>thành lập WTO và Hiệp định chung về Thương mại thuế quan và thương mại hàng hóa.</w:t>
            </w:r>
          </w:p>
        </w:tc>
        <w:tc>
          <w:tcPr>
            <w:tcW w:w="1276" w:type="dxa"/>
          </w:tcPr>
          <w:p w:rsidR="001C3BAA" w:rsidRPr="002D1D1E" w:rsidRDefault="001C3BAA" w:rsidP="00B56639">
            <w:pPr>
              <w:rPr>
                <w:sz w:val="24"/>
                <w:szCs w:val="24"/>
              </w:rPr>
            </w:pPr>
            <w:r w:rsidRPr="002D1D1E">
              <w:rPr>
                <w:sz w:val="24"/>
                <w:szCs w:val="24"/>
              </w:rPr>
              <w:lastRenderedPageBreak/>
              <w:t>Giữ nguyên quy định tại dự thảo Nghị định.</w:t>
            </w:r>
          </w:p>
        </w:tc>
      </w:tr>
    </w:tbl>
    <w:p w:rsidR="00FC31A0" w:rsidRPr="002D1D1E" w:rsidRDefault="00FC31A0" w:rsidP="009A5A1A">
      <w:pPr>
        <w:spacing w:before="120" w:after="120" w:line="240" w:lineRule="auto"/>
        <w:ind w:firstLine="720"/>
      </w:pPr>
    </w:p>
    <w:sectPr w:rsidR="00FC31A0" w:rsidRPr="002D1D1E" w:rsidSect="009413DE">
      <w:headerReference w:type="default" r:id="rId6"/>
      <w:headerReference w:type="first" r:id="rId7"/>
      <w:pgSz w:w="16839" w:h="11907" w:orient="landscape" w:code="9"/>
      <w:pgMar w:top="1247" w:right="1134" w:bottom="1247"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639" w:rsidRDefault="00B56639" w:rsidP="00BE1C85">
      <w:pPr>
        <w:spacing w:after="0" w:line="240" w:lineRule="auto"/>
      </w:pPr>
      <w:r>
        <w:separator/>
      </w:r>
    </w:p>
  </w:endnote>
  <w:endnote w:type="continuationSeparator" w:id="0">
    <w:p w:rsidR="00B56639" w:rsidRDefault="00B56639" w:rsidP="00BE1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639" w:rsidRDefault="00B56639" w:rsidP="00BE1C85">
      <w:pPr>
        <w:spacing w:after="0" w:line="240" w:lineRule="auto"/>
      </w:pPr>
      <w:r>
        <w:separator/>
      </w:r>
    </w:p>
  </w:footnote>
  <w:footnote w:type="continuationSeparator" w:id="0">
    <w:p w:rsidR="00B56639" w:rsidRDefault="00B56639" w:rsidP="00BE1C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181083188"/>
      <w:docPartObj>
        <w:docPartGallery w:val="Page Numbers (Top of Page)"/>
        <w:docPartUnique/>
      </w:docPartObj>
    </w:sdtPr>
    <w:sdtContent>
      <w:p w:rsidR="00B56639" w:rsidRPr="00BE1C85" w:rsidRDefault="00DA2339">
        <w:pPr>
          <w:pStyle w:val="Header"/>
          <w:jc w:val="center"/>
          <w:rPr>
            <w:sz w:val="24"/>
            <w:szCs w:val="24"/>
          </w:rPr>
        </w:pPr>
        <w:r w:rsidRPr="00BE1C85">
          <w:rPr>
            <w:sz w:val="24"/>
            <w:szCs w:val="24"/>
          </w:rPr>
          <w:fldChar w:fldCharType="begin"/>
        </w:r>
        <w:r w:rsidR="00B56639" w:rsidRPr="00BE1C85">
          <w:rPr>
            <w:sz w:val="24"/>
            <w:szCs w:val="24"/>
          </w:rPr>
          <w:instrText xml:space="preserve"> PAGE   \* MERGEFORMAT </w:instrText>
        </w:r>
        <w:r w:rsidRPr="00BE1C85">
          <w:rPr>
            <w:sz w:val="24"/>
            <w:szCs w:val="24"/>
          </w:rPr>
          <w:fldChar w:fldCharType="separate"/>
        </w:r>
        <w:r w:rsidR="00B5174D">
          <w:rPr>
            <w:noProof/>
            <w:sz w:val="24"/>
            <w:szCs w:val="24"/>
          </w:rPr>
          <w:t>5</w:t>
        </w:r>
        <w:r w:rsidRPr="00BE1C85">
          <w:rPr>
            <w:sz w:val="24"/>
            <w:szCs w:val="24"/>
          </w:rPr>
          <w:fldChar w:fldCharType="end"/>
        </w:r>
      </w:p>
    </w:sdtContent>
  </w:sdt>
  <w:p w:rsidR="00B56639" w:rsidRPr="00BE1C85" w:rsidRDefault="00B56639">
    <w:pPr>
      <w:pStyle w:val="Head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639" w:rsidRDefault="00B56639">
    <w:pPr>
      <w:pStyle w:val="Header"/>
      <w:jc w:val="center"/>
    </w:pPr>
  </w:p>
  <w:p w:rsidR="00B56639" w:rsidRDefault="00B566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2C0E82"/>
    <w:rsid w:val="000501B3"/>
    <w:rsid w:val="00057B64"/>
    <w:rsid w:val="00061255"/>
    <w:rsid w:val="000766BB"/>
    <w:rsid w:val="00090E5F"/>
    <w:rsid w:val="000B2C95"/>
    <w:rsid w:val="000B440E"/>
    <w:rsid w:val="000C1855"/>
    <w:rsid w:val="000C6ED0"/>
    <w:rsid w:val="000E5F93"/>
    <w:rsid w:val="00115D37"/>
    <w:rsid w:val="00132D20"/>
    <w:rsid w:val="00140F54"/>
    <w:rsid w:val="00154415"/>
    <w:rsid w:val="00161625"/>
    <w:rsid w:val="001624C7"/>
    <w:rsid w:val="00170E73"/>
    <w:rsid w:val="001725BD"/>
    <w:rsid w:val="001A05C5"/>
    <w:rsid w:val="001A0B43"/>
    <w:rsid w:val="001A6203"/>
    <w:rsid w:val="001B0681"/>
    <w:rsid w:val="001B35FB"/>
    <w:rsid w:val="001B668E"/>
    <w:rsid w:val="001C1CF4"/>
    <w:rsid w:val="001C3844"/>
    <w:rsid w:val="001C3BAA"/>
    <w:rsid w:val="001D5346"/>
    <w:rsid w:val="001D6308"/>
    <w:rsid w:val="001E3330"/>
    <w:rsid w:val="001E4EBB"/>
    <w:rsid w:val="001E6592"/>
    <w:rsid w:val="001F03FF"/>
    <w:rsid w:val="00210595"/>
    <w:rsid w:val="00213897"/>
    <w:rsid w:val="002249CB"/>
    <w:rsid w:val="00232CE2"/>
    <w:rsid w:val="00233E96"/>
    <w:rsid w:val="002358DB"/>
    <w:rsid w:val="00245136"/>
    <w:rsid w:val="00245FC4"/>
    <w:rsid w:val="00246C4B"/>
    <w:rsid w:val="00247007"/>
    <w:rsid w:val="00251BF8"/>
    <w:rsid w:val="00253179"/>
    <w:rsid w:val="00260F11"/>
    <w:rsid w:val="0026779A"/>
    <w:rsid w:val="002814DA"/>
    <w:rsid w:val="00282698"/>
    <w:rsid w:val="00296796"/>
    <w:rsid w:val="00296B4F"/>
    <w:rsid w:val="002A75AD"/>
    <w:rsid w:val="002B064D"/>
    <w:rsid w:val="002B1883"/>
    <w:rsid w:val="002B7587"/>
    <w:rsid w:val="002B78EB"/>
    <w:rsid w:val="002C0E82"/>
    <w:rsid w:val="002D1D1E"/>
    <w:rsid w:val="002F34C0"/>
    <w:rsid w:val="00305F26"/>
    <w:rsid w:val="003156FB"/>
    <w:rsid w:val="00320E1A"/>
    <w:rsid w:val="00335163"/>
    <w:rsid w:val="00341D54"/>
    <w:rsid w:val="003541F3"/>
    <w:rsid w:val="00374400"/>
    <w:rsid w:val="00374D26"/>
    <w:rsid w:val="00382295"/>
    <w:rsid w:val="00382788"/>
    <w:rsid w:val="003C4262"/>
    <w:rsid w:val="004238F0"/>
    <w:rsid w:val="00424F21"/>
    <w:rsid w:val="00426516"/>
    <w:rsid w:val="004422B2"/>
    <w:rsid w:val="00452DF3"/>
    <w:rsid w:val="0045632D"/>
    <w:rsid w:val="00466B4A"/>
    <w:rsid w:val="0046782C"/>
    <w:rsid w:val="004679CE"/>
    <w:rsid w:val="004732B3"/>
    <w:rsid w:val="0047745A"/>
    <w:rsid w:val="004854B4"/>
    <w:rsid w:val="0048706F"/>
    <w:rsid w:val="00493D3F"/>
    <w:rsid w:val="00496F8B"/>
    <w:rsid w:val="004A2A50"/>
    <w:rsid w:val="004A4359"/>
    <w:rsid w:val="004A4FD0"/>
    <w:rsid w:val="004B4DB0"/>
    <w:rsid w:val="004C1E2E"/>
    <w:rsid w:val="004C2079"/>
    <w:rsid w:val="004C48B6"/>
    <w:rsid w:val="004F6401"/>
    <w:rsid w:val="0050355A"/>
    <w:rsid w:val="00512A97"/>
    <w:rsid w:val="00521C84"/>
    <w:rsid w:val="005352F7"/>
    <w:rsid w:val="00551C4F"/>
    <w:rsid w:val="0056002B"/>
    <w:rsid w:val="005711DF"/>
    <w:rsid w:val="0057152F"/>
    <w:rsid w:val="00575F52"/>
    <w:rsid w:val="00583EB3"/>
    <w:rsid w:val="00584207"/>
    <w:rsid w:val="00584B52"/>
    <w:rsid w:val="00591267"/>
    <w:rsid w:val="0059523F"/>
    <w:rsid w:val="00595A05"/>
    <w:rsid w:val="005A0BDA"/>
    <w:rsid w:val="005A3ADB"/>
    <w:rsid w:val="005C10A8"/>
    <w:rsid w:val="005C2F3A"/>
    <w:rsid w:val="005D319B"/>
    <w:rsid w:val="005E04EF"/>
    <w:rsid w:val="005E24AD"/>
    <w:rsid w:val="005F1F4D"/>
    <w:rsid w:val="005F6D54"/>
    <w:rsid w:val="006001D3"/>
    <w:rsid w:val="00602C29"/>
    <w:rsid w:val="00627D51"/>
    <w:rsid w:val="006711EF"/>
    <w:rsid w:val="006714F7"/>
    <w:rsid w:val="00683B47"/>
    <w:rsid w:val="006A0A84"/>
    <w:rsid w:val="006A0AEF"/>
    <w:rsid w:val="006A6D37"/>
    <w:rsid w:val="006C29CB"/>
    <w:rsid w:val="006D1D7C"/>
    <w:rsid w:val="006D4771"/>
    <w:rsid w:val="006D5C2C"/>
    <w:rsid w:val="006E0A4E"/>
    <w:rsid w:val="006E7A60"/>
    <w:rsid w:val="00701F62"/>
    <w:rsid w:val="00711C12"/>
    <w:rsid w:val="00725226"/>
    <w:rsid w:val="00726CF0"/>
    <w:rsid w:val="00730B60"/>
    <w:rsid w:val="00733D8A"/>
    <w:rsid w:val="00735944"/>
    <w:rsid w:val="00744BD3"/>
    <w:rsid w:val="007556D3"/>
    <w:rsid w:val="0077769C"/>
    <w:rsid w:val="007969B3"/>
    <w:rsid w:val="007A259D"/>
    <w:rsid w:val="007A6E1C"/>
    <w:rsid w:val="007B07BF"/>
    <w:rsid w:val="007B0B72"/>
    <w:rsid w:val="007B7012"/>
    <w:rsid w:val="007C5DA5"/>
    <w:rsid w:val="007C6CAE"/>
    <w:rsid w:val="007E2775"/>
    <w:rsid w:val="00804A8B"/>
    <w:rsid w:val="00806975"/>
    <w:rsid w:val="00817671"/>
    <w:rsid w:val="00817A95"/>
    <w:rsid w:val="008207AE"/>
    <w:rsid w:val="00831F54"/>
    <w:rsid w:val="0084448F"/>
    <w:rsid w:val="00847EC3"/>
    <w:rsid w:val="00861B01"/>
    <w:rsid w:val="00866E2E"/>
    <w:rsid w:val="00881A3D"/>
    <w:rsid w:val="00893D39"/>
    <w:rsid w:val="008A60D6"/>
    <w:rsid w:val="008B2035"/>
    <w:rsid w:val="008B337D"/>
    <w:rsid w:val="008B7956"/>
    <w:rsid w:val="008E2993"/>
    <w:rsid w:val="008F21C2"/>
    <w:rsid w:val="008F3F69"/>
    <w:rsid w:val="00906BA6"/>
    <w:rsid w:val="009112B3"/>
    <w:rsid w:val="00911582"/>
    <w:rsid w:val="009117BE"/>
    <w:rsid w:val="009413DE"/>
    <w:rsid w:val="009439CE"/>
    <w:rsid w:val="00953C7C"/>
    <w:rsid w:val="00980F44"/>
    <w:rsid w:val="009A56AF"/>
    <w:rsid w:val="009A5A1A"/>
    <w:rsid w:val="009B07A1"/>
    <w:rsid w:val="009B4721"/>
    <w:rsid w:val="009B5A1A"/>
    <w:rsid w:val="009E119A"/>
    <w:rsid w:val="009E2946"/>
    <w:rsid w:val="009F154D"/>
    <w:rsid w:val="00A0311D"/>
    <w:rsid w:val="00A07F35"/>
    <w:rsid w:val="00A12CF0"/>
    <w:rsid w:val="00A16B91"/>
    <w:rsid w:val="00A21ACA"/>
    <w:rsid w:val="00A2228B"/>
    <w:rsid w:val="00A22548"/>
    <w:rsid w:val="00A32062"/>
    <w:rsid w:val="00A44F2B"/>
    <w:rsid w:val="00A462A0"/>
    <w:rsid w:val="00A550E8"/>
    <w:rsid w:val="00A55EC7"/>
    <w:rsid w:val="00A82993"/>
    <w:rsid w:val="00A83ABF"/>
    <w:rsid w:val="00A84C9E"/>
    <w:rsid w:val="00AB50AC"/>
    <w:rsid w:val="00AC7171"/>
    <w:rsid w:val="00AD0655"/>
    <w:rsid w:val="00AD16BE"/>
    <w:rsid w:val="00AE0268"/>
    <w:rsid w:val="00AF73FC"/>
    <w:rsid w:val="00B018EE"/>
    <w:rsid w:val="00B06E0D"/>
    <w:rsid w:val="00B30D93"/>
    <w:rsid w:val="00B50828"/>
    <w:rsid w:val="00B5174D"/>
    <w:rsid w:val="00B56639"/>
    <w:rsid w:val="00B824D4"/>
    <w:rsid w:val="00B82C5B"/>
    <w:rsid w:val="00B831F5"/>
    <w:rsid w:val="00BC4BEA"/>
    <w:rsid w:val="00BE1C85"/>
    <w:rsid w:val="00BE2716"/>
    <w:rsid w:val="00BF4CB4"/>
    <w:rsid w:val="00BF7E26"/>
    <w:rsid w:val="00C024AE"/>
    <w:rsid w:val="00C27F89"/>
    <w:rsid w:val="00C64237"/>
    <w:rsid w:val="00C64769"/>
    <w:rsid w:val="00C71D4A"/>
    <w:rsid w:val="00C81C8F"/>
    <w:rsid w:val="00CA340D"/>
    <w:rsid w:val="00CB6135"/>
    <w:rsid w:val="00CF3707"/>
    <w:rsid w:val="00D065CD"/>
    <w:rsid w:val="00D37386"/>
    <w:rsid w:val="00D46F6D"/>
    <w:rsid w:val="00D47CE1"/>
    <w:rsid w:val="00D57DAC"/>
    <w:rsid w:val="00D6135A"/>
    <w:rsid w:val="00D63772"/>
    <w:rsid w:val="00D63F8A"/>
    <w:rsid w:val="00D818CC"/>
    <w:rsid w:val="00D84D5C"/>
    <w:rsid w:val="00D866AA"/>
    <w:rsid w:val="00D92AFE"/>
    <w:rsid w:val="00DA2339"/>
    <w:rsid w:val="00DB0498"/>
    <w:rsid w:val="00DB5CCB"/>
    <w:rsid w:val="00DC1E43"/>
    <w:rsid w:val="00DD034F"/>
    <w:rsid w:val="00DD2D71"/>
    <w:rsid w:val="00E14BD2"/>
    <w:rsid w:val="00E32C6F"/>
    <w:rsid w:val="00E522B7"/>
    <w:rsid w:val="00E6006B"/>
    <w:rsid w:val="00E6754A"/>
    <w:rsid w:val="00E760D1"/>
    <w:rsid w:val="00E810CF"/>
    <w:rsid w:val="00E8142D"/>
    <w:rsid w:val="00E83282"/>
    <w:rsid w:val="00E8496A"/>
    <w:rsid w:val="00E93D75"/>
    <w:rsid w:val="00EA12AD"/>
    <w:rsid w:val="00EA1DB9"/>
    <w:rsid w:val="00EC3ECC"/>
    <w:rsid w:val="00EE2C7A"/>
    <w:rsid w:val="00EE3C39"/>
    <w:rsid w:val="00EF1658"/>
    <w:rsid w:val="00F02B9D"/>
    <w:rsid w:val="00F0685B"/>
    <w:rsid w:val="00F06936"/>
    <w:rsid w:val="00F11F1C"/>
    <w:rsid w:val="00F1254D"/>
    <w:rsid w:val="00F234B1"/>
    <w:rsid w:val="00F23BE5"/>
    <w:rsid w:val="00F30B13"/>
    <w:rsid w:val="00F311AB"/>
    <w:rsid w:val="00F312D0"/>
    <w:rsid w:val="00F3319C"/>
    <w:rsid w:val="00F33B6A"/>
    <w:rsid w:val="00F45D8D"/>
    <w:rsid w:val="00F61256"/>
    <w:rsid w:val="00F64A55"/>
    <w:rsid w:val="00F70911"/>
    <w:rsid w:val="00F85D31"/>
    <w:rsid w:val="00F86B1E"/>
    <w:rsid w:val="00F93D31"/>
    <w:rsid w:val="00FA28C3"/>
    <w:rsid w:val="00FB134F"/>
    <w:rsid w:val="00FB17BF"/>
    <w:rsid w:val="00FB6AB3"/>
    <w:rsid w:val="00FC31A0"/>
    <w:rsid w:val="00FC7D17"/>
    <w:rsid w:val="00FE3D40"/>
    <w:rsid w:val="00FE4CF8"/>
    <w:rsid w:val="00FE7CC2"/>
    <w:rsid w:val="00FF3484"/>
    <w:rsid w:val="00FF4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59"/>
    <w:pPr>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11D"/>
    <w:pPr>
      <w:ind w:left="720"/>
      <w:contextualSpacing/>
    </w:pPr>
  </w:style>
  <w:style w:type="table" w:styleId="TableGrid">
    <w:name w:val="Table Grid"/>
    <w:basedOn w:val="TableNormal"/>
    <w:uiPriority w:val="59"/>
    <w:rsid w:val="00467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1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85"/>
    <w:rPr>
      <w:rFonts w:ascii="Times New Roman" w:hAnsi="Times New Roman" w:cs="Times New Roman"/>
      <w:sz w:val="28"/>
      <w:szCs w:val="28"/>
    </w:rPr>
  </w:style>
  <w:style w:type="paragraph" w:styleId="Footer">
    <w:name w:val="footer"/>
    <w:basedOn w:val="Normal"/>
    <w:link w:val="FooterChar"/>
    <w:uiPriority w:val="99"/>
    <w:semiHidden/>
    <w:unhideWhenUsed/>
    <w:rsid w:val="00BE1C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1C85"/>
    <w:rPr>
      <w:rFonts w:ascii="Times New Roman" w:hAnsi="Times New Roman" w:cs="Times New Roman"/>
      <w:sz w:val="28"/>
      <w:szCs w:val="28"/>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25 Char"/>
    <w:link w:val="NormalWeb"/>
    <w:locked/>
    <w:rsid w:val="002D1D1E"/>
    <w:rPr>
      <w:sz w:val="24"/>
      <w:szCs w:val="24"/>
      <w:lang w:eastAsia="ja-JP"/>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Normal (Web) Char Char, Char Char25,Char Char25,Char Char"/>
    <w:basedOn w:val="Normal"/>
    <w:link w:val="NormalWebChar"/>
    <w:uiPriority w:val="99"/>
    <w:qFormat/>
    <w:rsid w:val="002D1D1E"/>
    <w:pPr>
      <w:spacing w:before="100" w:beforeAutospacing="1" w:after="100" w:afterAutospacing="1" w:line="240" w:lineRule="auto"/>
      <w:jc w:val="left"/>
    </w:pPr>
    <w:rPr>
      <w:rFonts w:asciiTheme="minorHAnsi" w:hAnsiTheme="minorHAnsi" w:cstheme="minorBidi"/>
      <w:sz w:val="24"/>
      <w:szCs w:val="24"/>
      <w:lang w:eastAsia="ja-JP"/>
    </w:rPr>
  </w:style>
  <w:style w:type="character" w:customStyle="1" w:styleId="noi-dung-tham-chieu">
    <w:name w:val="noi-dung-tham-chieu"/>
    <w:basedOn w:val="DefaultParagraphFont"/>
    <w:rsid w:val="00817671"/>
  </w:style>
  <w:style w:type="character" w:styleId="Hyperlink">
    <w:name w:val="Hyperlink"/>
    <w:basedOn w:val="DefaultParagraphFont"/>
    <w:uiPriority w:val="99"/>
    <w:semiHidden/>
    <w:unhideWhenUsed/>
    <w:rsid w:val="00817671"/>
    <w:rPr>
      <w:color w:val="0000FF"/>
      <w:u w:val="single"/>
    </w:rPr>
  </w:style>
  <w:style w:type="character" w:customStyle="1" w:styleId="popuprelate">
    <w:name w:val="popuprelate"/>
    <w:basedOn w:val="DefaultParagraphFont"/>
    <w:rsid w:val="00817671"/>
  </w:style>
</w:styles>
</file>

<file path=word/webSettings.xml><?xml version="1.0" encoding="utf-8"?>
<w:webSettings xmlns:r="http://schemas.openxmlformats.org/officeDocument/2006/relationships" xmlns:w="http://schemas.openxmlformats.org/wordprocessingml/2006/main">
  <w:divs>
    <w:div w:id="281041833">
      <w:bodyDiv w:val="1"/>
      <w:marLeft w:val="0"/>
      <w:marRight w:val="0"/>
      <w:marTop w:val="0"/>
      <w:marBottom w:val="0"/>
      <w:divBdr>
        <w:top w:val="none" w:sz="0" w:space="0" w:color="auto"/>
        <w:left w:val="none" w:sz="0" w:space="0" w:color="auto"/>
        <w:bottom w:val="none" w:sz="0" w:space="0" w:color="auto"/>
        <w:right w:val="none" w:sz="0" w:space="0" w:color="auto"/>
      </w:divBdr>
      <w:divsChild>
        <w:div w:id="1720545049">
          <w:marLeft w:val="0"/>
          <w:marRight w:val="0"/>
          <w:marTop w:val="100"/>
          <w:marBottom w:val="100"/>
          <w:divBdr>
            <w:top w:val="none" w:sz="0" w:space="0" w:color="auto"/>
            <w:left w:val="none" w:sz="0" w:space="0" w:color="auto"/>
            <w:bottom w:val="none" w:sz="0" w:space="0" w:color="auto"/>
            <w:right w:val="none" w:sz="0" w:space="0" w:color="auto"/>
          </w:divBdr>
          <w:divsChild>
            <w:div w:id="865406135">
              <w:marLeft w:val="0"/>
              <w:marRight w:val="0"/>
              <w:marTop w:val="0"/>
              <w:marBottom w:val="0"/>
              <w:divBdr>
                <w:top w:val="none" w:sz="0" w:space="0" w:color="auto"/>
                <w:left w:val="none" w:sz="0" w:space="0" w:color="auto"/>
                <w:bottom w:val="none" w:sz="0" w:space="0" w:color="auto"/>
                <w:right w:val="none" w:sz="0" w:space="0" w:color="auto"/>
              </w:divBdr>
            </w:div>
          </w:divsChild>
        </w:div>
        <w:div w:id="1610621384">
          <w:marLeft w:val="0"/>
          <w:marRight w:val="0"/>
          <w:marTop w:val="100"/>
          <w:marBottom w:val="100"/>
          <w:divBdr>
            <w:top w:val="none" w:sz="0" w:space="0" w:color="auto"/>
            <w:left w:val="none" w:sz="0" w:space="0" w:color="auto"/>
            <w:bottom w:val="none" w:sz="0" w:space="0" w:color="auto"/>
            <w:right w:val="none" w:sz="0" w:space="0" w:color="auto"/>
          </w:divBdr>
          <w:divsChild>
            <w:div w:id="8451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22921">
      <w:bodyDiv w:val="1"/>
      <w:marLeft w:val="0"/>
      <w:marRight w:val="0"/>
      <w:marTop w:val="0"/>
      <w:marBottom w:val="0"/>
      <w:divBdr>
        <w:top w:val="none" w:sz="0" w:space="0" w:color="auto"/>
        <w:left w:val="none" w:sz="0" w:space="0" w:color="auto"/>
        <w:bottom w:val="none" w:sz="0" w:space="0" w:color="auto"/>
        <w:right w:val="none" w:sz="0" w:space="0" w:color="auto"/>
      </w:divBdr>
    </w:div>
    <w:div w:id="659037638">
      <w:bodyDiv w:val="1"/>
      <w:marLeft w:val="0"/>
      <w:marRight w:val="0"/>
      <w:marTop w:val="0"/>
      <w:marBottom w:val="0"/>
      <w:divBdr>
        <w:top w:val="none" w:sz="0" w:space="0" w:color="auto"/>
        <w:left w:val="none" w:sz="0" w:space="0" w:color="auto"/>
        <w:bottom w:val="none" w:sz="0" w:space="0" w:color="auto"/>
        <w:right w:val="none" w:sz="0" w:space="0" w:color="auto"/>
      </w:divBdr>
      <w:divsChild>
        <w:div w:id="1805925483">
          <w:marLeft w:val="0"/>
          <w:marRight w:val="0"/>
          <w:marTop w:val="100"/>
          <w:marBottom w:val="100"/>
          <w:divBdr>
            <w:top w:val="none" w:sz="0" w:space="0" w:color="auto"/>
            <w:left w:val="none" w:sz="0" w:space="0" w:color="auto"/>
            <w:bottom w:val="none" w:sz="0" w:space="0" w:color="auto"/>
            <w:right w:val="none" w:sz="0" w:space="0" w:color="auto"/>
          </w:divBdr>
        </w:div>
        <w:div w:id="1969512723">
          <w:marLeft w:val="0"/>
          <w:marRight w:val="0"/>
          <w:marTop w:val="100"/>
          <w:marBottom w:val="100"/>
          <w:divBdr>
            <w:top w:val="none" w:sz="0" w:space="0" w:color="auto"/>
            <w:left w:val="none" w:sz="0" w:space="0" w:color="auto"/>
            <w:bottom w:val="none" w:sz="0" w:space="0" w:color="auto"/>
            <w:right w:val="none" w:sz="0" w:space="0" w:color="auto"/>
          </w:divBdr>
        </w:div>
        <w:div w:id="788353078">
          <w:marLeft w:val="0"/>
          <w:marRight w:val="0"/>
          <w:marTop w:val="100"/>
          <w:marBottom w:val="100"/>
          <w:divBdr>
            <w:top w:val="none" w:sz="0" w:space="0" w:color="auto"/>
            <w:left w:val="none" w:sz="0" w:space="0" w:color="auto"/>
            <w:bottom w:val="none" w:sz="0" w:space="0" w:color="auto"/>
            <w:right w:val="none" w:sz="0" w:space="0" w:color="auto"/>
          </w:divBdr>
        </w:div>
        <w:div w:id="1332442030">
          <w:marLeft w:val="0"/>
          <w:marRight w:val="0"/>
          <w:marTop w:val="100"/>
          <w:marBottom w:val="100"/>
          <w:divBdr>
            <w:top w:val="none" w:sz="0" w:space="0" w:color="auto"/>
            <w:left w:val="none" w:sz="0" w:space="0" w:color="auto"/>
            <w:bottom w:val="none" w:sz="0" w:space="0" w:color="auto"/>
            <w:right w:val="none" w:sz="0" w:space="0" w:color="auto"/>
          </w:divBdr>
        </w:div>
        <w:div w:id="1915973751">
          <w:marLeft w:val="0"/>
          <w:marRight w:val="0"/>
          <w:marTop w:val="100"/>
          <w:marBottom w:val="100"/>
          <w:divBdr>
            <w:top w:val="none" w:sz="0" w:space="0" w:color="auto"/>
            <w:left w:val="none" w:sz="0" w:space="0" w:color="auto"/>
            <w:bottom w:val="none" w:sz="0" w:space="0" w:color="auto"/>
            <w:right w:val="none" w:sz="0" w:space="0" w:color="auto"/>
          </w:divBdr>
        </w:div>
        <w:div w:id="930426671">
          <w:marLeft w:val="0"/>
          <w:marRight w:val="0"/>
          <w:marTop w:val="100"/>
          <w:marBottom w:val="100"/>
          <w:divBdr>
            <w:top w:val="none" w:sz="0" w:space="0" w:color="auto"/>
            <w:left w:val="none" w:sz="0" w:space="0" w:color="auto"/>
            <w:bottom w:val="none" w:sz="0" w:space="0" w:color="auto"/>
            <w:right w:val="none" w:sz="0" w:space="0" w:color="auto"/>
          </w:divBdr>
        </w:div>
      </w:divsChild>
    </w:div>
    <w:div w:id="1325353891">
      <w:bodyDiv w:val="1"/>
      <w:marLeft w:val="0"/>
      <w:marRight w:val="0"/>
      <w:marTop w:val="0"/>
      <w:marBottom w:val="0"/>
      <w:divBdr>
        <w:top w:val="none" w:sz="0" w:space="0" w:color="auto"/>
        <w:left w:val="none" w:sz="0" w:space="0" w:color="auto"/>
        <w:bottom w:val="none" w:sz="0" w:space="0" w:color="auto"/>
        <w:right w:val="none" w:sz="0" w:space="0" w:color="auto"/>
      </w:divBdr>
      <w:divsChild>
        <w:div w:id="90703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6</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Huyen Trang</dc:creator>
  <cp:keywords/>
  <dc:description/>
  <cp:lastModifiedBy>Tran Huyen Trang</cp:lastModifiedBy>
  <cp:revision>264</cp:revision>
  <cp:lastPrinted>2025-10-24T08:39:00Z</cp:lastPrinted>
  <dcterms:created xsi:type="dcterms:W3CDTF">2025-07-09T03:35:00Z</dcterms:created>
  <dcterms:modified xsi:type="dcterms:W3CDTF">2026-01-22T09:25:00Z</dcterms:modified>
</cp:coreProperties>
</file>