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69" w:type="dxa"/>
        <w:tblInd w:w="-72" w:type="dxa"/>
        <w:tblLayout w:type="fixed"/>
        <w:tblLook w:val="0000"/>
      </w:tblPr>
      <w:tblGrid>
        <w:gridCol w:w="3060"/>
        <w:gridCol w:w="282"/>
        <w:gridCol w:w="6336"/>
        <w:gridCol w:w="991"/>
      </w:tblGrid>
      <w:tr w:rsidR="001E1702" w:rsidRPr="00A33288" w:rsidTr="00C473C3">
        <w:trPr>
          <w:gridAfter w:val="1"/>
          <w:wAfter w:w="991" w:type="dxa"/>
        </w:trPr>
        <w:tc>
          <w:tcPr>
            <w:tcW w:w="3060" w:type="dxa"/>
          </w:tcPr>
          <w:p w:rsidR="001E1702" w:rsidRPr="00A33288" w:rsidRDefault="001E1702" w:rsidP="00AD6BCE">
            <w:pPr>
              <w:widowControl w:val="0"/>
              <w:jc w:val="center"/>
              <w:rPr>
                <w:b/>
                <w:sz w:val="26"/>
                <w:szCs w:val="24"/>
                <w:lang w:val="nl-NL"/>
              </w:rPr>
            </w:pPr>
            <w:r w:rsidRPr="00A33288">
              <w:rPr>
                <w:b/>
                <w:sz w:val="26"/>
                <w:szCs w:val="24"/>
                <w:lang w:val="nl-NL"/>
              </w:rPr>
              <w:t>BỘ TÀI CHÍNH</w:t>
            </w:r>
          </w:p>
          <w:p w:rsidR="001E1702" w:rsidRPr="00A33288" w:rsidRDefault="001E1702" w:rsidP="00AD6BCE">
            <w:pPr>
              <w:widowControl w:val="0"/>
              <w:jc w:val="center"/>
              <w:rPr>
                <w:lang w:val="nl-NL"/>
              </w:rPr>
            </w:pPr>
            <w:r w:rsidRPr="00A33288">
              <w:rPr>
                <w:vertAlign w:val="superscript"/>
                <w:lang w:val="nl-NL"/>
              </w:rPr>
              <w:t>_____</w:t>
            </w:r>
          </w:p>
        </w:tc>
        <w:tc>
          <w:tcPr>
            <w:tcW w:w="282" w:type="dxa"/>
          </w:tcPr>
          <w:p w:rsidR="001E1702" w:rsidRPr="00A33288" w:rsidRDefault="001E1702" w:rsidP="00AD6BCE">
            <w:pPr>
              <w:widowControl w:val="0"/>
              <w:jc w:val="center"/>
              <w:rPr>
                <w:sz w:val="26"/>
                <w:lang w:val="nl-NL"/>
              </w:rPr>
            </w:pPr>
          </w:p>
        </w:tc>
        <w:tc>
          <w:tcPr>
            <w:tcW w:w="6336" w:type="dxa"/>
          </w:tcPr>
          <w:p w:rsidR="001E1702" w:rsidRPr="00A33288" w:rsidRDefault="001E1702" w:rsidP="00AD6BCE">
            <w:pPr>
              <w:widowControl w:val="0"/>
              <w:ind w:left="-9" w:right="-786"/>
              <w:rPr>
                <w:b/>
                <w:sz w:val="26"/>
                <w:szCs w:val="24"/>
                <w:lang w:val="nl-NL"/>
              </w:rPr>
            </w:pPr>
            <w:r w:rsidRPr="00A33288">
              <w:rPr>
                <w:b/>
                <w:sz w:val="26"/>
                <w:szCs w:val="24"/>
                <w:lang w:val="nl-NL"/>
              </w:rPr>
              <w:t xml:space="preserve">     CỘNG HOÀ XÃ HỘI CHỦ NGHĨA VIỆT NAM</w:t>
            </w:r>
          </w:p>
          <w:p w:rsidR="001E1702" w:rsidRPr="00A33288" w:rsidRDefault="001E1702" w:rsidP="00AD6BCE">
            <w:pPr>
              <w:widowControl w:val="0"/>
              <w:jc w:val="center"/>
              <w:rPr>
                <w:lang w:val="nl-NL"/>
              </w:rPr>
            </w:pPr>
            <w:r w:rsidRPr="00A33288">
              <w:rPr>
                <w:b/>
                <w:lang w:val="nl-NL"/>
              </w:rPr>
              <w:t>Độc lập - Tự do - Hạnh phúc</w:t>
            </w:r>
          </w:p>
        </w:tc>
      </w:tr>
      <w:tr w:rsidR="001E1702" w:rsidRPr="00A33288" w:rsidTr="00C473C3">
        <w:tc>
          <w:tcPr>
            <w:tcW w:w="3060" w:type="dxa"/>
          </w:tcPr>
          <w:p w:rsidR="001E1702" w:rsidRPr="00A33288" w:rsidRDefault="001E1702" w:rsidP="00AD6BCE">
            <w:pPr>
              <w:widowControl w:val="0"/>
              <w:jc w:val="center"/>
              <w:rPr>
                <w:b/>
                <w:sz w:val="26"/>
                <w:szCs w:val="26"/>
                <w:lang w:val="nl-NL"/>
              </w:rPr>
            </w:pPr>
          </w:p>
        </w:tc>
        <w:tc>
          <w:tcPr>
            <w:tcW w:w="282" w:type="dxa"/>
          </w:tcPr>
          <w:p w:rsidR="001E1702" w:rsidRPr="00A33288" w:rsidRDefault="001E1702" w:rsidP="00AD6BCE">
            <w:pPr>
              <w:widowControl w:val="0"/>
              <w:jc w:val="center"/>
              <w:rPr>
                <w:sz w:val="26"/>
                <w:lang w:val="nl-NL"/>
              </w:rPr>
            </w:pPr>
          </w:p>
        </w:tc>
        <w:tc>
          <w:tcPr>
            <w:tcW w:w="6336" w:type="dxa"/>
          </w:tcPr>
          <w:p w:rsidR="001E1702" w:rsidRPr="00A33288" w:rsidRDefault="001E1702" w:rsidP="00AD6BCE">
            <w:pPr>
              <w:widowControl w:val="0"/>
              <w:jc w:val="center"/>
              <w:rPr>
                <w:b/>
                <w:sz w:val="22"/>
                <w:lang w:val="nl-NL"/>
              </w:rPr>
            </w:pPr>
            <w:r w:rsidRPr="00A33288">
              <w:rPr>
                <w:b/>
                <w:sz w:val="22"/>
                <w:vertAlign w:val="superscript"/>
                <w:lang w:val="nl-NL"/>
              </w:rPr>
              <w:t>________________________________________________</w:t>
            </w:r>
          </w:p>
        </w:tc>
        <w:tc>
          <w:tcPr>
            <w:tcW w:w="991" w:type="dxa"/>
          </w:tcPr>
          <w:p w:rsidR="001E1702" w:rsidRPr="00A33288" w:rsidRDefault="001E1702" w:rsidP="00AD6BCE">
            <w:pPr>
              <w:widowControl w:val="0"/>
              <w:rPr>
                <w:b/>
                <w:sz w:val="16"/>
                <w:lang w:val="nl-NL"/>
              </w:rPr>
            </w:pPr>
          </w:p>
        </w:tc>
      </w:tr>
      <w:tr w:rsidR="001E1702" w:rsidRPr="006806BC" w:rsidTr="00C473C3">
        <w:trPr>
          <w:gridAfter w:val="1"/>
          <w:wAfter w:w="991" w:type="dxa"/>
        </w:trPr>
        <w:tc>
          <w:tcPr>
            <w:tcW w:w="3060" w:type="dxa"/>
          </w:tcPr>
          <w:p w:rsidR="001E1702" w:rsidRPr="00A33288" w:rsidRDefault="001E1702" w:rsidP="00AD6BCE">
            <w:pPr>
              <w:widowControl w:val="0"/>
              <w:jc w:val="center"/>
              <w:rPr>
                <w:sz w:val="24"/>
                <w:lang w:val="nl-NL"/>
              </w:rPr>
            </w:pPr>
            <w:r w:rsidRPr="00A33288">
              <w:rPr>
                <w:sz w:val="26"/>
                <w:szCs w:val="26"/>
                <w:lang w:val="nl-NL"/>
              </w:rPr>
              <w:t xml:space="preserve">Số:       </w:t>
            </w:r>
            <w:r>
              <w:rPr>
                <w:sz w:val="26"/>
                <w:szCs w:val="26"/>
                <w:lang w:val="nl-NL"/>
              </w:rPr>
              <w:t xml:space="preserve">   </w:t>
            </w:r>
            <w:r w:rsidRPr="00A33288">
              <w:rPr>
                <w:sz w:val="26"/>
                <w:szCs w:val="26"/>
                <w:lang w:val="nl-NL"/>
              </w:rPr>
              <w:t xml:space="preserve">  /TTr-BTC</w:t>
            </w:r>
          </w:p>
        </w:tc>
        <w:tc>
          <w:tcPr>
            <w:tcW w:w="282" w:type="dxa"/>
          </w:tcPr>
          <w:p w:rsidR="001E1702" w:rsidRPr="00A33288" w:rsidRDefault="001E1702" w:rsidP="00AD6BCE">
            <w:pPr>
              <w:widowControl w:val="0"/>
              <w:jc w:val="center"/>
              <w:rPr>
                <w:sz w:val="26"/>
                <w:lang w:val="nl-NL"/>
              </w:rPr>
            </w:pPr>
          </w:p>
        </w:tc>
        <w:tc>
          <w:tcPr>
            <w:tcW w:w="6336" w:type="dxa"/>
          </w:tcPr>
          <w:p w:rsidR="001E1702" w:rsidRPr="00A33288" w:rsidRDefault="001E1702" w:rsidP="00AD6BCE">
            <w:pPr>
              <w:widowControl w:val="0"/>
              <w:jc w:val="center"/>
              <w:rPr>
                <w:b/>
                <w:lang w:val="nl-NL"/>
              </w:rPr>
            </w:pPr>
            <w:r w:rsidRPr="00A33288">
              <w:rPr>
                <w:i/>
                <w:lang w:val="nl-NL"/>
              </w:rPr>
              <w:t xml:space="preserve">Hà Nội, ngày       tháng     năm </w:t>
            </w:r>
            <w:r>
              <w:rPr>
                <w:i/>
                <w:lang w:val="nl-NL"/>
              </w:rPr>
              <w:t>202</w:t>
            </w:r>
            <w:r w:rsidR="00294222">
              <w:rPr>
                <w:i/>
                <w:lang w:val="nl-NL"/>
              </w:rPr>
              <w:t>5</w:t>
            </w:r>
          </w:p>
        </w:tc>
      </w:tr>
    </w:tbl>
    <w:p w:rsidR="001E1702" w:rsidRDefault="001E1702" w:rsidP="00AD6BCE">
      <w:pPr>
        <w:widowControl w:val="0"/>
        <w:jc w:val="both"/>
        <w:rPr>
          <w:lang w:val="nl-NL"/>
        </w:rPr>
      </w:pPr>
    </w:p>
    <w:p w:rsidR="001E1702" w:rsidRPr="00A33288" w:rsidRDefault="001E1702" w:rsidP="00AD6BCE">
      <w:pPr>
        <w:widowControl w:val="0"/>
        <w:jc w:val="both"/>
        <w:rPr>
          <w:lang w:val="nl-NL"/>
        </w:rPr>
      </w:pPr>
    </w:p>
    <w:p w:rsidR="001E1702" w:rsidRPr="00A33288" w:rsidRDefault="00033D2B" w:rsidP="00AD6BCE">
      <w:pPr>
        <w:widowControl w:val="0"/>
        <w:jc w:val="center"/>
        <w:outlineLvl w:val="0"/>
        <w:rPr>
          <w:b/>
          <w:sz w:val="26"/>
          <w:lang w:val="nl-NL"/>
        </w:rPr>
      </w:pPr>
      <w:r>
        <w:rPr>
          <w:b/>
          <w:noProof/>
        </w:rPr>
        <w:pict>
          <v:rect id="_x0000_s1026" style="position:absolute;left:0;text-align:left;margin-left:-3.05pt;margin-top:-19pt;width:91.9pt;height:25.55pt;z-index:251658240">
            <v:textbox>
              <w:txbxContent>
                <w:p w:rsidR="00033D2B" w:rsidRPr="000533E4" w:rsidRDefault="00033D2B" w:rsidP="00033D2B">
                  <w:pPr>
                    <w:jc w:val="center"/>
                    <w:rPr>
                      <w:b/>
                    </w:rPr>
                  </w:pPr>
                  <w:r w:rsidRPr="000533E4">
                    <w:rPr>
                      <w:b/>
                    </w:rPr>
                    <w:t>DỰ THẢO</w:t>
                  </w:r>
                  <w:r>
                    <w:rPr>
                      <w:b/>
                    </w:rPr>
                    <w:t xml:space="preserve"> 2</w:t>
                  </w:r>
                </w:p>
              </w:txbxContent>
            </v:textbox>
          </v:rect>
        </w:pict>
      </w:r>
      <w:r w:rsidR="001E1702" w:rsidRPr="000C7497">
        <w:rPr>
          <w:b/>
          <w:lang w:val="nl-NL"/>
        </w:rPr>
        <w:t>TỜ TRÌNH</w:t>
      </w:r>
      <w:r w:rsidR="001E1702" w:rsidRPr="00A33288">
        <w:rPr>
          <w:b/>
          <w:sz w:val="26"/>
          <w:lang w:val="nl-NL"/>
        </w:rPr>
        <w:t xml:space="preserve"> </w:t>
      </w:r>
    </w:p>
    <w:p w:rsidR="001E1702" w:rsidRDefault="00DC126D" w:rsidP="00AD6BCE">
      <w:pPr>
        <w:widowControl w:val="0"/>
        <w:jc w:val="center"/>
        <w:rPr>
          <w:b/>
          <w:lang w:val="nl-NL"/>
        </w:rPr>
      </w:pPr>
      <w:r>
        <w:rPr>
          <w:b/>
          <w:lang w:val="nl-NL"/>
        </w:rPr>
        <w:t xml:space="preserve">Về dự thảo </w:t>
      </w:r>
      <w:r w:rsidR="001E1702" w:rsidRPr="00A33288">
        <w:rPr>
          <w:b/>
          <w:lang w:val="nl-NL"/>
        </w:rPr>
        <w:t xml:space="preserve">Nghị định </w:t>
      </w:r>
      <w:r w:rsidR="001E1702">
        <w:rPr>
          <w:b/>
          <w:lang w:val="nl-NL"/>
        </w:rPr>
        <w:t xml:space="preserve">thay thế Nghị định số 06/2017/NĐ-CP </w:t>
      </w:r>
    </w:p>
    <w:p w:rsidR="001E1702" w:rsidRDefault="001E1702" w:rsidP="00AD6BCE">
      <w:pPr>
        <w:widowControl w:val="0"/>
        <w:jc w:val="center"/>
        <w:rPr>
          <w:b/>
          <w:lang w:val="nl-NL"/>
        </w:rPr>
      </w:pPr>
      <w:r>
        <w:rPr>
          <w:b/>
          <w:lang w:val="nl-NL"/>
        </w:rPr>
        <w:t>ngày 24/01/2017 c</w:t>
      </w:r>
      <w:r w:rsidRPr="006247B2">
        <w:rPr>
          <w:b/>
          <w:lang w:val="nl-NL"/>
        </w:rPr>
        <w:t>ủa</w:t>
      </w:r>
      <w:r>
        <w:rPr>
          <w:b/>
          <w:lang w:val="nl-NL"/>
        </w:rPr>
        <w:t xml:space="preserve"> Ch</w:t>
      </w:r>
      <w:r w:rsidRPr="006247B2">
        <w:rPr>
          <w:b/>
          <w:lang w:val="nl-NL"/>
        </w:rPr>
        <w:t>ính</w:t>
      </w:r>
      <w:r>
        <w:rPr>
          <w:b/>
          <w:lang w:val="nl-NL"/>
        </w:rPr>
        <w:t xml:space="preserve"> ph</w:t>
      </w:r>
      <w:r w:rsidRPr="006247B2">
        <w:rPr>
          <w:b/>
          <w:lang w:val="nl-NL"/>
        </w:rPr>
        <w:t>ủ</w:t>
      </w:r>
      <w:r>
        <w:rPr>
          <w:b/>
          <w:lang w:val="nl-NL"/>
        </w:rPr>
        <w:t xml:space="preserve"> về kinh doanh đặt cược đua ngựa, </w:t>
      </w:r>
    </w:p>
    <w:p w:rsidR="001E1702" w:rsidRDefault="001E1702" w:rsidP="00AD6BCE">
      <w:pPr>
        <w:widowControl w:val="0"/>
        <w:jc w:val="center"/>
        <w:rPr>
          <w:b/>
          <w:i/>
          <w:lang w:val="nl-NL"/>
        </w:rPr>
      </w:pPr>
      <w:r>
        <w:rPr>
          <w:b/>
          <w:lang w:val="nl-NL"/>
        </w:rPr>
        <w:t>đua chó và bóng đá quốc tế</w:t>
      </w:r>
      <w:r w:rsidRPr="00E96D2D">
        <w:rPr>
          <w:b/>
          <w:i/>
          <w:lang w:val="nl-NL"/>
        </w:rPr>
        <w:t xml:space="preserve"> </w:t>
      </w:r>
    </w:p>
    <w:p w:rsidR="001E1702" w:rsidRPr="00A33288" w:rsidRDefault="001E1702" w:rsidP="00AD6BCE">
      <w:pPr>
        <w:widowControl w:val="0"/>
        <w:jc w:val="center"/>
        <w:rPr>
          <w:b/>
          <w:sz w:val="22"/>
          <w:vertAlign w:val="superscript"/>
          <w:lang w:val="nl-NL"/>
        </w:rPr>
      </w:pPr>
      <w:r w:rsidRPr="00A33288">
        <w:rPr>
          <w:b/>
          <w:sz w:val="22"/>
          <w:vertAlign w:val="superscript"/>
          <w:lang w:val="nl-NL"/>
        </w:rPr>
        <w:t>_____________________</w:t>
      </w:r>
    </w:p>
    <w:p w:rsidR="001E1702" w:rsidRDefault="001E1702" w:rsidP="00AD6BCE">
      <w:pPr>
        <w:widowControl w:val="0"/>
        <w:jc w:val="center"/>
        <w:outlineLvl w:val="0"/>
        <w:rPr>
          <w:lang w:val="nl-NL"/>
        </w:rPr>
      </w:pPr>
    </w:p>
    <w:p w:rsidR="001E1702" w:rsidRDefault="001E1702" w:rsidP="00AD6BCE">
      <w:pPr>
        <w:widowControl w:val="0"/>
        <w:jc w:val="center"/>
        <w:outlineLvl w:val="0"/>
        <w:rPr>
          <w:lang w:val="nl-NL"/>
        </w:rPr>
      </w:pPr>
      <w:r w:rsidRPr="00A33288">
        <w:rPr>
          <w:lang w:val="nl-NL"/>
        </w:rPr>
        <w:t>Kính gửi: Chính phủ</w:t>
      </w:r>
      <w:r>
        <w:rPr>
          <w:lang w:val="nl-NL"/>
        </w:rPr>
        <w:t>.</w:t>
      </w:r>
    </w:p>
    <w:p w:rsidR="001E1702" w:rsidRPr="006806BC" w:rsidRDefault="001E1702" w:rsidP="00AD6BCE">
      <w:pPr>
        <w:widowControl w:val="0"/>
        <w:ind w:firstLine="720"/>
        <w:jc w:val="both"/>
        <w:rPr>
          <w:lang w:val="nl-NL"/>
        </w:rPr>
      </w:pPr>
    </w:p>
    <w:p w:rsidR="001E1702" w:rsidRPr="00782B86" w:rsidRDefault="00DC126D" w:rsidP="00AD6BCE">
      <w:pPr>
        <w:widowControl w:val="0"/>
        <w:spacing w:before="120" w:line="340" w:lineRule="exact"/>
        <w:ind w:firstLine="720"/>
        <w:jc w:val="both"/>
        <w:rPr>
          <w:spacing w:val="-5"/>
          <w:lang w:val="nl-NL"/>
        </w:rPr>
      </w:pPr>
      <w:r w:rsidRPr="00782B86">
        <w:rPr>
          <w:spacing w:val="-5"/>
        </w:rPr>
        <w:t>Thực hiện quy định của Luật Ban hành văn bản quy phạm pháp luật (Luật B</w:t>
      </w:r>
      <w:r w:rsidR="00294222" w:rsidRPr="00782B86">
        <w:rPr>
          <w:spacing w:val="-5"/>
        </w:rPr>
        <w:t>H</w:t>
      </w:r>
      <w:r w:rsidR="00B35A59" w:rsidRPr="00782B86">
        <w:rPr>
          <w:spacing w:val="-5"/>
        </w:rPr>
        <w:t xml:space="preserve">VBQPPL) và chỉ đạo của Uỷ ban Thường vụ Quốc hội tại </w:t>
      </w:r>
      <w:r w:rsidR="00B35A59" w:rsidRPr="00782B86">
        <w:rPr>
          <w:spacing w:val="-5"/>
          <w:lang w:val="nl-NL"/>
        </w:rPr>
        <w:t>Nghị quyết số 1035/NQ-UBTVQH ngày 08/4/2024 về việc giao Chính phủ, Thủ tướng Chính phủ và các Bộ, ngành tập trung hoàn thành việc sửa đổi Nghị định số 06</w:t>
      </w:r>
      <w:r w:rsidR="00BF6F93" w:rsidRPr="00782B86">
        <w:rPr>
          <w:spacing w:val="-5"/>
          <w:lang w:val="nl-NL"/>
        </w:rPr>
        <w:t>/2017/NĐ-CP ngày 24/01/2017 của Chính phủ về kinh doanh đặt cược đua ngựa, đua chó và bóng đá quốc tế (Nghị định số 06)</w:t>
      </w:r>
      <w:r w:rsidR="00B35A59" w:rsidRPr="00782B86">
        <w:rPr>
          <w:spacing w:val="-5"/>
          <w:lang w:val="nl-NL"/>
        </w:rPr>
        <w:t xml:space="preserve"> trong năm 2025, Bộ T</w:t>
      </w:r>
      <w:r w:rsidRPr="00782B86">
        <w:rPr>
          <w:spacing w:val="-5"/>
        </w:rPr>
        <w:t xml:space="preserve">ài chính </w:t>
      </w:r>
      <w:r w:rsidR="00B35A59" w:rsidRPr="00782B86">
        <w:rPr>
          <w:spacing w:val="-5"/>
        </w:rPr>
        <w:t>xin báo cáo Chính phủ</w:t>
      </w:r>
      <w:r w:rsidRPr="00782B86">
        <w:rPr>
          <w:spacing w:val="-5"/>
        </w:rPr>
        <w:t xml:space="preserve"> như sau:</w:t>
      </w:r>
    </w:p>
    <w:p w:rsidR="00DC126D" w:rsidRPr="00680438" w:rsidRDefault="00DC126D" w:rsidP="00AD6BCE">
      <w:pPr>
        <w:widowControl w:val="0"/>
        <w:spacing w:before="120" w:line="340" w:lineRule="exact"/>
        <w:ind w:firstLine="720"/>
        <w:jc w:val="both"/>
        <w:rPr>
          <w:b/>
          <w:lang w:val="nl-NL"/>
        </w:rPr>
      </w:pPr>
      <w:r w:rsidRPr="00680438">
        <w:rPr>
          <w:b/>
          <w:lang w:val="nl-NL"/>
        </w:rPr>
        <w:t>I. SỰ CẦN THIẾT BAN HÀNH NGHỊ ĐỊNH</w:t>
      </w:r>
    </w:p>
    <w:p w:rsidR="001E1702" w:rsidRPr="00680438" w:rsidRDefault="00DC126D" w:rsidP="00AD6BCE">
      <w:pPr>
        <w:widowControl w:val="0"/>
        <w:spacing w:before="120" w:line="340" w:lineRule="exact"/>
        <w:ind w:firstLine="720"/>
        <w:jc w:val="both"/>
        <w:rPr>
          <w:b/>
          <w:lang w:val="nl-NL"/>
        </w:rPr>
      </w:pPr>
      <w:r w:rsidRPr="00680438">
        <w:rPr>
          <w:b/>
          <w:lang w:val="nl-NL"/>
        </w:rPr>
        <w:t>1. Cơ sở chính trị, pháp lý</w:t>
      </w:r>
    </w:p>
    <w:p w:rsidR="009110C1" w:rsidRPr="00F65172" w:rsidRDefault="009110C1" w:rsidP="00AD6BCE">
      <w:pPr>
        <w:widowControl w:val="0"/>
        <w:spacing w:before="120" w:line="340" w:lineRule="exact"/>
        <w:ind w:firstLine="709"/>
        <w:jc w:val="both"/>
        <w:rPr>
          <w:b/>
          <w:lang w:val="vi-VN"/>
        </w:rPr>
      </w:pPr>
      <w:r w:rsidRPr="00F65172">
        <w:rPr>
          <w:bCs/>
          <w:spacing w:val="-2"/>
          <w:lang w:val="it-IT"/>
        </w:rPr>
        <w:t xml:space="preserve">- Nghị quyết Đại hội Đại biểu toàn quốc lần thứ XIII của Đảng đã xác định </w:t>
      </w:r>
      <w:r w:rsidRPr="00F65172">
        <w:t>một trong những định hướng p</w:t>
      </w:r>
      <w:r w:rsidRPr="00F65172">
        <w:rPr>
          <w:bCs/>
        </w:rPr>
        <w:t xml:space="preserve">hát triển đất nước giai đoạn 2021 – 2030: </w:t>
      </w:r>
      <w:r w:rsidRPr="00F65172">
        <w:rPr>
          <w:bCs/>
          <w:spacing w:val="-2"/>
          <w:lang w:val="it-IT"/>
        </w:rPr>
        <w:t>“</w:t>
      </w:r>
      <w:r w:rsidRPr="00F65172">
        <w:rPr>
          <w:bCs/>
          <w:i/>
          <w:iCs/>
          <w:spacing w:val="-2"/>
          <w:lang w:val="it-IT"/>
        </w:rPr>
        <w:t>Tiếp tục đổi mới mạnh mẽ tư duy, xây dựng, hoàn thiện đồng bộ thể chế phát triển bền vững về kinh tế, chính trị, văn hóa, xã hội, môi trường..., tháo gỡ kịp thời những khó khăn, vướng mắc; khơi dậy mọi tiềm năng và nguồn lực, tạo động lực mới cho sự phát triển nhanh và bền vững đất nước</w:t>
      </w:r>
      <w:r w:rsidRPr="00F65172">
        <w:rPr>
          <w:bCs/>
          <w:spacing w:val="-2"/>
          <w:lang w:val="it-IT"/>
        </w:rPr>
        <w:t>”.</w:t>
      </w:r>
    </w:p>
    <w:p w:rsidR="00DC126D" w:rsidRPr="00680438" w:rsidRDefault="009110C1" w:rsidP="00AD6BCE">
      <w:pPr>
        <w:widowControl w:val="0"/>
        <w:spacing w:before="120" w:line="340" w:lineRule="exact"/>
        <w:ind w:firstLine="720"/>
        <w:jc w:val="both"/>
        <w:rPr>
          <w:lang w:val="nl-NL"/>
        </w:rPr>
      </w:pPr>
      <w:r w:rsidRPr="00F65172">
        <w:rPr>
          <w:spacing w:val="-2"/>
        </w:rPr>
        <w:t>- Hội nghị lần thứ ba Ban Chấp hành Trung ương Đảng khóa XIII đề ra nhiệm vụ: “</w:t>
      </w:r>
      <w:r w:rsidRPr="00F65172">
        <w:rPr>
          <w:i/>
          <w:iCs/>
          <w:spacing w:val="-2"/>
        </w:rPr>
        <w:t>Tiếp tục xây dựng, hoàn thiện đồng bộ thể chế phát triển, trước hết là thể chế kinh tế thị trường định hướng XHCN; khẩn trương rà soát, bổ sung, hoàn thiện các quy định pháp luật không còn phù hợp, trùng chéo, hoặc chưa đầy đủ, nhất là về đầu tư, kinh doanh, đất đai, quy hoạch, ngân sách, tài sản công, thuế… theo hướng vướng mắc ở cấp nào thì cấp đó chủ động tích cực sửa đổi, hoàn thiện;</w:t>
      </w:r>
      <w:r w:rsidRPr="00F65172">
        <w:rPr>
          <w:spacing w:val="-2"/>
        </w:rPr>
        <w:t>”.</w:t>
      </w:r>
      <w:r w:rsidR="00DC126D" w:rsidRPr="00680438">
        <w:rPr>
          <w:lang w:val="nl-NL"/>
        </w:rPr>
        <w:t xml:space="preserve"> </w:t>
      </w:r>
    </w:p>
    <w:p w:rsidR="00DC126D" w:rsidRPr="00680438" w:rsidRDefault="009B4978" w:rsidP="00AD6BCE">
      <w:pPr>
        <w:widowControl w:val="0"/>
        <w:spacing w:before="120" w:line="340" w:lineRule="exact"/>
        <w:ind w:firstLine="720"/>
        <w:jc w:val="both"/>
        <w:rPr>
          <w:lang w:val="nl-NL"/>
        </w:rPr>
      </w:pPr>
      <w:r w:rsidRPr="00303BE5">
        <w:rPr>
          <w:rFonts w:eastAsia="Calibri"/>
        </w:rPr>
        <w:t xml:space="preserve">- </w:t>
      </w:r>
      <w:r w:rsidRPr="00303BE5">
        <w:rPr>
          <w:rFonts w:eastAsia="Calibri"/>
          <w:spacing w:val="-4"/>
        </w:rPr>
        <w:t>Kết luận số 121-KL/TW</w:t>
      </w:r>
      <w:r w:rsidRPr="00303BE5">
        <w:rPr>
          <w:rFonts w:eastAsia="Calibri"/>
          <w:i/>
          <w:spacing w:val="-4"/>
        </w:rPr>
        <w:t xml:space="preserve"> </w:t>
      </w:r>
      <w:r w:rsidRPr="00303BE5">
        <w:rPr>
          <w:rFonts w:eastAsia="Calibri"/>
        </w:rPr>
        <w:t xml:space="preserve">ngày 24/01/2025 của Ban Chấp hành Trung ương </w:t>
      </w:r>
      <w:r w:rsidRPr="00303BE5">
        <w:rPr>
          <w:rFonts w:eastAsia="Calibri"/>
          <w:spacing w:val="-4"/>
        </w:rPr>
        <w:t>Đảng Khóa XIII</w:t>
      </w:r>
      <w:r w:rsidRPr="00303BE5">
        <w:rPr>
          <w:rFonts w:eastAsia="Calibri"/>
          <w:i/>
          <w:spacing w:val="-4"/>
        </w:rPr>
        <w:t xml:space="preserve"> </w:t>
      </w:r>
      <w:r w:rsidRPr="00303BE5">
        <w:rPr>
          <w:rFonts w:eastAsia="Calibri"/>
          <w:spacing w:val="-4"/>
        </w:rPr>
        <w:t>về tổng kết Nghị quyết số 18-NQ/TW</w:t>
      </w:r>
      <w:r w:rsidRPr="00303BE5">
        <w:rPr>
          <w:rFonts w:eastAsia="Calibri"/>
        </w:rPr>
        <w:t xml:space="preserve"> ngày 25/10/2017 của Ban Chấp hành Trung ương Đảng Khóa XII, trong đó đề ra nhiều nhiệm vụ, giải pháp như: “</w:t>
      </w:r>
      <w:r w:rsidRPr="00303BE5">
        <w:rPr>
          <w:rFonts w:eastAsia="Calibri"/>
          <w:i/>
          <w:iCs/>
        </w:rPr>
        <w:t>Rà soát, sửa đổi, bổ sung các văn bản còn chồng chéo, bất cập cản trở sự phát triển, khơi thông các điểm nghẽn, tạo ra động lực mới cho phát triển</w:t>
      </w:r>
      <w:r w:rsidRPr="00303BE5">
        <w:rPr>
          <w:rFonts w:eastAsia="Calibri"/>
        </w:rPr>
        <w:t>”</w:t>
      </w:r>
      <w:r w:rsidR="001F7775">
        <w:rPr>
          <w:rFonts w:eastAsia="Calibri"/>
        </w:rPr>
        <w:t xml:space="preserve">; </w:t>
      </w:r>
      <w:r w:rsidRPr="00303BE5">
        <w:rPr>
          <w:rFonts w:eastAsia="Calibri"/>
        </w:rPr>
        <w:t>Kết luận số 126-KL/TW</w:t>
      </w:r>
      <w:r w:rsidRPr="00303BE5">
        <w:rPr>
          <w:rFonts w:eastAsia="Calibri"/>
          <w:i/>
        </w:rPr>
        <w:t xml:space="preserve"> </w:t>
      </w:r>
      <w:r w:rsidRPr="00303BE5">
        <w:rPr>
          <w:rFonts w:eastAsia="Calibri"/>
        </w:rPr>
        <w:t>ngày 14/02/2025 về một số nội dung, nhiệm vụ tiếp tục sắp xếp, tinh gọn tổ chức bộ máy của hệ thống chính trị năm 2025; Kết luận số 127-</w:t>
      </w:r>
      <w:r w:rsidRPr="00303BE5">
        <w:rPr>
          <w:rFonts w:eastAsia="Calibri"/>
        </w:rPr>
        <w:lastRenderedPageBreak/>
        <w:t xml:space="preserve">KL/TW ngày 28/02/2025 về triển khai nghiên cứu, đề xuất tiếp tục sắp xếp tổ chức bộ máy của hệ thống chính trị; </w:t>
      </w:r>
      <w:r w:rsidR="00CE2DE8">
        <w:rPr>
          <w:lang w:val="nl-NL"/>
        </w:rPr>
        <w:t>Nghị quyết số 66-NQ/TW ngày 30/4/2025 của Bộ Chính trị về đổi mới công tác xây dựng và thi hành pháp luật đáp ứng yêu cầu phát triển đất nước trong kỷ nguyên mới;</w:t>
      </w:r>
      <w:r w:rsidR="00CE2DE8" w:rsidRPr="00303BE5">
        <w:rPr>
          <w:lang w:val="nl-NL"/>
        </w:rPr>
        <w:t xml:space="preserve"> </w:t>
      </w:r>
      <w:r w:rsidRPr="00303BE5">
        <w:rPr>
          <w:lang w:val="nl-NL"/>
        </w:rPr>
        <w:t>Nghị quyết số 68-NQ/TW ngày 04/5/2025 của Bộ Chính trị về phát triển kinh tế tư nhân</w:t>
      </w:r>
      <w:r>
        <w:rPr>
          <w:lang w:val="nl-NL"/>
        </w:rPr>
        <w:t xml:space="preserve"> </w:t>
      </w:r>
      <w:r w:rsidRPr="00303BE5">
        <w:rPr>
          <w:lang w:val="nl-NL"/>
        </w:rPr>
        <w:t>và Nghị quyết số 66/NQ-CP ngày 26/3/2025 của Chính phủ về chương trình cắt giảm, đơn giản hoá thủ tục hành chính liên quan đến hoạt động sản xuất kinh doanh năm 2025 và 2026.</w:t>
      </w:r>
    </w:p>
    <w:p w:rsidR="00126614" w:rsidRPr="00D612D8" w:rsidRDefault="00294222" w:rsidP="00AD6BCE">
      <w:pPr>
        <w:widowControl w:val="0"/>
        <w:spacing w:before="120" w:line="340" w:lineRule="exact"/>
        <w:ind w:firstLine="720"/>
        <w:jc w:val="both"/>
        <w:rPr>
          <w:spacing w:val="-2"/>
          <w:lang w:val="nl-NL"/>
        </w:rPr>
      </w:pPr>
      <w:r w:rsidRPr="00D612D8">
        <w:rPr>
          <w:spacing w:val="-2"/>
          <w:lang w:val="nl-NL"/>
        </w:rPr>
        <w:t xml:space="preserve">- Công văn số 15904-CV/VPTW ngày 06/7/2025 của Ban Chấp hành Trung ương </w:t>
      </w:r>
      <w:r w:rsidR="00F67330" w:rsidRPr="00D612D8">
        <w:rPr>
          <w:spacing w:val="-2"/>
          <w:lang w:val="nl-NL"/>
        </w:rPr>
        <w:t>về</w:t>
      </w:r>
      <w:r w:rsidRPr="00D612D8">
        <w:rPr>
          <w:spacing w:val="-2"/>
          <w:lang w:val="nl-NL"/>
        </w:rPr>
        <w:t xml:space="preserve"> ý kiến Bộ Chính trị về một số vấn đế quan trọng liên quan đến quản lý hoạt động casino ở Việt Nam, Bộ Chính trị có ý kiến chỉ đạo: </w:t>
      </w:r>
      <w:r w:rsidRPr="00D612D8">
        <w:rPr>
          <w:i/>
          <w:spacing w:val="-2"/>
          <w:lang w:val="nl-NL"/>
        </w:rPr>
        <w:t xml:space="preserve">“Giao Ban Thường vụ Đảng ủy Chính phủ chỉ đạo: (i) Các cơ quan phối hợp chặt chẽ trong việc cấp phép, kiểm tra, giám sát theo chức năng, nhiệm vụ được giao trên cơ sở phân cấp, phân quyền triệt để và tăng cường ứng dụng công nghệ, giám sát dữ liệu người chơi. </w:t>
      </w:r>
      <w:r w:rsidR="0017164C" w:rsidRPr="00D612D8">
        <w:rPr>
          <w:i/>
          <w:spacing w:val="-2"/>
          <w:lang w:val="nl-NL"/>
        </w:rPr>
        <w:t>(ii) Xây dựng định hướng phát triển casino và các loại hình tương tự (xổ số, đặt cược, trò chơi điện tử có thưởng...), bảo đảm phát triển lành mạnh, tuyệt đối kh</w:t>
      </w:r>
      <w:r w:rsidR="00F67330" w:rsidRPr="00D612D8">
        <w:rPr>
          <w:i/>
          <w:spacing w:val="-2"/>
          <w:lang w:val="nl-NL"/>
        </w:rPr>
        <w:t>ô</w:t>
      </w:r>
      <w:r w:rsidR="0017164C" w:rsidRPr="00D612D8">
        <w:rPr>
          <w:i/>
          <w:spacing w:val="-2"/>
          <w:lang w:val="nl-NL"/>
        </w:rPr>
        <w:t>ng để xảy ra lãng phí, tiêu cực, đóng góp tích cực cho phát triển kinh tế - xã hội đất nước</w:t>
      </w:r>
      <w:r w:rsidR="001F7775" w:rsidRPr="00D612D8">
        <w:rPr>
          <w:i/>
          <w:spacing w:val="-2"/>
          <w:lang w:val="nl-NL"/>
        </w:rPr>
        <w:t>...”</w:t>
      </w:r>
      <w:r w:rsidR="0017164C" w:rsidRPr="00D612D8">
        <w:rPr>
          <w:i/>
          <w:spacing w:val="-2"/>
          <w:lang w:val="nl-NL"/>
        </w:rPr>
        <w:t xml:space="preserve">. </w:t>
      </w:r>
    </w:p>
    <w:p w:rsidR="00C10EB0" w:rsidRPr="00680438" w:rsidRDefault="00C10EB0" w:rsidP="00AD6BCE">
      <w:pPr>
        <w:widowControl w:val="0"/>
        <w:spacing w:before="120" w:line="340" w:lineRule="exact"/>
        <w:ind w:firstLine="720"/>
        <w:jc w:val="both"/>
        <w:rPr>
          <w:spacing w:val="-6"/>
          <w:lang w:val="pt-BR"/>
        </w:rPr>
      </w:pPr>
      <w:r>
        <w:rPr>
          <w:spacing w:val="-6"/>
          <w:lang w:val="pt-BR"/>
        </w:rPr>
        <w:t xml:space="preserve">- </w:t>
      </w:r>
      <w:r>
        <w:rPr>
          <w:lang w:val="nl-NL"/>
        </w:rPr>
        <w:t xml:space="preserve">Nghị quyết số 1035/NQ-UBTVQH ngày 08/4/2024, Ủy ban Thường vụ Quốc hội </w:t>
      </w:r>
      <w:r w:rsidR="00F67330">
        <w:rPr>
          <w:lang w:val="nl-NL"/>
        </w:rPr>
        <w:t>giao</w:t>
      </w:r>
      <w:r>
        <w:rPr>
          <w:lang w:val="nl-NL"/>
        </w:rPr>
        <w:t xml:space="preserve"> Chính phủ, Thủ tướng Chính phủ và các Bộ, ngành tập trung hoàn thành việc sửa đổi Nghị định số 06</w:t>
      </w:r>
      <w:r w:rsidR="00671309">
        <w:rPr>
          <w:lang w:val="nl-NL"/>
        </w:rPr>
        <w:t xml:space="preserve"> trong</w:t>
      </w:r>
      <w:r>
        <w:rPr>
          <w:lang w:val="nl-NL"/>
        </w:rPr>
        <w:t xml:space="preserve"> năm 2025.</w:t>
      </w:r>
    </w:p>
    <w:p w:rsidR="00372A69" w:rsidRDefault="00DC126D" w:rsidP="00AD6BCE">
      <w:pPr>
        <w:widowControl w:val="0"/>
        <w:spacing w:before="120" w:line="340" w:lineRule="exact"/>
        <w:ind w:firstLine="720"/>
        <w:jc w:val="both"/>
        <w:rPr>
          <w:lang w:val="nl-NL"/>
        </w:rPr>
      </w:pPr>
      <w:r w:rsidRPr="00680438">
        <w:rPr>
          <w:b/>
          <w:lang w:val="nl-NL"/>
        </w:rPr>
        <w:t>2. Cơ sở thực tiễn</w:t>
      </w:r>
    </w:p>
    <w:p w:rsidR="00372A69" w:rsidRDefault="00372A69" w:rsidP="00AD6BCE">
      <w:pPr>
        <w:widowControl w:val="0"/>
        <w:spacing w:before="120" w:line="340" w:lineRule="exact"/>
        <w:ind w:firstLine="720"/>
        <w:jc w:val="both"/>
        <w:rPr>
          <w:lang w:val="nl-NL"/>
        </w:rPr>
      </w:pPr>
      <w:r w:rsidRPr="00D14A3A">
        <w:rPr>
          <w:spacing w:val="-4"/>
          <w:lang w:val="nl-NL"/>
        </w:rPr>
        <w:t xml:space="preserve">- Đặt cược là loại hình dịch vụ thuộc nhóm các trò chơi may rủi có thưởng đã được </w:t>
      </w:r>
      <w:r w:rsidR="00135ED1">
        <w:rPr>
          <w:spacing w:val="-4"/>
          <w:lang w:val="nl-NL"/>
        </w:rPr>
        <w:t>các</w:t>
      </w:r>
      <w:r w:rsidRPr="00D14A3A">
        <w:rPr>
          <w:spacing w:val="-4"/>
          <w:lang w:val="nl-NL"/>
        </w:rPr>
        <w:t xml:space="preserve"> nước trên thế giới cho phép tổ chức kinh doanh nhằm đáp ứng nhu cầu giải trí của một bộ phận người dân, tạo nguồn thu để thực hiện các mục tiêu phúc lợi công cộng, an sinh xã hội. </w:t>
      </w:r>
      <w:r w:rsidRPr="00D14A3A">
        <w:rPr>
          <w:spacing w:val="-4"/>
        </w:rPr>
        <w:t>Tuy nhiên, đây là ngành, nghề kinh doanh đặc thù, rất nhạy cảm và có tác động lớn đến trật tự, an toàn xã hội, vì vậy hầu hết các nước đều có quan điểm quản lý, giám sát hết sức chặt chẽ đối với loại hình này.</w:t>
      </w:r>
    </w:p>
    <w:p w:rsidR="0046324F" w:rsidRDefault="00372A69" w:rsidP="00AD6BCE">
      <w:pPr>
        <w:widowControl w:val="0"/>
        <w:spacing w:before="120" w:line="340" w:lineRule="exact"/>
        <w:ind w:firstLine="720"/>
        <w:jc w:val="both"/>
        <w:rPr>
          <w:spacing w:val="-4"/>
          <w:lang w:val="nl-NL"/>
        </w:rPr>
      </w:pPr>
      <w:r w:rsidRPr="00E73056">
        <w:rPr>
          <w:spacing w:val="-4"/>
        </w:rPr>
        <w:t xml:space="preserve">- </w:t>
      </w:r>
      <w:r w:rsidR="002D25C2">
        <w:rPr>
          <w:spacing w:val="-4"/>
        </w:rPr>
        <w:t>T</w:t>
      </w:r>
      <w:r w:rsidRPr="00E73056">
        <w:rPr>
          <w:spacing w:val="-4"/>
        </w:rPr>
        <w:t>ừ năm 1998 cơ quan nhà nước đã cho phép một số doanh nghiệp thí điểm tổ chức kinh doanh đặt cược như: đặt cược đua ngựa tại thành phố Hồ Chí Minh, đặt cược đua chó tại tỉnh Bà Rịa - Vũng Tàu. Do vậy, thực hiện quy định của Luật Đầu tư và ý kiến của Uỷ ban Thường vụ Quốc hội tại Công văn số 468/UBTVQH13-TCNS ngày 26/8/2013, Chính phủ đã ban hành Nghị định số 06; Bộ Tài chính và Bộ Văn hoá, Thể thao và Du lịch (Bộ VHTTDL) ban hành 03 Thông tư hướng dẫn</w:t>
      </w:r>
      <w:r w:rsidRPr="00E73056">
        <w:rPr>
          <w:rStyle w:val="FootnoteReference"/>
          <w:spacing w:val="-4"/>
        </w:rPr>
        <w:footnoteReference w:id="1"/>
      </w:r>
      <w:r w:rsidRPr="00E73056">
        <w:rPr>
          <w:spacing w:val="-4"/>
        </w:rPr>
        <w:t xml:space="preserve"> để hoàn thiện khung khổ pháp lý về tổ chức kinh doanh và quản lý, giám sát, thanh, kiểm tra hoạt động kinh doanh đặt cược </w:t>
      </w:r>
      <w:r w:rsidRPr="00E73056">
        <w:rPr>
          <w:spacing w:val="-4"/>
          <w:lang w:val="pt-BR"/>
        </w:rPr>
        <w:t xml:space="preserve">đảm bảo </w:t>
      </w:r>
      <w:r w:rsidRPr="00E73056">
        <w:rPr>
          <w:spacing w:val="-4"/>
        </w:rPr>
        <w:t>đây là</w:t>
      </w:r>
      <w:r w:rsidRPr="00E73056">
        <w:rPr>
          <w:spacing w:val="-4"/>
          <w:lang w:val="nl-NL"/>
        </w:rPr>
        <w:t xml:space="preserve"> ngành, nghề kinh doanh có điều kiện cần được quản lý, kiểm soát chặt chẽ nhằm giảm thiểu những tá</w:t>
      </w:r>
      <w:r w:rsidR="00C444A2">
        <w:rPr>
          <w:spacing w:val="-4"/>
          <w:lang w:val="nl-NL"/>
        </w:rPr>
        <w:t>c động xấu đến an ninh, trật tự an toàn</w:t>
      </w:r>
      <w:r w:rsidRPr="00E73056">
        <w:rPr>
          <w:spacing w:val="-4"/>
          <w:lang w:val="nl-NL"/>
        </w:rPr>
        <w:t xml:space="preserve"> xã hội.</w:t>
      </w:r>
    </w:p>
    <w:p w:rsidR="000C30F3" w:rsidRDefault="00135ED1" w:rsidP="00AD6BCE">
      <w:pPr>
        <w:widowControl w:val="0"/>
        <w:spacing w:before="120" w:line="340" w:lineRule="exact"/>
        <w:ind w:firstLine="720"/>
        <w:jc w:val="both"/>
        <w:rPr>
          <w:spacing w:val="-2"/>
          <w:lang w:val="nl-NL"/>
        </w:rPr>
      </w:pPr>
      <w:r>
        <w:rPr>
          <w:bCs/>
        </w:rPr>
        <w:lastRenderedPageBreak/>
        <w:t xml:space="preserve">- Triển khai thực hiện, Nghị định số 06 </w:t>
      </w:r>
      <w:r w:rsidRPr="00F65172">
        <w:rPr>
          <w:bCs/>
          <w:lang w:val="vi-VN"/>
        </w:rPr>
        <w:t>đã bộc lộ một số hạn chế liên quan đến quy định về</w:t>
      </w:r>
      <w:r>
        <w:rPr>
          <w:bCs/>
        </w:rPr>
        <w:t xml:space="preserve"> </w:t>
      </w:r>
      <w:r w:rsidR="000C30F3">
        <w:rPr>
          <w:bCs/>
        </w:rPr>
        <w:t>số lượng trận đấu, giải đấu bóng đá quốc tế (BĐQT), cuộc đua ngựa, đua chó được phép kinh doanh</w:t>
      </w:r>
      <w:r w:rsidR="00C444A2">
        <w:rPr>
          <w:bCs/>
        </w:rPr>
        <w:t>;</w:t>
      </w:r>
      <w:r>
        <w:rPr>
          <w:bCs/>
        </w:rPr>
        <w:t xml:space="preserve"> </w:t>
      </w:r>
      <w:r w:rsidR="000C30F3">
        <w:rPr>
          <w:bCs/>
        </w:rPr>
        <w:t xml:space="preserve">về </w:t>
      </w:r>
      <w:r>
        <w:rPr>
          <w:bCs/>
        </w:rPr>
        <w:t>phương thức phân phối và địa bàn kinh doanh đặt cược</w:t>
      </w:r>
      <w:r w:rsidR="00C444A2">
        <w:rPr>
          <w:bCs/>
        </w:rPr>
        <w:t>;</w:t>
      </w:r>
      <w:r>
        <w:rPr>
          <w:bCs/>
        </w:rPr>
        <w:t xml:space="preserve"> </w:t>
      </w:r>
      <w:r w:rsidR="000C30F3">
        <w:rPr>
          <w:bCs/>
        </w:rPr>
        <w:t>tần suất tổ chức kinh doanh</w:t>
      </w:r>
      <w:r w:rsidR="00C444A2">
        <w:rPr>
          <w:bCs/>
        </w:rPr>
        <w:t>;</w:t>
      </w:r>
      <w:r w:rsidR="000C30F3">
        <w:rPr>
          <w:bCs/>
        </w:rPr>
        <w:t xml:space="preserve"> về quảng cáo</w:t>
      </w:r>
      <w:r w:rsidR="00C444A2">
        <w:rPr>
          <w:bCs/>
        </w:rPr>
        <w:t>;</w:t>
      </w:r>
      <w:r w:rsidR="000C30F3">
        <w:rPr>
          <w:bCs/>
        </w:rPr>
        <w:t xml:space="preserve"> </w:t>
      </w:r>
      <w:r w:rsidR="000C30F3" w:rsidRPr="004661B4">
        <w:rPr>
          <w:bCs/>
        </w:rPr>
        <w:t xml:space="preserve">về </w:t>
      </w:r>
      <w:r w:rsidR="000C30F3" w:rsidRPr="004661B4">
        <w:rPr>
          <w:spacing w:val="-2"/>
          <w:lang w:val="nl-NL"/>
        </w:rPr>
        <w:t>pháp lý liên quan về đấu thầu lựa chọn doanh nghiệp kinh doanh đặt cược BĐQT</w:t>
      </w:r>
      <w:r w:rsidR="000C30F3" w:rsidRPr="004661B4">
        <w:rPr>
          <w:rStyle w:val="FootnoteReference"/>
          <w:spacing w:val="-2"/>
          <w:lang w:val="nl-NL"/>
        </w:rPr>
        <w:footnoteReference w:id="2"/>
      </w:r>
      <w:r w:rsidR="000C30F3">
        <w:rPr>
          <w:spacing w:val="-2"/>
          <w:lang w:val="nl-NL"/>
        </w:rPr>
        <w:t xml:space="preserve"> </w:t>
      </w:r>
      <w:r w:rsidR="000C30F3" w:rsidRPr="00F65172">
        <w:rPr>
          <w:i/>
        </w:rPr>
        <w:t xml:space="preserve">(Những hạn chế trong quy định của </w:t>
      </w:r>
      <w:r w:rsidR="000C30F3">
        <w:rPr>
          <w:i/>
        </w:rPr>
        <w:t>Nghị định số 06</w:t>
      </w:r>
      <w:r w:rsidR="000C30F3" w:rsidRPr="00F65172">
        <w:rPr>
          <w:i/>
        </w:rPr>
        <w:t xml:space="preserve"> và việc thi hành </w:t>
      </w:r>
      <w:r w:rsidR="000C30F3">
        <w:rPr>
          <w:i/>
        </w:rPr>
        <w:t>Nghị định</w:t>
      </w:r>
      <w:r w:rsidR="000C30F3" w:rsidRPr="00F65172">
        <w:rPr>
          <w:i/>
        </w:rPr>
        <w:t xml:space="preserve"> được trình bày chi tiết tại </w:t>
      </w:r>
      <w:r w:rsidR="000C30F3">
        <w:rPr>
          <w:i/>
        </w:rPr>
        <w:t xml:space="preserve">Tờ trình này và </w:t>
      </w:r>
      <w:r w:rsidR="000C30F3" w:rsidRPr="00F65172">
        <w:rPr>
          <w:i/>
        </w:rPr>
        <w:t>Báo cáo tổng kết kèm theo Tờ trình này)</w:t>
      </w:r>
    </w:p>
    <w:p w:rsidR="00FB7797" w:rsidRDefault="00372A69" w:rsidP="00AD6BCE">
      <w:pPr>
        <w:widowControl w:val="0"/>
        <w:spacing w:before="120" w:line="340" w:lineRule="exact"/>
        <w:ind w:firstLine="720"/>
        <w:jc w:val="both"/>
        <w:rPr>
          <w:spacing w:val="-4"/>
          <w:lang w:val="nl-NL"/>
        </w:rPr>
      </w:pPr>
      <w:r w:rsidRPr="00F35442">
        <w:rPr>
          <w:spacing w:val="-3"/>
          <w:lang w:val="nl-NL"/>
        </w:rPr>
        <w:t xml:space="preserve">- </w:t>
      </w:r>
      <w:r w:rsidRPr="00F35442">
        <w:rPr>
          <w:spacing w:val="-3"/>
          <w:lang w:val="pt-BR"/>
        </w:rPr>
        <w:t xml:space="preserve">Thời gian qua, Quốc hội </w:t>
      </w:r>
      <w:r w:rsidR="00C444A2">
        <w:rPr>
          <w:spacing w:val="-3"/>
          <w:lang w:val="pt-BR"/>
        </w:rPr>
        <w:t xml:space="preserve">đã </w:t>
      </w:r>
      <w:r w:rsidRPr="00F35442">
        <w:rPr>
          <w:spacing w:val="-3"/>
          <w:lang w:val="pt-BR"/>
        </w:rPr>
        <w:t>ban hành, sửa đổi 0</w:t>
      </w:r>
      <w:r w:rsidR="000A2AA2">
        <w:rPr>
          <w:spacing w:val="-3"/>
          <w:lang w:val="pt-BR"/>
        </w:rPr>
        <w:t>6</w:t>
      </w:r>
      <w:r w:rsidRPr="00F35442">
        <w:rPr>
          <w:spacing w:val="-3"/>
          <w:lang w:val="pt-BR"/>
        </w:rPr>
        <w:t xml:space="preserve"> Luật (Luật Đấu thầu, Luật Đầu tư, Luật Doanh nghiệp, Luật Quy hoạch</w:t>
      </w:r>
      <w:r w:rsidR="000A2AA2">
        <w:rPr>
          <w:spacing w:val="-3"/>
          <w:lang w:val="pt-BR"/>
        </w:rPr>
        <w:t>, Luật Thanh tra</w:t>
      </w:r>
      <w:r w:rsidRPr="00F35442">
        <w:rPr>
          <w:spacing w:val="-3"/>
          <w:lang w:val="pt-BR"/>
        </w:rPr>
        <w:t xml:space="preserve"> và Luật Xử lý vi phạm hành chính), Chính phủ ban hành các Nghị định hướng dẫn Luật nêu trên</w:t>
      </w:r>
      <w:r w:rsidRPr="00F35442">
        <w:rPr>
          <w:rStyle w:val="FootnoteReference"/>
          <w:spacing w:val="-3"/>
          <w:lang w:val="pt-BR"/>
        </w:rPr>
        <w:footnoteReference w:id="3"/>
      </w:r>
      <w:r w:rsidRPr="00F35442">
        <w:rPr>
          <w:spacing w:val="-3"/>
          <w:lang w:val="pt-BR"/>
        </w:rPr>
        <w:t xml:space="preserve"> </w:t>
      </w:r>
      <w:r>
        <w:rPr>
          <w:spacing w:val="-3"/>
          <w:lang w:val="pt-BR"/>
        </w:rPr>
        <w:t xml:space="preserve">do đó </w:t>
      </w:r>
      <w:r w:rsidRPr="00F35442">
        <w:rPr>
          <w:spacing w:val="-3"/>
          <w:lang w:val="pt-BR"/>
        </w:rPr>
        <w:t xml:space="preserve">các nội dung </w:t>
      </w:r>
      <w:r>
        <w:rPr>
          <w:spacing w:val="-3"/>
          <w:lang w:val="pt-BR"/>
        </w:rPr>
        <w:t xml:space="preserve">liên quan </w:t>
      </w:r>
      <w:r w:rsidRPr="00F35442">
        <w:rPr>
          <w:spacing w:val="-3"/>
          <w:lang w:val="pt-BR"/>
        </w:rPr>
        <w:t xml:space="preserve">của Nghị định số 06 </w:t>
      </w:r>
      <w:r>
        <w:rPr>
          <w:spacing w:val="-3"/>
          <w:lang w:val="pt-BR"/>
        </w:rPr>
        <w:t xml:space="preserve">không còn phù hợp nữa và </w:t>
      </w:r>
      <w:r w:rsidRPr="00F35442">
        <w:rPr>
          <w:spacing w:val="-3"/>
          <w:lang w:val="pt-BR"/>
        </w:rPr>
        <w:t xml:space="preserve">cần phải điều chỉnh, bổ sung </w:t>
      </w:r>
      <w:r>
        <w:rPr>
          <w:spacing w:val="-3"/>
          <w:lang w:val="pt-BR"/>
        </w:rPr>
        <w:t>nhằm đảm bảo đồng bộ, thống nhất với hệ thống pháp luật</w:t>
      </w:r>
      <w:r w:rsidRPr="00F35442">
        <w:rPr>
          <w:spacing w:val="-3"/>
          <w:lang w:val="pt-BR"/>
        </w:rPr>
        <w:t xml:space="preserve">. Bên cạnh đó, </w:t>
      </w:r>
      <w:r w:rsidR="00C444A2">
        <w:rPr>
          <w:spacing w:val="-3"/>
          <w:lang w:val="pt-BR"/>
        </w:rPr>
        <w:t xml:space="preserve">thực hiện </w:t>
      </w:r>
      <w:r w:rsidRPr="00F35442">
        <w:rPr>
          <w:spacing w:val="-3"/>
        </w:rPr>
        <w:t>chủ trương của Đảng, Chính phủ về việc cắt giảm, đơn giản hoá các điều kiện đầu tư kinh doanh, thủ tục hành chính và thực hiện s</w:t>
      </w:r>
      <w:r w:rsidR="00C444A2">
        <w:rPr>
          <w:spacing w:val="-3"/>
        </w:rPr>
        <w:t>ắp xếp, tinh gọn tổ chức bộ</w:t>
      </w:r>
      <w:r w:rsidR="00AD6BCE">
        <w:rPr>
          <w:spacing w:val="-3"/>
        </w:rPr>
        <w:t xml:space="preserve"> máy đây là những nội dung lớn cần phải rà soát. </w:t>
      </w:r>
      <w:r w:rsidRPr="00F35442">
        <w:rPr>
          <w:spacing w:val="-3"/>
        </w:rPr>
        <w:t xml:space="preserve">Do vậy, cần phải sửa đổi, bổ sung để đảm bảo phù hợp, đồng bộ với hệ thống pháp luật hiện hành và </w:t>
      </w:r>
      <w:r w:rsidRPr="00F35442">
        <w:rPr>
          <w:spacing w:val="-3"/>
          <w:lang w:val="nl-NL"/>
        </w:rPr>
        <w:t>nâng cao hiệu quả quản lý nhà nước đối với hoạt động kinh doanh đặt cược</w:t>
      </w:r>
      <w:r w:rsidR="00FB7797" w:rsidRPr="004F5096">
        <w:rPr>
          <w:spacing w:val="-4"/>
          <w:lang w:val="nl-NL"/>
        </w:rPr>
        <w:t>.</w:t>
      </w:r>
    </w:p>
    <w:p w:rsidR="00632601" w:rsidRPr="00680438" w:rsidRDefault="00632601" w:rsidP="00AD6BCE">
      <w:pPr>
        <w:widowControl w:val="0"/>
        <w:spacing w:before="120" w:line="340" w:lineRule="exact"/>
        <w:ind w:firstLine="720"/>
        <w:jc w:val="both"/>
      </w:pPr>
      <w:r w:rsidRPr="00680438">
        <w:t xml:space="preserve">Xuất phát từ cơ sở chính trị, pháp lý và cơ sở thực tiễn nêu trên, việc xây dựng Nghị định thay thế Nghị định số 06 là cần thiết và có cơ sở pháp lý.   </w:t>
      </w:r>
    </w:p>
    <w:p w:rsidR="00632601" w:rsidRPr="00680438" w:rsidRDefault="00632601" w:rsidP="00AD6BCE">
      <w:pPr>
        <w:widowControl w:val="0"/>
        <w:spacing w:before="120" w:line="340" w:lineRule="exact"/>
        <w:ind w:firstLine="720"/>
        <w:jc w:val="both"/>
        <w:rPr>
          <w:b/>
          <w:lang w:val="nl-NL"/>
        </w:rPr>
      </w:pPr>
      <w:r w:rsidRPr="00680438">
        <w:rPr>
          <w:b/>
          <w:lang w:val="nl-NL"/>
        </w:rPr>
        <w:t xml:space="preserve">II. MỤC ĐÍCH, QUAN ĐIỂM XÂY DỰNG DỰ THẢO NGHỊ ĐỊNH </w:t>
      </w:r>
    </w:p>
    <w:p w:rsidR="00632601" w:rsidRPr="00680438" w:rsidRDefault="00632601" w:rsidP="00AD6BCE">
      <w:pPr>
        <w:widowControl w:val="0"/>
        <w:spacing w:before="120" w:line="340" w:lineRule="exact"/>
        <w:ind w:firstLine="720"/>
        <w:jc w:val="both"/>
        <w:rPr>
          <w:b/>
        </w:rPr>
      </w:pPr>
      <w:r w:rsidRPr="00680438">
        <w:rPr>
          <w:b/>
        </w:rPr>
        <w:t>1. Mục đích xây dựng Nghị định</w:t>
      </w:r>
    </w:p>
    <w:p w:rsidR="00632601" w:rsidRPr="00680438" w:rsidRDefault="00632601" w:rsidP="00AD6BCE">
      <w:pPr>
        <w:widowControl w:val="0"/>
        <w:spacing w:before="120" w:line="340" w:lineRule="exact"/>
        <w:ind w:firstLine="720"/>
        <w:jc w:val="both"/>
      </w:pPr>
      <w:r w:rsidRPr="00680438">
        <w:rPr>
          <w:i/>
        </w:rPr>
        <w:t>Thứ nhất,</w:t>
      </w:r>
      <w:r w:rsidRPr="00680438">
        <w:t xml:space="preserve"> tiếp tục hoàn thiện quy định về kinh doanh, tổ chức kinh doanh và quản lý nhà nước đối với hoạt động kinh doanh đặt cược, tạo lập môi trường kinh doanh công khai, minh bạch, rõ ràng, thuận lợi trong áp dụng; tăng cường hiệu lực, hiệu quả quản lý nhà nước đối với lĩnh vực này.</w:t>
      </w:r>
    </w:p>
    <w:p w:rsidR="00F37D51" w:rsidRPr="00191CC0" w:rsidRDefault="00632601" w:rsidP="00AD6BCE">
      <w:pPr>
        <w:widowControl w:val="0"/>
        <w:spacing w:before="120" w:line="340" w:lineRule="exact"/>
        <w:ind w:firstLine="720"/>
        <w:jc w:val="both"/>
      </w:pPr>
      <w:r w:rsidRPr="00680438">
        <w:rPr>
          <w:i/>
        </w:rPr>
        <w:t>Thứ hai,</w:t>
      </w:r>
      <w:r w:rsidRPr="00680438">
        <w:t xml:space="preserve"> sửa đổi, bổ sung các quy định về kinh doanh đảm bảo đảm bảo sự đầy đủ, toàn diện, thống nhất, đồng bộ với hệ thống pháp luật hiện hành và mục tiêu quản lý nhà nước.</w:t>
      </w:r>
    </w:p>
    <w:p w:rsidR="00415E52" w:rsidRPr="00680438" w:rsidRDefault="001E1702" w:rsidP="00AD6BCE">
      <w:pPr>
        <w:widowControl w:val="0"/>
        <w:spacing w:before="120" w:line="340" w:lineRule="exact"/>
        <w:jc w:val="both"/>
        <w:rPr>
          <w:b/>
          <w:lang w:val="pt-BR"/>
        </w:rPr>
      </w:pPr>
      <w:r w:rsidRPr="00680438">
        <w:rPr>
          <w:b/>
          <w:bCs/>
          <w:lang w:val="nl-NL"/>
        </w:rPr>
        <w:tab/>
      </w:r>
      <w:r w:rsidR="00415E52" w:rsidRPr="00680438">
        <w:rPr>
          <w:b/>
        </w:rPr>
        <w:t>2. Quan điểm xây dựng Nghị định</w:t>
      </w:r>
    </w:p>
    <w:p w:rsidR="00415E52" w:rsidRPr="00680438" w:rsidRDefault="00415E52" w:rsidP="00AD6BCE">
      <w:pPr>
        <w:widowControl w:val="0"/>
        <w:spacing w:before="120" w:line="340" w:lineRule="exact"/>
        <w:ind w:firstLine="720"/>
        <w:jc w:val="both"/>
        <w:rPr>
          <w:i/>
          <w:lang w:val="pt-BR"/>
        </w:rPr>
      </w:pPr>
      <w:r w:rsidRPr="00680438">
        <w:rPr>
          <w:i/>
          <w:lang w:val="pt-BR"/>
        </w:rPr>
        <w:t xml:space="preserve">Thứ nhất, </w:t>
      </w:r>
      <w:r w:rsidRPr="00680438">
        <w:rPr>
          <w:lang w:val="pt-BR"/>
        </w:rPr>
        <w:t xml:space="preserve">bảo đảm phù hợp Hiến pháp, Luật Đầu tư, Luật Doanh nghiệp, đồng bộ, thống nhất với các văn bản pháp luật khác trong hệ thống pháp luật hiện hành, bảo đảm phù hợp với các điều ước quốc tế mà Việt Nam là thành viên.  </w:t>
      </w:r>
    </w:p>
    <w:p w:rsidR="00415E52" w:rsidRPr="00680438" w:rsidRDefault="00415E52" w:rsidP="00AD6BCE">
      <w:pPr>
        <w:widowControl w:val="0"/>
        <w:spacing w:before="120" w:line="340" w:lineRule="exact"/>
        <w:ind w:firstLine="720"/>
        <w:jc w:val="both"/>
        <w:rPr>
          <w:lang w:val="pt-BR"/>
        </w:rPr>
      </w:pPr>
      <w:r w:rsidRPr="00680438">
        <w:rPr>
          <w:i/>
          <w:lang w:val="pt-BR"/>
        </w:rPr>
        <w:t xml:space="preserve">Thứ hai, </w:t>
      </w:r>
      <w:r w:rsidRPr="00680438">
        <w:rPr>
          <w:lang w:val="pt-BR"/>
        </w:rPr>
        <w:t xml:space="preserve">rà soát, sửa đổi, bổ sung các quy định chưa phù hợp nhằm nâng cao </w:t>
      </w:r>
      <w:r w:rsidRPr="00680438">
        <w:rPr>
          <w:lang w:val="pt-BR"/>
        </w:rPr>
        <w:lastRenderedPageBreak/>
        <w:t xml:space="preserve">hiệu quả quản lý, giám sát </w:t>
      </w:r>
      <w:r w:rsidR="00AC419A">
        <w:rPr>
          <w:lang w:val="pt-BR"/>
        </w:rPr>
        <w:t>và</w:t>
      </w:r>
      <w:r w:rsidRPr="00680438">
        <w:rPr>
          <w:lang w:val="pt-BR"/>
        </w:rPr>
        <w:t xml:space="preserve"> khắc phục những </w:t>
      </w:r>
      <w:r w:rsidR="00AC419A">
        <w:rPr>
          <w:lang w:val="pt-BR"/>
        </w:rPr>
        <w:t>tồn tại, hạn chế</w:t>
      </w:r>
      <w:r w:rsidRPr="00680438">
        <w:rPr>
          <w:lang w:val="pt-BR"/>
        </w:rPr>
        <w:t xml:space="preserve"> trong quá trình triển khai thực hiện.</w:t>
      </w:r>
    </w:p>
    <w:p w:rsidR="006B5955" w:rsidRPr="00680438" w:rsidRDefault="00415E52" w:rsidP="00AD6BCE">
      <w:pPr>
        <w:widowControl w:val="0"/>
        <w:spacing w:before="120" w:line="340" w:lineRule="exact"/>
        <w:ind w:firstLine="720"/>
        <w:jc w:val="both"/>
      </w:pPr>
      <w:r w:rsidRPr="00680438">
        <w:rPr>
          <w:i/>
        </w:rPr>
        <w:t>Thứ ba,</w:t>
      </w:r>
      <w:r w:rsidRPr="00680438">
        <w:t xml:space="preserve"> bám sát việc thực hiện sắp xếp, tinh gọn tổ chức bộ máy; việc cắt giảm điều kiện đầu tư kinh doanh và cắt giảm, đơn giản hoá thủ tục hành chính và tuân thủ đúng quy trình của Luật </w:t>
      </w:r>
      <w:r w:rsidR="00680438">
        <w:t>BH</w:t>
      </w:r>
      <w:r w:rsidRPr="00680438">
        <w:t>VBQPPL, đảm bảo công khai, minh bạch, không cài cắm lợi ích nhóm, lợi ích cục bộ theo đúng chủ trương, đường lối của Đảng và Nhà nước.</w:t>
      </w:r>
    </w:p>
    <w:p w:rsidR="00415E52" w:rsidRPr="00680438" w:rsidRDefault="00415E52" w:rsidP="00AD6BCE">
      <w:pPr>
        <w:widowControl w:val="0"/>
        <w:spacing w:before="120" w:line="340" w:lineRule="exact"/>
        <w:jc w:val="both"/>
        <w:rPr>
          <w:b/>
          <w:lang w:val="nl-NL"/>
        </w:rPr>
      </w:pPr>
      <w:r w:rsidRPr="00680438">
        <w:tab/>
      </w:r>
      <w:r w:rsidRPr="00680438">
        <w:rPr>
          <w:b/>
        </w:rPr>
        <w:t>III. QUÁ TRÌNH XÂY DỰNG NGHỊ ĐỊNH</w:t>
      </w:r>
      <w:r w:rsidRPr="00680438">
        <w:rPr>
          <w:b/>
          <w:lang w:val="nl-NL"/>
        </w:rPr>
        <w:t xml:space="preserve"> </w:t>
      </w:r>
    </w:p>
    <w:p w:rsidR="00415E52" w:rsidRPr="00680438" w:rsidRDefault="00415E52" w:rsidP="00AD6BCE">
      <w:pPr>
        <w:widowControl w:val="0"/>
        <w:spacing w:before="120" w:line="340" w:lineRule="exact"/>
        <w:jc w:val="both"/>
        <w:rPr>
          <w:lang w:val="nl-NL"/>
        </w:rPr>
      </w:pPr>
      <w:r w:rsidRPr="00680438">
        <w:rPr>
          <w:spacing w:val="-4"/>
          <w:lang w:val="nl-NL"/>
        </w:rPr>
        <w:tab/>
      </w:r>
      <w:r w:rsidRPr="00680438">
        <w:rPr>
          <w:b/>
          <w:spacing w:val="-4"/>
          <w:lang w:val="nl-NL"/>
        </w:rPr>
        <w:t>1.</w:t>
      </w:r>
      <w:r w:rsidRPr="00680438">
        <w:rPr>
          <w:lang w:val="nl-NL"/>
        </w:rPr>
        <w:t xml:space="preserve"> Triển khai Luật B</w:t>
      </w:r>
      <w:r w:rsidR="003920C2" w:rsidRPr="00680438">
        <w:rPr>
          <w:lang w:val="nl-NL"/>
        </w:rPr>
        <w:t>H</w:t>
      </w:r>
      <w:r w:rsidRPr="00680438">
        <w:rPr>
          <w:lang w:val="nl-NL"/>
        </w:rPr>
        <w:t>VBQPPL, căn cứ Nghị quyết số 10</w:t>
      </w:r>
      <w:r w:rsidR="00C57656" w:rsidRPr="00680438">
        <w:rPr>
          <w:lang w:val="nl-NL"/>
        </w:rPr>
        <w:t>3</w:t>
      </w:r>
      <w:r w:rsidRPr="00680438">
        <w:rPr>
          <w:lang w:val="nl-NL"/>
        </w:rPr>
        <w:t>5</w:t>
      </w:r>
      <w:r w:rsidR="00C57656" w:rsidRPr="00680438">
        <w:rPr>
          <w:lang w:val="nl-NL"/>
        </w:rPr>
        <w:t>/NQ-UBTVQH ngày 08/4/2024 của UBTVQH và ý kiến chỉ đạo của Bộ Chính trị tại Công văn số 15904-CV/VPTW ngày 06/7/2025</w:t>
      </w:r>
      <w:r w:rsidRPr="00680438">
        <w:rPr>
          <w:lang w:val="nl-NL"/>
        </w:rPr>
        <w:t>, Bộ Tài chính đã xây dựng dự thảo Nghị định và lấy ý kiến các Bộ, ngành, địa phương, doanh nghiệp</w:t>
      </w:r>
      <w:r w:rsidR="00C57656" w:rsidRPr="00680438">
        <w:rPr>
          <w:lang w:val="nl-NL"/>
        </w:rPr>
        <w:t>;</w:t>
      </w:r>
      <w:r w:rsidRPr="00680438">
        <w:rPr>
          <w:lang w:val="nl-NL"/>
        </w:rPr>
        <w:t xml:space="preserve"> lấy ý kiến rộng rãi trên Cổng thông tin điện tử của Chính  phủ và Bộ Tài chính.</w:t>
      </w:r>
    </w:p>
    <w:p w:rsidR="00415E52" w:rsidRPr="00680438" w:rsidRDefault="00415E52" w:rsidP="00AD6BCE">
      <w:pPr>
        <w:widowControl w:val="0"/>
        <w:spacing w:before="120" w:line="340" w:lineRule="exact"/>
        <w:jc w:val="both"/>
        <w:rPr>
          <w:lang w:val="nl-NL"/>
        </w:rPr>
      </w:pPr>
      <w:r w:rsidRPr="00680438">
        <w:rPr>
          <w:lang w:val="nl-NL"/>
        </w:rPr>
        <w:tab/>
      </w:r>
      <w:r w:rsidR="00E45027" w:rsidRPr="00680438">
        <w:rPr>
          <w:b/>
          <w:lang w:val="nl-NL"/>
        </w:rPr>
        <w:t>2</w:t>
      </w:r>
      <w:r w:rsidRPr="00680438">
        <w:rPr>
          <w:b/>
          <w:lang w:val="nl-NL"/>
        </w:rPr>
        <w:t>.</w:t>
      </w:r>
      <w:r w:rsidRPr="00680438">
        <w:rPr>
          <w:lang w:val="nl-NL"/>
        </w:rPr>
        <w:t xml:space="preserve"> Trên cơ sở tổng hợp ý kiến góp ý của các Bộ, ngành, địa phương, doanh nghiệp, Bộ Tài chính đã hoàn thiện hồ sơ xây dựng Nghị định và có Công văn số ...../BTC-ĐCTC ngày .... lấy ý kiến thẩm định của Bộ Tư pháp.</w:t>
      </w:r>
    </w:p>
    <w:p w:rsidR="00415E52" w:rsidRPr="00680438" w:rsidRDefault="00415E52" w:rsidP="00AD6BCE">
      <w:pPr>
        <w:widowControl w:val="0"/>
        <w:spacing w:before="120" w:line="340" w:lineRule="exact"/>
        <w:jc w:val="both"/>
        <w:rPr>
          <w:lang w:val="nl-NL"/>
        </w:rPr>
      </w:pPr>
      <w:r w:rsidRPr="00680438">
        <w:rPr>
          <w:lang w:val="nl-NL"/>
        </w:rPr>
        <w:tab/>
      </w:r>
      <w:r w:rsidR="00E45027" w:rsidRPr="00680438">
        <w:rPr>
          <w:b/>
          <w:lang w:val="nl-NL"/>
        </w:rPr>
        <w:t>3</w:t>
      </w:r>
      <w:r w:rsidRPr="00680438">
        <w:rPr>
          <w:b/>
          <w:lang w:val="nl-NL"/>
        </w:rPr>
        <w:t xml:space="preserve">. </w:t>
      </w:r>
      <w:r w:rsidRPr="00680438">
        <w:rPr>
          <w:lang w:val="nl-NL"/>
        </w:rPr>
        <w:t>Ngày ...., Bộ Tư pháp có Báo cáo thẩm định số ..../BCTĐ-BTP thẩm định đối với nội dung của dự thảo Nghị định.</w:t>
      </w:r>
    </w:p>
    <w:p w:rsidR="00C216D8" w:rsidRPr="006D1ABC" w:rsidRDefault="00415E52" w:rsidP="00AD6BCE">
      <w:pPr>
        <w:widowControl w:val="0"/>
        <w:spacing w:before="120" w:line="340" w:lineRule="exact"/>
        <w:jc w:val="both"/>
        <w:rPr>
          <w:lang w:val="nl-NL"/>
        </w:rPr>
      </w:pPr>
      <w:r w:rsidRPr="00680438">
        <w:rPr>
          <w:lang w:val="nl-NL"/>
        </w:rPr>
        <w:tab/>
      </w:r>
      <w:r w:rsidR="00E45027" w:rsidRPr="00680438">
        <w:rPr>
          <w:b/>
          <w:lang w:val="nl-NL"/>
        </w:rPr>
        <w:t>4</w:t>
      </w:r>
      <w:r w:rsidRPr="00680438">
        <w:rPr>
          <w:b/>
          <w:lang w:val="nl-NL"/>
        </w:rPr>
        <w:t>.</w:t>
      </w:r>
      <w:r w:rsidRPr="00680438">
        <w:rPr>
          <w:lang w:val="nl-NL"/>
        </w:rPr>
        <w:t xml:space="preserve"> Trên cơ sở tổng hợp ý kiến thẩm định của Bộ Tư pháp, Bộ Tài chính hoàn thiện dự thảo Nghị định để trình Chính phủ ban hành. </w:t>
      </w:r>
    </w:p>
    <w:p w:rsidR="00415E52" w:rsidRPr="00680438" w:rsidRDefault="00483CE2" w:rsidP="00AD6BCE">
      <w:pPr>
        <w:widowControl w:val="0"/>
        <w:spacing w:before="120" w:line="340" w:lineRule="exact"/>
        <w:ind w:firstLine="720"/>
        <w:jc w:val="both"/>
        <w:rPr>
          <w:b/>
          <w:lang w:val="nl-NL"/>
        </w:rPr>
      </w:pPr>
      <w:r w:rsidRPr="00680438">
        <w:rPr>
          <w:b/>
          <w:lang w:val="nl-NL"/>
        </w:rPr>
        <w:t xml:space="preserve">IV. </w:t>
      </w:r>
      <w:r w:rsidR="00415E52" w:rsidRPr="00680438">
        <w:rPr>
          <w:b/>
          <w:lang w:val="nl-NL"/>
        </w:rPr>
        <w:t>BỐ CỤC VÀ NỘI DUNG CƠ BẢN CỦA DỰ THẢO NGHỊ ĐỊNH</w:t>
      </w:r>
    </w:p>
    <w:p w:rsidR="00054E89" w:rsidRPr="00680438" w:rsidRDefault="00415E52" w:rsidP="00AD6BCE">
      <w:pPr>
        <w:widowControl w:val="0"/>
        <w:spacing w:before="120" w:line="340" w:lineRule="exact"/>
        <w:ind w:firstLine="720"/>
        <w:jc w:val="both"/>
        <w:rPr>
          <w:lang w:val="nl-NL"/>
        </w:rPr>
      </w:pPr>
      <w:r w:rsidRPr="00680438">
        <w:rPr>
          <w:b/>
          <w:lang w:val="nl-NL"/>
        </w:rPr>
        <w:t>1. Bố cục của Nghị định</w:t>
      </w:r>
    </w:p>
    <w:p w:rsidR="00227BA7" w:rsidRPr="00DE10DF" w:rsidRDefault="00DE10DF" w:rsidP="00AD6BCE">
      <w:pPr>
        <w:widowControl w:val="0"/>
        <w:spacing w:before="120" w:line="340" w:lineRule="exact"/>
        <w:ind w:firstLine="720"/>
        <w:jc w:val="both"/>
        <w:rPr>
          <w:spacing w:val="-2"/>
          <w:lang w:val="nl-NL"/>
        </w:rPr>
      </w:pPr>
      <w:r w:rsidRPr="00DE10DF">
        <w:rPr>
          <w:spacing w:val="-2"/>
          <w:lang w:val="pt-BR"/>
        </w:rPr>
        <w:t>Dự thảo Nghị định gồm 06 Chương, 42</w:t>
      </w:r>
      <w:r w:rsidR="001E1702" w:rsidRPr="00DE10DF">
        <w:rPr>
          <w:spacing w:val="-2"/>
          <w:lang w:val="pt-BR"/>
        </w:rPr>
        <w:t xml:space="preserve"> Điều, 01 Phụ lục, bao gồm: Chương I về các quy định chung (04 Điều); Chương II về tổ chức kinh doanh đặt cược (</w:t>
      </w:r>
      <w:r w:rsidRPr="00DE10DF">
        <w:rPr>
          <w:spacing w:val="-2"/>
          <w:lang w:val="pt-BR"/>
        </w:rPr>
        <w:t>14</w:t>
      </w:r>
      <w:r w:rsidR="001E1702" w:rsidRPr="00DE10DF">
        <w:rPr>
          <w:spacing w:val="-2"/>
          <w:lang w:val="pt-BR"/>
        </w:rPr>
        <w:t xml:space="preserve"> Điều); Chương I</w:t>
      </w:r>
      <w:r w:rsidRPr="00DE10DF">
        <w:rPr>
          <w:spacing w:val="-2"/>
          <w:lang w:val="pt-BR"/>
        </w:rPr>
        <w:t>II</w:t>
      </w:r>
      <w:r w:rsidR="001E1702" w:rsidRPr="00DE10DF">
        <w:rPr>
          <w:spacing w:val="-2"/>
          <w:lang w:val="pt-BR"/>
        </w:rPr>
        <w:t xml:space="preserve"> về điều kiện, quy trình thủ tục cấp G</w:t>
      </w:r>
      <w:r w:rsidR="00123933" w:rsidRPr="00DE10DF">
        <w:rPr>
          <w:spacing w:val="-2"/>
          <w:lang w:val="pt-BR"/>
        </w:rPr>
        <w:t>CNĐĐKKD</w:t>
      </w:r>
      <w:r w:rsidRPr="00DE10DF">
        <w:rPr>
          <w:spacing w:val="-2"/>
          <w:lang w:val="pt-BR"/>
        </w:rPr>
        <w:t xml:space="preserve"> (13</w:t>
      </w:r>
      <w:r w:rsidR="001E1702" w:rsidRPr="00DE10DF">
        <w:rPr>
          <w:spacing w:val="-2"/>
          <w:lang w:val="pt-BR"/>
        </w:rPr>
        <w:t xml:space="preserve"> Điều); Chương </w:t>
      </w:r>
      <w:r w:rsidR="00AD6BCE">
        <w:rPr>
          <w:spacing w:val="-2"/>
          <w:lang w:val="pt-BR"/>
        </w:rPr>
        <w:t>I</w:t>
      </w:r>
      <w:r w:rsidR="001E1702" w:rsidRPr="00DE10DF">
        <w:rPr>
          <w:spacing w:val="-2"/>
          <w:lang w:val="pt-BR"/>
        </w:rPr>
        <w:t>V về tài chính, kế toán và</w:t>
      </w:r>
      <w:r w:rsidR="00AD6BCE">
        <w:rPr>
          <w:spacing w:val="-2"/>
          <w:lang w:val="pt-BR"/>
        </w:rPr>
        <w:t xml:space="preserve"> kiểm toán (03 Điều); Chương V</w:t>
      </w:r>
      <w:r w:rsidR="001E1702" w:rsidRPr="00DE10DF">
        <w:rPr>
          <w:spacing w:val="-2"/>
          <w:lang w:val="pt-BR"/>
        </w:rPr>
        <w:t xml:space="preserve"> về quản lý nhà nước, kiểm tra, thanh tra (0</w:t>
      </w:r>
      <w:r w:rsidRPr="00DE10DF">
        <w:rPr>
          <w:spacing w:val="-2"/>
          <w:lang w:val="pt-BR"/>
        </w:rPr>
        <w:t>6</w:t>
      </w:r>
      <w:r w:rsidR="00AD6BCE">
        <w:rPr>
          <w:spacing w:val="-2"/>
          <w:lang w:val="pt-BR"/>
        </w:rPr>
        <w:t xml:space="preserve"> Điều); Chương VI</w:t>
      </w:r>
      <w:r w:rsidR="001E1702" w:rsidRPr="00DE10DF">
        <w:rPr>
          <w:spacing w:val="-2"/>
          <w:lang w:val="pt-BR"/>
        </w:rPr>
        <w:t xml:space="preserve"> về tổ chức thực hiện (02 Điều)</w:t>
      </w:r>
      <w:r w:rsidR="001E1702" w:rsidRPr="00DE10DF">
        <w:rPr>
          <w:spacing w:val="-2"/>
          <w:lang w:val="nl-NL"/>
        </w:rPr>
        <w:t>.</w:t>
      </w:r>
    </w:p>
    <w:p w:rsidR="00227BA7" w:rsidRDefault="00227BA7" w:rsidP="00AD6BCE">
      <w:pPr>
        <w:widowControl w:val="0"/>
        <w:spacing w:before="120" w:line="340" w:lineRule="exact"/>
        <w:ind w:firstLine="720"/>
        <w:jc w:val="both"/>
        <w:rPr>
          <w:b/>
        </w:rPr>
      </w:pPr>
      <w:r w:rsidRPr="00680438">
        <w:rPr>
          <w:b/>
        </w:rPr>
        <w:t>2. Nội dung cơ bản của Nghị định</w:t>
      </w:r>
    </w:p>
    <w:p w:rsidR="00C0315B" w:rsidRPr="00CA7755" w:rsidRDefault="00CA7755" w:rsidP="00AD6BCE">
      <w:pPr>
        <w:widowControl w:val="0"/>
        <w:spacing w:before="120" w:line="340" w:lineRule="exact"/>
        <w:ind w:firstLine="720"/>
        <w:jc w:val="both"/>
        <w:rPr>
          <w:b/>
          <w:i/>
        </w:rPr>
      </w:pPr>
      <w:r w:rsidRPr="00CA7755">
        <w:rPr>
          <w:b/>
          <w:i/>
        </w:rPr>
        <w:t>2.</w:t>
      </w:r>
      <w:r w:rsidRPr="00C378F0">
        <w:rPr>
          <w:b/>
          <w:i/>
        </w:rPr>
        <w:t xml:space="preserve">1. </w:t>
      </w:r>
      <w:r w:rsidR="00C0315B" w:rsidRPr="00CA7755">
        <w:rPr>
          <w:b/>
          <w:i/>
        </w:rPr>
        <w:t>Phạm vi điều chỉnh, đối tượng áp dụng</w:t>
      </w:r>
    </w:p>
    <w:p w:rsidR="00C0315B" w:rsidRPr="00312CB1" w:rsidRDefault="002D25C2" w:rsidP="00AD6BCE">
      <w:pPr>
        <w:widowControl w:val="0"/>
        <w:spacing w:before="120" w:line="340" w:lineRule="exact"/>
        <w:ind w:firstLine="720"/>
        <w:jc w:val="both"/>
        <w:rPr>
          <w:spacing w:val="-4"/>
          <w:lang w:val="nl-NL"/>
        </w:rPr>
      </w:pPr>
      <w:r>
        <w:rPr>
          <w:i/>
          <w:spacing w:val="-4"/>
          <w:lang w:val="nl-NL"/>
        </w:rPr>
        <w:t>-</w:t>
      </w:r>
      <w:r w:rsidR="00C0315B" w:rsidRPr="00312CB1">
        <w:rPr>
          <w:i/>
          <w:spacing w:val="-4"/>
          <w:lang w:val="nl-NL"/>
        </w:rPr>
        <w:t xml:space="preserve"> Phạm vi điều chỉnh: </w:t>
      </w:r>
      <w:r w:rsidR="00AD6BCE">
        <w:rPr>
          <w:spacing w:val="-4"/>
          <w:lang w:val="nl-NL"/>
        </w:rPr>
        <w:t xml:space="preserve">Nghị định này </w:t>
      </w:r>
      <w:r w:rsidR="00C0315B" w:rsidRPr="00312CB1">
        <w:rPr>
          <w:spacing w:val="-4"/>
          <w:lang w:val="nl-NL"/>
        </w:rPr>
        <w:t>quy định việc kinh doanh, quản lý hoạt động kinh doanh đặt cược đua ngựa, đặt cược đua chó và thí điểm đặt cược BĐQT.</w:t>
      </w:r>
    </w:p>
    <w:p w:rsidR="00C779E3" w:rsidRDefault="002D25C2" w:rsidP="00AD6BCE">
      <w:pPr>
        <w:widowControl w:val="0"/>
        <w:spacing w:before="120" w:line="340" w:lineRule="exact"/>
        <w:ind w:firstLine="720"/>
        <w:jc w:val="both"/>
        <w:rPr>
          <w:lang w:val="nl-NL"/>
        </w:rPr>
      </w:pPr>
      <w:r>
        <w:rPr>
          <w:i/>
          <w:lang w:val="nl-NL"/>
        </w:rPr>
        <w:t>-</w:t>
      </w:r>
      <w:r w:rsidR="00C0315B" w:rsidRPr="00CA7755">
        <w:rPr>
          <w:i/>
          <w:lang w:val="nl-NL"/>
        </w:rPr>
        <w:t xml:space="preserve"> Đối tượng áp dụng:</w:t>
      </w:r>
      <w:r w:rsidR="00C0315B" w:rsidRPr="00680438">
        <w:rPr>
          <w:b/>
          <w:lang w:val="nl-NL"/>
        </w:rPr>
        <w:t xml:space="preserve"> </w:t>
      </w:r>
      <w:r w:rsidR="00E71B1B" w:rsidRPr="00E71B1B">
        <w:rPr>
          <w:lang w:val="nl-NL"/>
        </w:rPr>
        <w:t xml:space="preserve">Nghị định này áp dụng đối với </w:t>
      </w:r>
      <w:r w:rsidR="00524275" w:rsidRPr="00E44C0B">
        <w:rPr>
          <w:lang w:val="nl-NL"/>
        </w:rPr>
        <w:t xml:space="preserve">các tổ chức, cá nhân trong và ngoài nước có liên quan đến hoạt động đầu tư, kinh doanh đặt cược đua ngựa, đua chó và đặt cược </w:t>
      </w:r>
      <w:r w:rsidR="00524275">
        <w:rPr>
          <w:lang w:val="nl-NL"/>
        </w:rPr>
        <w:t>BĐQT</w:t>
      </w:r>
      <w:r w:rsidR="00E71B1B">
        <w:rPr>
          <w:lang w:val="nl-NL"/>
        </w:rPr>
        <w:t>.</w:t>
      </w:r>
    </w:p>
    <w:p w:rsidR="003B5D9F" w:rsidRPr="00680438" w:rsidRDefault="003B5D9F" w:rsidP="00AD6BCE">
      <w:pPr>
        <w:widowControl w:val="0"/>
        <w:spacing w:before="120" w:line="340" w:lineRule="exact"/>
        <w:ind w:firstLine="720"/>
        <w:jc w:val="both"/>
        <w:rPr>
          <w:rFonts w:eastAsia="Times New Roman Bold"/>
          <w:b/>
          <w:i/>
          <w:lang w:val="pt-BR"/>
        </w:rPr>
      </w:pPr>
      <w:r w:rsidRPr="00680438">
        <w:rPr>
          <w:rFonts w:eastAsia="Times New Roman Bold"/>
          <w:b/>
          <w:i/>
          <w:lang w:val="pt-BR"/>
        </w:rPr>
        <w:t>2.</w:t>
      </w:r>
      <w:r w:rsidR="00D20BCE">
        <w:rPr>
          <w:rFonts w:eastAsia="Times New Roman Bold"/>
          <w:b/>
          <w:i/>
          <w:lang w:val="pt-BR"/>
        </w:rPr>
        <w:t>2</w:t>
      </w:r>
      <w:r w:rsidRPr="00680438">
        <w:rPr>
          <w:rFonts w:eastAsia="Times New Roman Bold"/>
          <w:b/>
          <w:i/>
          <w:lang w:val="pt-BR"/>
        </w:rPr>
        <w:t>. Nhóm chính sách về tổ chức kinh doanh đặt cược</w:t>
      </w:r>
    </w:p>
    <w:p w:rsidR="003B5D9F" w:rsidRPr="00271068" w:rsidRDefault="00B92A8D" w:rsidP="00AD6BCE">
      <w:pPr>
        <w:widowControl w:val="0"/>
        <w:spacing w:before="120" w:line="340" w:lineRule="exact"/>
        <w:ind w:firstLine="720"/>
        <w:jc w:val="both"/>
        <w:rPr>
          <w:rFonts w:eastAsia="Times New Roman Bold"/>
          <w:i/>
          <w:lang w:val="pt-BR"/>
        </w:rPr>
      </w:pPr>
      <w:r w:rsidRPr="00271068">
        <w:rPr>
          <w:rFonts w:eastAsia="Times New Roman Bold"/>
          <w:i/>
          <w:lang w:val="pt-BR"/>
        </w:rPr>
        <w:t>2.</w:t>
      </w:r>
      <w:r w:rsidR="00D20BCE">
        <w:rPr>
          <w:rFonts w:eastAsia="Times New Roman Bold"/>
          <w:i/>
          <w:lang w:val="pt-BR"/>
        </w:rPr>
        <w:t>2</w:t>
      </w:r>
      <w:r w:rsidRPr="00271068">
        <w:rPr>
          <w:rFonts w:eastAsia="Times New Roman Bold"/>
          <w:i/>
          <w:lang w:val="pt-BR"/>
        </w:rPr>
        <w:t>.</w:t>
      </w:r>
      <w:r w:rsidR="00AF2124">
        <w:rPr>
          <w:rFonts w:eastAsia="Times New Roman Bold"/>
          <w:i/>
          <w:lang w:val="pt-BR"/>
        </w:rPr>
        <w:t>1</w:t>
      </w:r>
      <w:r w:rsidRPr="00271068">
        <w:rPr>
          <w:rFonts w:eastAsia="Times New Roman Bold"/>
          <w:i/>
          <w:lang w:val="pt-BR"/>
        </w:rPr>
        <w:t xml:space="preserve">. </w:t>
      </w:r>
      <w:r w:rsidR="007B52AF" w:rsidRPr="00271068">
        <w:rPr>
          <w:rFonts w:eastAsia="Times New Roman Bold"/>
          <w:i/>
          <w:lang w:val="pt-BR"/>
        </w:rPr>
        <w:t>S</w:t>
      </w:r>
      <w:r w:rsidRPr="00271068">
        <w:rPr>
          <w:rFonts w:eastAsia="Times New Roman Bold"/>
          <w:i/>
          <w:lang w:val="pt-BR"/>
        </w:rPr>
        <w:t>ản phẩm đặt cược</w:t>
      </w:r>
      <w:r w:rsidR="00613436">
        <w:rPr>
          <w:rFonts w:eastAsia="Times New Roman Bold"/>
          <w:i/>
          <w:lang w:val="pt-BR"/>
        </w:rPr>
        <w:t xml:space="preserve"> và tần suất tổ chức đặt cược</w:t>
      </w:r>
      <w:r w:rsidRPr="00271068">
        <w:rPr>
          <w:rFonts w:eastAsia="Times New Roman Bold"/>
          <w:i/>
          <w:lang w:val="pt-BR"/>
        </w:rPr>
        <w:t xml:space="preserve"> </w:t>
      </w:r>
    </w:p>
    <w:p w:rsidR="00B92A8D" w:rsidRPr="00680438" w:rsidRDefault="00B92A8D" w:rsidP="00AD6BCE">
      <w:pPr>
        <w:widowControl w:val="0"/>
        <w:spacing w:before="120" w:line="340" w:lineRule="exact"/>
        <w:ind w:firstLine="720"/>
        <w:jc w:val="both"/>
        <w:rPr>
          <w:rFonts w:eastAsia="Times New Roman Bold"/>
          <w:i/>
          <w:lang w:val="pt-BR"/>
        </w:rPr>
      </w:pPr>
      <w:r w:rsidRPr="00680438">
        <w:rPr>
          <w:rFonts w:eastAsia="Times New Roman Bold"/>
          <w:i/>
          <w:lang w:val="pt-BR"/>
        </w:rPr>
        <w:lastRenderedPageBreak/>
        <w:t>a) Đối với đặt cược đua ngựa, đặt cược đua chó</w:t>
      </w:r>
    </w:p>
    <w:p w:rsidR="00F37D51" w:rsidRDefault="00927D9B" w:rsidP="00AD6BCE">
      <w:pPr>
        <w:widowControl w:val="0"/>
        <w:spacing w:before="120" w:line="340" w:lineRule="exact"/>
        <w:ind w:firstLine="720"/>
        <w:jc w:val="both"/>
        <w:rPr>
          <w:lang w:val="nl-NL"/>
        </w:rPr>
      </w:pPr>
      <w:r>
        <w:rPr>
          <w:rFonts w:eastAsia="Times New Roman Bold"/>
          <w:lang w:val="pt-BR"/>
        </w:rPr>
        <w:t xml:space="preserve">- </w:t>
      </w:r>
      <w:r w:rsidR="00882AC4" w:rsidRPr="00680438">
        <w:rPr>
          <w:rFonts w:eastAsia="Times New Roman Bold"/>
          <w:lang w:val="pt-BR"/>
        </w:rPr>
        <w:t xml:space="preserve">Nghị định số 06 </w:t>
      </w:r>
      <w:r w:rsidR="00882AC4">
        <w:rPr>
          <w:rFonts w:eastAsia="Times New Roman Bold"/>
          <w:lang w:val="pt-BR"/>
        </w:rPr>
        <w:t>quy định</w:t>
      </w:r>
      <w:r w:rsidR="00613436">
        <w:rPr>
          <w:rFonts w:eastAsia="Times New Roman Bold"/>
          <w:lang w:val="pt-BR"/>
        </w:rPr>
        <w:t>: (i)</w:t>
      </w:r>
      <w:r w:rsidR="00882AC4" w:rsidRPr="00680438">
        <w:rPr>
          <w:rFonts w:eastAsia="Times New Roman Bold"/>
          <w:lang w:val="pt-BR"/>
        </w:rPr>
        <w:t xml:space="preserve"> </w:t>
      </w:r>
      <w:r w:rsidR="00613436">
        <w:rPr>
          <w:rFonts w:eastAsia="Times New Roman Bold"/>
          <w:lang w:val="pt-BR"/>
        </w:rPr>
        <w:t>D</w:t>
      </w:r>
      <w:r w:rsidR="00882AC4" w:rsidRPr="00680438">
        <w:rPr>
          <w:rFonts w:eastAsia="Times New Roman Bold"/>
          <w:lang w:val="pt-BR"/>
        </w:rPr>
        <w:t xml:space="preserve">oanh nghiệp </w:t>
      </w:r>
      <w:r w:rsidR="00882AC4">
        <w:rPr>
          <w:rFonts w:eastAsia="Times New Roman Bold"/>
          <w:lang w:val="pt-BR"/>
        </w:rPr>
        <w:t xml:space="preserve">kinh doanh đặt cược đua ngựa, đua chó </w:t>
      </w:r>
      <w:r w:rsidR="00882AC4" w:rsidRPr="00680438">
        <w:rPr>
          <w:rFonts w:eastAsia="Times New Roman Bold"/>
          <w:lang w:val="pt-BR"/>
        </w:rPr>
        <w:t xml:space="preserve">chỉ được phép kinh doanh đặt cược </w:t>
      </w:r>
      <w:r w:rsidR="00882AC4">
        <w:rPr>
          <w:rFonts w:eastAsia="Times New Roman Bold"/>
          <w:lang w:val="pt-BR"/>
        </w:rPr>
        <w:t>dựa</w:t>
      </w:r>
      <w:r w:rsidR="00882AC4" w:rsidRPr="00680438">
        <w:rPr>
          <w:rFonts w:eastAsia="Times New Roman Bold"/>
          <w:lang w:val="pt-BR"/>
        </w:rPr>
        <w:t xml:space="preserve"> </w:t>
      </w:r>
      <w:r w:rsidR="00882AC4" w:rsidRPr="00680438">
        <w:rPr>
          <w:lang w:val="nl-NL"/>
        </w:rPr>
        <w:t xml:space="preserve">trên kết quả của các cuộc đua ngựa, đua chó tại trường đua do </w:t>
      </w:r>
      <w:r w:rsidR="00882AC4">
        <w:rPr>
          <w:lang w:val="nl-NL"/>
        </w:rPr>
        <w:t xml:space="preserve">chính </w:t>
      </w:r>
      <w:r w:rsidR="00882AC4" w:rsidRPr="00680438">
        <w:rPr>
          <w:lang w:val="nl-NL"/>
        </w:rPr>
        <w:t>doanh nghiệp tổ chức</w:t>
      </w:r>
      <w:r w:rsidR="00613436">
        <w:rPr>
          <w:lang w:val="nl-NL"/>
        </w:rPr>
        <w:t>; (ii) Việc tổ chức đặt cược đua ngựa, đua chó do doanh nghiệp quyết định nhưng phải đảm bảo tần suất tối đa không quá 03 ngày mỗi tuần</w:t>
      </w:r>
      <w:r w:rsidR="00882AC4">
        <w:rPr>
          <w:lang w:val="nl-NL"/>
        </w:rPr>
        <w:t xml:space="preserve"> (Điều 6 </w:t>
      </w:r>
      <w:r w:rsidR="00613436">
        <w:rPr>
          <w:lang w:val="nl-NL"/>
        </w:rPr>
        <w:t xml:space="preserve">và khoản 1 Điều 15 </w:t>
      </w:r>
      <w:r w:rsidR="00882AC4">
        <w:rPr>
          <w:lang w:val="nl-NL"/>
        </w:rPr>
        <w:t>Nghị định số 06)</w:t>
      </w:r>
      <w:r w:rsidR="00882AC4" w:rsidRPr="00680438">
        <w:rPr>
          <w:lang w:val="nl-NL"/>
        </w:rPr>
        <w:t>.</w:t>
      </w:r>
    </w:p>
    <w:p w:rsidR="00F37D51" w:rsidRPr="00D333E9" w:rsidRDefault="00F37D51" w:rsidP="00AD6BCE">
      <w:pPr>
        <w:widowControl w:val="0"/>
        <w:spacing w:before="120" w:line="340" w:lineRule="exact"/>
        <w:ind w:firstLine="720"/>
        <w:jc w:val="both"/>
        <w:rPr>
          <w:spacing w:val="-4"/>
          <w:lang w:val="nl-NL"/>
        </w:rPr>
      </w:pPr>
      <w:r w:rsidRPr="00D333E9">
        <w:rPr>
          <w:spacing w:val="-4"/>
          <w:lang w:val="pt-BR"/>
        </w:rPr>
        <w:t xml:space="preserve">- Qua theo dõi, tổng hợp tình hình, </w:t>
      </w:r>
      <w:r w:rsidRPr="00D333E9">
        <w:rPr>
          <w:spacing w:val="-4"/>
          <w:lang w:val="nl-NL"/>
        </w:rPr>
        <w:t>doanh nghiệp</w:t>
      </w:r>
      <w:r w:rsidR="00882AC4" w:rsidRPr="00D333E9">
        <w:rPr>
          <w:spacing w:val="-4"/>
          <w:lang w:val="nl-NL"/>
        </w:rPr>
        <w:t xml:space="preserve"> kinh doanh đặt cược đua ngựa, đua chó</w:t>
      </w:r>
      <w:r w:rsidRPr="00D333E9">
        <w:rPr>
          <w:spacing w:val="-4"/>
          <w:lang w:val="nl-NL"/>
        </w:rPr>
        <w:t xml:space="preserve"> </w:t>
      </w:r>
      <w:r w:rsidR="00882AC4" w:rsidRPr="00D333E9">
        <w:rPr>
          <w:spacing w:val="-4"/>
          <w:lang w:val="nl-NL"/>
        </w:rPr>
        <w:t>có</w:t>
      </w:r>
      <w:r w:rsidRPr="00D333E9">
        <w:rPr>
          <w:spacing w:val="-4"/>
          <w:lang w:val="nl-NL"/>
        </w:rPr>
        <w:t xml:space="preserve"> chi phí đầu tư </w:t>
      </w:r>
      <w:r w:rsidR="007E26BB" w:rsidRPr="00D333E9">
        <w:rPr>
          <w:spacing w:val="-4"/>
          <w:lang w:val="nl-NL"/>
        </w:rPr>
        <w:t xml:space="preserve">lớn (trường đua, hệ thống đặt cược, ngựa đua, chó đua) </w:t>
      </w:r>
      <w:r w:rsidRPr="00D333E9">
        <w:rPr>
          <w:spacing w:val="-4"/>
          <w:lang w:val="nl-NL"/>
        </w:rPr>
        <w:t>và chi phí vận hành lớn (chi phí nuôi, đào tạo, hu</w:t>
      </w:r>
      <w:r w:rsidR="007E26BB" w:rsidRPr="00D333E9">
        <w:rPr>
          <w:spacing w:val="-4"/>
          <w:lang w:val="nl-NL"/>
        </w:rPr>
        <w:t>ấn luyện ngựa, chó đua</w:t>
      </w:r>
      <w:r w:rsidR="00EC3585">
        <w:rPr>
          <w:spacing w:val="-4"/>
          <w:lang w:val="nl-NL"/>
        </w:rPr>
        <w:t>, hệ thống đặt cược</w:t>
      </w:r>
      <w:r w:rsidR="007E26BB" w:rsidRPr="00D333E9">
        <w:rPr>
          <w:spacing w:val="-4"/>
          <w:lang w:val="nl-NL"/>
        </w:rPr>
        <w:t>...</w:t>
      </w:r>
      <w:r w:rsidRPr="00D333E9">
        <w:rPr>
          <w:spacing w:val="-4"/>
          <w:lang w:val="nl-NL"/>
        </w:rPr>
        <w:t>). Trong khi đó, điều kiện về khí hậu nhiệt đới</w:t>
      </w:r>
      <w:r w:rsidR="00D333E9" w:rsidRPr="00D333E9">
        <w:rPr>
          <w:spacing w:val="-4"/>
          <w:lang w:val="nl-NL"/>
        </w:rPr>
        <w:t xml:space="preserve"> tại Việt Nam</w:t>
      </w:r>
      <w:r w:rsidR="00D333E9" w:rsidRPr="00D333E9">
        <w:rPr>
          <w:rStyle w:val="FootnoteReference"/>
          <w:spacing w:val="-4"/>
          <w:lang w:val="nl-NL"/>
        </w:rPr>
        <w:footnoteReference w:id="4"/>
      </w:r>
      <w:r w:rsidR="00AD6BCE">
        <w:rPr>
          <w:spacing w:val="-4"/>
          <w:lang w:val="nl-NL"/>
        </w:rPr>
        <w:t xml:space="preserve"> </w:t>
      </w:r>
      <w:r w:rsidRPr="00D333E9">
        <w:rPr>
          <w:spacing w:val="-4"/>
          <w:lang w:val="nl-NL"/>
        </w:rPr>
        <w:t xml:space="preserve">ảnh hưởng lớn đến </w:t>
      </w:r>
      <w:r w:rsidR="00D333E9" w:rsidRPr="00D333E9">
        <w:rPr>
          <w:spacing w:val="-4"/>
          <w:lang w:val="nl-NL"/>
        </w:rPr>
        <w:t xml:space="preserve">việc tổ chức </w:t>
      </w:r>
      <w:r w:rsidRPr="00D333E9">
        <w:rPr>
          <w:spacing w:val="-4"/>
          <w:lang w:val="nl-NL"/>
        </w:rPr>
        <w:t>kinh doanh</w:t>
      </w:r>
      <w:r w:rsidR="00D333E9" w:rsidRPr="00D333E9">
        <w:rPr>
          <w:spacing w:val="-4"/>
          <w:lang w:val="nl-NL"/>
        </w:rPr>
        <w:t xml:space="preserve"> đặt cược đua ngựa, đua chó</w:t>
      </w:r>
      <w:r w:rsidRPr="00D333E9">
        <w:rPr>
          <w:spacing w:val="-4"/>
          <w:lang w:val="nl-NL"/>
        </w:rPr>
        <w:t xml:space="preserve">. </w:t>
      </w:r>
      <w:r w:rsidRPr="00D333E9">
        <w:rPr>
          <w:bCs/>
          <w:iCs/>
          <w:spacing w:val="-4"/>
          <w:lang w:val="pt-BR"/>
        </w:rPr>
        <w:t xml:space="preserve">Do đó, nếu chỉ </w:t>
      </w:r>
      <w:r w:rsidR="007E26BB" w:rsidRPr="00D333E9">
        <w:rPr>
          <w:bCs/>
          <w:iCs/>
          <w:spacing w:val="-4"/>
          <w:lang w:val="pt-BR"/>
        </w:rPr>
        <w:t xml:space="preserve">cho phép kinh doanh đặt cược </w:t>
      </w:r>
      <w:r w:rsidR="00D333E9" w:rsidRPr="00D333E9">
        <w:rPr>
          <w:bCs/>
          <w:iCs/>
          <w:spacing w:val="-4"/>
          <w:lang w:val="pt-BR"/>
        </w:rPr>
        <w:t xml:space="preserve">dựa trên các cuộc đua </w:t>
      </w:r>
      <w:r w:rsidR="007E26BB" w:rsidRPr="00D333E9">
        <w:rPr>
          <w:bCs/>
          <w:iCs/>
          <w:spacing w:val="-4"/>
          <w:lang w:val="pt-BR"/>
        </w:rPr>
        <w:t xml:space="preserve">do </w:t>
      </w:r>
      <w:r w:rsidRPr="00D333E9">
        <w:rPr>
          <w:bCs/>
          <w:iCs/>
          <w:spacing w:val="-4"/>
          <w:lang w:val="pt-BR"/>
        </w:rPr>
        <w:t xml:space="preserve">doanh nghiệp tổ chức </w:t>
      </w:r>
      <w:r w:rsidR="00613436">
        <w:rPr>
          <w:bCs/>
          <w:iCs/>
          <w:spacing w:val="-4"/>
          <w:lang w:val="pt-BR"/>
        </w:rPr>
        <w:t xml:space="preserve">với tần suất tối đa 03 ngày/tuần </w:t>
      </w:r>
      <w:r w:rsidRPr="00D333E9">
        <w:rPr>
          <w:bCs/>
          <w:iCs/>
          <w:spacing w:val="-4"/>
          <w:lang w:val="pt-BR"/>
        </w:rPr>
        <w:t xml:space="preserve">thì sẽ </w:t>
      </w:r>
      <w:r w:rsidR="007E26BB" w:rsidRPr="00D333E9">
        <w:rPr>
          <w:bCs/>
          <w:iCs/>
          <w:spacing w:val="-4"/>
          <w:lang w:val="pt-BR"/>
        </w:rPr>
        <w:t xml:space="preserve">gặp </w:t>
      </w:r>
      <w:r w:rsidRPr="00D333E9">
        <w:rPr>
          <w:bCs/>
          <w:iCs/>
          <w:spacing w:val="-4"/>
          <w:lang w:val="pt-BR"/>
        </w:rPr>
        <w:t xml:space="preserve">khó khăn </w:t>
      </w:r>
      <w:r w:rsidR="00D333E9" w:rsidRPr="00D333E9">
        <w:rPr>
          <w:bCs/>
          <w:iCs/>
          <w:spacing w:val="-4"/>
          <w:lang w:val="pt-BR"/>
        </w:rPr>
        <w:t xml:space="preserve">(do </w:t>
      </w:r>
      <w:r w:rsidR="00F023A9" w:rsidRPr="00D333E9">
        <w:rPr>
          <w:bCs/>
          <w:iCs/>
          <w:spacing w:val="-4"/>
          <w:lang w:val="pt-BR"/>
        </w:rPr>
        <w:t>người chơi ít</w:t>
      </w:r>
      <w:r w:rsidRPr="00D333E9">
        <w:rPr>
          <w:bCs/>
          <w:iCs/>
          <w:spacing w:val="-4"/>
          <w:lang w:val="pt-BR"/>
        </w:rPr>
        <w:t xml:space="preserve">, </w:t>
      </w:r>
      <w:r w:rsidR="007E26BB" w:rsidRPr="00D333E9">
        <w:rPr>
          <w:bCs/>
          <w:iCs/>
          <w:spacing w:val="-4"/>
          <w:lang w:val="pt-BR"/>
        </w:rPr>
        <w:t xml:space="preserve">kinh doanh </w:t>
      </w:r>
      <w:r w:rsidR="007E26BB" w:rsidRPr="00D333E9">
        <w:rPr>
          <w:spacing w:val="-4"/>
          <w:lang w:val="nl-NL"/>
        </w:rPr>
        <w:t>bị gián đoạn, thiếu ổn định</w:t>
      </w:r>
      <w:r w:rsidR="00D333E9" w:rsidRPr="00D333E9">
        <w:rPr>
          <w:spacing w:val="-4"/>
          <w:lang w:val="nl-NL"/>
        </w:rPr>
        <w:t>)</w:t>
      </w:r>
      <w:r w:rsidR="007E26BB" w:rsidRPr="00D333E9">
        <w:rPr>
          <w:bCs/>
          <w:iCs/>
          <w:spacing w:val="-4"/>
          <w:lang w:val="pt-BR"/>
        </w:rPr>
        <w:t xml:space="preserve"> và </w:t>
      </w:r>
      <w:r w:rsidRPr="00D333E9">
        <w:rPr>
          <w:bCs/>
          <w:iCs/>
          <w:spacing w:val="-4"/>
          <w:lang w:val="pt-BR"/>
        </w:rPr>
        <w:t xml:space="preserve">khó có thể thu hồi vốn đầu tư. </w:t>
      </w:r>
    </w:p>
    <w:p w:rsidR="00D5491B" w:rsidRPr="00C012BD" w:rsidRDefault="00F37D51" w:rsidP="00AD6BCE">
      <w:pPr>
        <w:widowControl w:val="0"/>
        <w:spacing w:before="120" w:line="340" w:lineRule="exact"/>
        <w:ind w:firstLine="720"/>
        <w:jc w:val="both"/>
        <w:rPr>
          <w:spacing w:val="-3"/>
          <w:lang w:val="nl-NL"/>
        </w:rPr>
      </w:pPr>
      <w:r w:rsidRPr="00C012BD">
        <w:rPr>
          <w:spacing w:val="-3"/>
          <w:lang w:val="nl-NL"/>
        </w:rPr>
        <w:t xml:space="preserve">Hiện nay, </w:t>
      </w:r>
      <w:r w:rsidRPr="00C012BD">
        <w:rPr>
          <w:spacing w:val="-3"/>
        </w:rPr>
        <w:t>Liên đoàn đua ngựa Quốc tế (</w:t>
      </w:r>
      <w:r w:rsidRPr="00C012BD">
        <w:rPr>
          <w:rStyle w:val="Strong"/>
          <w:b w:val="0"/>
          <w:spacing w:val="-3"/>
        </w:rPr>
        <w:t>International Federation of Horseracing Authorities</w:t>
      </w:r>
      <w:r w:rsidRPr="00C012BD">
        <w:rPr>
          <w:b/>
          <w:spacing w:val="-3"/>
        </w:rPr>
        <w:t xml:space="preserve"> </w:t>
      </w:r>
      <w:r w:rsidRPr="00C012BD">
        <w:rPr>
          <w:spacing w:val="-3"/>
        </w:rPr>
        <w:t xml:space="preserve">- IFHA) và các </w:t>
      </w:r>
      <w:r w:rsidR="00783906" w:rsidRPr="00C012BD">
        <w:rPr>
          <w:spacing w:val="-3"/>
        </w:rPr>
        <w:t xml:space="preserve">thành viên của </w:t>
      </w:r>
      <w:r w:rsidRPr="00C012BD">
        <w:rPr>
          <w:spacing w:val="-3"/>
        </w:rPr>
        <w:t>IFHA</w:t>
      </w:r>
      <w:r w:rsidRPr="00C012BD">
        <w:rPr>
          <w:rStyle w:val="FootnoteReference"/>
          <w:spacing w:val="-3"/>
        </w:rPr>
        <w:footnoteReference w:id="5"/>
      </w:r>
      <w:r w:rsidRPr="00C012BD">
        <w:rPr>
          <w:spacing w:val="-3"/>
        </w:rPr>
        <w:t xml:space="preserve"> </w:t>
      </w:r>
      <w:r w:rsidR="00783906" w:rsidRPr="00C012BD">
        <w:rPr>
          <w:spacing w:val="-3"/>
        </w:rPr>
        <w:t>có</w:t>
      </w:r>
      <w:r w:rsidRPr="00C012BD">
        <w:rPr>
          <w:spacing w:val="-3"/>
        </w:rPr>
        <w:t xml:space="preserve"> tổ chức cuộc đua</w:t>
      </w:r>
      <w:r w:rsidR="00783906" w:rsidRPr="00C012BD">
        <w:rPr>
          <w:spacing w:val="-3"/>
        </w:rPr>
        <w:t xml:space="preserve"> ngựa</w:t>
      </w:r>
      <w:r w:rsidRPr="00C012BD">
        <w:rPr>
          <w:spacing w:val="-3"/>
        </w:rPr>
        <w:t xml:space="preserve"> uy tín, </w:t>
      </w:r>
      <w:r w:rsidR="00783906" w:rsidRPr="00C012BD">
        <w:rPr>
          <w:spacing w:val="-3"/>
        </w:rPr>
        <w:t>công khai, minh bạch; được</w:t>
      </w:r>
      <w:r w:rsidRPr="00C012BD">
        <w:rPr>
          <w:spacing w:val="-3"/>
        </w:rPr>
        <w:t xml:space="preserve"> </w:t>
      </w:r>
      <w:r w:rsidR="00783906" w:rsidRPr="00C012BD">
        <w:rPr>
          <w:spacing w:val="-3"/>
        </w:rPr>
        <w:t>t</w:t>
      </w:r>
      <w:r w:rsidRPr="00C012BD">
        <w:rPr>
          <w:spacing w:val="-3"/>
        </w:rPr>
        <w:t>ruyền hình trực tiếp đến người xem</w:t>
      </w:r>
      <w:r w:rsidR="002E1353" w:rsidRPr="00C012BD">
        <w:rPr>
          <w:spacing w:val="-3"/>
        </w:rPr>
        <w:t xml:space="preserve"> và </w:t>
      </w:r>
      <w:r w:rsidRPr="00C012BD">
        <w:rPr>
          <w:spacing w:val="-3"/>
        </w:rPr>
        <w:t xml:space="preserve">doanh nghiệp kinh doanh đặt cược đua ngựa trên thế giới có </w:t>
      </w:r>
      <w:r w:rsidR="002E1353" w:rsidRPr="00C012BD">
        <w:rPr>
          <w:spacing w:val="-3"/>
        </w:rPr>
        <w:t xml:space="preserve">sử dụng các </w:t>
      </w:r>
      <w:r w:rsidRPr="00C012BD">
        <w:rPr>
          <w:spacing w:val="-3"/>
        </w:rPr>
        <w:t xml:space="preserve">cuộc đua </w:t>
      </w:r>
      <w:r w:rsidR="00C03A4C" w:rsidRPr="00C012BD">
        <w:rPr>
          <w:spacing w:val="-3"/>
        </w:rPr>
        <w:t xml:space="preserve">do IFHA và các thành viên của IFHA </w:t>
      </w:r>
      <w:r w:rsidR="002E1353" w:rsidRPr="00C012BD">
        <w:rPr>
          <w:spacing w:val="-3"/>
        </w:rPr>
        <w:t xml:space="preserve">tổ chức </w:t>
      </w:r>
      <w:r w:rsidRPr="00C012BD">
        <w:rPr>
          <w:spacing w:val="-3"/>
        </w:rPr>
        <w:t xml:space="preserve">để kinh doanh đặt cược bên cạnh </w:t>
      </w:r>
      <w:r w:rsidR="002E1353" w:rsidRPr="00C012BD">
        <w:rPr>
          <w:spacing w:val="-3"/>
        </w:rPr>
        <w:t>các</w:t>
      </w:r>
      <w:r w:rsidR="000C0171" w:rsidRPr="00C012BD">
        <w:rPr>
          <w:spacing w:val="-3"/>
        </w:rPr>
        <w:t xml:space="preserve"> cuộc đua do</w:t>
      </w:r>
      <w:r w:rsidRPr="00C012BD">
        <w:rPr>
          <w:spacing w:val="-3"/>
        </w:rPr>
        <w:t xml:space="preserve"> doanh nghiệp tổ chức. </w:t>
      </w:r>
      <w:r w:rsidRPr="00C012BD">
        <w:rPr>
          <w:spacing w:val="-3"/>
          <w:lang w:val="nl-NL"/>
        </w:rPr>
        <w:t xml:space="preserve">Đối với đặt cược đua chó, </w:t>
      </w:r>
      <w:r w:rsidR="000C0171" w:rsidRPr="00C012BD">
        <w:rPr>
          <w:spacing w:val="-3"/>
          <w:lang w:val="nl-NL"/>
        </w:rPr>
        <w:t xml:space="preserve">một số quốc gia </w:t>
      </w:r>
      <w:r w:rsidRPr="00C012BD">
        <w:rPr>
          <w:spacing w:val="-3"/>
          <w:lang w:val="nl-NL"/>
        </w:rPr>
        <w:t>(gồm Mỹ, Anh, Ireland, Úc, New Zealand)</w:t>
      </w:r>
      <w:r w:rsidR="00C03A4C" w:rsidRPr="00C012BD">
        <w:rPr>
          <w:spacing w:val="-3"/>
          <w:lang w:val="nl-NL"/>
        </w:rPr>
        <w:t xml:space="preserve"> </w:t>
      </w:r>
      <w:r w:rsidR="000C0171" w:rsidRPr="00C012BD">
        <w:rPr>
          <w:spacing w:val="-3"/>
          <w:lang w:val="nl-NL"/>
        </w:rPr>
        <w:t>cho phép</w:t>
      </w:r>
      <w:r w:rsidR="00C03A4C" w:rsidRPr="00C012BD">
        <w:rPr>
          <w:spacing w:val="-3"/>
          <w:lang w:val="nl-NL"/>
        </w:rPr>
        <w:t xml:space="preserve"> </w:t>
      </w:r>
      <w:r w:rsidRPr="00C012BD">
        <w:rPr>
          <w:spacing w:val="-3"/>
          <w:lang w:val="nl-NL"/>
        </w:rPr>
        <w:t xml:space="preserve">doanh nghiệp </w:t>
      </w:r>
      <w:r w:rsidRPr="00C012BD">
        <w:rPr>
          <w:spacing w:val="-3"/>
        </w:rPr>
        <w:t xml:space="preserve">kinh doanh đặt cược </w:t>
      </w:r>
      <w:r w:rsidR="002E1353" w:rsidRPr="00C012BD">
        <w:rPr>
          <w:spacing w:val="-3"/>
        </w:rPr>
        <w:t xml:space="preserve">đua chó sử dụng các cuộc đua </w:t>
      </w:r>
      <w:r w:rsidR="000C0171" w:rsidRPr="00C012BD">
        <w:rPr>
          <w:spacing w:val="-3"/>
        </w:rPr>
        <w:t xml:space="preserve">chó tổ chức </w:t>
      </w:r>
      <w:r w:rsidR="002E1353" w:rsidRPr="00C012BD">
        <w:rPr>
          <w:spacing w:val="-3"/>
        </w:rPr>
        <w:t xml:space="preserve">tại các quốc gia </w:t>
      </w:r>
      <w:r w:rsidR="000C0171" w:rsidRPr="00C012BD">
        <w:rPr>
          <w:spacing w:val="-3"/>
        </w:rPr>
        <w:t>khác</w:t>
      </w:r>
      <w:r w:rsidR="002E1353" w:rsidRPr="00C012BD">
        <w:rPr>
          <w:spacing w:val="-3"/>
        </w:rPr>
        <w:t xml:space="preserve"> </w:t>
      </w:r>
      <w:r w:rsidRPr="00C012BD">
        <w:rPr>
          <w:spacing w:val="-3"/>
        </w:rPr>
        <w:t>để kinh doanh đặt cược</w:t>
      </w:r>
      <w:r w:rsidR="002E1353" w:rsidRPr="00C012BD">
        <w:rPr>
          <w:spacing w:val="-3"/>
        </w:rPr>
        <w:t xml:space="preserve"> </w:t>
      </w:r>
      <w:r w:rsidRPr="00C012BD">
        <w:rPr>
          <w:spacing w:val="-3"/>
        </w:rPr>
        <w:t xml:space="preserve">bên cạnh </w:t>
      </w:r>
      <w:r w:rsidR="00C03A4C" w:rsidRPr="00C012BD">
        <w:rPr>
          <w:spacing w:val="-3"/>
        </w:rPr>
        <w:t>các</w:t>
      </w:r>
      <w:r w:rsidRPr="00C012BD">
        <w:rPr>
          <w:spacing w:val="-3"/>
        </w:rPr>
        <w:t xml:space="preserve"> cuộc đua do chính doanh nghiệp tổ chức.</w:t>
      </w:r>
      <w:r w:rsidRPr="00C012BD">
        <w:rPr>
          <w:spacing w:val="-3"/>
          <w:lang w:val="nl-NL"/>
        </w:rPr>
        <w:t xml:space="preserve">   </w:t>
      </w:r>
    </w:p>
    <w:p w:rsidR="00406513" w:rsidRPr="00680438" w:rsidRDefault="00F37D51" w:rsidP="00AD6BCE">
      <w:pPr>
        <w:widowControl w:val="0"/>
        <w:spacing w:before="120" w:line="340" w:lineRule="exact"/>
        <w:ind w:firstLine="720"/>
        <w:jc w:val="both"/>
        <w:rPr>
          <w:lang w:val="nl-NL"/>
        </w:rPr>
      </w:pPr>
      <w:r w:rsidRPr="005C4A8E">
        <w:rPr>
          <w:lang w:val="nl-NL"/>
        </w:rPr>
        <w:t xml:space="preserve">Do vậy, </w:t>
      </w:r>
      <w:r w:rsidR="00D5491B">
        <w:rPr>
          <w:lang w:val="pt-BR"/>
        </w:rPr>
        <w:t>Bộ Tài chính</w:t>
      </w:r>
      <w:r w:rsidRPr="005C4A8E">
        <w:rPr>
          <w:spacing w:val="-1"/>
          <w:lang w:val="nl-NL"/>
        </w:rPr>
        <w:t xml:space="preserve"> trình Chính phủ</w:t>
      </w:r>
      <w:r w:rsidR="00B86A4E">
        <w:rPr>
          <w:spacing w:val="-1"/>
          <w:lang w:val="nl-NL"/>
        </w:rPr>
        <w:t xml:space="preserve"> quy định</w:t>
      </w:r>
      <w:r w:rsidR="001219CB">
        <w:rPr>
          <w:spacing w:val="-1"/>
          <w:lang w:val="nl-NL"/>
        </w:rPr>
        <w:t xml:space="preserve"> theo hướng</w:t>
      </w:r>
      <w:r w:rsidRPr="005C4A8E">
        <w:rPr>
          <w:lang w:val="pt-BR"/>
        </w:rPr>
        <w:t xml:space="preserve">: </w:t>
      </w:r>
      <w:r w:rsidR="00D25A54">
        <w:rPr>
          <w:lang w:val="pt-BR"/>
        </w:rPr>
        <w:t xml:space="preserve">(i) Doanh nghiệp </w:t>
      </w:r>
      <w:r w:rsidR="00071C12">
        <w:rPr>
          <w:lang w:val="pt-BR"/>
        </w:rPr>
        <w:t xml:space="preserve">tự quyết định sản </w:t>
      </w:r>
      <w:r w:rsidR="00D25A54">
        <w:rPr>
          <w:lang w:val="pt-BR"/>
        </w:rPr>
        <w:t xml:space="preserve">phẩm </w:t>
      </w:r>
      <w:r w:rsidR="00613436">
        <w:rPr>
          <w:lang w:val="pt-BR"/>
        </w:rPr>
        <w:t xml:space="preserve">đặt cược </w:t>
      </w:r>
      <w:r w:rsidR="00071C12">
        <w:rPr>
          <w:lang w:val="pt-BR"/>
        </w:rPr>
        <w:t>(dựa trên thứ hạng ngựa đua, chó đua khi về đích và các sự kiện xảy ra trong cuộc đua)</w:t>
      </w:r>
      <w:r w:rsidR="00EC3585">
        <w:rPr>
          <w:lang w:val="pt-BR"/>
        </w:rPr>
        <w:t xml:space="preserve"> </w:t>
      </w:r>
      <w:r w:rsidR="00071C12">
        <w:rPr>
          <w:lang w:val="pt-BR"/>
        </w:rPr>
        <w:t>phù hợp với nhu cầu kinh doa</w:t>
      </w:r>
      <w:r w:rsidR="00613436">
        <w:rPr>
          <w:lang w:val="pt-BR"/>
        </w:rPr>
        <w:t xml:space="preserve">nh và phải </w:t>
      </w:r>
      <w:r w:rsidR="00255E65">
        <w:rPr>
          <w:lang w:val="pt-BR"/>
        </w:rPr>
        <w:t>quy định tại</w:t>
      </w:r>
      <w:r w:rsidR="00613436">
        <w:rPr>
          <w:lang w:val="pt-BR"/>
        </w:rPr>
        <w:t xml:space="preserve"> Thể lệ đặt c</w:t>
      </w:r>
      <w:r w:rsidR="00071C12">
        <w:rPr>
          <w:lang w:val="pt-BR"/>
        </w:rPr>
        <w:t>ược đối với từng sản phẩm đặt cược</w:t>
      </w:r>
      <w:r w:rsidR="00255E65">
        <w:rPr>
          <w:lang w:val="pt-BR"/>
        </w:rPr>
        <w:t xml:space="preserve"> </w:t>
      </w:r>
      <w:r w:rsidR="00255E65">
        <w:rPr>
          <w:lang w:val="nl-NL"/>
        </w:rPr>
        <w:t>gửi cơ quan nhà nước để theo dõi, quản lý và được công bố công khai để người chơi được biết</w:t>
      </w:r>
      <w:r w:rsidR="00071C12">
        <w:rPr>
          <w:lang w:val="pt-BR"/>
        </w:rPr>
        <w:t xml:space="preserve">; (ii) </w:t>
      </w:r>
      <w:r w:rsidR="001219CB">
        <w:rPr>
          <w:lang w:val="pt-BR"/>
        </w:rPr>
        <w:t xml:space="preserve">Ngoài việc sử dụng kết quả các cuộc đua cho </w:t>
      </w:r>
      <w:r w:rsidR="00071C12">
        <w:rPr>
          <w:lang w:val="pt-BR"/>
        </w:rPr>
        <w:t xml:space="preserve">chính </w:t>
      </w:r>
      <w:r w:rsidR="001219CB">
        <w:rPr>
          <w:lang w:val="pt-BR"/>
        </w:rPr>
        <w:t>doanh nghiệp tổ chức để kinh doanh, d</w:t>
      </w:r>
      <w:r w:rsidR="00F22ABE" w:rsidRPr="005C4A8E">
        <w:rPr>
          <w:rFonts w:eastAsia="Times New Roman Bold"/>
          <w:lang w:val="pt-BR"/>
        </w:rPr>
        <w:t xml:space="preserve">oanh nghiệp </w:t>
      </w:r>
      <w:r w:rsidR="001219CB">
        <w:rPr>
          <w:rFonts w:eastAsia="Times New Roman Bold"/>
          <w:lang w:val="pt-BR"/>
        </w:rPr>
        <w:t>được phép sử</w:t>
      </w:r>
      <w:r w:rsidR="00071C12">
        <w:rPr>
          <w:rFonts w:eastAsia="Times New Roman Bold"/>
          <w:lang w:val="pt-BR"/>
        </w:rPr>
        <w:t xml:space="preserve"> d</w:t>
      </w:r>
      <w:r w:rsidR="001219CB">
        <w:rPr>
          <w:rFonts w:eastAsia="Times New Roman Bold"/>
          <w:lang w:val="pt-BR"/>
        </w:rPr>
        <w:t>ụng các cuộc đua ngựa, đua chó</w:t>
      </w:r>
      <w:r w:rsidR="00071C12">
        <w:rPr>
          <w:rFonts w:eastAsia="Times New Roman Bold"/>
          <w:lang w:val="pt-BR"/>
        </w:rPr>
        <w:t xml:space="preserve"> tổ chức</w:t>
      </w:r>
      <w:r w:rsidR="001219CB">
        <w:rPr>
          <w:rFonts w:eastAsia="Times New Roman Bold"/>
          <w:lang w:val="pt-BR"/>
        </w:rPr>
        <w:t xml:space="preserve"> ở nước ngoài để kinh doanh đặt cược (gồm các cuộc đua, giải đấu </w:t>
      </w:r>
      <w:r w:rsidR="00071C12">
        <w:rPr>
          <w:rFonts w:eastAsia="Times New Roman Bold"/>
          <w:lang w:val="pt-BR"/>
        </w:rPr>
        <w:t>đua ngựa</w:t>
      </w:r>
      <w:r w:rsidR="00AD487E">
        <w:rPr>
          <w:rFonts w:eastAsia="Times New Roman Bold"/>
          <w:lang w:val="pt-BR"/>
        </w:rPr>
        <w:t xml:space="preserve"> </w:t>
      </w:r>
      <w:r w:rsidR="001219CB" w:rsidRPr="005C4A8E">
        <w:t xml:space="preserve">được IFHA hoặc </w:t>
      </w:r>
      <w:r w:rsidR="001219CB">
        <w:t>thành viên của</w:t>
      </w:r>
      <w:r w:rsidR="001219CB" w:rsidRPr="005C4A8E">
        <w:t xml:space="preserve"> IFHA tổ chức</w:t>
      </w:r>
      <w:r w:rsidR="001219CB">
        <w:t xml:space="preserve"> và </w:t>
      </w:r>
      <w:r w:rsidR="001219CB" w:rsidRPr="005C4A8E">
        <w:rPr>
          <w:lang w:val="nl-NL"/>
        </w:rPr>
        <w:t xml:space="preserve">các cuộc đua chó </w:t>
      </w:r>
      <w:r w:rsidR="001219CB">
        <w:rPr>
          <w:lang w:val="nl-NL"/>
        </w:rPr>
        <w:t xml:space="preserve">Greyhound thuộc </w:t>
      </w:r>
      <w:r w:rsidR="001219CB" w:rsidRPr="005C4A8E">
        <w:rPr>
          <w:lang w:val="nl-NL"/>
        </w:rPr>
        <w:t xml:space="preserve">hệ thống giải đấu tại các quốc gia </w:t>
      </w:r>
      <w:r w:rsidR="001219CB">
        <w:rPr>
          <w:lang w:val="nl-NL"/>
        </w:rPr>
        <w:t>trên thế giới)</w:t>
      </w:r>
      <w:r w:rsidR="00EC3585">
        <w:rPr>
          <w:rFonts w:eastAsia="Times New Roman Bold"/>
          <w:lang w:val="pt-BR"/>
        </w:rPr>
        <w:t>;</w:t>
      </w:r>
      <w:r w:rsidR="001219CB">
        <w:rPr>
          <w:rFonts w:eastAsia="Times New Roman Bold"/>
          <w:lang w:val="pt-BR"/>
        </w:rPr>
        <w:t xml:space="preserve"> (i</w:t>
      </w:r>
      <w:r w:rsidR="00EC3585">
        <w:rPr>
          <w:rFonts w:eastAsia="Times New Roman Bold"/>
          <w:lang w:val="pt-BR"/>
        </w:rPr>
        <w:t>i</w:t>
      </w:r>
      <w:r w:rsidR="001219CB">
        <w:rPr>
          <w:rFonts w:eastAsia="Times New Roman Bold"/>
          <w:lang w:val="pt-BR"/>
        </w:rPr>
        <w:t xml:space="preserve">i) </w:t>
      </w:r>
      <w:r w:rsidR="00460588">
        <w:rPr>
          <w:lang w:val="nl-NL"/>
        </w:rPr>
        <w:t>D</w:t>
      </w:r>
      <w:r w:rsidRPr="005C4A8E">
        <w:rPr>
          <w:lang w:val="nl-NL"/>
        </w:rPr>
        <w:t xml:space="preserve">oanh nghiệp </w:t>
      </w:r>
      <w:r w:rsidR="001219CB">
        <w:rPr>
          <w:lang w:val="nl-NL"/>
        </w:rPr>
        <w:t>phải</w:t>
      </w:r>
      <w:r w:rsidRPr="005C4A8E">
        <w:rPr>
          <w:lang w:val="nl-NL"/>
        </w:rPr>
        <w:t xml:space="preserve"> mua bản quyền khai thác, sử dụng hình ảnh, kết quả các cuộc đua ngựa, đua chó theo quy </w:t>
      </w:r>
      <w:r w:rsidRPr="005C4A8E">
        <w:rPr>
          <w:lang w:val="nl-NL"/>
        </w:rPr>
        <w:lastRenderedPageBreak/>
        <w:t xml:space="preserve">định của pháp luật </w:t>
      </w:r>
      <w:r w:rsidR="000151FA" w:rsidRPr="000151FA">
        <w:rPr>
          <w:lang w:val="nl-NL"/>
        </w:rPr>
        <w:t>(khoản 2 và khoản 3 Điều 6, điểm k khoản 2 Điều 18 dự thảo Nghị định).</w:t>
      </w:r>
    </w:p>
    <w:p w:rsidR="00B92A8D" w:rsidRPr="00680438" w:rsidRDefault="00F7359A" w:rsidP="00AD6BCE">
      <w:pPr>
        <w:widowControl w:val="0"/>
        <w:spacing w:before="120" w:line="340" w:lineRule="exact"/>
        <w:ind w:firstLine="720"/>
        <w:jc w:val="both"/>
        <w:rPr>
          <w:rFonts w:eastAsia="Times New Roman Bold"/>
          <w:lang w:val="pt-BR"/>
        </w:rPr>
      </w:pPr>
      <w:r w:rsidRPr="00680438">
        <w:rPr>
          <w:rFonts w:eastAsia="Times New Roman Bold"/>
          <w:i/>
          <w:lang w:val="pt-BR"/>
        </w:rPr>
        <w:t xml:space="preserve">b) Đối với đặt cược </w:t>
      </w:r>
      <w:r w:rsidR="00083047">
        <w:rPr>
          <w:rFonts w:eastAsia="Times New Roman Bold"/>
          <w:i/>
          <w:lang w:val="pt-BR"/>
        </w:rPr>
        <w:t>BĐQT</w:t>
      </w:r>
      <w:r w:rsidR="001573AE" w:rsidRPr="00680438">
        <w:rPr>
          <w:lang w:val="nl-NL"/>
        </w:rPr>
        <w:t xml:space="preserve"> </w:t>
      </w:r>
      <w:r w:rsidR="00B92A8D" w:rsidRPr="00680438">
        <w:rPr>
          <w:lang w:val="nl-NL"/>
        </w:rPr>
        <w:t xml:space="preserve"> </w:t>
      </w:r>
    </w:p>
    <w:p w:rsidR="00C80921" w:rsidRDefault="00695278" w:rsidP="00AD6BCE">
      <w:pPr>
        <w:widowControl w:val="0"/>
        <w:spacing w:before="120" w:line="340" w:lineRule="exact"/>
        <w:ind w:firstLine="720"/>
        <w:jc w:val="both"/>
        <w:rPr>
          <w:bCs/>
          <w:iCs/>
          <w:lang w:val="pt-BR"/>
        </w:rPr>
      </w:pPr>
      <w:r w:rsidRPr="005C4A8E">
        <w:rPr>
          <w:lang w:val="pt-BR"/>
        </w:rPr>
        <w:t xml:space="preserve">- Nghị định số 06 quy định các giải thi đấu BĐQT được phép kinh doanh đặt cược phải là các giải thi đấu được FIFA công bố, phê chuẩn. Bộ </w:t>
      </w:r>
      <w:r w:rsidRPr="005C4A8E">
        <w:rPr>
          <w:bCs/>
          <w:iCs/>
          <w:lang w:val="pt-BR"/>
        </w:rPr>
        <w:t>VHTTDL công bố danh mục các trận đấu, giải đấu (</w:t>
      </w:r>
      <w:r w:rsidRPr="005C4A8E">
        <w:rPr>
          <w:lang w:val="pt-BR"/>
        </w:rPr>
        <w:t>khoản 2 Điều 6 và khoản 1 Điều 74)</w:t>
      </w:r>
      <w:r w:rsidRPr="005C4A8E">
        <w:rPr>
          <w:bCs/>
          <w:iCs/>
          <w:lang w:val="pt-BR"/>
        </w:rPr>
        <w:t>.</w:t>
      </w:r>
    </w:p>
    <w:p w:rsidR="00C80921" w:rsidRPr="00C80921" w:rsidRDefault="00C80921" w:rsidP="00AD6BCE">
      <w:pPr>
        <w:widowControl w:val="0"/>
        <w:spacing w:before="120" w:line="340" w:lineRule="exact"/>
        <w:ind w:firstLine="720"/>
        <w:jc w:val="both"/>
        <w:rPr>
          <w:bCs/>
          <w:iCs/>
          <w:lang w:val="pt-BR"/>
        </w:rPr>
      </w:pPr>
      <w:r w:rsidRPr="008A451E">
        <w:rPr>
          <w:bCs/>
          <w:iCs/>
          <w:spacing w:val="-3"/>
          <w:lang w:val="pt-BR"/>
        </w:rPr>
        <w:t xml:space="preserve">- Quy định nêu trên có vướng mắc </w:t>
      </w:r>
      <w:r>
        <w:rPr>
          <w:bCs/>
          <w:iCs/>
          <w:spacing w:val="-3"/>
          <w:lang w:val="pt-BR"/>
        </w:rPr>
        <w:t xml:space="preserve">do </w:t>
      </w:r>
      <w:r w:rsidRPr="008A451E">
        <w:rPr>
          <w:bCs/>
          <w:iCs/>
          <w:spacing w:val="-3"/>
          <w:lang w:val="pt-BR"/>
        </w:rPr>
        <w:t xml:space="preserve">FIFA chỉ công bố các trận đấu, giải đấu BĐQT do FIFA tổ chức và giải đấu bóng đá điện tử thế giới (Esport); các giải đấu </w:t>
      </w:r>
      <w:r w:rsidR="00F22864">
        <w:rPr>
          <w:bCs/>
          <w:iCs/>
          <w:spacing w:val="-3"/>
          <w:lang w:val="pt-BR"/>
        </w:rPr>
        <w:t xml:space="preserve">BĐQT </w:t>
      </w:r>
      <w:r w:rsidR="00D25A54">
        <w:rPr>
          <w:bCs/>
          <w:iCs/>
          <w:spacing w:val="-3"/>
          <w:lang w:val="pt-BR"/>
        </w:rPr>
        <w:t>dô FIFA tổ chức</w:t>
      </w:r>
      <w:r w:rsidRPr="008A451E">
        <w:rPr>
          <w:bCs/>
          <w:iCs/>
          <w:spacing w:val="-3"/>
          <w:lang w:val="pt-BR"/>
        </w:rPr>
        <w:t xml:space="preserve"> không diễn ra thường xuyên </w:t>
      </w:r>
      <w:r w:rsidRPr="008A451E">
        <w:rPr>
          <w:spacing w:val="-3"/>
          <w:lang w:val="pt-BR"/>
        </w:rPr>
        <w:t>(khoảng 4-8 giải đấu/01 năm) và t</w:t>
      </w:r>
      <w:r w:rsidRPr="008A451E">
        <w:rPr>
          <w:spacing w:val="-3"/>
          <w:lang w:val="nl-NL"/>
        </w:rPr>
        <w:t>hời gian tổ chức ngắn từ (10-</w:t>
      </w:r>
      <w:r w:rsidRPr="008A451E">
        <w:rPr>
          <w:spacing w:val="-3"/>
          <w:lang w:val="pt-BR"/>
        </w:rPr>
        <w:t xml:space="preserve">30 ngày/giải đấu). </w:t>
      </w:r>
      <w:r w:rsidRPr="008A451E">
        <w:rPr>
          <w:spacing w:val="-3"/>
          <w:lang w:val="nl-NL"/>
        </w:rPr>
        <w:t xml:space="preserve">Do vậy, </w:t>
      </w:r>
      <w:r w:rsidR="00F22864">
        <w:rPr>
          <w:spacing w:val="-3"/>
          <w:lang w:val="nl-NL"/>
        </w:rPr>
        <w:t xml:space="preserve">việc kinh doanh </w:t>
      </w:r>
      <w:r w:rsidR="00D25A54">
        <w:rPr>
          <w:spacing w:val="-3"/>
          <w:lang w:val="nl-NL"/>
        </w:rPr>
        <w:t xml:space="preserve">bị gián đoạn và khó </w:t>
      </w:r>
      <w:r>
        <w:rPr>
          <w:spacing w:val="-3"/>
          <w:lang w:val="nl-NL"/>
        </w:rPr>
        <w:t xml:space="preserve">thu hút được nhà đầu tư </w:t>
      </w:r>
      <w:r w:rsidRPr="005C4A8E">
        <w:rPr>
          <w:spacing w:val="-3"/>
          <w:lang w:val="pt-BR"/>
        </w:rPr>
        <w:t>(do chi phí đầu tư, kinh doanh lớn</w:t>
      </w:r>
      <w:r w:rsidR="00D25A54">
        <w:rPr>
          <w:spacing w:val="-3"/>
          <w:lang w:val="pt-BR"/>
        </w:rPr>
        <w:t>, khó có lãi</w:t>
      </w:r>
      <w:r w:rsidRPr="005C4A8E">
        <w:rPr>
          <w:spacing w:val="-3"/>
          <w:lang w:val="pt-BR"/>
        </w:rPr>
        <w:t>)</w:t>
      </w:r>
      <w:r w:rsidRPr="005C4A8E">
        <w:rPr>
          <w:spacing w:val="-3"/>
          <w:lang w:val="nl-NL"/>
        </w:rPr>
        <w:t>.</w:t>
      </w:r>
      <w:r w:rsidRPr="005C4A8E">
        <w:rPr>
          <w:b/>
          <w:spacing w:val="-3"/>
          <w:lang w:val="nl-NL"/>
        </w:rPr>
        <w:t xml:space="preserve"> </w:t>
      </w:r>
    </w:p>
    <w:p w:rsidR="00B92A8D" w:rsidRPr="00255E65" w:rsidRDefault="00C80921" w:rsidP="00AD6BCE">
      <w:pPr>
        <w:widowControl w:val="0"/>
        <w:spacing w:before="120" w:line="340" w:lineRule="exact"/>
        <w:ind w:firstLine="720"/>
        <w:jc w:val="both"/>
        <w:rPr>
          <w:rFonts w:eastAsia="Times New Roman Bold"/>
          <w:lang w:val="pt-BR"/>
        </w:rPr>
      </w:pPr>
      <w:r w:rsidRPr="00255E65">
        <w:rPr>
          <w:b/>
          <w:lang w:val="nl-NL"/>
        </w:rPr>
        <w:t xml:space="preserve">- </w:t>
      </w:r>
      <w:r w:rsidRPr="00255E65">
        <w:rPr>
          <w:lang w:val="nl-NL"/>
        </w:rPr>
        <w:t>Để đảm bảo ổn định trong thời gian thí điểm</w:t>
      </w:r>
      <w:r w:rsidR="001A5094" w:rsidRPr="00255E65">
        <w:rPr>
          <w:lang w:val="nl-NL"/>
        </w:rPr>
        <w:t xml:space="preserve"> kinh doanh</w:t>
      </w:r>
      <w:r w:rsidRPr="00255E65">
        <w:rPr>
          <w:lang w:val="nl-NL"/>
        </w:rPr>
        <w:t xml:space="preserve">, </w:t>
      </w:r>
      <w:r w:rsidR="00BE545D" w:rsidRPr="00255E65">
        <w:rPr>
          <w:lang w:val="pt-BR"/>
        </w:rPr>
        <w:t>Bộ Tài chính</w:t>
      </w:r>
      <w:r w:rsidRPr="00255E65">
        <w:rPr>
          <w:lang w:val="nl-NL"/>
        </w:rPr>
        <w:t xml:space="preserve"> trình Chính phủ</w:t>
      </w:r>
      <w:r w:rsidRPr="00255E65">
        <w:rPr>
          <w:lang w:val="pt-BR"/>
        </w:rPr>
        <w:t xml:space="preserve"> </w:t>
      </w:r>
      <w:r w:rsidR="001A5094" w:rsidRPr="00255E65">
        <w:rPr>
          <w:lang w:val="nl-NL"/>
        </w:rPr>
        <w:t>quy định theo hướng</w:t>
      </w:r>
      <w:r w:rsidR="001A5094" w:rsidRPr="00255E65">
        <w:rPr>
          <w:lang w:val="pt-BR"/>
        </w:rPr>
        <w:t xml:space="preserve">: (i) Doanh nghiệp tự quyết định sản phẩm đặt cược (dựa trên tỷ số, các sự kiện xảy ra trong trận đấu, hiệp đấu và thứ hạng trong giải thi đấu) phù hợp với nhu cầu kinh doanh và </w:t>
      </w:r>
      <w:r w:rsidR="00255E65" w:rsidRPr="00255E65">
        <w:rPr>
          <w:lang w:val="pt-BR"/>
        </w:rPr>
        <w:t xml:space="preserve">phải quy định tại Thể lệ đặt cược đối với từng sản phẩm đặt cược </w:t>
      </w:r>
      <w:r w:rsidR="00255E65" w:rsidRPr="00255E65">
        <w:rPr>
          <w:lang w:val="nl-NL"/>
        </w:rPr>
        <w:t>gửi cơ quan nhà nước để theo dõi, quản lý và được công bố công khai để người chơi được biết</w:t>
      </w:r>
      <w:r w:rsidR="001A5094" w:rsidRPr="00255E65">
        <w:rPr>
          <w:lang w:val="pt-BR"/>
        </w:rPr>
        <w:t>; (ii) Trận đấu,</w:t>
      </w:r>
      <w:r w:rsidRPr="00255E65">
        <w:rPr>
          <w:lang w:val="pt-BR"/>
        </w:rPr>
        <w:t xml:space="preserve"> giải đấu</w:t>
      </w:r>
      <w:r w:rsidR="001A5094" w:rsidRPr="00255E65">
        <w:rPr>
          <w:lang w:val="pt-BR"/>
        </w:rPr>
        <w:t xml:space="preserve"> </w:t>
      </w:r>
      <w:r w:rsidRPr="00255E65">
        <w:rPr>
          <w:lang w:val="pt-BR"/>
        </w:rPr>
        <w:t xml:space="preserve">được phép kinh doanh </w:t>
      </w:r>
      <w:r w:rsidR="001A5094" w:rsidRPr="00255E65">
        <w:rPr>
          <w:lang w:val="pt-BR"/>
        </w:rPr>
        <w:t xml:space="preserve">phải được </w:t>
      </w:r>
      <w:r w:rsidRPr="00255E65">
        <w:rPr>
          <w:lang w:val="pt-BR"/>
        </w:rPr>
        <w:t>FIFA, thành viên của FIFA tổ chức; không bao gồm g</w:t>
      </w:r>
      <w:r w:rsidRPr="00255E65">
        <w:rPr>
          <w:bCs/>
          <w:iCs/>
          <w:lang w:val="pt-BR"/>
        </w:rPr>
        <w:t>iải vô địch bóng đá điện tử (eSport Football)</w:t>
      </w:r>
      <w:r w:rsidR="001A5094" w:rsidRPr="00255E65">
        <w:rPr>
          <w:bCs/>
          <w:iCs/>
          <w:lang w:val="pt-BR"/>
        </w:rPr>
        <w:t xml:space="preserve"> và không bao gồm các trận đấu, giải thi đấu do Liên đoàn bóng đá Việt Nam tổ chức</w:t>
      </w:r>
      <w:r w:rsidRPr="00255E65">
        <w:rPr>
          <w:lang w:val="pt-BR"/>
        </w:rPr>
        <w:t xml:space="preserve">; (iii) </w:t>
      </w:r>
      <w:r w:rsidRPr="00255E65">
        <w:rPr>
          <w:lang w:val="nl-NL"/>
        </w:rPr>
        <w:t>Bổ sung quy định về trách nhiệm của doanh nghiệp trong việc mua bản quyền khai thác, s</w:t>
      </w:r>
      <w:r w:rsidR="00F023A9" w:rsidRPr="00255E65">
        <w:rPr>
          <w:lang w:val="nl-NL"/>
        </w:rPr>
        <w:t>ử dụng hình ảnh, kết quả các trậ</w:t>
      </w:r>
      <w:r w:rsidRPr="00255E65">
        <w:rPr>
          <w:lang w:val="nl-NL"/>
        </w:rPr>
        <w:t>n đấu, giải thi đấu BĐQT theo quy định của pháp luật</w:t>
      </w:r>
      <w:r w:rsidRPr="00255E65">
        <w:rPr>
          <w:lang w:val="pt-BR"/>
        </w:rPr>
        <w:t xml:space="preserve"> </w:t>
      </w:r>
      <w:r w:rsidR="00CC1F64">
        <w:rPr>
          <w:lang w:val="pt-BR"/>
        </w:rPr>
        <w:t>(khoản 4</w:t>
      </w:r>
      <w:r w:rsidR="000151FA" w:rsidRPr="0096692B">
        <w:rPr>
          <w:lang w:val="pt-BR"/>
        </w:rPr>
        <w:t xml:space="preserve"> Điều 6, </w:t>
      </w:r>
      <w:r w:rsidR="000151FA">
        <w:rPr>
          <w:lang w:val="nl-NL"/>
        </w:rPr>
        <w:t>điểm k khoản 2 Điều 18</w:t>
      </w:r>
      <w:r w:rsidR="000151FA" w:rsidRPr="0096692B">
        <w:rPr>
          <w:lang w:val="pt-BR"/>
        </w:rPr>
        <w:t xml:space="preserve"> dự thảo Nghị định).</w:t>
      </w:r>
    </w:p>
    <w:p w:rsidR="007B52AF" w:rsidRPr="00271068" w:rsidRDefault="007B52AF" w:rsidP="00AD6BCE">
      <w:pPr>
        <w:widowControl w:val="0"/>
        <w:spacing w:before="120" w:line="340" w:lineRule="exact"/>
        <w:ind w:firstLine="720"/>
        <w:jc w:val="both"/>
        <w:rPr>
          <w:rFonts w:eastAsia="Times New Roman Bold"/>
          <w:i/>
          <w:lang w:val="pt-BR"/>
        </w:rPr>
      </w:pPr>
      <w:r w:rsidRPr="00271068">
        <w:rPr>
          <w:rFonts w:eastAsia="Times New Roman Bold"/>
          <w:i/>
          <w:lang w:val="pt-BR"/>
        </w:rPr>
        <w:t>2.</w:t>
      </w:r>
      <w:r w:rsidR="007B2F47">
        <w:rPr>
          <w:rFonts w:eastAsia="Times New Roman Bold"/>
          <w:i/>
          <w:lang w:val="pt-BR"/>
        </w:rPr>
        <w:t>2.2</w:t>
      </w:r>
      <w:r w:rsidRPr="00271068">
        <w:rPr>
          <w:rFonts w:eastAsia="Times New Roman Bold"/>
          <w:i/>
          <w:lang w:val="pt-BR"/>
        </w:rPr>
        <w:t xml:space="preserve">. Giới hạn mức tham gia đặt cược </w:t>
      </w:r>
    </w:p>
    <w:p w:rsidR="007B52AF" w:rsidRPr="00680438" w:rsidRDefault="007B52AF" w:rsidP="00AD6BCE">
      <w:pPr>
        <w:widowControl w:val="0"/>
        <w:spacing w:before="120" w:line="340" w:lineRule="exact"/>
        <w:ind w:firstLine="720"/>
        <w:jc w:val="both"/>
        <w:rPr>
          <w:rFonts w:eastAsia="Times New Roman Bold"/>
          <w:lang w:val="pt-BR"/>
        </w:rPr>
      </w:pPr>
      <w:r w:rsidRPr="00680438">
        <w:rPr>
          <w:rFonts w:eastAsia="Times New Roman Bold"/>
          <w:lang w:val="pt-BR"/>
        </w:rPr>
        <w:t>- Nghị định số 06 quy định mức đặt cược tối thiểu/01 lần đặt cược là 10.000 đồng và tối đa là 1 triệu đồng/01 sản phẩm/01 người chơi/01 ngày. Bộ Tài chính phối hợp các Bộ, ngành trình Chính phủ quyết định điều chỉnh mức đặt cược tối thiểu và tối đa trong từng thời kỳ</w:t>
      </w:r>
      <w:r w:rsidR="00847799">
        <w:rPr>
          <w:rFonts w:eastAsia="Times New Roman Bold"/>
          <w:lang w:val="pt-BR"/>
        </w:rPr>
        <w:t xml:space="preserve"> (Điều 8 Nghị định số 06)</w:t>
      </w:r>
      <w:r w:rsidRPr="00680438">
        <w:rPr>
          <w:rFonts w:eastAsia="Times New Roman Bold"/>
          <w:lang w:val="pt-BR"/>
        </w:rPr>
        <w:t>.</w:t>
      </w:r>
    </w:p>
    <w:p w:rsidR="007230C3" w:rsidRPr="003415E5" w:rsidRDefault="00D01C37" w:rsidP="00AD6BCE">
      <w:pPr>
        <w:widowControl w:val="0"/>
        <w:spacing w:before="120" w:line="340" w:lineRule="exact"/>
        <w:ind w:firstLine="720"/>
        <w:jc w:val="both"/>
        <w:rPr>
          <w:rFonts w:eastAsia="Times New Roman Bold"/>
          <w:spacing w:val="-4"/>
          <w:lang w:val="pt-BR"/>
        </w:rPr>
      </w:pPr>
      <w:r w:rsidRPr="003415E5">
        <w:rPr>
          <w:rFonts w:eastAsia="Times New Roman Bold"/>
          <w:spacing w:val="-4"/>
          <w:lang w:val="pt-BR"/>
        </w:rPr>
        <w:t xml:space="preserve">- </w:t>
      </w:r>
      <w:r w:rsidR="000151FA" w:rsidRPr="000151FA">
        <w:rPr>
          <w:rFonts w:eastAsia="Times New Roman Bold"/>
          <w:spacing w:val="-4"/>
          <w:lang w:val="pt-BR"/>
        </w:rPr>
        <w:t>Bình quân, 01 trận đấu đặt cược BĐQT có khoảng 10-15 sản phẩm đặt cược khác nhau (dựa trên dự đoán kết quả tỷ số trận đấu, số lượng thẻ vàng, thẻ đỏ, phạt góc, cầu thủ ghi bàn đầu tiên...). Bên cạnh đó, thu nhập bình quân đầu người tăng (từ 2.580$/người năm 2016 (thời điểm ban hành Nghị định số 06) lên 4.700$/người (năm 2024))</w:t>
      </w:r>
      <w:r w:rsidR="00260ED9">
        <w:rPr>
          <w:rFonts w:eastAsia="Times New Roman Bold"/>
          <w:spacing w:val="-4"/>
          <w:lang w:val="pt-BR"/>
        </w:rPr>
        <w:t>,</w:t>
      </w:r>
      <w:r w:rsidR="000151FA">
        <w:rPr>
          <w:rFonts w:eastAsia="Times New Roman Bold"/>
          <w:spacing w:val="-4"/>
          <w:lang w:val="pt-BR"/>
        </w:rPr>
        <w:t xml:space="preserve"> </w:t>
      </w:r>
      <w:r w:rsidR="00260ED9">
        <w:rPr>
          <w:rFonts w:eastAsia="Times New Roman Bold"/>
          <w:spacing w:val="-4"/>
          <w:lang w:val="pt-BR"/>
        </w:rPr>
        <w:t>n</w:t>
      </w:r>
      <w:r w:rsidRPr="003415E5">
        <w:rPr>
          <w:rFonts w:eastAsia="Times New Roman Bold"/>
          <w:spacing w:val="-4"/>
          <w:lang w:val="pt-BR"/>
        </w:rPr>
        <w:t xml:space="preserve">hằm tránh </w:t>
      </w:r>
      <w:r w:rsidR="00672F45" w:rsidRPr="003415E5">
        <w:rPr>
          <w:rFonts w:eastAsia="Times New Roman Bold"/>
          <w:spacing w:val="-4"/>
          <w:lang w:val="pt-BR"/>
        </w:rPr>
        <w:t xml:space="preserve">việc người chơi tham gia </w:t>
      </w:r>
      <w:r w:rsidR="00317A2F" w:rsidRPr="003415E5">
        <w:rPr>
          <w:rFonts w:eastAsia="Times New Roman Bold"/>
          <w:spacing w:val="-4"/>
          <w:lang w:val="pt-BR"/>
        </w:rPr>
        <w:t xml:space="preserve">đặt cược </w:t>
      </w:r>
      <w:r w:rsidR="00672F45" w:rsidRPr="003415E5">
        <w:rPr>
          <w:rFonts w:eastAsia="Times New Roman Bold"/>
          <w:spacing w:val="-4"/>
          <w:lang w:val="pt-BR"/>
        </w:rPr>
        <w:t>quá mức</w:t>
      </w:r>
      <w:r w:rsidR="00260ED9">
        <w:rPr>
          <w:rFonts w:eastAsia="Times New Roman Bold"/>
          <w:spacing w:val="-4"/>
          <w:lang w:val="pt-BR"/>
        </w:rPr>
        <w:t xml:space="preserve"> và người chơi được chủ động trong việc lựa chọn sản phẩm yêu thích</w:t>
      </w:r>
      <w:r w:rsidRPr="003415E5">
        <w:rPr>
          <w:rFonts w:eastAsia="Times New Roman Bold"/>
          <w:spacing w:val="-4"/>
          <w:lang w:val="pt-BR"/>
        </w:rPr>
        <w:t xml:space="preserve">, Bộ Tài chính trình Chính phủ </w:t>
      </w:r>
      <w:r w:rsidR="00317A2F" w:rsidRPr="003415E5">
        <w:rPr>
          <w:rFonts w:eastAsia="Times New Roman Bold"/>
          <w:spacing w:val="-4"/>
          <w:lang w:val="pt-BR"/>
        </w:rPr>
        <w:t>quy định theo hướng:</w:t>
      </w:r>
      <w:r w:rsidR="00260ED9">
        <w:rPr>
          <w:rFonts w:eastAsia="Times New Roman Bold"/>
          <w:spacing w:val="-4"/>
          <w:lang w:val="pt-BR"/>
        </w:rPr>
        <w:t xml:space="preserve"> (i)</w:t>
      </w:r>
      <w:r w:rsidR="00317A2F" w:rsidRPr="003415E5">
        <w:rPr>
          <w:rFonts w:eastAsia="Times New Roman Bold"/>
          <w:spacing w:val="-4"/>
          <w:lang w:val="pt-BR"/>
        </w:rPr>
        <w:t xml:space="preserve"> </w:t>
      </w:r>
      <w:r w:rsidR="00260ED9">
        <w:rPr>
          <w:rFonts w:eastAsia="Times New Roman Bold"/>
          <w:spacing w:val="-4"/>
          <w:lang w:val="pt-BR"/>
        </w:rPr>
        <w:t>M</w:t>
      </w:r>
      <w:r w:rsidR="00484CD2" w:rsidRPr="003415E5">
        <w:rPr>
          <w:rFonts w:eastAsia="Times New Roman Bold"/>
          <w:spacing w:val="-4"/>
          <w:lang w:val="pt-BR"/>
        </w:rPr>
        <w:t>ức đặt cược tối thiểu là 10.000 đồng/01 lần đặt cược</w:t>
      </w:r>
      <w:r w:rsidR="00260ED9">
        <w:rPr>
          <w:rFonts w:eastAsia="Times New Roman Bold"/>
          <w:spacing w:val="-4"/>
          <w:lang w:val="pt-BR"/>
        </w:rPr>
        <w:t xml:space="preserve"> và mức đặt cược </w:t>
      </w:r>
      <w:r w:rsidRPr="003415E5">
        <w:rPr>
          <w:rFonts w:eastAsia="Times New Roman Bold"/>
          <w:spacing w:val="-4"/>
          <w:lang w:val="pt-BR"/>
        </w:rPr>
        <w:t xml:space="preserve">tối đa là </w:t>
      </w:r>
      <w:r w:rsidR="00317A2F" w:rsidRPr="003415E5">
        <w:rPr>
          <w:rFonts w:eastAsia="Times New Roman Bold"/>
          <w:spacing w:val="-4"/>
          <w:lang w:val="pt-BR"/>
        </w:rPr>
        <w:t>10</w:t>
      </w:r>
      <w:r w:rsidRPr="003415E5">
        <w:rPr>
          <w:rFonts w:eastAsia="Times New Roman Bold"/>
          <w:spacing w:val="-4"/>
          <w:lang w:val="pt-BR"/>
        </w:rPr>
        <w:t xml:space="preserve"> triệu đồng/01 người chơi/01 ngày</w:t>
      </w:r>
      <w:r w:rsidR="00260ED9">
        <w:rPr>
          <w:rFonts w:eastAsia="Times New Roman Bold"/>
          <w:spacing w:val="-4"/>
          <w:lang w:val="pt-BR"/>
        </w:rPr>
        <w:t xml:space="preserve">; (ii) Việc tham gia đặt cược thực hiện thông qua tài khoản của người chơi </w:t>
      </w:r>
      <w:r w:rsidR="00260ED9" w:rsidRPr="00260ED9">
        <w:rPr>
          <w:rFonts w:eastAsia="Times New Roman Bold"/>
          <w:spacing w:val="-4"/>
          <w:lang w:val="pt-BR"/>
        </w:rPr>
        <w:t xml:space="preserve">mở tại doanh nghiệp kinh doanh đặt cược kết nối với tài khoản thanh toán và ví điện tử do người chơi làm chủ tài khoản. Hoạt động tham gia đặt cược, thanh toán, trả thưởng giữa người chơi và doanh nghiệp </w:t>
      </w:r>
      <w:r w:rsidR="00260ED9" w:rsidRPr="00260ED9">
        <w:rPr>
          <w:rFonts w:eastAsia="Times New Roman Bold"/>
          <w:spacing w:val="-4"/>
          <w:lang w:val="pt-BR"/>
        </w:rPr>
        <w:lastRenderedPageBreak/>
        <w:t>thực hiện qua tài khoản tham gia đặt cược để đảm bảo định danh người chơi và kiểm soát giới hạn tham gia đặt cược của người chơi</w:t>
      </w:r>
      <w:r w:rsidR="00260ED9">
        <w:rPr>
          <w:rFonts w:eastAsia="Times New Roman Bold"/>
          <w:spacing w:val="-4"/>
          <w:lang w:val="pt-BR"/>
        </w:rPr>
        <w:t xml:space="preserve"> </w:t>
      </w:r>
      <w:r w:rsidR="00672F45" w:rsidRPr="003415E5">
        <w:rPr>
          <w:rFonts w:eastAsia="Times New Roman Bold"/>
          <w:spacing w:val="-4"/>
          <w:lang w:val="pt-BR"/>
        </w:rPr>
        <w:t>(Điều 8</w:t>
      </w:r>
      <w:r w:rsidR="00260ED9">
        <w:rPr>
          <w:rFonts w:eastAsia="Times New Roman Bold"/>
          <w:spacing w:val="-4"/>
          <w:lang w:val="pt-BR"/>
        </w:rPr>
        <w:t>, Điều 14</w:t>
      </w:r>
      <w:r w:rsidR="00672F45" w:rsidRPr="003415E5">
        <w:rPr>
          <w:rFonts w:eastAsia="Times New Roman Bold"/>
          <w:spacing w:val="-4"/>
          <w:lang w:val="pt-BR"/>
        </w:rPr>
        <w:t xml:space="preserve"> dự thảo Nghị định)</w:t>
      </w:r>
      <w:r w:rsidR="00537A91" w:rsidRPr="003415E5">
        <w:rPr>
          <w:rFonts w:eastAsia="Times New Roman Bold"/>
          <w:spacing w:val="-4"/>
          <w:lang w:val="pt-BR"/>
        </w:rPr>
        <w:t>.</w:t>
      </w:r>
    </w:p>
    <w:p w:rsidR="00323D55" w:rsidRDefault="00DA1468" w:rsidP="00AD6BCE">
      <w:pPr>
        <w:widowControl w:val="0"/>
        <w:spacing w:before="120" w:line="340" w:lineRule="exact"/>
        <w:ind w:firstLine="720"/>
        <w:jc w:val="both"/>
        <w:rPr>
          <w:rFonts w:eastAsia="Times New Roman Bold"/>
          <w:i/>
          <w:lang w:val="pt-BR"/>
        </w:rPr>
      </w:pPr>
      <w:r w:rsidRPr="00271068">
        <w:rPr>
          <w:rFonts w:eastAsia="Times New Roman Bold"/>
          <w:i/>
          <w:lang w:val="pt-BR"/>
        </w:rPr>
        <w:t>2.</w:t>
      </w:r>
      <w:r w:rsidR="00DF36E0">
        <w:rPr>
          <w:rFonts w:eastAsia="Times New Roman Bold"/>
          <w:i/>
          <w:lang w:val="pt-BR"/>
        </w:rPr>
        <w:t>2.3</w:t>
      </w:r>
      <w:r w:rsidRPr="00271068">
        <w:rPr>
          <w:rFonts w:eastAsia="Times New Roman Bold"/>
          <w:i/>
          <w:lang w:val="pt-BR"/>
        </w:rPr>
        <w:t xml:space="preserve">. </w:t>
      </w:r>
      <w:r w:rsidR="000151FA">
        <w:rPr>
          <w:rFonts w:eastAsia="Times New Roman Bold"/>
          <w:i/>
          <w:lang w:val="pt-BR"/>
        </w:rPr>
        <w:t>Về</w:t>
      </w:r>
      <w:r w:rsidR="00E76C4B">
        <w:rPr>
          <w:rFonts w:eastAsia="Times New Roman Bold"/>
          <w:i/>
          <w:lang w:val="pt-BR"/>
        </w:rPr>
        <w:t xml:space="preserve"> hệ thống đặt cược</w:t>
      </w:r>
    </w:p>
    <w:p w:rsidR="00323D55" w:rsidRPr="002B13A1" w:rsidRDefault="00E76C4B" w:rsidP="00AD6BCE">
      <w:pPr>
        <w:widowControl w:val="0"/>
        <w:spacing w:before="120" w:line="340" w:lineRule="exact"/>
        <w:ind w:firstLine="720"/>
        <w:jc w:val="both"/>
        <w:rPr>
          <w:rFonts w:eastAsia="Times New Roman Bold"/>
          <w:spacing w:val="-2"/>
          <w:lang w:val="pt-BR"/>
        </w:rPr>
      </w:pPr>
      <w:r w:rsidRPr="002B13A1">
        <w:rPr>
          <w:rFonts w:eastAsia="Times New Roman Bold"/>
          <w:spacing w:val="-2"/>
          <w:lang w:val="pt-BR"/>
        </w:rPr>
        <w:t>- Nghị định số 06 quy định cụ thể về điều kiện hệ thống đặt cược doanh nghiệp phải đáp ứng (phần cứng, phần mềm, đường truyền dữ liệu) nhằm đảm bảo vận hành chính xác, bảo mật, an toàn, ổn định trong quá trình kinh doanh (Điều 12).</w:t>
      </w:r>
    </w:p>
    <w:p w:rsidR="00E76C4B" w:rsidRPr="00E76C4B" w:rsidRDefault="00A125E7" w:rsidP="00AD6BCE">
      <w:pPr>
        <w:widowControl w:val="0"/>
        <w:spacing w:before="120" w:line="340" w:lineRule="exact"/>
        <w:ind w:firstLine="720"/>
        <w:jc w:val="both"/>
        <w:rPr>
          <w:rFonts w:eastAsia="Times New Roman Bold"/>
          <w:lang w:val="pt-BR"/>
        </w:rPr>
      </w:pPr>
      <w:r w:rsidRPr="006B03DE">
        <w:rPr>
          <w:rFonts w:eastAsia="Times New Roman Bold"/>
          <w:spacing w:val="-2"/>
          <w:lang w:val="pt-BR"/>
        </w:rPr>
        <w:t xml:space="preserve">- </w:t>
      </w:r>
      <w:r w:rsidR="000151FA" w:rsidRPr="000151FA">
        <w:rPr>
          <w:rFonts w:eastAsia="Times New Roman Bold"/>
          <w:spacing w:val="-2"/>
          <w:lang w:val="pt-BR"/>
        </w:rPr>
        <w:t>Hê thống đặt cược gồm phần cứng và phần mềm là cấu phần/yếu tố quan trọng đảm bảo cho việc quản lý cũng như kinh doanh đặt cược an toàn, ổn đị</w:t>
      </w:r>
      <w:r w:rsidR="000151FA">
        <w:rPr>
          <w:rFonts w:eastAsia="Times New Roman Bold"/>
          <w:spacing w:val="-2"/>
          <w:lang w:val="pt-BR"/>
        </w:rPr>
        <w:t>nh</w:t>
      </w:r>
      <w:r w:rsidRPr="006B03DE">
        <w:rPr>
          <w:rFonts w:eastAsia="Times New Roman Bold"/>
          <w:spacing w:val="-2"/>
          <w:lang w:val="pt-BR"/>
        </w:rPr>
        <w:t xml:space="preserve">, </w:t>
      </w:r>
      <w:r>
        <w:rPr>
          <w:spacing w:val="-2"/>
          <w:lang w:val="pt-BR"/>
        </w:rPr>
        <w:t>Bộ Tài chính</w:t>
      </w:r>
      <w:r w:rsidRPr="006B03DE">
        <w:rPr>
          <w:spacing w:val="-2"/>
          <w:lang w:val="nl-NL"/>
        </w:rPr>
        <w:t xml:space="preserve"> trình Chính phủ</w:t>
      </w:r>
      <w:r w:rsidRPr="006B03DE">
        <w:rPr>
          <w:rFonts w:eastAsia="Times New Roman Bold"/>
          <w:spacing w:val="-2"/>
          <w:lang w:val="pt-BR"/>
        </w:rPr>
        <w:t xml:space="preserve"> quy định: (i) Đối với phần cứng: phải có hệ thống </w:t>
      </w:r>
      <w:r w:rsidR="003B33A3">
        <w:rPr>
          <w:rFonts w:eastAsia="Times New Roman Bold"/>
          <w:spacing w:val="-2"/>
          <w:lang w:val="pt-BR"/>
        </w:rPr>
        <w:t xml:space="preserve">máy chủ, thiết bị đầu cuối, hệ thống </w:t>
      </w:r>
      <w:r w:rsidRPr="006B03DE">
        <w:rPr>
          <w:rFonts w:eastAsia="Times New Roman Bold"/>
          <w:spacing w:val="-2"/>
          <w:lang w:val="pt-BR"/>
        </w:rPr>
        <w:t>lưu trữ</w:t>
      </w:r>
      <w:r w:rsidR="003B33A3">
        <w:rPr>
          <w:rFonts w:eastAsia="Times New Roman Bold"/>
          <w:spacing w:val="-2"/>
          <w:lang w:val="pt-BR"/>
        </w:rPr>
        <w:t xml:space="preserve"> phải đạt tiêu chuẩn G7 và phải được đặt tại Việt Nam</w:t>
      </w:r>
      <w:r w:rsidRPr="006B03DE">
        <w:rPr>
          <w:rFonts w:eastAsia="Times New Roman Bold"/>
          <w:spacing w:val="-2"/>
          <w:lang w:val="pt-BR"/>
        </w:rPr>
        <w:t xml:space="preserve">; có môi trường dự phòng vận hành song song với môi trường chính; tần suất sao lưu theo cơ chế thường xuyên (real time) nhằm đảm bảo sao lưu các dữ liệu tham gia đặt cược; (ii) Đối với phần mềm: phải có bản quyền; </w:t>
      </w:r>
      <w:r w:rsidR="003B33A3">
        <w:rPr>
          <w:rFonts w:eastAsia="Times New Roman Bold"/>
          <w:spacing w:val="-2"/>
          <w:lang w:val="pt-BR"/>
        </w:rPr>
        <w:t>đảm bảo ghi nhận chính xác dữ liệu kinh doanh đặt cược và có tính bảo mật cao</w:t>
      </w:r>
      <w:r w:rsidR="006672A4">
        <w:rPr>
          <w:rFonts w:eastAsia="Times New Roman Bold"/>
          <w:spacing w:val="-2"/>
          <w:lang w:val="pt-BR"/>
        </w:rPr>
        <w:t xml:space="preserve">; (iii) </w:t>
      </w:r>
      <w:r w:rsidRPr="006B03DE">
        <w:rPr>
          <w:rFonts w:eastAsia="Times New Roman Bold"/>
          <w:spacing w:val="-2"/>
          <w:lang w:val="pt-BR"/>
        </w:rPr>
        <w:t>Dữ liệu kinh doanh đặt cược phải được lưu trữ trong thời hạn 0</w:t>
      </w:r>
      <w:r w:rsidR="002F2867">
        <w:rPr>
          <w:rFonts w:eastAsia="Times New Roman Bold"/>
          <w:spacing w:val="-2"/>
          <w:lang w:val="pt-BR"/>
        </w:rPr>
        <w:t>5</w:t>
      </w:r>
      <w:r w:rsidRPr="006B03DE">
        <w:rPr>
          <w:rFonts w:eastAsia="Times New Roman Bold"/>
          <w:spacing w:val="-2"/>
          <w:lang w:val="pt-BR"/>
        </w:rPr>
        <w:t xml:space="preserve"> năm</w:t>
      </w:r>
      <w:r w:rsidR="003C392C">
        <w:rPr>
          <w:rFonts w:eastAsia="Times New Roman Bold"/>
          <w:spacing w:val="-2"/>
          <w:lang w:val="pt-BR"/>
        </w:rPr>
        <w:t xml:space="preserve">; (iv) Doanh nghiệp có trách nhiệm quản lý và vận hành hệ thống đặt cược đáp ứng các điều kiện về kỹ thuật theo quy định của pháp luật </w:t>
      </w:r>
      <w:r w:rsidR="000151FA" w:rsidRPr="000151FA">
        <w:rPr>
          <w:rFonts w:eastAsia="Times New Roman Bold"/>
          <w:spacing w:val="-2"/>
          <w:lang w:val="pt-BR"/>
        </w:rPr>
        <w:t xml:space="preserve">(Điều 12 và điểm l khoản 2 Điều 18 dự thảo Nghị định).  </w:t>
      </w:r>
    </w:p>
    <w:p w:rsidR="006534EF" w:rsidRPr="00271068" w:rsidRDefault="00323D55" w:rsidP="00AD6BCE">
      <w:pPr>
        <w:widowControl w:val="0"/>
        <w:spacing w:before="120" w:line="340" w:lineRule="exact"/>
        <w:ind w:firstLine="720"/>
        <w:jc w:val="both"/>
        <w:rPr>
          <w:rFonts w:eastAsia="Times New Roman Bold"/>
          <w:i/>
          <w:lang w:val="pt-BR"/>
        </w:rPr>
      </w:pPr>
      <w:r>
        <w:rPr>
          <w:rFonts w:eastAsia="Times New Roman Bold"/>
          <w:i/>
          <w:lang w:val="pt-BR"/>
        </w:rPr>
        <w:t xml:space="preserve">2.2.4. </w:t>
      </w:r>
      <w:r w:rsidR="00DA1468" w:rsidRPr="00271068">
        <w:rPr>
          <w:rFonts w:eastAsia="Times New Roman Bold"/>
          <w:i/>
          <w:lang w:val="pt-BR"/>
        </w:rPr>
        <w:t xml:space="preserve">Phương thức phân phối vé đặt cược </w:t>
      </w:r>
      <w:r w:rsidR="00354E8F">
        <w:rPr>
          <w:rFonts w:eastAsia="Times New Roman Bold"/>
          <w:i/>
          <w:lang w:val="pt-BR"/>
        </w:rPr>
        <w:t>và địa bàn kinh doanh đặt cược</w:t>
      </w:r>
    </w:p>
    <w:p w:rsidR="00354E8F" w:rsidRPr="00354E8F" w:rsidRDefault="006534EF" w:rsidP="00AD6BCE">
      <w:pPr>
        <w:widowControl w:val="0"/>
        <w:spacing w:before="120" w:line="340" w:lineRule="exact"/>
        <w:ind w:firstLine="720"/>
        <w:jc w:val="both"/>
        <w:rPr>
          <w:spacing w:val="-2"/>
          <w:lang w:val="pt-BR"/>
        </w:rPr>
      </w:pPr>
      <w:r w:rsidRPr="00354E8F">
        <w:rPr>
          <w:spacing w:val="-2"/>
          <w:lang w:val="pt-BR"/>
        </w:rPr>
        <w:t>- Nghị định số 06 quy định</w:t>
      </w:r>
      <w:r w:rsidR="00354E8F" w:rsidRPr="00354E8F">
        <w:rPr>
          <w:spacing w:val="-2"/>
          <w:lang w:val="pt-BR"/>
        </w:rPr>
        <w:t>: (i)</w:t>
      </w:r>
      <w:r w:rsidRPr="00354E8F">
        <w:rPr>
          <w:spacing w:val="-2"/>
          <w:lang w:val="pt-BR"/>
        </w:rPr>
        <w:t xml:space="preserve"> </w:t>
      </w:r>
      <w:r w:rsidR="00354E8F" w:rsidRPr="00354E8F">
        <w:rPr>
          <w:spacing w:val="-2"/>
          <w:lang w:val="pt-BR"/>
        </w:rPr>
        <w:t>D</w:t>
      </w:r>
      <w:r w:rsidRPr="00354E8F">
        <w:rPr>
          <w:spacing w:val="-2"/>
          <w:lang w:val="pt-BR"/>
        </w:rPr>
        <w:t>oanh nghiệp được phép bán vé đặt cược qua thiết bị đầu cuối (bán trực tiếp cho người chơi</w:t>
      </w:r>
      <w:r w:rsidR="00AF5721" w:rsidRPr="00354E8F">
        <w:rPr>
          <w:spacing w:val="-2"/>
          <w:lang w:val="pt-BR"/>
        </w:rPr>
        <w:t xml:space="preserve"> tại các điểm bán vé cố định</w:t>
      </w:r>
      <w:r w:rsidRPr="00354E8F">
        <w:rPr>
          <w:spacing w:val="-2"/>
          <w:lang w:val="pt-BR"/>
        </w:rPr>
        <w:t>) và qua điện thoại</w:t>
      </w:r>
      <w:r w:rsidR="00145D3D" w:rsidRPr="00354E8F">
        <w:rPr>
          <w:spacing w:val="-2"/>
          <w:lang w:val="pt-BR"/>
        </w:rPr>
        <w:t xml:space="preserve"> (thông qua tài khoản của người chơi mở tại doanh nghiệp)</w:t>
      </w:r>
      <w:r w:rsidRPr="00354E8F">
        <w:rPr>
          <w:spacing w:val="-2"/>
          <w:lang w:val="pt-BR"/>
        </w:rPr>
        <w:t>; chưa cho phép kinh doanh đặt cược qua Internet</w:t>
      </w:r>
      <w:r w:rsidR="00354E8F" w:rsidRPr="00354E8F">
        <w:rPr>
          <w:spacing w:val="-2"/>
          <w:lang w:val="pt-BR"/>
        </w:rPr>
        <w:t>; (ii) Địa bàn kinh doanh đặt cược được căn cứ vào phương thức phân phối vé đặt cược. Doanh nghiệp kinh doanh đặt cược đua ngựa, đua chó được bán vé đặt cược qua thiết bị đầu cuối ở trong trường đua và chỉ được bán vé đặt cược ngoài trường đua (qua thiết bị đầu cuối và điện thoại) sau 01 năm kinh doanh. Doanh nghiệp kinh doanh đặ cược BĐQT được phép bán vé đặt cược qua thiết bị đầu cuối trên các địa bàn tỉnh, thành phố theo quyết định của Thủ tướng Chính phủ và qua điện thoại sau 01 năm kinh doanh (Điều 12, 13 và Điều 70).</w:t>
      </w:r>
    </w:p>
    <w:p w:rsidR="00591CE4" w:rsidRPr="00A146AC" w:rsidRDefault="00591CE4" w:rsidP="00AD6BCE">
      <w:pPr>
        <w:widowControl w:val="0"/>
        <w:spacing w:before="120" w:line="340" w:lineRule="exact"/>
        <w:ind w:firstLine="720"/>
        <w:jc w:val="both"/>
        <w:rPr>
          <w:spacing w:val="-3"/>
          <w:lang w:val="pt-BR"/>
        </w:rPr>
      </w:pPr>
      <w:r w:rsidRPr="00A146AC">
        <w:rPr>
          <w:spacing w:val="-3"/>
          <w:lang w:val="pt-BR"/>
        </w:rPr>
        <w:t xml:space="preserve">- Do đặc thù của các cuộc đua ngựa, đua chó và trận đấu BĐQT diễn ra theo lịch thi đấu tại nước ngoài </w:t>
      </w:r>
      <w:r w:rsidR="00B20711" w:rsidRPr="00A146AC">
        <w:rPr>
          <w:spacing w:val="-3"/>
          <w:lang w:val="pt-BR"/>
        </w:rPr>
        <w:t>nên có chênh</w:t>
      </w:r>
      <w:r w:rsidRPr="00A146AC">
        <w:rPr>
          <w:spacing w:val="-3"/>
          <w:lang w:val="pt-BR"/>
        </w:rPr>
        <w:t xml:space="preserve"> lệch </w:t>
      </w:r>
      <w:r w:rsidR="00B20711" w:rsidRPr="00A146AC">
        <w:rPr>
          <w:spacing w:val="-3"/>
          <w:lang w:val="pt-BR"/>
        </w:rPr>
        <w:t>thời gian</w:t>
      </w:r>
      <w:r w:rsidRPr="00A146AC">
        <w:rPr>
          <w:spacing w:val="-3"/>
          <w:lang w:val="pt-BR"/>
        </w:rPr>
        <w:t xml:space="preserve"> </w:t>
      </w:r>
      <w:r w:rsidR="00B20711" w:rsidRPr="00A146AC">
        <w:rPr>
          <w:spacing w:val="-3"/>
          <w:lang w:val="pt-BR"/>
        </w:rPr>
        <w:t xml:space="preserve">tương đối lớn </w:t>
      </w:r>
      <w:r w:rsidRPr="00A146AC">
        <w:rPr>
          <w:spacing w:val="-3"/>
          <w:lang w:val="pt-BR"/>
        </w:rPr>
        <w:t>so với giờ Việt Nam</w:t>
      </w:r>
      <w:r w:rsidR="00CC24F5" w:rsidRPr="00A146AC">
        <w:rPr>
          <w:rStyle w:val="FootnoteReference"/>
          <w:spacing w:val="-3"/>
          <w:lang w:val="pt-BR"/>
        </w:rPr>
        <w:footnoteReference w:id="6"/>
      </w:r>
      <w:r w:rsidRPr="00A146AC">
        <w:rPr>
          <w:spacing w:val="-3"/>
          <w:lang w:val="pt-BR"/>
        </w:rPr>
        <w:t xml:space="preserve">, vì vậy việc bán vé trực tiếp tại điểm bán cố định thông qua thiết bị đầu cuối sẽ không hiệu quả và trường hợp người chơi tụ tập đông tại điểm bán vé </w:t>
      </w:r>
      <w:r w:rsidR="00B20711" w:rsidRPr="00A146AC">
        <w:rPr>
          <w:spacing w:val="-3"/>
          <w:lang w:val="pt-BR"/>
        </w:rPr>
        <w:t>(trong khoảng thời gian 21h</w:t>
      </w:r>
      <w:r w:rsidR="00A146AC" w:rsidRPr="00A146AC">
        <w:rPr>
          <w:spacing w:val="-3"/>
          <w:lang w:val="pt-BR"/>
        </w:rPr>
        <w:t xml:space="preserve"> tối </w:t>
      </w:r>
      <w:r w:rsidR="00B20711" w:rsidRPr="00A146AC">
        <w:rPr>
          <w:spacing w:val="-3"/>
          <w:lang w:val="pt-BR"/>
        </w:rPr>
        <w:t>-</w:t>
      </w:r>
      <w:r w:rsidR="00A146AC" w:rsidRPr="00A146AC">
        <w:rPr>
          <w:spacing w:val="-3"/>
          <w:lang w:val="pt-BR"/>
        </w:rPr>
        <w:t xml:space="preserve"> </w:t>
      </w:r>
      <w:r w:rsidR="00B20711" w:rsidRPr="00A146AC">
        <w:rPr>
          <w:spacing w:val="-3"/>
          <w:lang w:val="pt-BR"/>
        </w:rPr>
        <w:t xml:space="preserve">04h sáng theo giờ Việt Nam) </w:t>
      </w:r>
      <w:r w:rsidRPr="00A146AC">
        <w:rPr>
          <w:spacing w:val="-3"/>
          <w:lang w:val="pt-BR"/>
        </w:rPr>
        <w:t>có thể ảnh hưởng đến an ninh, trật tự xã hội nếu không có sự quản lý chặt chẽ của Nhà nước. Tương tự, phương thức bán vé qua điện thoại</w:t>
      </w:r>
      <w:r w:rsidRPr="00A146AC">
        <w:rPr>
          <w:rStyle w:val="FootnoteReference"/>
          <w:spacing w:val="-3"/>
          <w:lang w:val="pt-BR"/>
        </w:rPr>
        <w:footnoteReference w:id="7"/>
      </w:r>
      <w:r w:rsidRPr="00A146AC">
        <w:rPr>
          <w:spacing w:val="-3"/>
          <w:lang w:val="pt-BR"/>
        </w:rPr>
        <w:t xml:space="preserve"> không phải là mô hình kinh doanh tối ưu và không phù hợp với xu hướng phát triển thị trường đặt cược trên thế giới (do cần số lượng lớn cán bộ tiếp nhận và xác nhận lệnh đặt cược qua hệ thống tin nhắn và điện thoại). </w:t>
      </w:r>
    </w:p>
    <w:p w:rsidR="006534EF" w:rsidRPr="00C378F0" w:rsidRDefault="00591CE4" w:rsidP="00AD6BCE">
      <w:pPr>
        <w:widowControl w:val="0"/>
        <w:spacing w:before="120" w:line="340" w:lineRule="exact"/>
        <w:ind w:firstLine="720"/>
        <w:jc w:val="both"/>
        <w:rPr>
          <w:lang w:val="pt-BR"/>
        </w:rPr>
      </w:pPr>
      <w:r w:rsidRPr="005C4A8E">
        <w:rPr>
          <w:lang w:val="pt-BR"/>
        </w:rPr>
        <w:lastRenderedPageBreak/>
        <w:t xml:space="preserve">Thực hiện chỉ đạo của Bộ Chính trị tại </w:t>
      </w:r>
      <w:r w:rsidRPr="005C4A8E">
        <w:rPr>
          <w:bCs/>
        </w:rPr>
        <w:t xml:space="preserve">Nghị quyết số 57-NQ/TW ngày 22/12/2024 về đột phá phát triển khoa học, công nghệ, đổi mới sáng tạo và chuyển đổi số quốc gia và tại </w:t>
      </w:r>
      <w:r w:rsidRPr="005C4A8E">
        <w:rPr>
          <w:lang w:val="pt-BR"/>
        </w:rPr>
        <w:t>Công văn số 15904-CV/VPTW ngày 06/7/2025 về việc tăng cường ứng dụng công nghệ, giám sát dữ liệu người chơi</w:t>
      </w:r>
      <w:r w:rsidRPr="005C4A8E">
        <w:rPr>
          <w:bCs/>
        </w:rPr>
        <w:t xml:space="preserve">, </w:t>
      </w:r>
      <w:r>
        <w:rPr>
          <w:lang w:val="pt-BR"/>
        </w:rPr>
        <w:t>Bộ Tài chính</w:t>
      </w:r>
      <w:r w:rsidRPr="005C4A8E">
        <w:rPr>
          <w:spacing w:val="-1"/>
          <w:lang w:val="nl-NL"/>
        </w:rPr>
        <w:t xml:space="preserve"> trình Chính phủ</w:t>
      </w:r>
      <w:r w:rsidRPr="005C4A8E">
        <w:rPr>
          <w:lang w:val="pt-BR"/>
        </w:rPr>
        <w:t>: (i) Cho phép kinh doanh đặt cược qua Internet</w:t>
      </w:r>
      <w:r w:rsidR="00B20711">
        <w:rPr>
          <w:lang w:val="pt-BR"/>
        </w:rPr>
        <w:t>, điện thoại</w:t>
      </w:r>
      <w:r w:rsidRPr="005C4A8E">
        <w:rPr>
          <w:lang w:val="pt-BR"/>
        </w:rPr>
        <w:t xml:space="preserve"> sau khi doanh nghiệp đáp ứng đầy đủ các điều kiện hệ thống đặt cược và được quy định cụ thể tại GCNĐĐKDK; (ii) Tăng cường các giải pháp quản lý, kiểm soát người chơi theo hướng</w:t>
      </w:r>
      <w:r w:rsidR="003E6A06">
        <w:rPr>
          <w:lang w:val="pt-BR"/>
        </w:rPr>
        <w:t xml:space="preserve"> người chơi chỉ được tham gia đặt cược sau khi có tài khoản tham gia đặt cược mở tại doanh nghiệp kinh doanh đặt cược kết nối với tài khoản</w:t>
      </w:r>
      <w:r w:rsidRPr="005C4A8E">
        <w:rPr>
          <w:lang w:val="pt-BR"/>
        </w:rPr>
        <w:t xml:space="preserve"> </w:t>
      </w:r>
      <w:r w:rsidR="003E6A06" w:rsidRPr="005C4A8E">
        <w:rPr>
          <w:bCs/>
        </w:rPr>
        <w:t xml:space="preserve">thanh toán và ví điện tử </w:t>
      </w:r>
      <w:r w:rsidR="003E6A06" w:rsidRPr="005C4A8E">
        <w:rPr>
          <w:bCs/>
          <w:lang w:val="vi-VN"/>
        </w:rPr>
        <w:t>do</w:t>
      </w:r>
      <w:r w:rsidR="003E6A06" w:rsidRPr="005C4A8E">
        <w:rPr>
          <w:bCs/>
        </w:rPr>
        <w:t xml:space="preserve"> người chơi</w:t>
      </w:r>
      <w:r w:rsidR="003E6A06" w:rsidRPr="005C4A8E">
        <w:rPr>
          <w:bCs/>
          <w:lang w:val="vi-VN"/>
        </w:rPr>
        <w:t xml:space="preserve"> làm chủ tài khoản</w:t>
      </w:r>
      <w:r w:rsidR="003E6A06">
        <w:rPr>
          <w:bCs/>
        </w:rPr>
        <w:t xml:space="preserve">. Hoạt động tham gia đặt cược, thanh toán, trả thưởng giữa người chơi và doanh nghiệp thực hiện qua tài khoản tham gia đặt cược </w:t>
      </w:r>
      <w:r w:rsidRPr="005C4A8E">
        <w:rPr>
          <w:lang w:val="pt-BR"/>
        </w:rPr>
        <w:t>để đảm bảo định danh người chơi</w:t>
      </w:r>
      <w:r w:rsidR="003E6A06">
        <w:rPr>
          <w:lang w:val="pt-BR"/>
        </w:rPr>
        <w:t xml:space="preserve"> và</w:t>
      </w:r>
      <w:r w:rsidRPr="005C4A8E">
        <w:rPr>
          <w:bCs/>
        </w:rPr>
        <w:t xml:space="preserve"> kiểm soát giới hạn tham gia đặt cược của người chơi</w:t>
      </w:r>
      <w:r w:rsidRPr="005C4A8E">
        <w:rPr>
          <w:lang w:val="pt-BR"/>
        </w:rPr>
        <w:t xml:space="preserve"> </w:t>
      </w:r>
      <w:r w:rsidR="000151FA" w:rsidRPr="000151FA">
        <w:rPr>
          <w:lang w:val="pt-BR"/>
        </w:rPr>
        <w:t>(Điều 7,</w:t>
      </w:r>
      <w:r w:rsidR="00260ED9">
        <w:rPr>
          <w:lang w:val="pt-BR"/>
        </w:rPr>
        <w:t xml:space="preserve"> Điều 8,</w:t>
      </w:r>
      <w:r w:rsidR="000151FA" w:rsidRPr="000151FA">
        <w:rPr>
          <w:lang w:val="pt-BR"/>
        </w:rPr>
        <w:t xml:space="preserve"> </w:t>
      </w:r>
      <w:r w:rsidR="00CC1F64">
        <w:rPr>
          <w:lang w:val="pt-BR"/>
        </w:rPr>
        <w:t xml:space="preserve">Điều 11, </w:t>
      </w:r>
      <w:r w:rsidR="000151FA" w:rsidRPr="000151FA">
        <w:rPr>
          <w:lang w:val="pt-BR"/>
        </w:rPr>
        <w:t xml:space="preserve">Điều 12, Điều 14 dự thảo Nghị định).  </w:t>
      </w:r>
    </w:p>
    <w:p w:rsidR="00613436" w:rsidRPr="00271068" w:rsidRDefault="00613436" w:rsidP="00AD6BCE">
      <w:pPr>
        <w:widowControl w:val="0"/>
        <w:spacing w:before="120" w:line="340" w:lineRule="exact"/>
        <w:ind w:firstLine="720"/>
        <w:jc w:val="both"/>
        <w:rPr>
          <w:rFonts w:eastAsia="Times New Roman Bold"/>
          <w:i/>
          <w:lang w:val="pt-BR"/>
        </w:rPr>
      </w:pPr>
      <w:r>
        <w:rPr>
          <w:rFonts w:eastAsia="Times New Roman Bold"/>
          <w:i/>
          <w:lang w:val="pt-BR"/>
        </w:rPr>
        <w:t>2.2.5. Thời điểm nhận đặt cược</w:t>
      </w:r>
    </w:p>
    <w:p w:rsidR="008B21ED" w:rsidRPr="001E1702" w:rsidRDefault="008B21ED" w:rsidP="00AD6BCE">
      <w:pPr>
        <w:widowControl w:val="0"/>
        <w:spacing w:before="120" w:line="340" w:lineRule="exact"/>
        <w:ind w:firstLine="709"/>
        <w:jc w:val="both"/>
        <w:rPr>
          <w:b/>
          <w:bCs/>
          <w:spacing w:val="-2"/>
          <w:lang w:val="pt-BR"/>
        </w:rPr>
      </w:pPr>
      <w:r w:rsidRPr="001E1702">
        <w:rPr>
          <w:bCs/>
          <w:spacing w:val="-2"/>
          <w:lang w:val="pt-BR"/>
        </w:rPr>
        <w:t>- Nghị định số 06 quy định</w:t>
      </w:r>
      <w:r w:rsidR="00A36D60">
        <w:rPr>
          <w:bCs/>
          <w:spacing w:val="-2"/>
          <w:lang w:val="pt-BR"/>
        </w:rPr>
        <w:t xml:space="preserve">: (i) </w:t>
      </w:r>
      <w:r w:rsidR="00A36D60">
        <w:rPr>
          <w:spacing w:val="-2"/>
          <w:lang w:val="pt-BR"/>
        </w:rPr>
        <w:t>Đối với đặt cược đua ngựa, đua chó: thời điểm bắt đầu nhận đặt cược không được vượt quá 12 giờ trước khi cuộc đua bắt đầu và</w:t>
      </w:r>
      <w:r w:rsidRPr="001E1702">
        <w:rPr>
          <w:spacing w:val="-2"/>
          <w:lang w:val="pt-BR"/>
        </w:rPr>
        <w:t xml:space="preserve"> thời điểm kết thúc nhận đặt cược</w:t>
      </w:r>
      <w:r>
        <w:rPr>
          <w:spacing w:val="-2"/>
          <w:lang w:val="pt-BR"/>
        </w:rPr>
        <w:t xml:space="preserve"> t</w:t>
      </w:r>
      <w:r w:rsidRPr="001E1702">
        <w:rPr>
          <w:spacing w:val="-2"/>
          <w:lang w:val="pt-BR"/>
        </w:rPr>
        <w:t>ối thiểu là 01 phút trước khi cuộc đua bắt đầu;</w:t>
      </w:r>
      <w:r>
        <w:rPr>
          <w:spacing w:val="-2"/>
          <w:lang w:val="pt-BR"/>
        </w:rPr>
        <w:t xml:space="preserve"> </w:t>
      </w:r>
      <w:r w:rsidR="00A36D60">
        <w:rPr>
          <w:spacing w:val="-2"/>
          <w:lang w:val="pt-BR"/>
        </w:rPr>
        <w:t>(ii) Đ</w:t>
      </w:r>
      <w:r>
        <w:rPr>
          <w:spacing w:val="-2"/>
          <w:lang w:val="pt-BR"/>
        </w:rPr>
        <w:t>ối với đặt cược BĐQT</w:t>
      </w:r>
      <w:r w:rsidR="00A36D60">
        <w:rPr>
          <w:spacing w:val="-2"/>
          <w:lang w:val="pt-BR"/>
        </w:rPr>
        <w:t>: thời điểm bắt đầu nhận đặt cược từ khi lịch, địa điểm thi đấu được Ban tổ chức công bố và thời điểm kết thúc nhận đặt cược</w:t>
      </w:r>
      <w:r>
        <w:rPr>
          <w:spacing w:val="-2"/>
          <w:lang w:val="pt-BR"/>
        </w:rPr>
        <w:t xml:space="preserve"> t</w:t>
      </w:r>
      <w:r w:rsidRPr="001E1702">
        <w:rPr>
          <w:spacing w:val="-2"/>
          <w:lang w:val="pt-BR"/>
        </w:rPr>
        <w:t xml:space="preserve">ối thiểu là 05 phút trước khi </w:t>
      </w:r>
      <w:r>
        <w:rPr>
          <w:spacing w:val="-2"/>
          <w:lang w:val="pt-BR"/>
        </w:rPr>
        <w:t>trận đấu</w:t>
      </w:r>
      <w:r w:rsidRPr="001E1702">
        <w:rPr>
          <w:spacing w:val="-2"/>
          <w:lang w:val="pt-BR"/>
        </w:rPr>
        <w:t xml:space="preserve"> kết thúc</w:t>
      </w:r>
      <w:r w:rsidR="00A36D60">
        <w:rPr>
          <w:spacing w:val="-2"/>
          <w:lang w:val="pt-BR"/>
        </w:rPr>
        <w:t xml:space="preserve"> (Điều 15)</w:t>
      </w:r>
      <w:r w:rsidRPr="001E1702">
        <w:rPr>
          <w:spacing w:val="-2"/>
          <w:lang w:val="pt-BR"/>
        </w:rPr>
        <w:t xml:space="preserve">.   </w:t>
      </w:r>
    </w:p>
    <w:p w:rsidR="00613436" w:rsidRDefault="008B21ED" w:rsidP="00AD6BCE">
      <w:pPr>
        <w:widowControl w:val="0"/>
        <w:snapToGrid w:val="0"/>
        <w:spacing w:before="120" w:line="340" w:lineRule="exact"/>
        <w:ind w:firstLine="720"/>
        <w:jc w:val="both"/>
        <w:rPr>
          <w:i/>
        </w:rPr>
      </w:pPr>
      <w:r w:rsidRPr="001E1702">
        <w:rPr>
          <w:spacing w:val="-2"/>
          <w:lang w:val="nl-NL"/>
        </w:rPr>
        <w:t xml:space="preserve">- </w:t>
      </w:r>
      <w:r w:rsidRPr="001E1702">
        <w:rPr>
          <w:lang w:val="nl-NL"/>
        </w:rPr>
        <w:t xml:space="preserve">Với sự phát triển khoa học công nghệ, thời điểm kết thúc nhận đặt cược, hệ thống máy tính sẽ tự động ngừng phân phối vé đặt cược và không ai có thể can thiệp vào hệ thống này. Do đó, Bộ Tài chính trình </w:t>
      </w:r>
      <w:r w:rsidRPr="001E1702">
        <w:rPr>
          <w:lang w:val="pt-BR"/>
        </w:rPr>
        <w:t xml:space="preserve">Chính phủ </w:t>
      </w:r>
      <w:r w:rsidRPr="001E1702">
        <w:rPr>
          <w:lang w:val="nl-NL"/>
        </w:rPr>
        <w:t xml:space="preserve">quy định </w:t>
      </w:r>
      <w:r w:rsidR="00A36D60">
        <w:rPr>
          <w:lang w:val="nl-NL"/>
        </w:rPr>
        <w:t xml:space="preserve">doanh nghiệp quyết định thời điểm bắt đầu nhận đặt cược, thời điểm kết thúc nhận đặt cược và phải được quy định cụ thể tại Thể lệ đặt cược gửi cơ quan nhà nước để theo dõi, quản lý và được công bố công khai để </w:t>
      </w:r>
      <w:r w:rsidR="00AD487E">
        <w:rPr>
          <w:lang w:val="nl-NL"/>
        </w:rPr>
        <w:t>người chơi được biết</w:t>
      </w:r>
      <w:r w:rsidRPr="001E1702">
        <w:rPr>
          <w:lang w:val="nl-NL"/>
        </w:rPr>
        <w:t>.</w:t>
      </w:r>
      <w:r w:rsidR="00613436">
        <w:rPr>
          <w:spacing w:val="-2"/>
          <w:lang w:val="pt-BR"/>
        </w:rPr>
        <w:t xml:space="preserve"> </w:t>
      </w:r>
    </w:p>
    <w:p w:rsidR="00312C34" w:rsidRPr="00C378F0" w:rsidRDefault="007D285D" w:rsidP="00AD6BCE">
      <w:pPr>
        <w:widowControl w:val="0"/>
        <w:snapToGrid w:val="0"/>
        <w:spacing w:before="120" w:line="340" w:lineRule="exact"/>
        <w:ind w:firstLine="720"/>
        <w:jc w:val="both"/>
        <w:rPr>
          <w:i/>
        </w:rPr>
      </w:pPr>
      <w:r>
        <w:rPr>
          <w:i/>
        </w:rPr>
        <w:t>2.2.</w:t>
      </w:r>
      <w:r w:rsidR="00A36D60">
        <w:rPr>
          <w:i/>
        </w:rPr>
        <w:t>6</w:t>
      </w:r>
      <w:r>
        <w:rPr>
          <w:i/>
        </w:rPr>
        <w:t xml:space="preserve">. </w:t>
      </w:r>
      <w:r w:rsidR="00312C34" w:rsidRPr="00C378F0">
        <w:rPr>
          <w:i/>
        </w:rPr>
        <w:t>Về quảng cáo</w:t>
      </w:r>
    </w:p>
    <w:p w:rsidR="00312C34" w:rsidRPr="002E658A" w:rsidRDefault="00312C34" w:rsidP="00AD6BCE">
      <w:pPr>
        <w:widowControl w:val="0"/>
        <w:snapToGrid w:val="0"/>
        <w:spacing w:before="120" w:line="340" w:lineRule="exact"/>
        <w:ind w:firstLine="720"/>
        <w:jc w:val="both"/>
      </w:pPr>
      <w:r w:rsidRPr="002E658A">
        <w:t>- Nghị định số 06 quy định doanh nghiệp kinh doanh đặt cược chỉ được quảng cáo các nội dung về tên, địa chỉ doanh nghiệp; tên sản phẩm/sự kiện đặt cược; đối tượng được phép chơi theo các hình thức gồm bảng, biển hiệu trong phạm vi trụ sở chính của doanh nghiệp, trường đua, điểm bán vé đặt cược cố định nhưng phải đảm bảo người bên ngoài không nghe được, không nhìn thấy được nội dung quảng cáo</w:t>
      </w:r>
      <w:r w:rsidR="00C61864" w:rsidRPr="002E658A">
        <w:t xml:space="preserve"> (Điều 44)</w:t>
      </w:r>
      <w:r w:rsidRPr="002E658A">
        <w:t xml:space="preserve">. </w:t>
      </w:r>
    </w:p>
    <w:p w:rsidR="00312C34" w:rsidRPr="00EF2103" w:rsidRDefault="00312C34" w:rsidP="00AD6BCE">
      <w:pPr>
        <w:widowControl w:val="0"/>
        <w:snapToGrid w:val="0"/>
        <w:spacing w:before="120" w:line="340" w:lineRule="exact"/>
        <w:ind w:firstLine="720"/>
        <w:jc w:val="both"/>
      </w:pPr>
      <w:r w:rsidRPr="00EF2103">
        <w:rPr>
          <w:lang w:val="nl-NL"/>
        </w:rPr>
        <w:t>- Việc nghiêm cấm doanh nghiệp quảng cáo sẽ làm hạn chế việc quảng bá hình ảnh, nhận diện thương hiệu của doanh nghiệp đến người chơi. Do vậy, Bộ</w:t>
      </w:r>
      <w:r>
        <w:rPr>
          <w:lang w:val="nl-NL"/>
        </w:rPr>
        <w:t xml:space="preserve"> Tài chính trình Chính phủ</w:t>
      </w:r>
      <w:r w:rsidRPr="00EF2103">
        <w:rPr>
          <w:lang w:val="nl-NL"/>
        </w:rPr>
        <w:t xml:space="preserve">: (i) Bổ sung quy định về nội dung được phép quảng cáo gồm </w:t>
      </w:r>
      <w:r w:rsidRPr="00EF2103">
        <w:t xml:space="preserve">logo, hình ảnh nhận diện của doanh nghiệp; Vị trí trường đua ngựa, đua chó; (ii) Bổ sung quy định về hình thức được phép quảng cáo gồm </w:t>
      </w:r>
      <w:r w:rsidR="002F4708">
        <w:t>t</w:t>
      </w:r>
      <w:r w:rsidRPr="00EF2103">
        <w:t xml:space="preserve">rên trang thông tin điện tử của doanh </w:t>
      </w:r>
      <w:r w:rsidRPr="000151FA">
        <w:t>nghiệp</w:t>
      </w:r>
      <w:r w:rsidR="00C61864" w:rsidRPr="000151FA">
        <w:t xml:space="preserve"> (Điều </w:t>
      </w:r>
      <w:r w:rsidR="000151FA" w:rsidRPr="000151FA">
        <w:t xml:space="preserve">15 </w:t>
      </w:r>
      <w:r w:rsidR="00C61864" w:rsidRPr="000151FA">
        <w:t>dự thảo Nghị định)</w:t>
      </w:r>
      <w:r w:rsidRPr="000151FA">
        <w:t>.</w:t>
      </w:r>
    </w:p>
    <w:p w:rsidR="001E1702" w:rsidRPr="00680438" w:rsidRDefault="001E1702" w:rsidP="00AD6BCE">
      <w:pPr>
        <w:widowControl w:val="0"/>
        <w:spacing w:before="120" w:line="340" w:lineRule="exact"/>
        <w:ind w:firstLine="720"/>
        <w:jc w:val="both"/>
        <w:rPr>
          <w:rFonts w:eastAsia="Times New Roman Bold"/>
          <w:b/>
          <w:i/>
          <w:lang w:val="pt-BR"/>
        </w:rPr>
      </w:pPr>
      <w:r w:rsidRPr="00680438">
        <w:rPr>
          <w:rFonts w:eastAsia="Times New Roman Bold"/>
          <w:b/>
          <w:i/>
          <w:lang w:val="pt-BR"/>
        </w:rPr>
        <w:lastRenderedPageBreak/>
        <w:t>2.</w:t>
      </w:r>
      <w:r w:rsidR="00841D5A">
        <w:rPr>
          <w:rFonts w:eastAsia="Times New Roman Bold"/>
          <w:b/>
          <w:i/>
          <w:lang w:val="pt-BR"/>
        </w:rPr>
        <w:t>3</w:t>
      </w:r>
      <w:r w:rsidRPr="00680438">
        <w:rPr>
          <w:rFonts w:eastAsia="Times New Roman Bold"/>
          <w:b/>
          <w:i/>
          <w:lang w:val="pt-BR"/>
        </w:rPr>
        <w:t xml:space="preserve">. </w:t>
      </w:r>
      <w:r w:rsidR="00193229" w:rsidRPr="00680438">
        <w:rPr>
          <w:rFonts w:eastAsia="Times New Roman Bold"/>
          <w:b/>
          <w:i/>
          <w:lang w:val="pt-BR"/>
        </w:rPr>
        <w:t xml:space="preserve">Nhóm chính sách về </w:t>
      </w:r>
      <w:r w:rsidR="00D879D7" w:rsidRPr="00680438">
        <w:rPr>
          <w:rFonts w:eastAsia="Times New Roman Bold"/>
          <w:b/>
          <w:i/>
          <w:lang w:val="pt-BR"/>
        </w:rPr>
        <w:t xml:space="preserve">thí điểm </w:t>
      </w:r>
      <w:r w:rsidRPr="00680438">
        <w:rPr>
          <w:rFonts w:eastAsia="Times New Roman Bold"/>
          <w:b/>
          <w:i/>
          <w:lang w:val="pt-BR"/>
        </w:rPr>
        <w:t xml:space="preserve">đặt cược </w:t>
      </w:r>
      <w:r w:rsidR="00841D5A">
        <w:rPr>
          <w:rFonts w:eastAsia="Times New Roman Bold"/>
          <w:b/>
          <w:i/>
          <w:lang w:val="pt-BR"/>
        </w:rPr>
        <w:t>BĐQT</w:t>
      </w:r>
    </w:p>
    <w:p w:rsidR="000B6309" w:rsidRDefault="000B6309" w:rsidP="00AD6BCE">
      <w:pPr>
        <w:widowControl w:val="0"/>
        <w:spacing w:before="120" w:line="340" w:lineRule="exact"/>
        <w:ind w:firstLine="720"/>
        <w:jc w:val="both"/>
        <w:rPr>
          <w:rFonts w:eastAsia="Times New Roman Bold"/>
          <w:i/>
          <w:spacing w:val="-4"/>
          <w:lang w:val="pt-BR"/>
        </w:rPr>
      </w:pPr>
      <w:r>
        <w:rPr>
          <w:rFonts w:eastAsia="Times New Roman Bold"/>
          <w:i/>
          <w:spacing w:val="-4"/>
          <w:lang w:val="pt-BR"/>
        </w:rPr>
        <w:t xml:space="preserve">2.3.1. Về điều kiện </w:t>
      </w:r>
      <w:r w:rsidR="004D6E5D">
        <w:rPr>
          <w:rFonts w:eastAsia="Times New Roman Bold"/>
          <w:i/>
          <w:spacing w:val="-4"/>
          <w:lang w:val="pt-BR"/>
        </w:rPr>
        <w:t>doanh nghiệp thí điểm kinh doanh đặt cược BĐQT</w:t>
      </w:r>
    </w:p>
    <w:p w:rsidR="000B6309" w:rsidRPr="002B13A1" w:rsidRDefault="000B6309" w:rsidP="00AD6BCE">
      <w:pPr>
        <w:widowControl w:val="0"/>
        <w:spacing w:before="120" w:line="340" w:lineRule="exact"/>
        <w:ind w:firstLine="720"/>
        <w:jc w:val="both"/>
        <w:rPr>
          <w:spacing w:val="-2"/>
          <w:lang w:val="pt-BR"/>
        </w:rPr>
      </w:pPr>
      <w:r w:rsidRPr="002B13A1">
        <w:rPr>
          <w:rFonts w:eastAsia="Calibri"/>
          <w:spacing w:val="-2"/>
          <w:lang w:val="pl-PL"/>
        </w:rPr>
        <w:t xml:space="preserve">- Nghị định số 06 quy định doanh nghiệp </w:t>
      </w:r>
      <w:r w:rsidR="004D6E5D">
        <w:rPr>
          <w:rFonts w:eastAsia="Calibri"/>
          <w:spacing w:val="-2"/>
          <w:lang w:val="pl-PL"/>
        </w:rPr>
        <w:t xml:space="preserve">thí điểm kinh doanh đặt cược BĐQT </w:t>
      </w:r>
      <w:r w:rsidRPr="002B13A1">
        <w:rPr>
          <w:rFonts w:eastAsia="Calibri"/>
          <w:spacing w:val="-2"/>
          <w:lang w:val="pl-PL"/>
        </w:rPr>
        <w:t xml:space="preserve">phải đáp ứng </w:t>
      </w:r>
      <w:r w:rsidR="004D6E5D">
        <w:rPr>
          <w:rFonts w:eastAsia="Calibri"/>
          <w:spacing w:val="-2"/>
          <w:lang w:val="pl-PL"/>
        </w:rPr>
        <w:t xml:space="preserve">04 </w:t>
      </w:r>
      <w:r w:rsidR="004D6E5D" w:rsidRPr="002B13A1">
        <w:rPr>
          <w:rFonts w:eastAsia="Calibri"/>
          <w:spacing w:val="-2"/>
          <w:lang w:val="pl-PL"/>
        </w:rPr>
        <w:t>điều kiện</w:t>
      </w:r>
      <w:r w:rsidRPr="002B13A1">
        <w:rPr>
          <w:rFonts w:eastAsia="Calibri"/>
          <w:spacing w:val="-2"/>
          <w:lang w:val="pl-PL"/>
        </w:rPr>
        <w:t xml:space="preserve"> gồm: (i) Vốn điều lệ tối thiểu 1.000 tỷ đồng</w:t>
      </w:r>
      <w:r w:rsidRPr="002B13A1">
        <w:rPr>
          <w:rFonts w:eastAsia="Calibri"/>
          <w:spacing w:val="-2"/>
          <w:lang w:val="pt-BR"/>
        </w:rPr>
        <w:t xml:space="preserve">; (ii) </w:t>
      </w:r>
      <w:r w:rsidRPr="002B13A1">
        <w:rPr>
          <w:spacing w:val="-2"/>
        </w:rPr>
        <w:t xml:space="preserve">Có phương án đầu tư hệ thống công nghệ, thiết bị kỹ thuật, phần mềm kinh doanh vận hành chính xác, an toàn, ổn định; (iii) Có phương án kinh doanh đặt cược bóng đá quốc tế khả thi, phù hợp với quy định của pháp luật; (iv) </w:t>
      </w:r>
      <w:r w:rsidRPr="002B13A1">
        <w:rPr>
          <w:rFonts w:eastAsia="Calibri"/>
          <w:iCs/>
          <w:spacing w:val="-2"/>
          <w:lang w:val="pt-BR"/>
        </w:rPr>
        <w:t>Có cam kết về việc hỗ trợ cộng đồng (</w:t>
      </w:r>
      <w:r w:rsidR="004D6E5D">
        <w:rPr>
          <w:rFonts w:eastAsia="Calibri"/>
          <w:iCs/>
          <w:spacing w:val="-2"/>
          <w:lang w:val="pt-BR"/>
        </w:rPr>
        <w:t xml:space="preserve">khoản 2 </w:t>
      </w:r>
      <w:r w:rsidRPr="002B13A1">
        <w:rPr>
          <w:rFonts w:eastAsia="Calibri"/>
          <w:iCs/>
          <w:spacing w:val="-2"/>
          <w:lang w:val="pt-BR"/>
        </w:rPr>
        <w:t>Điều 38).</w:t>
      </w:r>
    </w:p>
    <w:p w:rsidR="000B6309" w:rsidRDefault="000B6309" w:rsidP="00AD6BCE">
      <w:pPr>
        <w:widowControl w:val="0"/>
        <w:spacing w:before="120" w:line="340" w:lineRule="exact"/>
        <w:ind w:firstLine="720"/>
        <w:jc w:val="both"/>
        <w:rPr>
          <w:lang w:val="pt-BR"/>
        </w:rPr>
      </w:pPr>
      <w:r w:rsidRPr="00680438">
        <w:rPr>
          <w:lang w:val="pt-BR"/>
        </w:rPr>
        <w:t>- Thực hiện quy định của pháp luật về đầu tư, kinh doanh đặt cược là ngành nghề tiếp cận thị trường có điều kiện đối với nhà đầu tư nước ngoài</w:t>
      </w:r>
      <w:r w:rsidRPr="00680438">
        <w:rPr>
          <w:rStyle w:val="FootnoteReference"/>
          <w:lang w:val="pt-BR"/>
        </w:rPr>
        <w:footnoteReference w:id="8"/>
      </w:r>
      <w:r w:rsidRPr="00680438">
        <w:rPr>
          <w:lang w:val="pt-BR"/>
        </w:rPr>
        <w:t xml:space="preserve"> và </w:t>
      </w:r>
      <w:r>
        <w:rPr>
          <w:lang w:val="pt-BR"/>
        </w:rPr>
        <w:t>doanh nghiệp kinh doanh đặt cược có thể không phải là doanh nghiệp nhà nước</w:t>
      </w:r>
      <w:r w:rsidRPr="00680438">
        <w:rPr>
          <w:lang w:val="pt-BR"/>
        </w:rPr>
        <w:t xml:space="preserve">. Do đó, </w:t>
      </w:r>
      <w:r w:rsidRPr="00680438">
        <w:rPr>
          <w:rFonts w:eastAsia="Arial"/>
          <w:lang w:val="nl-NL"/>
        </w:rPr>
        <w:t>Bộ Tài chính trình Chính phủ</w:t>
      </w:r>
      <w:r w:rsidR="004D6E5D">
        <w:rPr>
          <w:rFonts w:eastAsia="Arial"/>
          <w:lang w:val="nl-NL"/>
        </w:rPr>
        <w:t xml:space="preserve"> giữ 04 điều kiện đối với doanh nghiệp thí điểm kinh doanh đặt cược BĐQT nhưng s</w:t>
      </w:r>
      <w:r w:rsidRPr="00680438">
        <w:rPr>
          <w:rFonts w:eastAsia="Arial"/>
          <w:spacing w:val="-5"/>
          <w:lang w:val="nl-NL"/>
        </w:rPr>
        <w:t xml:space="preserve">ửa đổi nội dung 02 điều kiện </w:t>
      </w:r>
      <w:r>
        <w:rPr>
          <w:rFonts w:eastAsia="Arial"/>
          <w:spacing w:val="-5"/>
          <w:lang w:val="nl-NL"/>
        </w:rPr>
        <w:t>về năng lực tài chính và đóng góp/hỗ trợ cộng đồng</w:t>
      </w:r>
      <w:r w:rsidRPr="00680438">
        <w:rPr>
          <w:rFonts w:eastAsia="Arial"/>
          <w:spacing w:val="-5"/>
          <w:lang w:val="nl-NL"/>
        </w:rPr>
        <w:t xml:space="preserve"> như sau</w:t>
      </w:r>
      <w:r w:rsidRPr="00680438">
        <w:rPr>
          <w:rFonts w:eastAsia="Arial"/>
          <w:lang w:val="nl-NL"/>
        </w:rPr>
        <w:t xml:space="preserve">: </w:t>
      </w:r>
      <w:r w:rsidRPr="001B05A5">
        <w:rPr>
          <w:lang w:val="pt-BR"/>
        </w:rPr>
        <w:t xml:space="preserve">(i) </w:t>
      </w:r>
      <w:r w:rsidRPr="00F571B8">
        <w:rPr>
          <w:spacing w:val="-2"/>
        </w:rPr>
        <w:t>Có vốn điều lệ tối thiểu là 1.000 tỷ đồng</w:t>
      </w:r>
      <w:r w:rsidRPr="00F571B8">
        <w:t>, trong đó tổng t</w:t>
      </w:r>
      <w:r w:rsidRPr="00F571B8">
        <w:rPr>
          <w:color w:val="000000"/>
        </w:rPr>
        <w:t xml:space="preserve">ỷ lệ sở hữu cổ phần hoặc phần vốn góp của tất cả pháp nhân có vốn đầu tư nước ngoài không được vượt quá 49% vốn điều lệ của doanh nghiệp và </w:t>
      </w:r>
      <w:r w:rsidRPr="00F571B8">
        <w:t>t</w:t>
      </w:r>
      <w:r w:rsidRPr="00F571B8">
        <w:rPr>
          <w:color w:val="000000"/>
        </w:rPr>
        <w:t xml:space="preserve">ỷ lệ sở hữu cổ phần hoặc phần vốn góp của pháp nhân có vốn đầu tư nước ngoài không được vượt quá </w:t>
      </w:r>
      <w:r w:rsidRPr="00F571B8">
        <w:t>t</w:t>
      </w:r>
      <w:r w:rsidRPr="00F571B8">
        <w:rPr>
          <w:color w:val="000000"/>
        </w:rPr>
        <w:t>ỷ lệ sở hữu cổ phần hoặc phần vốn góp của pháp nhân trong nước.</w:t>
      </w:r>
      <w:r w:rsidRPr="00F571B8">
        <w:rPr>
          <w:spacing w:val="-2"/>
        </w:rPr>
        <w:t xml:space="preserve"> Cổ đông hoặc thành viên góp vốn tại doanh nghiệp phải có cam kết không chuyển nhượng cổ phần hoặc phần vốn góp tại doanh nghiệp </w:t>
      </w:r>
      <w:r w:rsidR="004D6E5D">
        <w:rPr>
          <w:spacing w:val="-2"/>
        </w:rPr>
        <w:t>có cam kết không chuyển nhượng cổ phần hoặc phần vốn góp trong thời gian thí điểm kinh doanh đặt cược BĐQT</w:t>
      </w:r>
      <w:r w:rsidRPr="00F571B8">
        <w:rPr>
          <w:color w:val="000000"/>
        </w:rPr>
        <w:t>;</w:t>
      </w:r>
      <w:r w:rsidRPr="001B05A5">
        <w:t xml:space="preserve"> (ii) Có cam kết </w:t>
      </w:r>
      <w:r w:rsidRPr="001B05A5">
        <w:rPr>
          <w:lang w:val="nl-NL"/>
        </w:rPr>
        <w:t>đóng góp</w:t>
      </w:r>
      <w:r w:rsidRPr="001B05A5">
        <w:t xml:space="preserve"> bằng tiền cho NSNN trung ương ngoài các nghĩa vụ nộp thuế theo quy định của pháp luật về thuế</w:t>
      </w:r>
      <w:r>
        <w:t xml:space="preserve"> </w:t>
      </w:r>
      <w:r w:rsidRPr="001B05A5">
        <w:rPr>
          <w:spacing w:val="-4"/>
          <w:lang w:val="pt-BR"/>
        </w:rPr>
        <w:t xml:space="preserve">tối thiểu là </w:t>
      </w:r>
      <w:r>
        <w:rPr>
          <w:spacing w:val="-4"/>
          <w:lang w:val="pt-BR"/>
        </w:rPr>
        <w:t>10</w:t>
      </w:r>
      <w:r w:rsidRPr="001B05A5">
        <w:rPr>
          <w:spacing w:val="-4"/>
          <w:lang w:val="pt-BR"/>
        </w:rPr>
        <w:t>% doanh thu bán vé đặt cược</w:t>
      </w:r>
      <w:r w:rsidRPr="001B05A5">
        <w:rPr>
          <w:lang w:val="nl-NL"/>
        </w:rPr>
        <w:t xml:space="preserve"> trừ đi chi phí trả thưởng trong năm </w:t>
      </w:r>
      <w:r w:rsidR="004D6E5D">
        <w:rPr>
          <w:lang w:val="nl-NL"/>
        </w:rPr>
        <w:t>tài chính</w:t>
      </w:r>
      <w:r>
        <w:rPr>
          <w:lang w:val="nl-NL"/>
        </w:rPr>
        <w:t xml:space="preserve"> </w:t>
      </w:r>
      <w:r w:rsidR="004D6E5D" w:rsidRPr="005C4A8E">
        <w:rPr>
          <w:i/>
          <w:lang w:val="pt-BR"/>
        </w:rPr>
        <w:t>(</w:t>
      </w:r>
      <w:r w:rsidR="004D6E5D">
        <w:rPr>
          <w:i/>
          <w:lang w:val="pt-BR"/>
        </w:rPr>
        <w:t>c</w:t>
      </w:r>
      <w:r w:rsidR="004D6E5D" w:rsidRPr="005C4A8E">
        <w:rPr>
          <w:i/>
          <w:lang w:val="pt-BR"/>
        </w:rPr>
        <w:t>ăn cứ đề xuất nộp NSNN tại Phụ lục đính kèm Tờ trình này)</w:t>
      </w:r>
      <w:r w:rsidR="004D6E5D" w:rsidRPr="005C4A8E">
        <w:rPr>
          <w:lang w:val="nl-NL"/>
        </w:rPr>
        <w:t xml:space="preserve"> </w:t>
      </w:r>
      <w:r w:rsidR="000151FA" w:rsidRPr="000151FA">
        <w:rPr>
          <w:spacing w:val="-2"/>
          <w:lang w:val="pt-BR"/>
        </w:rPr>
        <w:t xml:space="preserve">(điểm </w:t>
      </w:r>
      <w:r w:rsidR="00CC1F64">
        <w:rPr>
          <w:spacing w:val="-2"/>
          <w:lang w:val="pt-BR"/>
        </w:rPr>
        <w:t>a, d</w:t>
      </w:r>
      <w:r w:rsidR="000151FA" w:rsidRPr="000151FA">
        <w:rPr>
          <w:spacing w:val="-2"/>
          <w:lang w:val="pt-BR"/>
        </w:rPr>
        <w:t xml:space="preserve"> khoản 3 Điều 27 dự thảo Nghị định). </w:t>
      </w:r>
    </w:p>
    <w:p w:rsidR="004D6E5D" w:rsidRPr="00680438" w:rsidRDefault="004D6E5D" w:rsidP="00AD6BCE">
      <w:pPr>
        <w:widowControl w:val="0"/>
        <w:spacing w:before="120" w:line="340" w:lineRule="exact"/>
        <w:ind w:firstLine="720"/>
        <w:jc w:val="both"/>
        <w:rPr>
          <w:rFonts w:eastAsia="Times New Roman Bold"/>
          <w:i/>
          <w:spacing w:val="-4"/>
          <w:lang w:val="pt-BR"/>
        </w:rPr>
      </w:pPr>
      <w:r w:rsidRPr="00680438">
        <w:rPr>
          <w:rFonts w:eastAsia="Times New Roman Bold"/>
          <w:i/>
          <w:spacing w:val="-4"/>
          <w:lang w:val="pt-BR"/>
        </w:rPr>
        <w:t>2.</w:t>
      </w:r>
      <w:r>
        <w:rPr>
          <w:rFonts w:eastAsia="Times New Roman Bold"/>
          <w:i/>
          <w:spacing w:val="-4"/>
          <w:lang w:val="pt-BR"/>
        </w:rPr>
        <w:t>3.2</w:t>
      </w:r>
      <w:r w:rsidRPr="00680438">
        <w:rPr>
          <w:rFonts w:eastAsia="Times New Roman Bold"/>
          <w:i/>
          <w:spacing w:val="-4"/>
          <w:lang w:val="pt-BR"/>
        </w:rPr>
        <w:t xml:space="preserve">. Về </w:t>
      </w:r>
      <w:r w:rsidR="0084009F">
        <w:rPr>
          <w:rFonts w:eastAsia="Times New Roman Bold"/>
          <w:i/>
          <w:spacing w:val="-4"/>
          <w:lang w:val="pt-BR"/>
        </w:rPr>
        <w:t xml:space="preserve">số lượng doanh nghiệp và </w:t>
      </w:r>
      <w:r w:rsidRPr="00680438">
        <w:rPr>
          <w:rFonts w:eastAsia="Times New Roman Bold"/>
          <w:i/>
          <w:spacing w:val="-4"/>
          <w:lang w:val="pt-BR"/>
        </w:rPr>
        <w:t>quy trình</w:t>
      </w:r>
      <w:r w:rsidR="0084009F">
        <w:rPr>
          <w:rFonts w:eastAsia="Times New Roman Bold"/>
          <w:i/>
          <w:spacing w:val="-4"/>
          <w:lang w:val="pt-BR"/>
        </w:rPr>
        <w:t>, thủ tục</w:t>
      </w:r>
      <w:r w:rsidRPr="00680438">
        <w:rPr>
          <w:rFonts w:eastAsia="Times New Roman Bold"/>
          <w:i/>
          <w:spacing w:val="-4"/>
          <w:lang w:val="pt-BR"/>
        </w:rPr>
        <w:t xml:space="preserve"> cấp GCNĐĐKKD </w:t>
      </w:r>
    </w:p>
    <w:p w:rsidR="004D6E5D" w:rsidRPr="00680438" w:rsidRDefault="004D6E5D" w:rsidP="00AD6BCE">
      <w:pPr>
        <w:widowControl w:val="0"/>
        <w:spacing w:before="120" w:line="340" w:lineRule="exact"/>
        <w:ind w:firstLine="720"/>
        <w:jc w:val="both"/>
        <w:rPr>
          <w:rFonts w:eastAsia="Arial"/>
          <w:lang w:val="nl-NL"/>
        </w:rPr>
      </w:pPr>
      <w:r w:rsidRPr="00680438">
        <w:rPr>
          <w:lang w:val="pt-BR"/>
        </w:rPr>
        <w:t xml:space="preserve">- </w:t>
      </w:r>
      <w:r>
        <w:rPr>
          <w:lang w:val="pt-BR"/>
        </w:rPr>
        <w:t>Nghị định số 06 quy định</w:t>
      </w:r>
      <w:r w:rsidR="0084009F">
        <w:rPr>
          <w:lang w:val="pt-BR"/>
        </w:rPr>
        <w:t xml:space="preserve"> chỉ 01 doanh nghiệp được phép thí điểm kinh doanh doanh đặt cược BĐQT trong thời gian là 05 năm.</w:t>
      </w:r>
      <w:r>
        <w:rPr>
          <w:lang w:val="pt-BR"/>
        </w:rPr>
        <w:t xml:space="preserve"> </w:t>
      </w:r>
      <w:r w:rsidR="0084009F">
        <w:rPr>
          <w:lang w:val="pt-BR"/>
        </w:rPr>
        <w:t>T</w:t>
      </w:r>
      <w:r>
        <w:rPr>
          <w:lang w:val="pt-BR"/>
        </w:rPr>
        <w:t xml:space="preserve">rình tự, thủ tục cấp GCNĐĐKKD đặt cược BĐQT gồm 03 bước: </w:t>
      </w:r>
      <w:r w:rsidRPr="00475F2B">
        <w:rPr>
          <w:lang w:val="nl-NL"/>
        </w:rPr>
        <w:t>(i)</w:t>
      </w:r>
      <w:r w:rsidRPr="00475F2B">
        <w:rPr>
          <w:lang w:val="pt-BR"/>
        </w:rPr>
        <w:t xml:space="preserve"> Bộ Tài chính phối hợp với các Bộ, ngành tổ chức đấu thầu lựa chọn </w:t>
      </w:r>
      <w:r w:rsidRPr="00475F2B">
        <w:rPr>
          <w:lang w:val="nl-NL"/>
        </w:rPr>
        <w:t>01 doanh nghiệp</w:t>
      </w:r>
      <w:r w:rsidRPr="00475F2B">
        <w:rPr>
          <w:rFonts w:eastAsia="Arial"/>
          <w:lang w:val="nl-NL"/>
        </w:rPr>
        <w:t>; (ii) Doanh nghiệp được lựa chọn qua đấu thầu thực hiện thủ tục đầu tư theo quy định của pháp luật về đầu tư (phải Thủ tướng Chính phủ phê duyệt chủ trương đầu tư và thực hiện đầu tư, chuẩn bị sẵn sàng cơ sở vật chất để kinh doanh); (iii) Bộ Tài chính cấp GCNĐĐKKD trước khi doanh nghiệp đi vào hoạt động</w:t>
      </w:r>
      <w:r>
        <w:rPr>
          <w:rFonts w:eastAsia="Arial"/>
          <w:lang w:val="nl-NL"/>
        </w:rPr>
        <w:t xml:space="preserve"> (Điều 38, 39 và 40 Nghị định số 06)</w:t>
      </w:r>
      <w:r w:rsidRPr="00680438">
        <w:rPr>
          <w:rFonts w:eastAsia="Arial"/>
          <w:lang w:val="nl-NL"/>
        </w:rPr>
        <w:t>.</w:t>
      </w:r>
    </w:p>
    <w:p w:rsidR="003A58F4" w:rsidRPr="003A58F4" w:rsidRDefault="004D6E5D" w:rsidP="00AD6BCE">
      <w:pPr>
        <w:widowControl w:val="0"/>
        <w:spacing w:before="120" w:line="340" w:lineRule="exact"/>
        <w:ind w:firstLine="720"/>
        <w:jc w:val="both"/>
        <w:rPr>
          <w:rFonts w:eastAsia="Times New Roman Bold"/>
          <w:i/>
          <w:color w:val="FF0000"/>
          <w:spacing w:val="-4"/>
          <w:lang w:val="pt-BR"/>
        </w:rPr>
      </w:pPr>
      <w:r w:rsidRPr="00D63688">
        <w:rPr>
          <w:color w:val="000000"/>
          <w:spacing w:val="-4"/>
          <w:shd w:val="clear" w:color="auto" w:fill="FFFFFF"/>
          <w:lang w:val="nl-NL"/>
        </w:rPr>
        <w:t xml:space="preserve">- </w:t>
      </w:r>
      <w:r w:rsidR="000151FA" w:rsidRPr="000151FA">
        <w:rPr>
          <w:color w:val="000000"/>
          <w:spacing w:val="-4"/>
          <w:shd w:val="clear" w:color="auto" w:fill="FFFFFF"/>
          <w:lang w:val="nl-NL"/>
        </w:rPr>
        <w:t xml:space="preserve">Kinh doanh đặt cược BĐQT có phạm vi kinh doanh trên phạm vi cả nước, được phép kinh doanh qua Internet và thời gian kinh doanh theo lịch thi đấu tổ chức ở nước ngoài (có thể là từ 21h tối - 4h sáng) nên có thể có tác động lớn đến an ninh trật </w:t>
      </w:r>
      <w:r w:rsidR="000151FA" w:rsidRPr="000151FA">
        <w:rPr>
          <w:color w:val="000000"/>
          <w:spacing w:val="-4"/>
          <w:shd w:val="clear" w:color="auto" w:fill="FFFFFF"/>
          <w:lang w:val="nl-NL"/>
        </w:rPr>
        <w:lastRenderedPageBreak/>
        <w:t xml:space="preserve">tự, an toàn xã hội nếu không được kiểm soát chặt chẽ. Do đó, trước hết cần phải thí điểm 01 doanh nghiệp được kinh doanh đặt cược bóng đá quốc tế và cần phải nghiên cứu lựa chọn doanh nghiệp vừa có năng lực trong kinh doanh vừa hỗ trợ Nhà nước trong việc kiểm soát hoạt động của thị trường này. Để tránh xảy ra tình trạng lãng phí, trên cơ sở kiểm soát chặt chẽ hoạt động kinh doanh đặt cược </w:t>
      </w:r>
      <w:r w:rsidR="005536C7">
        <w:rPr>
          <w:color w:val="000000"/>
          <w:spacing w:val="-4"/>
          <w:shd w:val="clear" w:color="auto" w:fill="FFFFFF"/>
          <w:lang w:val="nl-NL"/>
        </w:rPr>
        <w:t>BĐQT</w:t>
      </w:r>
      <w:r w:rsidR="000151FA" w:rsidRPr="000151FA">
        <w:rPr>
          <w:color w:val="000000"/>
          <w:spacing w:val="-4"/>
          <w:shd w:val="clear" w:color="auto" w:fill="FFFFFF"/>
          <w:lang w:val="nl-NL"/>
        </w:rPr>
        <w:t xml:space="preserve"> (giống như hoạt động kinh doanh casino)</w:t>
      </w:r>
      <w:r w:rsidR="00E77038">
        <w:rPr>
          <w:color w:val="000000"/>
          <w:spacing w:val="-4"/>
          <w:shd w:val="clear" w:color="auto" w:fill="FFFFFF"/>
          <w:lang w:val="nl-NL"/>
        </w:rPr>
        <w:t xml:space="preserve">, Bộ Tài chính trình Chính phủ quy định về quy trình, thủ tục cấp GCNĐĐKKD đặt cược BĐQT gồm 03 bước như sau: (i) </w:t>
      </w:r>
      <w:r w:rsidR="000151FA" w:rsidRPr="000151FA">
        <w:rPr>
          <w:color w:val="000000"/>
          <w:spacing w:val="-4"/>
          <w:shd w:val="clear" w:color="auto" w:fill="FFFFFF"/>
          <w:lang w:val="nl-NL"/>
        </w:rPr>
        <w:t>Cơ quan có thẩm quyền (Bộ Chính trị) cho phép 01 doanh nghiệp được kinh doanh đặt cược BĐQT (tương tự như kinh doanh casino)</w:t>
      </w:r>
      <w:r w:rsidR="00792E55">
        <w:rPr>
          <w:color w:val="000000"/>
          <w:spacing w:val="-4"/>
          <w:shd w:val="clear" w:color="auto" w:fill="FFFFFF"/>
          <w:lang w:val="nl-NL"/>
        </w:rPr>
        <w:t>; (ii) Doanh nghiệp được cơ quan có thẩm quyền (Bộ Chính trị) lựa chọn thực h</w:t>
      </w:r>
      <w:r w:rsidR="00B3781E">
        <w:rPr>
          <w:color w:val="000000"/>
          <w:spacing w:val="-4"/>
          <w:shd w:val="clear" w:color="auto" w:fill="FFFFFF"/>
          <w:lang w:val="nl-NL"/>
        </w:rPr>
        <w:t>i</w:t>
      </w:r>
      <w:r w:rsidR="00792E55">
        <w:rPr>
          <w:color w:val="000000"/>
          <w:spacing w:val="-4"/>
          <w:shd w:val="clear" w:color="auto" w:fill="FFFFFF"/>
          <w:lang w:val="nl-NL"/>
        </w:rPr>
        <w:t xml:space="preserve">ện thủ tục đầu tư theo quy định của pháp luật về đầu tư; (iii) </w:t>
      </w:r>
      <w:r w:rsidR="00792E55" w:rsidRPr="00475F2B">
        <w:rPr>
          <w:rFonts w:eastAsia="Arial"/>
          <w:lang w:val="nl-NL"/>
        </w:rPr>
        <w:t>Bộ Tài chính cấp GCNĐĐKKD trước khi doanh nghiệp đi vào hoạt động</w:t>
      </w:r>
      <w:r w:rsidR="000151FA">
        <w:rPr>
          <w:rFonts w:eastAsia="Arial"/>
          <w:lang w:val="nl-NL"/>
        </w:rPr>
        <w:t xml:space="preserve"> (Điều 27, Điều 28, Điều 29 dự thảo Nghị định). </w:t>
      </w:r>
    </w:p>
    <w:p w:rsidR="001E1702" w:rsidRDefault="001E1702" w:rsidP="00AD6BCE">
      <w:pPr>
        <w:widowControl w:val="0"/>
        <w:spacing w:before="120" w:line="340" w:lineRule="exact"/>
        <w:ind w:firstLine="720"/>
        <w:jc w:val="both"/>
        <w:rPr>
          <w:b/>
          <w:bCs/>
          <w:i/>
          <w:lang w:val="nl-NL"/>
        </w:rPr>
      </w:pPr>
      <w:r w:rsidRPr="00680438">
        <w:rPr>
          <w:b/>
          <w:i/>
          <w:lang w:val="pt-BR"/>
        </w:rPr>
        <w:t>2.</w:t>
      </w:r>
      <w:r w:rsidR="004F11D2">
        <w:rPr>
          <w:b/>
          <w:i/>
          <w:lang w:val="pt-BR"/>
        </w:rPr>
        <w:t>4</w:t>
      </w:r>
      <w:r w:rsidRPr="00680438">
        <w:rPr>
          <w:b/>
          <w:i/>
          <w:lang w:val="nl-NL"/>
        </w:rPr>
        <w:t xml:space="preserve">. </w:t>
      </w:r>
      <w:r w:rsidR="000839C4">
        <w:rPr>
          <w:rFonts w:eastAsia="Times New Roman Bold"/>
          <w:b/>
          <w:i/>
          <w:lang w:val="pt-BR"/>
        </w:rPr>
        <w:t>Đ</w:t>
      </w:r>
      <w:r w:rsidRPr="00680438">
        <w:rPr>
          <w:b/>
          <w:bCs/>
          <w:i/>
          <w:lang w:val="nl-NL"/>
        </w:rPr>
        <w:t>iều kiện cấp G</w:t>
      </w:r>
      <w:r w:rsidR="007B5058">
        <w:rPr>
          <w:b/>
          <w:bCs/>
          <w:i/>
          <w:lang w:val="nl-NL"/>
        </w:rPr>
        <w:t>CN</w:t>
      </w:r>
      <w:r w:rsidRPr="00680438">
        <w:rPr>
          <w:b/>
          <w:bCs/>
          <w:i/>
          <w:lang w:val="nl-NL"/>
        </w:rPr>
        <w:t xml:space="preserve">ĐĐKKD </w:t>
      </w:r>
      <w:r w:rsidR="00E76411" w:rsidRPr="00680438">
        <w:rPr>
          <w:b/>
          <w:bCs/>
          <w:i/>
          <w:lang w:val="nl-NL"/>
        </w:rPr>
        <w:t>đặt cược đua ngựa, đua chó</w:t>
      </w:r>
    </w:p>
    <w:p w:rsidR="0019091A" w:rsidRPr="00680438" w:rsidRDefault="0019091A" w:rsidP="00AD6BCE">
      <w:pPr>
        <w:widowControl w:val="0"/>
        <w:spacing w:before="120" w:line="340" w:lineRule="exact"/>
        <w:ind w:firstLine="720"/>
        <w:jc w:val="both"/>
        <w:rPr>
          <w:bCs/>
          <w:lang w:val="nl-NL"/>
        </w:rPr>
      </w:pPr>
      <w:r w:rsidRPr="00680438">
        <w:rPr>
          <w:bCs/>
          <w:lang w:val="nl-NL"/>
        </w:rPr>
        <w:t xml:space="preserve">- </w:t>
      </w:r>
      <w:r w:rsidRPr="00680438">
        <w:rPr>
          <w:bCs/>
          <w:spacing w:val="-4"/>
          <w:lang w:val="nl-NL"/>
        </w:rPr>
        <w:t>Nghị định 06 quy định</w:t>
      </w:r>
      <w:r w:rsidR="00AD6BCE">
        <w:rPr>
          <w:bCs/>
          <w:spacing w:val="-4"/>
          <w:lang w:val="nl-NL"/>
        </w:rPr>
        <w:t>,</w:t>
      </w:r>
      <w:r w:rsidRPr="00680438">
        <w:rPr>
          <w:rFonts w:eastAsia="Calibri"/>
          <w:spacing w:val="-4"/>
          <w:lang w:val="pl-PL"/>
        </w:rPr>
        <w:t xml:space="preserve"> để được cấp Giấy chứng nhận đăng ký đầu tư</w:t>
      </w:r>
      <w:r w:rsidRPr="00680438">
        <w:rPr>
          <w:rFonts w:eastAsia="Calibri"/>
          <w:spacing w:val="-4"/>
          <w:lang w:val="vi-VN"/>
        </w:rPr>
        <w:t>,</w:t>
      </w:r>
      <w:r w:rsidRPr="00680438">
        <w:rPr>
          <w:rFonts w:eastAsia="Calibri"/>
          <w:spacing w:val="-4"/>
          <w:lang w:val="pl-PL"/>
        </w:rPr>
        <w:t xml:space="preserve"> dự án đầu tư </w:t>
      </w:r>
      <w:r>
        <w:rPr>
          <w:rFonts w:eastAsia="Calibri"/>
          <w:spacing w:val="-4"/>
          <w:lang w:val="pl-PL"/>
        </w:rPr>
        <w:t xml:space="preserve">kinh doanh đặt cược </w:t>
      </w:r>
      <w:r w:rsidRPr="00680438">
        <w:rPr>
          <w:rFonts w:eastAsia="Calibri"/>
          <w:spacing w:val="-4"/>
          <w:lang w:val="pl-PL"/>
        </w:rPr>
        <w:t xml:space="preserve">đua ngựa, đua chó phải đáp ứng điều kiện về </w:t>
      </w:r>
      <w:r w:rsidRPr="00680438">
        <w:rPr>
          <w:rFonts w:eastAsia="Calibri"/>
          <w:spacing w:val="-4"/>
        </w:rPr>
        <w:t>đ</w:t>
      </w:r>
      <w:r w:rsidRPr="00680438">
        <w:rPr>
          <w:bCs/>
          <w:spacing w:val="-4"/>
          <w:lang w:val="nl-NL"/>
        </w:rPr>
        <w:t xml:space="preserve">ịa điểm đầu tư xây dựng trường đua phù hợp với quy hoạch phát triển kinh tế - xã hội của địa phương; vốn đầu tư tối thiểu là 1.000 tỷ đồng </w:t>
      </w:r>
      <w:r w:rsidRPr="00680438">
        <w:rPr>
          <w:rFonts w:eastAsia="Calibri"/>
          <w:iCs/>
          <w:spacing w:val="-4"/>
          <w:lang w:val="pt-BR"/>
        </w:rPr>
        <w:t>(</w:t>
      </w:r>
      <w:r w:rsidRPr="00680438">
        <w:rPr>
          <w:rFonts w:eastAsia="Calibri"/>
          <w:iCs/>
          <w:spacing w:val="-4"/>
        </w:rPr>
        <w:t>đặt cược đua ngựa</w:t>
      </w:r>
      <w:r w:rsidRPr="00680438">
        <w:rPr>
          <w:rFonts w:eastAsia="Calibri"/>
          <w:iCs/>
          <w:spacing w:val="-4"/>
          <w:lang w:val="pt-BR"/>
        </w:rPr>
        <w:t xml:space="preserve">) và 300 tỷ đồng (đặt cược đua chó). Để được cấp GCNĐĐKKD, doanh nghiệp phải tổ chức theo mô hình công ty TNHH hoặc công ty cổ phần và </w:t>
      </w:r>
      <w:r w:rsidRPr="00680438">
        <w:rPr>
          <w:spacing w:val="-4"/>
        </w:rPr>
        <w:t>chuẩn bị sẵn sàng cơ sở vật chất để kinh doanh đặt cược (khoản 4 Điều 30 và khoản 1 Điều 31)</w:t>
      </w:r>
      <w:r w:rsidRPr="00680438">
        <w:t>.</w:t>
      </w:r>
    </w:p>
    <w:p w:rsidR="0019091A" w:rsidRPr="00680438" w:rsidRDefault="0019091A" w:rsidP="00AD6BCE">
      <w:pPr>
        <w:widowControl w:val="0"/>
        <w:spacing w:before="120" w:line="340" w:lineRule="exact"/>
        <w:ind w:firstLine="720"/>
        <w:jc w:val="both"/>
        <w:rPr>
          <w:b/>
          <w:bCs/>
          <w:i/>
          <w:lang w:val="nl-NL"/>
        </w:rPr>
      </w:pPr>
      <w:r w:rsidRPr="00CE34AB">
        <w:rPr>
          <w:spacing w:val="-5"/>
          <w:lang w:val="nl-NL"/>
        </w:rPr>
        <w:t>- Theo quy định của pháp luật</w:t>
      </w:r>
      <w:r w:rsidR="00AD6BCE">
        <w:rPr>
          <w:spacing w:val="-5"/>
          <w:lang w:val="nl-NL"/>
        </w:rPr>
        <w:t xml:space="preserve"> về quy hoạch và đầu tư</w:t>
      </w:r>
      <w:r w:rsidRPr="00CE34AB">
        <w:rPr>
          <w:spacing w:val="-5"/>
          <w:lang w:val="nl-NL"/>
        </w:rPr>
        <w:t>, quy hoạch phát triển kinh tế - xã hội của địa phương được thay thế bằng quy hoạch tỉnh</w:t>
      </w:r>
      <w:r w:rsidRPr="00CE34AB">
        <w:rPr>
          <w:rStyle w:val="FootnoteReference"/>
          <w:spacing w:val="-5"/>
          <w:lang w:val="vi-VN"/>
        </w:rPr>
        <w:footnoteReference w:id="9"/>
      </w:r>
      <w:r w:rsidRPr="00CE34AB">
        <w:rPr>
          <w:spacing w:val="-5"/>
          <w:lang w:val="nl-NL"/>
        </w:rPr>
        <w:t xml:space="preserve"> và kinh doanh đặt cược </w:t>
      </w:r>
      <w:r w:rsidRPr="00CE34AB">
        <w:rPr>
          <w:spacing w:val="-5"/>
          <w:lang w:val="pt-BR"/>
        </w:rPr>
        <w:t xml:space="preserve">là ngành, nghề tiếp cận thị trường có điều kiện đối với nhà đầu tư nước ngoài. </w:t>
      </w:r>
      <w:r w:rsidRPr="00CE34AB">
        <w:rPr>
          <w:spacing w:val="-5"/>
          <w:lang w:val="nl-NL"/>
        </w:rPr>
        <w:t xml:space="preserve">Do vậy, Bộ Tài chính trình Chính phủ sửa đổi điều kiện về phê duyệt chủ trương đầu tư/cấp GCNĐĐKKD: (i) </w:t>
      </w:r>
      <w:r w:rsidRPr="00CE34AB">
        <w:rPr>
          <w:spacing w:val="-5"/>
        </w:rPr>
        <w:t>Đ</w:t>
      </w:r>
      <w:r w:rsidRPr="00CE34AB">
        <w:rPr>
          <w:spacing w:val="-5"/>
          <w:lang w:val="nl-NL"/>
        </w:rPr>
        <w:t xml:space="preserve">ịa điểm đầu tư xây dựng trường đua phải phù hợp với quy hoạch tỉnh nhằm đảm bảo phù hợp với pháp luật về quy hoạch; (ii) Tổng vốn </w:t>
      </w:r>
      <w:r w:rsidR="00AD6BCE">
        <w:rPr>
          <w:spacing w:val="-5"/>
        </w:rPr>
        <w:t xml:space="preserve">đầu tư/vốn điều lệ tối thiểu </w:t>
      </w:r>
      <w:r w:rsidRPr="00CE34AB">
        <w:rPr>
          <w:spacing w:val="-5"/>
        </w:rPr>
        <w:t>là 1.000 tỷ đồng (đua ngựa) và 300 tỷ đồng (đua chó)</w:t>
      </w:r>
      <w:r w:rsidRPr="00CE34AB">
        <w:rPr>
          <w:i/>
          <w:spacing w:val="-5"/>
        </w:rPr>
        <w:t xml:space="preserve">, </w:t>
      </w:r>
      <w:r w:rsidRPr="00CE34AB">
        <w:rPr>
          <w:spacing w:val="-5"/>
        </w:rPr>
        <w:t xml:space="preserve">trường hợp nhà đầu tư nước ngoài tham gia góp vốn thực hiện dự án đầu tư thì tỷ lệ </w:t>
      </w:r>
      <w:r w:rsidRPr="00CE34AB">
        <w:rPr>
          <w:color w:val="000000"/>
          <w:spacing w:val="-5"/>
        </w:rPr>
        <w:t xml:space="preserve">vốn đầu tư/vốn điều lệ của tất cả pháp nhân có vốn đầu tư nước ngoài không được vượt quá 49% tổng vốn đầu tư dự án/vốn điều lệ của doanh nghiệp </w:t>
      </w:r>
      <w:r w:rsidR="000151FA" w:rsidRPr="00016AA8">
        <w:rPr>
          <w:spacing w:val="-5"/>
          <w:lang w:val="pt-BR"/>
        </w:rPr>
        <w:t>(</w:t>
      </w:r>
      <w:r w:rsidR="000151FA">
        <w:rPr>
          <w:spacing w:val="-5"/>
          <w:lang w:val="pt-BR"/>
        </w:rPr>
        <w:t>khoản 1 Điều 19 và</w:t>
      </w:r>
      <w:r w:rsidR="000151FA" w:rsidRPr="00016AA8">
        <w:rPr>
          <w:spacing w:val="-5"/>
          <w:lang w:val="pt-BR"/>
        </w:rPr>
        <w:t xml:space="preserve"> </w:t>
      </w:r>
      <w:r w:rsidR="000151FA" w:rsidRPr="00016AA8">
        <w:rPr>
          <w:color w:val="000000"/>
          <w:spacing w:val="-5"/>
        </w:rPr>
        <w:t>khoản 1 Điều 20 dự thảo Nghị định).</w:t>
      </w:r>
      <w:r w:rsidR="000151FA" w:rsidRPr="00952F51">
        <w:rPr>
          <w:spacing w:val="-2"/>
          <w:lang w:val="pt-BR"/>
        </w:rPr>
        <w:t xml:space="preserve"> </w:t>
      </w:r>
    </w:p>
    <w:p w:rsidR="001E1702" w:rsidRPr="00680438" w:rsidRDefault="001E1702" w:rsidP="00AD6BCE">
      <w:pPr>
        <w:widowControl w:val="0"/>
        <w:spacing w:before="120" w:line="340" w:lineRule="exact"/>
        <w:ind w:firstLine="720"/>
        <w:jc w:val="both"/>
        <w:rPr>
          <w:b/>
          <w:i/>
          <w:spacing w:val="-4"/>
          <w:lang w:val="nl-NL"/>
        </w:rPr>
      </w:pPr>
      <w:r w:rsidRPr="00680438">
        <w:rPr>
          <w:b/>
          <w:i/>
          <w:spacing w:val="-4"/>
          <w:lang w:val="vi-VN"/>
        </w:rPr>
        <w:t>2.</w:t>
      </w:r>
      <w:r w:rsidR="000839C4">
        <w:rPr>
          <w:b/>
          <w:i/>
          <w:spacing w:val="-4"/>
        </w:rPr>
        <w:t>5</w:t>
      </w:r>
      <w:r w:rsidRPr="00680438">
        <w:rPr>
          <w:b/>
          <w:i/>
          <w:spacing w:val="-4"/>
          <w:lang w:val="vi-VN"/>
        </w:rPr>
        <w:t>.</w:t>
      </w:r>
      <w:r w:rsidRPr="00680438">
        <w:rPr>
          <w:b/>
          <w:i/>
          <w:spacing w:val="-4"/>
          <w:lang w:val="nl-NL"/>
        </w:rPr>
        <w:t xml:space="preserve"> </w:t>
      </w:r>
      <w:r w:rsidR="000151FA" w:rsidRPr="000151FA">
        <w:rPr>
          <w:b/>
          <w:i/>
          <w:spacing w:val="-4"/>
          <w:lang w:val="nl-NL"/>
        </w:rPr>
        <w:t xml:space="preserve">Về cắt giảm điều kiện kinh doanh, cải cách thủ tục hành chính, phân cấp, phân quyền </w:t>
      </w:r>
    </w:p>
    <w:p w:rsidR="002A2E7D" w:rsidRDefault="002A2E7D"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spacing w:val="-2"/>
        </w:rPr>
      </w:pPr>
      <w:r w:rsidRPr="00EF6335">
        <w:rPr>
          <w:spacing w:val="-2"/>
        </w:rPr>
        <w:t>Thực hiện chủ trương của Bộ Chính trị</w:t>
      </w:r>
      <w:r>
        <w:rPr>
          <w:spacing w:val="-2"/>
          <w:vertAlign w:val="superscript"/>
        </w:rPr>
        <w:footnoteReference w:id="10"/>
      </w:r>
      <w:r w:rsidRPr="00EF6335">
        <w:rPr>
          <w:spacing w:val="-2"/>
        </w:rPr>
        <w:t>, Chính phủ</w:t>
      </w:r>
      <w:r>
        <w:rPr>
          <w:spacing w:val="-2"/>
          <w:vertAlign w:val="superscript"/>
        </w:rPr>
        <w:footnoteReference w:id="11"/>
      </w:r>
      <w:r w:rsidRPr="00EF6335">
        <w:rPr>
          <w:spacing w:val="-2"/>
        </w:rPr>
        <w:t>, Thủ tướng Chính phủ</w:t>
      </w:r>
      <w:r>
        <w:rPr>
          <w:spacing w:val="-2"/>
          <w:vertAlign w:val="superscript"/>
        </w:rPr>
        <w:footnoteReference w:id="12"/>
      </w:r>
      <w:r w:rsidRPr="00EF6335">
        <w:rPr>
          <w:spacing w:val="-2"/>
        </w:rPr>
        <w:t xml:space="preserve"> về việc cắt giảm, đơn giản hóa điều kiện đầu tư kinh doanh, thủ tục hành chính </w:t>
      </w:r>
      <w:r w:rsidRPr="00EF6335">
        <w:rPr>
          <w:spacing w:val="-2"/>
        </w:rPr>
        <w:lastRenderedPageBreak/>
        <w:t>(TTHC), tạo môi trường đầu tư kinh doanh thông thoáng cho doanh nghiệp và chuyển mạnh từ tiền kiểm sang hậu kiểm, gắn với tăng cường kiểm tra, giám sát, Bộ Tài chính thực hiện rà soát và trình Chính phủ cắt giảm, đơn giản hóa một số điều kiện kinh doanh, thủ tục hành chính như sau:</w:t>
      </w:r>
    </w:p>
    <w:p w:rsidR="002A2E7D" w:rsidRDefault="002A2E7D"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b/>
          <w:i/>
          <w:spacing w:val="-2"/>
        </w:rPr>
      </w:pPr>
      <w:r w:rsidRPr="00EF6335">
        <w:rPr>
          <w:spacing w:val="-2"/>
        </w:rPr>
        <w:t>- Cắt giảm 0</w:t>
      </w:r>
      <w:r w:rsidR="00593C4E">
        <w:rPr>
          <w:spacing w:val="-2"/>
        </w:rPr>
        <w:t>2</w:t>
      </w:r>
      <w:r w:rsidRPr="00EF6335">
        <w:rPr>
          <w:spacing w:val="-2"/>
        </w:rPr>
        <w:t xml:space="preserve"> điều kiện </w:t>
      </w:r>
      <w:r>
        <w:rPr>
          <w:spacing w:val="-2"/>
        </w:rPr>
        <w:t xml:space="preserve">về </w:t>
      </w:r>
      <w:r w:rsidR="00593C4E">
        <w:rPr>
          <w:spacing w:val="-2"/>
        </w:rPr>
        <w:t xml:space="preserve">phương án tổ chức hoạt động kinh doanh và </w:t>
      </w:r>
      <w:r>
        <w:rPr>
          <w:spacing w:val="-2"/>
        </w:rPr>
        <w:t xml:space="preserve">cam kết của nhà đầu tư về việc hỗ trợ cộng đồng khi </w:t>
      </w:r>
      <w:r w:rsidRPr="00EF6335">
        <w:rPr>
          <w:spacing w:val="-2"/>
        </w:rPr>
        <w:t xml:space="preserve">cấp </w:t>
      </w:r>
      <w:r>
        <w:rPr>
          <w:spacing w:val="-2"/>
        </w:rPr>
        <w:t>Giấy chứng nhận đăng ký đầu tư đặt cược đua ngựa, đặt cược đua chó.</w:t>
      </w:r>
    </w:p>
    <w:p w:rsidR="00CD2A9F" w:rsidRDefault="00CD2A9F"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spacing w:val="-2"/>
        </w:rPr>
      </w:pPr>
      <w:r>
        <w:rPr>
          <w:spacing w:val="-2"/>
        </w:rPr>
        <w:t>- Đ</w:t>
      </w:r>
      <w:r w:rsidR="00B131AF">
        <w:rPr>
          <w:spacing w:val="-2"/>
        </w:rPr>
        <w:t xml:space="preserve">ơn giản hóa các thành phần hồ sơ đề nghị cấp </w:t>
      </w:r>
      <w:r>
        <w:rPr>
          <w:spacing w:val="-2"/>
        </w:rPr>
        <w:t>GCNĐĐKKD</w:t>
      </w:r>
      <w:r w:rsidR="00B131AF">
        <w:rPr>
          <w:spacing w:val="-2"/>
        </w:rPr>
        <w:t xml:space="preserve">, cụ thể: (i) </w:t>
      </w:r>
      <w:r>
        <w:rPr>
          <w:spacing w:val="-2"/>
        </w:rPr>
        <w:t>Bỏ quy định doanh nghiệp phải nộp phiếu lý lịch tư pháp đối với người quản lý, điều hành doanh nghiệp; (ii) Đ</w:t>
      </w:r>
      <w:r w:rsidR="00B131AF">
        <w:t>ơn giản thành phần hồ sơ</w:t>
      </w:r>
      <w:r>
        <w:t xml:space="preserve"> doanh nghiệp phải nộp là bản sao Giấy chứng nhận đăng ký đầu tư/doanh nghiệp thay vì phải nộp bản sao có chứng thực; (iii) Bỏ thành phần hồ sơ về Giấy chứng nhận sự phù hợp về chất lượng đối với công trình xây dựng trường đua ngựa, đua chó do cơ</w:t>
      </w:r>
      <w:r w:rsidR="00424D2B">
        <w:t xml:space="preserve"> quan quản lý có thẩm quyền cấp; (iv) </w:t>
      </w:r>
      <w:r w:rsidR="00424D2B">
        <w:rPr>
          <w:lang w:val="pt-BR"/>
        </w:rPr>
        <w:t>Đ</w:t>
      </w:r>
      <w:r w:rsidR="00424D2B" w:rsidRPr="00680438">
        <w:rPr>
          <w:lang w:val="pt-BR"/>
        </w:rPr>
        <w:t xml:space="preserve">ưa các quy định về mẫu đơn </w:t>
      </w:r>
      <w:r w:rsidR="00424D2B">
        <w:rPr>
          <w:lang w:val="pt-BR"/>
        </w:rPr>
        <w:t>hiện đang quy định tại Thông tư hướng dẫn Nghị định số 06 lên quy định</w:t>
      </w:r>
      <w:r w:rsidR="00424D2B" w:rsidRPr="00680438">
        <w:rPr>
          <w:lang w:val="pt-BR"/>
        </w:rPr>
        <w:t xml:space="preserve"> tại dự thảo Nghị định</w:t>
      </w:r>
      <w:r w:rsidR="00424D2B">
        <w:rPr>
          <w:lang w:val="pt-BR"/>
        </w:rPr>
        <w:t xml:space="preserve"> để phù hợp với quy định của Luật BHVBQPPL và </w:t>
      </w:r>
      <w:r w:rsidR="00424D2B" w:rsidRPr="00680438">
        <w:rPr>
          <w:spacing w:val="-5"/>
          <w:lang w:val="pt-BR"/>
        </w:rPr>
        <w:t xml:space="preserve">tạo điều kiện cho doanh nghiệp dễ dàng thực hiện các </w:t>
      </w:r>
      <w:r w:rsidR="00424D2B">
        <w:rPr>
          <w:spacing w:val="-5"/>
          <w:lang w:val="pt-BR"/>
        </w:rPr>
        <w:t xml:space="preserve">thủ tục hành chính; </w:t>
      </w:r>
      <w:r w:rsidR="00424D2B" w:rsidRPr="00680438">
        <w:rPr>
          <w:lang w:val="pt-BR"/>
        </w:rPr>
        <w:t xml:space="preserve">quy định này không tạo ra thủ tục hành chính mới, không phát sinh thêm nguồn lực để thực hiện và </w:t>
      </w:r>
      <w:r w:rsidR="00424D2B" w:rsidRPr="00680438">
        <w:rPr>
          <w:spacing w:val="-5"/>
          <w:lang w:val="pt-BR"/>
        </w:rPr>
        <w:t>cắt giảm, đơn giản hóa thủ tục hành chính</w:t>
      </w:r>
      <w:r w:rsidR="00424D2B">
        <w:rPr>
          <w:spacing w:val="-5"/>
          <w:lang w:val="pt-BR"/>
        </w:rPr>
        <w:t>.</w:t>
      </w:r>
      <w:r w:rsidR="00424D2B" w:rsidRPr="00680438">
        <w:rPr>
          <w:spacing w:val="-5"/>
          <w:lang w:val="pt-BR"/>
        </w:rPr>
        <w:t xml:space="preserve"> </w:t>
      </w:r>
    </w:p>
    <w:p w:rsidR="00820BE2" w:rsidRDefault="00CD2A9F"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rFonts w:eastAsia="Arial"/>
          <w:b/>
          <w:i/>
          <w:spacing w:val="-2"/>
        </w:rPr>
      </w:pPr>
      <w:r>
        <w:rPr>
          <w:spacing w:val="-2"/>
        </w:rPr>
        <w:t>- Đơn giản hóa</w:t>
      </w:r>
      <w:r w:rsidR="00B131AF" w:rsidRPr="00CD2A9F">
        <w:rPr>
          <w:spacing w:val="-2"/>
        </w:rPr>
        <w:t xml:space="preserve"> quy trì</w:t>
      </w:r>
      <w:r>
        <w:rPr>
          <w:spacing w:val="-2"/>
        </w:rPr>
        <w:t xml:space="preserve">nh thực hiện thủ tục hành chính cấp GCNĐĐKKD: (i) </w:t>
      </w:r>
      <w:r w:rsidR="00B131AF">
        <w:rPr>
          <w:spacing w:val="-2"/>
        </w:rPr>
        <w:t xml:space="preserve">Bỏ quy định Bộ Tài chính phối hợp các Bộ, ngành kiểm tra thực tế tại </w:t>
      </w:r>
      <w:r>
        <w:rPr>
          <w:spacing w:val="-2"/>
        </w:rPr>
        <w:t>trường đua</w:t>
      </w:r>
      <w:r w:rsidR="00424D2B">
        <w:rPr>
          <w:spacing w:val="-2"/>
        </w:rPr>
        <w:t>, địa bàn kinh doanh đặt cược và bổ sung quy định hậu kiểm</w:t>
      </w:r>
      <w:r w:rsidR="00AD6BCE">
        <w:rPr>
          <w:spacing w:val="-2"/>
        </w:rPr>
        <w:t xml:space="preserve"> theo hướng giao</w:t>
      </w:r>
      <w:r w:rsidR="00424D2B">
        <w:rPr>
          <w:spacing w:val="-2"/>
        </w:rPr>
        <w:t xml:space="preserve"> UBND cấp tỉnh kiểm tra việc đảm bảo điều kiện kinh doanh trong vòng 12 tháng từ khi doanh nghiệp đi vào hoạt động; (ii) Giảm thời gian thực hiện cấp GCNĐKKD từ 90 ngày xuống 60 ngày.</w:t>
      </w:r>
    </w:p>
    <w:p w:rsidR="000839C4" w:rsidRDefault="00B131AF"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pPr>
      <w:r>
        <w:t>Việc cắt giảm, đơn giản hóa điều kiện kinh doanh, thủ tục hành chính nêu trên giúp tạo môi trường đầu tư kinh doanh thông thoáng cho doanh nghiệp, tiết kiệm chi phí, thời gian thực hiện cho doanh nghiệp và xã hội. Bộ Tài chính đã thực hiện đánh giá tại Bảng đánh giá thủ tục hành chính và tính toán chi phí tuân thủ</w:t>
      </w:r>
      <w:r w:rsidR="00820BE2">
        <w:t>.</w:t>
      </w:r>
    </w:p>
    <w:p w:rsidR="00820BE2" w:rsidRDefault="001E1702"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rFonts w:eastAsia="Arial"/>
          <w:b/>
          <w:i/>
          <w:spacing w:val="-2"/>
        </w:rPr>
      </w:pPr>
      <w:r w:rsidRPr="00680438">
        <w:rPr>
          <w:b/>
          <w:i/>
          <w:spacing w:val="-5"/>
          <w:lang w:val="pt-BR"/>
        </w:rPr>
        <w:t>2.</w:t>
      </w:r>
      <w:r w:rsidR="000350C6">
        <w:rPr>
          <w:b/>
          <w:i/>
          <w:spacing w:val="-5"/>
          <w:lang w:val="pt-BR"/>
        </w:rPr>
        <w:t>6</w:t>
      </w:r>
      <w:r w:rsidRPr="00680438">
        <w:rPr>
          <w:b/>
          <w:i/>
          <w:spacing w:val="-5"/>
          <w:lang w:val="pt-BR"/>
        </w:rPr>
        <w:t>. Quy định chuyển tiếp</w:t>
      </w:r>
    </w:p>
    <w:p w:rsidR="00820BE2" w:rsidRPr="00763D3F" w:rsidRDefault="001E1702"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rFonts w:eastAsia="Arial"/>
          <w:b/>
          <w:i/>
          <w:spacing w:val="-2"/>
        </w:rPr>
      </w:pPr>
      <w:r w:rsidRPr="00763D3F">
        <w:rPr>
          <w:spacing w:val="-2"/>
          <w:lang w:val="pt-BR"/>
        </w:rPr>
        <w:t xml:space="preserve">- Tại Nghị định số 06 quy định doanh nghiệp được cơ quan nhà nước cho phép kinh doanh đặt cược trước khi Nghị định này có hiệu lực thi hành: (i) Trường hợp doanh nghiệp đã tổ chức kinh doanh thì được phép tiếp tục kinh doanh đặt cược theo văn bản của cơ quan nhà nước có thẩm quyền cấp; trường hợp có nhu cầu, doanh nghiệp làm thủ tục để được cấp </w:t>
      </w:r>
      <w:r w:rsidR="007B5058" w:rsidRPr="00763D3F">
        <w:rPr>
          <w:spacing w:val="-2"/>
          <w:lang w:val="pt-BR"/>
        </w:rPr>
        <w:t>GCN</w:t>
      </w:r>
      <w:r w:rsidRPr="00763D3F">
        <w:rPr>
          <w:spacing w:val="-2"/>
          <w:lang w:val="pt-BR"/>
        </w:rPr>
        <w:t xml:space="preserve">ĐĐKKD đặt cược; (ii) Trường hợp doanh nghiệp chưa tổ chức kinh doanh thì phải làm hồ sơ đề nghị cấp </w:t>
      </w:r>
      <w:r w:rsidR="00616AE0" w:rsidRPr="00763D3F">
        <w:rPr>
          <w:spacing w:val="-2"/>
          <w:lang w:val="pt-BR"/>
        </w:rPr>
        <w:t>GCN</w:t>
      </w:r>
      <w:r w:rsidRPr="00763D3F">
        <w:rPr>
          <w:spacing w:val="-2"/>
          <w:lang w:val="pt-BR"/>
        </w:rPr>
        <w:t xml:space="preserve">ĐĐKKD đáp ứng các điều kiện theo quy định tại Nghị định số 06 trước khi kinh doanh. </w:t>
      </w:r>
    </w:p>
    <w:p w:rsidR="00820BE2" w:rsidRPr="002B13A1" w:rsidRDefault="006A0D92"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rFonts w:eastAsia="Arial"/>
          <w:b/>
          <w:i/>
          <w:spacing w:val="-4"/>
        </w:rPr>
      </w:pPr>
      <w:r>
        <w:rPr>
          <w:spacing w:val="-4"/>
          <w:lang w:val="pt-BR"/>
        </w:rPr>
        <w:t>C</w:t>
      </w:r>
      <w:r w:rsidR="001E1702" w:rsidRPr="002B13A1">
        <w:rPr>
          <w:spacing w:val="-4"/>
          <w:lang w:val="pt-BR"/>
        </w:rPr>
        <w:t xml:space="preserve">ó 01 doanh nghiệp được cơ quan nhà nước cho phép thí điểm kinh doanh đặt </w:t>
      </w:r>
      <w:r w:rsidR="001E1702" w:rsidRPr="002B13A1">
        <w:rPr>
          <w:spacing w:val="-4"/>
          <w:lang w:val="pt-BR"/>
        </w:rPr>
        <w:lastRenderedPageBreak/>
        <w:t>cược đua chó trước khi Nghị định số 06 có hiệu lực thi hành</w:t>
      </w:r>
      <w:r w:rsidR="001E1702" w:rsidRPr="002B13A1">
        <w:rPr>
          <w:rStyle w:val="FootnoteReference"/>
          <w:spacing w:val="-4"/>
          <w:lang w:val="pt-BR"/>
        </w:rPr>
        <w:footnoteReference w:id="13"/>
      </w:r>
      <w:r w:rsidR="001E1702" w:rsidRPr="002B13A1">
        <w:rPr>
          <w:spacing w:val="-4"/>
          <w:lang w:val="pt-BR"/>
        </w:rPr>
        <w:t>. Năm 2023, doanh nghiệp này đã dừng kinh doanh đặt cược do Giấy phép đầu tư hết hạn</w:t>
      </w:r>
      <w:r w:rsidR="00AE4619" w:rsidRPr="002B13A1">
        <w:rPr>
          <w:spacing w:val="-4"/>
          <w:lang w:val="pt-BR"/>
        </w:rPr>
        <w:t xml:space="preserve"> nên h</w:t>
      </w:r>
      <w:r w:rsidR="001E1702" w:rsidRPr="002B13A1">
        <w:rPr>
          <w:spacing w:val="-4"/>
          <w:lang w:val="pt-BR"/>
        </w:rPr>
        <w:t xml:space="preserve">iện nay không </w:t>
      </w:r>
      <w:r w:rsidR="00616AE0" w:rsidRPr="002B13A1">
        <w:rPr>
          <w:spacing w:val="-4"/>
          <w:lang w:val="pt-BR"/>
        </w:rPr>
        <w:t>còn doanh nghiệp</w:t>
      </w:r>
      <w:r w:rsidR="00AE4619" w:rsidRPr="002B13A1">
        <w:rPr>
          <w:spacing w:val="-4"/>
          <w:lang w:val="pt-BR"/>
        </w:rPr>
        <w:t xml:space="preserve"> kinh doanh đặt cược</w:t>
      </w:r>
      <w:r w:rsidR="00616AE0" w:rsidRPr="002B13A1">
        <w:rPr>
          <w:spacing w:val="-4"/>
          <w:lang w:val="pt-BR"/>
        </w:rPr>
        <w:t xml:space="preserve"> thuộc đối tượng chuyển tiếp</w:t>
      </w:r>
      <w:r w:rsidR="001E1702" w:rsidRPr="002B13A1">
        <w:rPr>
          <w:spacing w:val="-4"/>
          <w:lang w:val="pt-BR"/>
        </w:rPr>
        <w:t xml:space="preserve">. </w:t>
      </w:r>
    </w:p>
    <w:p w:rsidR="00851EA6" w:rsidRDefault="001E1702"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lang w:val="pt-BR"/>
        </w:rPr>
      </w:pPr>
      <w:r w:rsidRPr="00680438">
        <w:rPr>
          <w:lang w:val="pt-BR"/>
        </w:rPr>
        <w:t xml:space="preserve">- Triển khai thực hiện Nghị định số 06, </w:t>
      </w:r>
      <w:r w:rsidR="003E490E" w:rsidRPr="005C4A8E">
        <w:rPr>
          <w:lang w:val="nl-NL"/>
        </w:rPr>
        <w:t xml:space="preserve">Thủ tướng Chính phủ đã phê duyệt chủ trương đầu tư </w:t>
      </w:r>
      <w:r w:rsidR="003E490E" w:rsidRPr="005C4A8E">
        <w:t>cho</w:t>
      </w:r>
      <w:r w:rsidR="003E490E" w:rsidRPr="005C4A8E">
        <w:rPr>
          <w:lang w:val="nl-NL"/>
        </w:rPr>
        <w:t xml:space="preserve"> 02 dự án </w:t>
      </w:r>
      <w:r w:rsidR="003E490E" w:rsidRPr="005C4A8E">
        <w:t xml:space="preserve">đầu tư </w:t>
      </w:r>
      <w:r w:rsidR="00024D3E">
        <w:t xml:space="preserve">kinh doanh đặt cược </w:t>
      </w:r>
      <w:r w:rsidR="003E490E" w:rsidRPr="005C4A8E">
        <w:rPr>
          <w:lang w:val="nl-NL"/>
        </w:rPr>
        <w:t xml:space="preserve">đua ngựa, trong đó </w:t>
      </w:r>
      <w:r w:rsidR="00851EA6">
        <w:rPr>
          <w:lang w:val="nl-NL"/>
        </w:rPr>
        <w:t>01 dự án có 100% vốn đầu tư trong nước và 01 dự</w:t>
      </w:r>
      <w:r w:rsidR="00851EA6" w:rsidRPr="005C4A8E">
        <w:rPr>
          <w:lang w:val="nl-NL"/>
        </w:rPr>
        <w:t xml:space="preserve"> án </w:t>
      </w:r>
      <w:r w:rsidR="00851EA6">
        <w:rPr>
          <w:lang w:val="nl-NL"/>
        </w:rPr>
        <w:t xml:space="preserve">đầu tư </w:t>
      </w:r>
      <w:r w:rsidR="003E490E" w:rsidRPr="005C4A8E">
        <w:rPr>
          <w:lang w:val="nl-NL"/>
        </w:rPr>
        <w:t xml:space="preserve">có vốn đầu tư nước ngoài </w:t>
      </w:r>
      <w:r w:rsidR="00024D3E">
        <w:rPr>
          <w:lang w:val="nl-NL"/>
        </w:rPr>
        <w:t>chiếm</w:t>
      </w:r>
      <w:r w:rsidR="003E490E" w:rsidRPr="005C4A8E">
        <w:rPr>
          <w:lang w:val="nl-NL"/>
        </w:rPr>
        <w:t xml:space="preserve"> 85%</w:t>
      </w:r>
      <w:r w:rsidR="00024D3E">
        <w:rPr>
          <w:lang w:val="nl-NL"/>
        </w:rPr>
        <w:t xml:space="preserve"> tổng vốn đầu tư</w:t>
      </w:r>
      <w:r w:rsidR="003E490E" w:rsidRPr="005C4A8E">
        <w:rPr>
          <w:rStyle w:val="FootnoteReference"/>
          <w:lang w:val="nl-NL"/>
        </w:rPr>
        <w:footnoteReference w:id="14"/>
      </w:r>
      <w:r w:rsidR="00851EA6">
        <w:rPr>
          <w:lang w:val="nl-NL"/>
        </w:rPr>
        <w:t>. Dự án có vốn đầu tư nước ngoài này đang có vướng mắc trong triển khai thực hiện dự án và đã được Lãnh đạo Chính phủ cho phép về chủ trương để nhà đầu tư trong nước thoái vốn và trở thành dự án 100% vốn đầu tư nước ngoài</w:t>
      </w:r>
      <w:r w:rsidR="0025576E">
        <w:rPr>
          <w:lang w:val="nl-NL"/>
        </w:rPr>
        <w:t>.</w:t>
      </w:r>
      <w:r w:rsidR="000350C6">
        <w:rPr>
          <w:lang w:val="nl-NL"/>
        </w:rPr>
        <w:t xml:space="preserve"> </w:t>
      </w:r>
      <w:r w:rsidRPr="00680438">
        <w:rPr>
          <w:lang w:val="pt-BR"/>
        </w:rPr>
        <w:t xml:space="preserve">Do vậy, </w:t>
      </w:r>
      <w:r w:rsidR="00851EA6">
        <w:rPr>
          <w:lang w:val="pt-BR"/>
        </w:rPr>
        <w:t xml:space="preserve">để đảm bảo quyền lợi nhà đầu tư trong trường hợp pháp luật có thay đổi (do dự thảo Nghị định có quy định về tỷ lệ sở hữu vốn đầu tư nước ngoài không quá 49% tổng vốn đầu tư), </w:t>
      </w:r>
      <w:r w:rsidRPr="00680438">
        <w:rPr>
          <w:lang w:val="pt-BR"/>
        </w:rPr>
        <w:t>Bộ Tài chính trình Chính phủ quy định</w:t>
      </w:r>
      <w:r w:rsidR="000151FA">
        <w:rPr>
          <w:lang w:val="pt-BR"/>
        </w:rPr>
        <w:t xml:space="preserve">: </w:t>
      </w:r>
      <w:r w:rsidR="000151FA" w:rsidRPr="000151FA">
        <w:rPr>
          <w:lang w:val="pt-BR"/>
        </w:rPr>
        <w:t>Đối với dự án đầu tư trường đua ngựa, đua chó, trong đó có hoạt động kinh doanh đặt cược đua ngựa, đặt cược đua chó đã được cơ quan quản lý nhà nước có thẩm quyền phê duyệt chủ trương đầu tư trước khi Nghị định này có hiệu lực thi hành được tiếp tục thực hiện dự án đầu tư theo nội dung được cơ quan quản lý nhà nước có thẩm quyền phê duyệt chủ trương đầu tư. Trường hợp điều chỉnh chủ trương đầu tư làm thay đổi tỷ lệ sở hữu vốn của nhà đầu tư nước ngoài dẫn đến không đáp ứng điều kiện được cấp Giấy chứng nhận đăng ký đầu tư, Giấy chứng nhận đủ điều kiện kinh doanh theo quy định tại Nghị định này thì cấp có thẩm quyền phê duyệt chủ trương đầu tư xem xét, phê duyệt chủ trương đầu tư đối với từng trường hợp cụ thể</w:t>
      </w:r>
      <w:r w:rsidR="00CC1F64">
        <w:rPr>
          <w:lang w:val="pt-BR"/>
        </w:rPr>
        <w:t xml:space="preserve"> (Điều 41 dự thảo Nghị định)</w:t>
      </w:r>
      <w:r w:rsidR="000151FA" w:rsidRPr="000151FA">
        <w:rPr>
          <w:lang w:val="pt-BR"/>
        </w:rPr>
        <w:t xml:space="preserve">. </w:t>
      </w:r>
      <w:r w:rsidR="00880624">
        <w:rPr>
          <w:lang w:val="pt-BR"/>
        </w:rPr>
        <w:t xml:space="preserve"> </w:t>
      </w:r>
      <w:r w:rsidR="000350C6">
        <w:rPr>
          <w:lang w:val="pt-BR"/>
        </w:rPr>
        <w:t xml:space="preserve"> </w:t>
      </w:r>
    </w:p>
    <w:p w:rsidR="00820BE2" w:rsidRDefault="001968DF"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rFonts w:eastAsia="Arial"/>
          <w:b/>
          <w:i/>
          <w:spacing w:val="-2"/>
        </w:rPr>
      </w:pPr>
      <w:r w:rsidRPr="00680438">
        <w:rPr>
          <w:b/>
          <w:lang w:val="nl-NL"/>
        </w:rPr>
        <w:t xml:space="preserve">VI. </w:t>
      </w:r>
      <w:r w:rsidRPr="00680438">
        <w:rPr>
          <w:rFonts w:eastAsia="Calibri"/>
          <w:b/>
        </w:rPr>
        <w:t>VỀ TÍNH TƯƠNG THÍCH VỚI CÁC ĐIỀU ƯỚC QUỐC TẾ, THỦ TỤC HÀNH CHÍNH VÀ VẤN ĐỀ BÌNH ĐẲNG GIỚI</w:t>
      </w:r>
    </w:p>
    <w:p w:rsidR="00820BE2" w:rsidRDefault="001968DF"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rFonts w:eastAsia="Arial"/>
          <w:b/>
          <w:i/>
          <w:spacing w:val="-2"/>
        </w:rPr>
      </w:pPr>
      <w:r w:rsidRPr="00680438">
        <w:rPr>
          <w:rFonts w:eastAsia="Calibri"/>
          <w:b/>
        </w:rPr>
        <w:t>1. Về tính tương thích với các điều ước quốc tế:</w:t>
      </w:r>
      <w:r w:rsidRPr="00680438">
        <w:rPr>
          <w:rFonts w:eastAsia="Calibri"/>
        </w:rPr>
        <w:t xml:space="preserve"> Dự thảo Nghị định không có quy định trái với các cam kết quốc tế mà nước Cộng hòa xã hội chủ nghĩa Việt Nam là thành viên, trong đó có cam kết gia nhập Tổ chức Thương mại thế giới (WTO), Hiệp định đối tác Toàn diện và Tiến bộ xuyên Thái Bình Dương (CPTPP) và Hiệp định thương mại tự do Liên minh Châu Âu (EVEFTA).</w:t>
      </w:r>
    </w:p>
    <w:p w:rsidR="00820BE2" w:rsidRPr="009F7B4C" w:rsidRDefault="001968DF"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rFonts w:eastAsia="Arial"/>
          <w:b/>
          <w:i/>
        </w:rPr>
      </w:pPr>
      <w:r w:rsidRPr="009F7B4C">
        <w:rPr>
          <w:rFonts w:eastAsia="Calibri"/>
          <w:b/>
        </w:rPr>
        <w:t xml:space="preserve">2. Về thủ tục hành chính: </w:t>
      </w:r>
      <w:r w:rsidRPr="009F7B4C">
        <w:rPr>
          <w:rFonts w:eastAsia="Calibri"/>
        </w:rPr>
        <w:t xml:space="preserve">Dự thảo Nghị định không phát sinh các thủ tục hành chính mới, đối với nội dung sửa đổi điều kiện và thành phần hồ sơ đề nghị cấp GCNĐĐKKD, Bộ Tài chính đã thực hiện đánh giá và tính toán chi phí tuân thủ </w:t>
      </w:r>
      <w:r w:rsidRPr="009F7B4C">
        <w:rPr>
          <w:rFonts w:eastAsia="Calibri"/>
          <w:i/>
        </w:rPr>
        <w:t>(đính kèm)</w:t>
      </w:r>
      <w:r w:rsidRPr="009F7B4C">
        <w:rPr>
          <w:rFonts w:eastAsia="Calibri"/>
        </w:rPr>
        <w:t>.</w:t>
      </w:r>
    </w:p>
    <w:p w:rsidR="00875852" w:rsidRDefault="001968DF"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rFonts w:eastAsia="Calibri"/>
          <w:b/>
          <w:spacing w:val="-6"/>
        </w:rPr>
      </w:pPr>
      <w:r w:rsidRPr="00DD455E">
        <w:rPr>
          <w:rFonts w:eastAsia="Calibri"/>
          <w:b/>
          <w:spacing w:val="-6"/>
        </w:rPr>
        <w:t xml:space="preserve">3. </w:t>
      </w:r>
      <w:r w:rsidR="00167F82">
        <w:rPr>
          <w:rFonts w:eastAsia="Calibri"/>
          <w:b/>
          <w:spacing w:val="-6"/>
        </w:rPr>
        <w:t xml:space="preserve">Về ứng dụng khoa học công nghệ và chuyển đổi số: </w:t>
      </w:r>
      <w:r w:rsidR="00875852" w:rsidRPr="005C4A8E">
        <w:rPr>
          <w:lang w:val="pt-BR"/>
        </w:rPr>
        <w:t xml:space="preserve">Thực hiện chỉ đạo của Bộ Chính trị tại </w:t>
      </w:r>
      <w:r w:rsidR="00875852" w:rsidRPr="005C4A8E">
        <w:rPr>
          <w:bCs/>
        </w:rPr>
        <w:t xml:space="preserve">Nghị quyết số 57-NQ/TW ngày 22/12/2024 và tại </w:t>
      </w:r>
      <w:r w:rsidR="00875852" w:rsidRPr="005C4A8E">
        <w:rPr>
          <w:lang w:val="pt-BR"/>
        </w:rPr>
        <w:t xml:space="preserve">Công văn số 15904-CV/VPTW ngày 06/7/2025 về việc tăng cường ứng dụng công nghệ, giám </w:t>
      </w:r>
      <w:r w:rsidR="00875852" w:rsidRPr="005C4A8E">
        <w:rPr>
          <w:lang w:val="pt-BR"/>
        </w:rPr>
        <w:lastRenderedPageBreak/>
        <w:t>sát dữ liệu người chơi</w:t>
      </w:r>
      <w:r w:rsidR="00875852" w:rsidRPr="005C4A8E">
        <w:rPr>
          <w:bCs/>
        </w:rPr>
        <w:t xml:space="preserve">, </w:t>
      </w:r>
      <w:r w:rsidR="00875852">
        <w:rPr>
          <w:bCs/>
        </w:rPr>
        <w:t xml:space="preserve">dự thảo Nghị định </w:t>
      </w:r>
      <w:r w:rsidR="00875852">
        <w:rPr>
          <w:lang w:val="pt-BR"/>
        </w:rPr>
        <w:t>c</w:t>
      </w:r>
      <w:r w:rsidR="00875852" w:rsidRPr="005C4A8E">
        <w:rPr>
          <w:lang w:val="pt-BR"/>
        </w:rPr>
        <w:t xml:space="preserve">ho phép kinh doanh đặt cược qua Internet </w:t>
      </w:r>
      <w:r w:rsidR="006F3A7B">
        <w:rPr>
          <w:lang w:val="pt-BR"/>
        </w:rPr>
        <w:t xml:space="preserve">sau khi đáp ứng các điều kiện theo quy định </w:t>
      </w:r>
      <w:r w:rsidR="00875852">
        <w:rPr>
          <w:lang w:val="pt-BR"/>
        </w:rPr>
        <w:t>và</w:t>
      </w:r>
      <w:r w:rsidR="00875852" w:rsidRPr="005C4A8E">
        <w:rPr>
          <w:lang w:val="pt-BR"/>
        </w:rPr>
        <w:t xml:space="preserve"> </w:t>
      </w:r>
      <w:r w:rsidR="006F3A7B">
        <w:rPr>
          <w:lang w:val="pt-BR"/>
        </w:rPr>
        <w:t xml:space="preserve">điều kiện </w:t>
      </w:r>
      <w:r w:rsidR="00875852" w:rsidRPr="005C4A8E">
        <w:rPr>
          <w:bCs/>
        </w:rPr>
        <w:t>phần mềm hệ thống đặt cược phải bảo đảm định danh người chơi, kiểm soát giới hạn tham gia đặt cược của người chơi</w:t>
      </w:r>
      <w:r w:rsidR="00875852">
        <w:rPr>
          <w:bCs/>
        </w:rPr>
        <w:t xml:space="preserve"> nhằm</w:t>
      </w:r>
      <w:r w:rsidR="006F3A7B">
        <w:rPr>
          <w:bCs/>
        </w:rPr>
        <w:t xml:space="preserve"> đảm bảo việc tổ chức kinh doanh được công khai, minh bạch, khách quan, trung thực, bảo vệ quyền và lợi ích của các bên tham gia</w:t>
      </w:r>
      <w:r w:rsidR="00875852">
        <w:rPr>
          <w:bCs/>
        </w:rPr>
        <w:t>.</w:t>
      </w:r>
    </w:p>
    <w:p w:rsidR="007F2B58" w:rsidRPr="00FA452C" w:rsidRDefault="00167F82"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rFonts w:eastAsia="Calibri"/>
          <w:b/>
          <w:spacing w:val="-3"/>
        </w:rPr>
      </w:pPr>
      <w:r w:rsidRPr="00FA452C">
        <w:rPr>
          <w:rFonts w:eastAsia="Calibri"/>
          <w:b/>
          <w:spacing w:val="-3"/>
        </w:rPr>
        <w:t xml:space="preserve">4. </w:t>
      </w:r>
      <w:r w:rsidR="007F2B58" w:rsidRPr="00FA452C">
        <w:rPr>
          <w:rFonts w:eastAsia="Calibri"/>
          <w:b/>
          <w:spacing w:val="-3"/>
        </w:rPr>
        <w:t xml:space="preserve">Về phân cấp, phân quyền: </w:t>
      </w:r>
      <w:r w:rsidR="007F2B58" w:rsidRPr="00FA452C">
        <w:rPr>
          <w:spacing w:val="-3"/>
        </w:rPr>
        <w:t xml:space="preserve">Thực hiện chủ trương của Đảng, Nhà nước về việc tạo môi trường đầu tư kinh doanh thông thoáng và chuyển mạnh từ tiền kiểm sang hậu kiểm, gắn với tăng cường kiểm tra, giám sát, dự thảo Nghị định có phân quyền về việc bỏ quy định về kiểm tra trước khi cấp phép (thực hiện bởi các Bộ Tài chính và các Bộ, ngành liên quan) sang hậu kiểm (UBND cấp tỉnh kiểm tra điều kiện kinh doanh sau </w:t>
      </w:r>
      <w:r w:rsidR="00062C53">
        <w:rPr>
          <w:spacing w:val="-3"/>
        </w:rPr>
        <w:t xml:space="preserve">01 năm </w:t>
      </w:r>
      <w:r w:rsidR="007F2B58" w:rsidRPr="00FA452C">
        <w:rPr>
          <w:spacing w:val="-3"/>
        </w:rPr>
        <w:t>doanh nghiệp hoạt động kinh doanh)</w:t>
      </w:r>
      <w:r w:rsidR="00EC3585">
        <w:rPr>
          <w:spacing w:val="-3"/>
        </w:rPr>
        <w:t>; phân quyền cho doanh nghiệp tự lựa chọn các sản phẩm kinh doanh</w:t>
      </w:r>
      <w:r w:rsidR="005536C7">
        <w:rPr>
          <w:spacing w:val="-3"/>
        </w:rPr>
        <w:t>, phương thức phân phối và địa bàn kinh doanh</w:t>
      </w:r>
      <w:r w:rsidR="00EC3585">
        <w:rPr>
          <w:spacing w:val="-3"/>
        </w:rPr>
        <w:t xml:space="preserve"> phù hợp. </w:t>
      </w:r>
    </w:p>
    <w:p w:rsidR="00820BE2" w:rsidRPr="00F116A0" w:rsidRDefault="007F2B58"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rFonts w:eastAsia="Arial"/>
          <w:b/>
          <w:i/>
        </w:rPr>
      </w:pPr>
      <w:r w:rsidRPr="00F116A0">
        <w:rPr>
          <w:rFonts w:eastAsia="Calibri"/>
          <w:b/>
        </w:rPr>
        <w:t xml:space="preserve">5. </w:t>
      </w:r>
      <w:r w:rsidR="001968DF" w:rsidRPr="00F116A0">
        <w:rPr>
          <w:rFonts w:eastAsia="Calibri"/>
          <w:b/>
        </w:rPr>
        <w:t>Về vấn đề bình đẳng giới:</w:t>
      </w:r>
      <w:r w:rsidR="001968DF" w:rsidRPr="00F116A0">
        <w:rPr>
          <w:rFonts w:eastAsia="Calibri"/>
        </w:rPr>
        <w:t xml:space="preserve"> Dự thảo Nghị định không quy định các nội dung tạo ra sự phân biệt về giới, áp dụng chung đối với các tổ chức, cá nhân có liên quan.</w:t>
      </w:r>
    </w:p>
    <w:p w:rsidR="004359BB" w:rsidRDefault="001968DF"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rFonts w:eastAsia="Arial"/>
          <w:b/>
          <w:i/>
          <w:spacing w:val="-2"/>
        </w:rPr>
      </w:pPr>
      <w:r w:rsidRPr="00680438">
        <w:rPr>
          <w:rFonts w:eastAsia="Calibri"/>
          <w:b/>
        </w:rPr>
        <w:t>VII. DỰ KIẾN NGUỒN LỰC, ĐIỀU KIỆN BẢO ĐẢM CHO VIỆC  THI HÀNH VĂN BẢN VÀ THỜI GIAN TRÌNH BAN HÀNH NGHỊ ĐỊNH</w:t>
      </w:r>
    </w:p>
    <w:p w:rsidR="00820BE2" w:rsidRDefault="001968DF"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rFonts w:eastAsia="Arial"/>
          <w:b/>
          <w:i/>
          <w:spacing w:val="-2"/>
        </w:rPr>
      </w:pPr>
      <w:r w:rsidRPr="00680438">
        <w:rPr>
          <w:rFonts w:eastAsia="Calibri"/>
        </w:rPr>
        <w:t xml:space="preserve">Về cơ bản dự thảo Nghị định tập trung sửa đổi các quy định về quản lý nhà nước đối với kinh doanh đặt cược nhằm nâng cao hiệu lực, hiệu quả quản lý nhà nước đối với lĩnh vực này. Do đó, những nội dung sửa đổi, bổ sung trong dự thảo Nghị định về cơ bản không làm phát sinh thêm nhu cầu về tài chính và nhân lực, mà cơ bản sử dụng nguồn lực, bộ máy tổ chức hiện có để triển triển khai thực hiện Nghị định sau khi có hiệu lực thi hành. </w:t>
      </w:r>
    </w:p>
    <w:p w:rsidR="00820BE2" w:rsidRDefault="001968DF"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rFonts w:eastAsia="Arial"/>
          <w:b/>
          <w:i/>
          <w:spacing w:val="-2"/>
        </w:rPr>
      </w:pPr>
      <w:r w:rsidRPr="00680438">
        <w:rPr>
          <w:rFonts w:eastAsia="Calibri"/>
        </w:rPr>
        <w:t>Về thời gian trình ban hành Nghị định, Bộ Tài chính phối hợp với các Bộ, ngành liên quan để trình Chính phủ ban hành Nghị định trong tháng 12/2025.</w:t>
      </w:r>
    </w:p>
    <w:p w:rsidR="001E1702" w:rsidRPr="00F116A0" w:rsidRDefault="001E1702"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pPr>
      <w:r w:rsidRPr="00F116A0">
        <w:rPr>
          <w:lang w:val="nl-NL"/>
        </w:rPr>
        <w:t>T</w:t>
      </w:r>
      <w:r w:rsidR="007401C4" w:rsidRPr="00F116A0">
        <w:rPr>
          <w:lang w:val="nl-NL"/>
        </w:rPr>
        <w:t xml:space="preserve">hực hiện quy định tại Luật BHVBQPPL, Bộ Tài chính gửi </w:t>
      </w:r>
      <w:r w:rsidRPr="00F116A0">
        <w:rPr>
          <w:lang w:val="pt-BR"/>
        </w:rPr>
        <w:t xml:space="preserve">kèm theo: </w:t>
      </w:r>
      <w:r w:rsidR="00680438" w:rsidRPr="00F116A0">
        <w:t>(1) Dự thảo Nghị định; (2) Báo cáo đánh giá tác động chính sách; (3) Báo cáo rà soát văn bản pháp luật có liên quan; (4) Bản đánh giá thủ tục hành chính, phân cấp phân quyền, bảng tính toán chi phí tuân thủ thủ tục hành chính; (5) Bả</w:t>
      </w:r>
      <w:r w:rsidR="007401C4" w:rsidRPr="00F116A0">
        <w:t>ng thuyết minh nội dung dự thảo</w:t>
      </w:r>
      <w:r w:rsidR="00DD455E" w:rsidRPr="00F116A0">
        <w:t>.</w:t>
      </w:r>
    </w:p>
    <w:p w:rsidR="007401C4" w:rsidRPr="00EE7060" w:rsidRDefault="00EE7060" w:rsidP="00AD6BC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spacing w:val="-4"/>
        </w:rPr>
      </w:pPr>
      <w:r>
        <w:rPr>
          <w:spacing w:val="-4"/>
        </w:rPr>
        <w:t>Bộ Tài chính trình Chính phủ xem xét, phê duyệt./.</w:t>
      </w:r>
    </w:p>
    <w:tbl>
      <w:tblPr>
        <w:tblW w:w="8605" w:type="dxa"/>
        <w:tblInd w:w="250" w:type="dxa"/>
        <w:tblLayout w:type="fixed"/>
        <w:tblLook w:val="0000"/>
      </w:tblPr>
      <w:tblGrid>
        <w:gridCol w:w="5245"/>
        <w:gridCol w:w="3360"/>
      </w:tblGrid>
      <w:tr w:rsidR="001E1702" w:rsidRPr="006806BC" w:rsidTr="00C473C3">
        <w:tc>
          <w:tcPr>
            <w:tcW w:w="5245" w:type="dxa"/>
          </w:tcPr>
          <w:p w:rsidR="001E1702" w:rsidRPr="00A33288" w:rsidRDefault="001E1702" w:rsidP="00AD6BCE">
            <w:pPr>
              <w:widowControl w:val="0"/>
              <w:rPr>
                <w:b/>
                <w:i/>
                <w:sz w:val="22"/>
                <w:szCs w:val="22"/>
                <w:lang w:val="af-ZA"/>
              </w:rPr>
            </w:pPr>
            <w:r w:rsidRPr="00A33288">
              <w:rPr>
                <w:b/>
                <w:i/>
                <w:sz w:val="24"/>
                <w:szCs w:val="22"/>
                <w:lang w:val="af-ZA"/>
              </w:rPr>
              <w:t>Nơi nhận:</w:t>
            </w:r>
          </w:p>
          <w:p w:rsidR="001E1702" w:rsidRPr="00A33288" w:rsidRDefault="001E1702" w:rsidP="00AD6BCE">
            <w:pPr>
              <w:widowControl w:val="0"/>
              <w:rPr>
                <w:sz w:val="22"/>
                <w:szCs w:val="22"/>
                <w:lang w:val="af-ZA"/>
              </w:rPr>
            </w:pPr>
            <w:r w:rsidRPr="00A33288">
              <w:rPr>
                <w:sz w:val="22"/>
                <w:szCs w:val="22"/>
                <w:lang w:val="af-ZA"/>
              </w:rPr>
              <w:t>- Thủ tướng Chính phủ;</w:t>
            </w:r>
          </w:p>
          <w:p w:rsidR="001E1702" w:rsidRDefault="001E1702" w:rsidP="00AD6BCE">
            <w:pPr>
              <w:widowControl w:val="0"/>
              <w:rPr>
                <w:sz w:val="22"/>
                <w:szCs w:val="22"/>
                <w:lang w:val="af-ZA"/>
              </w:rPr>
            </w:pPr>
            <w:r w:rsidRPr="00A33288">
              <w:rPr>
                <w:sz w:val="22"/>
                <w:szCs w:val="22"/>
                <w:lang w:val="af-ZA"/>
              </w:rPr>
              <w:t>- Văn phòng Chính phủ;</w:t>
            </w:r>
          </w:p>
          <w:p w:rsidR="00AD6BCE" w:rsidRPr="00A33288" w:rsidRDefault="00AD6BCE" w:rsidP="00AD6BCE">
            <w:pPr>
              <w:widowControl w:val="0"/>
              <w:rPr>
                <w:sz w:val="22"/>
                <w:szCs w:val="22"/>
                <w:lang w:val="af-ZA"/>
              </w:rPr>
            </w:pPr>
            <w:r>
              <w:rPr>
                <w:sz w:val="22"/>
                <w:szCs w:val="22"/>
                <w:lang w:val="af-ZA"/>
              </w:rPr>
              <w:t>- Phó Thủ tướng Chính phủ Hồ Đức Phớc;</w:t>
            </w:r>
          </w:p>
          <w:p w:rsidR="001E1702" w:rsidRPr="00A33288" w:rsidRDefault="001E1702" w:rsidP="00AD6BCE">
            <w:pPr>
              <w:widowControl w:val="0"/>
              <w:rPr>
                <w:sz w:val="22"/>
                <w:szCs w:val="22"/>
                <w:lang w:val="af-ZA"/>
              </w:rPr>
            </w:pPr>
            <w:r w:rsidRPr="00A33288">
              <w:rPr>
                <w:sz w:val="22"/>
                <w:szCs w:val="22"/>
                <w:lang w:val="af-ZA"/>
              </w:rPr>
              <w:t>- Bộ Tư pháp;</w:t>
            </w:r>
          </w:p>
          <w:p w:rsidR="001E1702" w:rsidRDefault="001E1702" w:rsidP="00AD6BCE">
            <w:pPr>
              <w:widowControl w:val="0"/>
              <w:rPr>
                <w:b/>
                <w:i/>
                <w:sz w:val="22"/>
                <w:szCs w:val="22"/>
                <w:lang w:val="af-ZA"/>
              </w:rPr>
            </w:pPr>
            <w:r w:rsidRPr="00A33288">
              <w:rPr>
                <w:sz w:val="22"/>
                <w:szCs w:val="22"/>
                <w:lang w:val="af-ZA"/>
              </w:rPr>
              <w:t xml:space="preserve">- Lưu: VT, Vụ </w:t>
            </w:r>
            <w:r w:rsidR="00892288">
              <w:rPr>
                <w:sz w:val="22"/>
                <w:szCs w:val="22"/>
                <w:lang w:val="af-ZA"/>
              </w:rPr>
              <w:t>ĐCTC</w:t>
            </w:r>
            <w:r w:rsidRPr="00A33288">
              <w:rPr>
                <w:sz w:val="22"/>
                <w:szCs w:val="22"/>
                <w:lang w:val="af-ZA"/>
              </w:rPr>
              <w:t xml:space="preserve"> </w:t>
            </w:r>
            <w:r w:rsidRPr="00A33288">
              <w:rPr>
                <w:sz w:val="22"/>
                <w:szCs w:val="22"/>
                <w:vertAlign w:val="subscript"/>
                <w:lang w:val="af-ZA"/>
              </w:rPr>
              <w:t>(</w:t>
            </w:r>
            <w:r>
              <w:rPr>
                <w:sz w:val="22"/>
                <w:szCs w:val="22"/>
                <w:vertAlign w:val="subscript"/>
                <w:lang w:val="af-ZA"/>
              </w:rPr>
              <w:t>05</w:t>
            </w:r>
            <w:r w:rsidRPr="00A33288">
              <w:rPr>
                <w:sz w:val="22"/>
                <w:szCs w:val="22"/>
                <w:vertAlign w:val="subscript"/>
                <w:lang w:val="af-ZA"/>
              </w:rPr>
              <w:t>b)</w:t>
            </w:r>
          </w:p>
        </w:tc>
        <w:tc>
          <w:tcPr>
            <w:tcW w:w="3360" w:type="dxa"/>
          </w:tcPr>
          <w:p w:rsidR="001E1702" w:rsidRDefault="001E1702" w:rsidP="00AD6BCE">
            <w:pPr>
              <w:widowControl w:val="0"/>
              <w:jc w:val="center"/>
              <w:rPr>
                <w:b/>
                <w:lang w:val="af-ZA"/>
              </w:rPr>
            </w:pPr>
            <w:r w:rsidRPr="006552AF">
              <w:rPr>
                <w:b/>
                <w:lang w:val="af-ZA"/>
              </w:rPr>
              <w:t>BỘ TRƯỞNG</w:t>
            </w:r>
          </w:p>
          <w:p w:rsidR="001E1702" w:rsidRPr="006552AF" w:rsidRDefault="001E1702" w:rsidP="00AD6BCE">
            <w:pPr>
              <w:widowControl w:val="0"/>
              <w:jc w:val="center"/>
              <w:rPr>
                <w:b/>
                <w:lang w:val="af-ZA"/>
              </w:rPr>
            </w:pPr>
          </w:p>
          <w:p w:rsidR="001E1702" w:rsidRPr="006552AF" w:rsidRDefault="001E1702" w:rsidP="00AD6BCE">
            <w:pPr>
              <w:widowControl w:val="0"/>
              <w:jc w:val="center"/>
              <w:rPr>
                <w:b/>
                <w:lang w:val="af-ZA"/>
              </w:rPr>
            </w:pPr>
          </w:p>
          <w:p w:rsidR="001E1702" w:rsidRDefault="001E1702" w:rsidP="00AD6BCE">
            <w:pPr>
              <w:widowControl w:val="0"/>
              <w:jc w:val="center"/>
              <w:rPr>
                <w:b/>
                <w:kern w:val="32"/>
                <w:lang w:val="af-ZA"/>
              </w:rPr>
            </w:pPr>
          </w:p>
          <w:p w:rsidR="001E1702" w:rsidRDefault="001E1702" w:rsidP="00AD6BCE">
            <w:pPr>
              <w:widowControl w:val="0"/>
              <w:jc w:val="center"/>
              <w:rPr>
                <w:b/>
                <w:lang w:val="af-ZA"/>
              </w:rPr>
            </w:pPr>
          </w:p>
          <w:p w:rsidR="001E1702" w:rsidRPr="006552AF" w:rsidRDefault="001E1702" w:rsidP="00AD6BCE">
            <w:pPr>
              <w:widowControl w:val="0"/>
              <w:jc w:val="center"/>
              <w:rPr>
                <w:b/>
                <w:lang w:val="af-ZA"/>
              </w:rPr>
            </w:pPr>
          </w:p>
          <w:p w:rsidR="001E1702" w:rsidRDefault="00C96DF8" w:rsidP="00AD6BCE">
            <w:pPr>
              <w:widowControl w:val="0"/>
              <w:jc w:val="center"/>
              <w:rPr>
                <w:b/>
                <w:lang w:val="af-ZA"/>
              </w:rPr>
            </w:pPr>
            <w:r>
              <w:rPr>
                <w:b/>
                <w:lang w:val="af-ZA"/>
              </w:rPr>
              <w:t>Nguyễn Văn Thắng</w:t>
            </w:r>
          </w:p>
        </w:tc>
      </w:tr>
    </w:tbl>
    <w:p w:rsidR="001E1702" w:rsidRDefault="001E1702" w:rsidP="00AD6BCE">
      <w:pPr>
        <w:widowControl w:val="0"/>
        <w:jc w:val="center"/>
        <w:rPr>
          <w:rFonts w:ascii="Times New Roman Bold" w:hAnsi="Times New Roman Bold"/>
          <w:b/>
          <w:lang w:val="pt-BR"/>
        </w:rPr>
      </w:pPr>
      <w:r w:rsidRPr="006454C0">
        <w:rPr>
          <w:rFonts w:ascii="Times New Roman Bold" w:hAnsi="Times New Roman Bold"/>
          <w:b/>
          <w:lang w:val="pt-BR"/>
        </w:rPr>
        <w:lastRenderedPageBreak/>
        <w:t xml:space="preserve">Phụ lục: </w:t>
      </w:r>
      <w:r>
        <w:rPr>
          <w:rFonts w:ascii="Times New Roman Bold" w:hAnsi="Times New Roman Bold"/>
          <w:b/>
          <w:lang w:val="pt-BR"/>
        </w:rPr>
        <w:t xml:space="preserve">Căn cứ xác định đề xuất mức </w:t>
      </w:r>
      <w:r w:rsidRPr="006454C0">
        <w:rPr>
          <w:rFonts w:ascii="Times New Roman Bold" w:hAnsi="Times New Roman Bold"/>
          <w:b/>
          <w:lang w:val="pt-BR"/>
        </w:rPr>
        <w:t xml:space="preserve">đóng góp về tài chính cho </w:t>
      </w:r>
      <w:r>
        <w:rPr>
          <w:rFonts w:ascii="Times New Roman Bold" w:hAnsi="Times New Roman Bold"/>
          <w:b/>
          <w:lang w:val="pt-BR"/>
        </w:rPr>
        <w:t>NSNN</w:t>
      </w:r>
    </w:p>
    <w:p w:rsidR="001E1702" w:rsidRDefault="001E1702" w:rsidP="00AD6BCE">
      <w:pPr>
        <w:widowControl w:val="0"/>
        <w:spacing w:before="120" w:after="120" w:line="340" w:lineRule="exact"/>
        <w:ind w:firstLine="720"/>
        <w:jc w:val="both"/>
        <w:rPr>
          <w:lang w:val="pt-BR"/>
        </w:rPr>
      </w:pPr>
    </w:p>
    <w:p w:rsidR="001E1702" w:rsidRDefault="001E1702" w:rsidP="00AD6BCE">
      <w:pPr>
        <w:widowControl w:val="0"/>
        <w:spacing w:after="120" w:line="340" w:lineRule="exact"/>
        <w:ind w:firstLine="720"/>
        <w:jc w:val="both"/>
        <w:rPr>
          <w:b/>
          <w:lang w:val="pt-BR"/>
        </w:rPr>
      </w:pPr>
      <w:r>
        <w:rPr>
          <w:b/>
          <w:lang w:val="pt-BR"/>
        </w:rPr>
        <w:t>I</w:t>
      </w:r>
      <w:r w:rsidRPr="00937B00">
        <w:rPr>
          <w:b/>
          <w:lang w:val="pt-BR"/>
        </w:rPr>
        <w:t xml:space="preserve">. </w:t>
      </w:r>
      <w:r>
        <w:rPr>
          <w:b/>
          <w:lang w:val="pt-BR"/>
        </w:rPr>
        <w:t>Quy định của pháp luật</w:t>
      </w:r>
    </w:p>
    <w:p w:rsidR="001E1702" w:rsidRPr="00A97C0F" w:rsidRDefault="001E1702" w:rsidP="00AD6BCE">
      <w:pPr>
        <w:widowControl w:val="0"/>
        <w:spacing w:after="120" w:line="340" w:lineRule="exact"/>
        <w:ind w:firstLine="720"/>
        <w:jc w:val="both"/>
        <w:rPr>
          <w:b/>
          <w:i/>
          <w:lang w:val="pt-BR"/>
        </w:rPr>
      </w:pPr>
      <w:r w:rsidRPr="00A97C0F">
        <w:rPr>
          <w:b/>
          <w:i/>
          <w:lang w:val="pt-BR"/>
        </w:rPr>
        <w:t>1. Quy định của pháp luật về thuế</w:t>
      </w:r>
    </w:p>
    <w:p w:rsidR="001E1702" w:rsidRPr="00A97C0F" w:rsidRDefault="001E1702" w:rsidP="00AD6BCE">
      <w:pPr>
        <w:widowControl w:val="0"/>
        <w:spacing w:after="120" w:line="340" w:lineRule="exact"/>
        <w:ind w:firstLine="720"/>
        <w:jc w:val="both"/>
        <w:rPr>
          <w:i/>
          <w:lang w:val="pt-BR"/>
        </w:rPr>
      </w:pPr>
      <w:r w:rsidRPr="00A97C0F">
        <w:rPr>
          <w:i/>
          <w:lang w:val="pt-BR"/>
        </w:rPr>
        <w:t xml:space="preserve">a) Về thuế giá trị gia tăng (GTGT) </w:t>
      </w:r>
    </w:p>
    <w:p w:rsidR="001E1702" w:rsidRPr="007006D0" w:rsidRDefault="001E1702" w:rsidP="00AD6BCE">
      <w:pPr>
        <w:widowControl w:val="0"/>
        <w:spacing w:after="120" w:line="340" w:lineRule="exact"/>
        <w:ind w:firstLine="720"/>
        <w:jc w:val="both"/>
        <w:rPr>
          <w:lang w:val="nl-NL"/>
        </w:rPr>
      </w:pPr>
      <w:r w:rsidRPr="00937B00">
        <w:rPr>
          <w:lang w:val="pt-BR"/>
        </w:rPr>
        <w:t xml:space="preserve">- </w:t>
      </w:r>
      <w:r w:rsidRPr="00937B00">
        <w:rPr>
          <w:lang w:val="nl-NL"/>
        </w:rPr>
        <w:t>Theo quy định</w:t>
      </w:r>
      <w:r>
        <w:rPr>
          <w:lang w:val="nl-NL"/>
        </w:rPr>
        <w:t xml:space="preserve"> của Luật thuế GTGT, </w:t>
      </w:r>
      <w:r w:rsidRPr="00A97C0F">
        <w:rPr>
          <w:color w:val="000000"/>
          <w:shd w:val="clear" w:color="auto" w:fill="FFFFFF"/>
          <w:lang w:val="pt-BR"/>
        </w:rPr>
        <w:t>mức thuế suất đối với hoạt động kinh doanh đặt cược là 10% (khoản 3 Điều 8 Luật thuế GTGT); giá tính thuế GTGT đối với dịch vụ chịu thuế tiêu thụ đặc biệt là giá bán đã có thuế tiêu thụ đặc biệt (TTĐB) nhưng chưa có thuế GTGT</w:t>
      </w:r>
      <w:r>
        <w:rPr>
          <w:rStyle w:val="FootnoteReference"/>
          <w:lang w:val="nl-NL"/>
        </w:rPr>
        <w:footnoteReference w:id="15"/>
      </w:r>
      <w:r>
        <w:rPr>
          <w:lang w:val="nl-NL"/>
        </w:rPr>
        <w:t>.</w:t>
      </w:r>
      <w:r w:rsidRPr="00A97C0F">
        <w:rPr>
          <w:color w:val="000000"/>
          <w:shd w:val="clear" w:color="auto" w:fill="FFFFFF"/>
          <w:lang w:val="pt-BR"/>
        </w:rPr>
        <w:t xml:space="preserve"> </w:t>
      </w:r>
    </w:p>
    <w:p w:rsidR="001E1702" w:rsidRPr="00A97C0F" w:rsidRDefault="001E1702" w:rsidP="00AD6BCE">
      <w:pPr>
        <w:widowControl w:val="0"/>
        <w:spacing w:after="120" w:line="340" w:lineRule="exact"/>
        <w:ind w:firstLine="720"/>
        <w:jc w:val="both"/>
        <w:rPr>
          <w:i/>
          <w:spacing w:val="-2"/>
          <w:lang w:val="nl-NL"/>
        </w:rPr>
      </w:pPr>
      <w:r w:rsidRPr="00A97C0F">
        <w:rPr>
          <w:spacing w:val="-2"/>
          <w:lang w:val="nl-NL"/>
        </w:rPr>
        <w:t>- Tại khoản 5 Điều 4 Nghị định số 209/2013/NĐ-CP ngày 18/12/2013 của Chính phủ quy định chi tiết và hướng dẫn thi hành một số điều của Luật thuế GTGT quy định giá tính thuế đ</w:t>
      </w:r>
      <w:r w:rsidRPr="00A97C0F">
        <w:rPr>
          <w:color w:val="000000"/>
          <w:spacing w:val="-2"/>
          <w:shd w:val="clear" w:color="auto" w:fill="FFFFFF"/>
          <w:lang w:val="nl-NL"/>
        </w:rPr>
        <w:t>ối với dịch vụ kinh doanh đặt cược là số tiền thu từ hoạt động này đã bao gồm cả thuế tiêu thụ đặc biệt trừ số tiền đã trả thưởng cho khách.</w:t>
      </w:r>
    </w:p>
    <w:p w:rsidR="001E1702" w:rsidRPr="00A97C0F" w:rsidRDefault="001E1702" w:rsidP="00AD6BCE">
      <w:pPr>
        <w:widowControl w:val="0"/>
        <w:spacing w:after="120" w:line="340" w:lineRule="exact"/>
        <w:ind w:firstLine="720"/>
        <w:jc w:val="both"/>
        <w:rPr>
          <w:color w:val="000000"/>
          <w:lang w:val="nl-NL"/>
        </w:rPr>
      </w:pPr>
      <w:r>
        <w:rPr>
          <w:i/>
          <w:lang w:val="nl-NL"/>
        </w:rPr>
        <w:softHyphen/>
      </w:r>
      <w:r>
        <w:rPr>
          <w:lang w:val="nl-NL"/>
        </w:rPr>
        <w:t xml:space="preserve">- Tại khoản 14 Điều 7 Thông tư số 219/2013/TT-BTC ngày 31/12/2013 của Bộ Tài chính hướng dẫn thi hành Luật thuế GTGT và Nghị định số 209/2013/NĐ-CP quy định giá tính thuế </w:t>
      </w:r>
      <w:r w:rsidRPr="0072171E">
        <w:rPr>
          <w:lang w:val="nl-NL"/>
        </w:rPr>
        <w:t>đ</w:t>
      </w:r>
      <w:r w:rsidRPr="00A97C0F">
        <w:rPr>
          <w:color w:val="000000"/>
          <w:lang w:val="vi-VN"/>
        </w:rPr>
        <w:t xml:space="preserve">ối với dịch vụ kinh doanh đặt cược là số tiền thu từ hoạt động này đã bao gồm cả thuế </w:t>
      </w:r>
      <w:r w:rsidRPr="00A97C0F">
        <w:rPr>
          <w:color w:val="000000"/>
          <w:lang w:val="nl-NL"/>
        </w:rPr>
        <w:t>TTĐB</w:t>
      </w:r>
      <w:r w:rsidRPr="00A97C0F">
        <w:rPr>
          <w:color w:val="000000"/>
          <w:lang w:val="vi-VN"/>
        </w:rPr>
        <w:t xml:space="preserve"> trừ số tiền đã trả thưởng cho khách.</w:t>
      </w:r>
      <w:r w:rsidRPr="00A97C0F">
        <w:rPr>
          <w:color w:val="000000"/>
          <w:lang w:val="nl-NL"/>
        </w:rPr>
        <w:t xml:space="preserve"> </w:t>
      </w:r>
      <w:r w:rsidRPr="00A97C0F">
        <w:rPr>
          <w:color w:val="000000"/>
          <w:lang w:val="vi-VN"/>
        </w:rPr>
        <w:t>Giá tính thuế được tính theo công thức sau:</w:t>
      </w:r>
    </w:p>
    <w:tbl>
      <w:tblPr>
        <w:tblW w:w="0" w:type="auto"/>
        <w:tblCellSpacing w:w="0" w:type="dxa"/>
        <w:tblInd w:w="2235" w:type="dxa"/>
        <w:shd w:val="clear" w:color="auto" w:fill="FFFFFF"/>
        <w:tblCellMar>
          <w:left w:w="0" w:type="dxa"/>
          <w:right w:w="0" w:type="dxa"/>
        </w:tblCellMar>
        <w:tblLook w:val="04A0"/>
      </w:tblPr>
      <w:tblGrid>
        <w:gridCol w:w="2126"/>
        <w:gridCol w:w="2340"/>
      </w:tblGrid>
      <w:tr w:rsidR="001E1702" w:rsidRPr="00BC2B33" w:rsidTr="00C473C3">
        <w:trPr>
          <w:tblCellSpacing w:w="0" w:type="dxa"/>
        </w:trPr>
        <w:tc>
          <w:tcPr>
            <w:tcW w:w="2126" w:type="dxa"/>
            <w:vMerge w:val="restart"/>
            <w:shd w:val="clear" w:color="auto" w:fill="FFFFFF"/>
            <w:tcMar>
              <w:top w:w="0" w:type="dxa"/>
              <w:left w:w="108" w:type="dxa"/>
              <w:bottom w:w="0" w:type="dxa"/>
              <w:right w:w="108" w:type="dxa"/>
            </w:tcMar>
            <w:vAlign w:val="center"/>
            <w:hideMark/>
          </w:tcPr>
          <w:p w:rsidR="001E1702" w:rsidRPr="00A97C0F" w:rsidRDefault="001E1702" w:rsidP="00AD6BCE">
            <w:pPr>
              <w:widowControl w:val="0"/>
              <w:jc w:val="both"/>
              <w:rPr>
                <w:i/>
                <w:color w:val="000000"/>
              </w:rPr>
            </w:pPr>
            <w:r w:rsidRPr="00A97C0F">
              <w:rPr>
                <w:i/>
                <w:color w:val="000000"/>
                <w:lang w:val="vi-VN"/>
              </w:rPr>
              <w:t>Giá tính thuế =</w:t>
            </w:r>
          </w:p>
        </w:tc>
        <w:tc>
          <w:tcPr>
            <w:tcW w:w="2340" w:type="dxa"/>
            <w:tcBorders>
              <w:top w:val="nil"/>
              <w:left w:val="nil"/>
              <w:bottom w:val="single" w:sz="8" w:space="0" w:color="auto"/>
              <w:right w:val="nil"/>
            </w:tcBorders>
            <w:shd w:val="clear" w:color="auto" w:fill="FFFFFF"/>
            <w:tcMar>
              <w:top w:w="0" w:type="dxa"/>
              <w:left w:w="108" w:type="dxa"/>
              <w:bottom w:w="0" w:type="dxa"/>
              <w:right w:w="108" w:type="dxa"/>
            </w:tcMar>
            <w:hideMark/>
          </w:tcPr>
          <w:p w:rsidR="001E1702" w:rsidRPr="00A97C0F" w:rsidRDefault="001E1702" w:rsidP="00AD6BCE">
            <w:pPr>
              <w:widowControl w:val="0"/>
              <w:jc w:val="center"/>
              <w:rPr>
                <w:i/>
                <w:color w:val="000000"/>
              </w:rPr>
            </w:pPr>
            <w:r w:rsidRPr="00A97C0F">
              <w:rPr>
                <w:i/>
                <w:color w:val="000000"/>
              </w:rPr>
              <w:t>Số tiền thu được</w:t>
            </w:r>
          </w:p>
        </w:tc>
      </w:tr>
      <w:tr w:rsidR="001E1702" w:rsidRPr="00BC2B33" w:rsidTr="00C473C3">
        <w:trPr>
          <w:tblCellSpacing w:w="0" w:type="dxa"/>
        </w:trPr>
        <w:tc>
          <w:tcPr>
            <w:tcW w:w="2126" w:type="dxa"/>
            <w:vMerge/>
            <w:shd w:val="clear" w:color="auto" w:fill="FFFFFF"/>
            <w:vAlign w:val="center"/>
            <w:hideMark/>
          </w:tcPr>
          <w:p w:rsidR="001E1702" w:rsidRPr="00A97C0F" w:rsidRDefault="001E1702" w:rsidP="00AD6BCE">
            <w:pPr>
              <w:widowControl w:val="0"/>
              <w:jc w:val="both"/>
              <w:rPr>
                <w:i/>
                <w:color w:val="000000"/>
              </w:rPr>
            </w:pPr>
          </w:p>
        </w:tc>
        <w:tc>
          <w:tcPr>
            <w:tcW w:w="2340" w:type="dxa"/>
            <w:tcBorders>
              <w:top w:val="nil"/>
              <w:left w:val="nil"/>
              <w:bottom w:val="nil"/>
              <w:right w:val="nil"/>
            </w:tcBorders>
            <w:shd w:val="clear" w:color="auto" w:fill="FFFFFF"/>
            <w:tcMar>
              <w:top w:w="0" w:type="dxa"/>
              <w:left w:w="108" w:type="dxa"/>
              <w:bottom w:w="0" w:type="dxa"/>
              <w:right w:w="108" w:type="dxa"/>
            </w:tcMar>
            <w:hideMark/>
          </w:tcPr>
          <w:p w:rsidR="001E1702" w:rsidRPr="00A97C0F" w:rsidRDefault="001E1702" w:rsidP="00AD6BCE">
            <w:pPr>
              <w:widowControl w:val="0"/>
              <w:jc w:val="center"/>
              <w:rPr>
                <w:i/>
                <w:color w:val="000000"/>
              </w:rPr>
            </w:pPr>
            <w:r w:rsidRPr="00A97C0F">
              <w:rPr>
                <w:i/>
                <w:color w:val="000000"/>
              </w:rPr>
              <w:t>1+ thuế suất</w:t>
            </w:r>
          </w:p>
        </w:tc>
      </w:tr>
    </w:tbl>
    <w:p w:rsidR="001E1702" w:rsidRDefault="001E1702" w:rsidP="00AD6BCE">
      <w:pPr>
        <w:widowControl w:val="0"/>
        <w:ind w:firstLine="720"/>
        <w:jc w:val="both"/>
        <w:rPr>
          <w:i/>
          <w:lang w:val="pt-BR"/>
        </w:rPr>
      </w:pPr>
    </w:p>
    <w:p w:rsidR="001E1702" w:rsidRPr="00A97C0F" w:rsidRDefault="001E1702" w:rsidP="00AD6BCE">
      <w:pPr>
        <w:widowControl w:val="0"/>
        <w:spacing w:after="120" w:line="340" w:lineRule="exact"/>
        <w:ind w:firstLine="720"/>
        <w:jc w:val="both"/>
        <w:rPr>
          <w:i/>
          <w:lang w:val="nl-NL"/>
        </w:rPr>
      </w:pPr>
      <w:r w:rsidRPr="00A97C0F">
        <w:rPr>
          <w:i/>
          <w:lang w:val="pt-BR"/>
        </w:rPr>
        <w:t xml:space="preserve">b) Về thuế tiêu thụ đặc biệt </w:t>
      </w:r>
    </w:p>
    <w:p w:rsidR="001E1702" w:rsidRDefault="001E1702" w:rsidP="00AD6BCE">
      <w:pPr>
        <w:widowControl w:val="0"/>
        <w:spacing w:after="120" w:line="340" w:lineRule="exact"/>
        <w:ind w:firstLine="720"/>
        <w:jc w:val="both"/>
        <w:rPr>
          <w:lang w:val="nl-NL"/>
        </w:rPr>
      </w:pPr>
      <w:r>
        <w:rPr>
          <w:lang w:val="nl-NL"/>
        </w:rPr>
        <w:t xml:space="preserve">- Theo quy định của Luật thuế TTĐB, thuế suất thuế TTĐB đối với kinh doanh đặt cược là 30% (Điều 7); giá tính thuế TTĐB đối với kinh doanh đặt cược là doanh thu từ hoạt động kinh doanh này trừ số tiền đã trả thưởng cho khách (điểm b khoản 5 Điều 6).  </w:t>
      </w:r>
    </w:p>
    <w:p w:rsidR="001E1702" w:rsidRDefault="001E1702" w:rsidP="00AD6BCE">
      <w:pPr>
        <w:widowControl w:val="0"/>
        <w:spacing w:after="120" w:line="340" w:lineRule="exact"/>
        <w:ind w:firstLine="720"/>
        <w:jc w:val="both"/>
        <w:rPr>
          <w:lang w:val="nl-NL"/>
        </w:rPr>
      </w:pPr>
      <w:r>
        <w:rPr>
          <w:lang w:val="nl-NL"/>
        </w:rPr>
        <w:t>- Tại điểm c khoản 7 Điều 4 Nghị định số 108/2015/NĐ-CP ngày 28/10/2015 của Chính phủ quy định chi tiết và hướng dẫn thi hành một số điều của Luật thuế TTĐB, giá tính thuế TTĐB là doanh thu bán vé đặt cược đã trừ tiền trả thưởng.</w:t>
      </w:r>
    </w:p>
    <w:p w:rsidR="001E1702" w:rsidRPr="00A97C0F" w:rsidRDefault="001E1702" w:rsidP="00AD6BCE">
      <w:pPr>
        <w:widowControl w:val="0"/>
        <w:spacing w:after="120" w:line="340" w:lineRule="exact"/>
        <w:ind w:firstLine="720"/>
        <w:jc w:val="both"/>
        <w:rPr>
          <w:i/>
          <w:color w:val="000000"/>
          <w:shd w:val="clear" w:color="auto" w:fill="FFFFFF"/>
          <w:lang w:val="nl-NL"/>
        </w:rPr>
      </w:pPr>
      <w:r>
        <w:rPr>
          <w:lang w:val="nl-NL"/>
        </w:rPr>
        <w:t>- Tại điểm c khoản 9 Điều 5 Thông tư số 195/2015/TT-BTC ngày 24/11/2015 của Bộ Tài chính hướng dẫn thi hành Nghị định số 108/2015/NĐ-CP</w:t>
      </w:r>
      <w:r w:rsidRPr="00A97C0F">
        <w:rPr>
          <w:color w:val="000000"/>
          <w:shd w:val="clear" w:color="auto" w:fill="FFFFFF"/>
          <w:lang w:val="nl-NL"/>
        </w:rPr>
        <w:t>, giá tính thuế TTĐB là giá cung ứng dịch vụ của cơ sở kinh doanh chưa có thuế GTGT và chưa có thuế TTĐB, được xác định như sau:</w:t>
      </w:r>
    </w:p>
    <w:tbl>
      <w:tblPr>
        <w:tblW w:w="0" w:type="auto"/>
        <w:jc w:val="center"/>
        <w:tblCellSpacing w:w="0" w:type="dxa"/>
        <w:shd w:val="clear" w:color="auto" w:fill="FFFFFF"/>
        <w:tblCellMar>
          <w:left w:w="0" w:type="dxa"/>
          <w:right w:w="0" w:type="dxa"/>
        </w:tblCellMar>
        <w:tblLook w:val="04A0"/>
      </w:tblPr>
      <w:tblGrid>
        <w:gridCol w:w="2660"/>
        <w:gridCol w:w="612"/>
        <w:gridCol w:w="4588"/>
      </w:tblGrid>
      <w:tr w:rsidR="001E1702" w:rsidRPr="00FE678B" w:rsidTr="00C473C3">
        <w:trPr>
          <w:tblCellSpacing w:w="0" w:type="dxa"/>
          <w:jc w:val="center"/>
        </w:trPr>
        <w:tc>
          <w:tcPr>
            <w:tcW w:w="2660" w:type="dxa"/>
            <w:vMerge w:val="restart"/>
            <w:shd w:val="clear" w:color="auto" w:fill="FFFFFF"/>
            <w:tcMar>
              <w:top w:w="0" w:type="dxa"/>
              <w:left w:w="108" w:type="dxa"/>
              <w:bottom w:w="0" w:type="dxa"/>
              <w:right w:w="108" w:type="dxa"/>
            </w:tcMar>
            <w:vAlign w:val="center"/>
            <w:hideMark/>
          </w:tcPr>
          <w:p w:rsidR="001E1702" w:rsidRPr="00A97C0F" w:rsidRDefault="001E1702" w:rsidP="00AD6BCE">
            <w:pPr>
              <w:widowControl w:val="0"/>
              <w:jc w:val="center"/>
              <w:rPr>
                <w:i/>
                <w:color w:val="000000"/>
              </w:rPr>
            </w:pPr>
            <w:r w:rsidRPr="00A97C0F">
              <w:rPr>
                <w:i/>
                <w:color w:val="000000"/>
                <w:lang w:val="nl-NL"/>
              </w:rPr>
              <w:t>Giá tính thuế TTĐB</w:t>
            </w:r>
          </w:p>
        </w:tc>
        <w:tc>
          <w:tcPr>
            <w:tcW w:w="612" w:type="dxa"/>
            <w:vMerge w:val="restart"/>
            <w:shd w:val="clear" w:color="auto" w:fill="FFFFFF"/>
            <w:tcMar>
              <w:top w:w="0" w:type="dxa"/>
              <w:left w:w="108" w:type="dxa"/>
              <w:bottom w:w="0" w:type="dxa"/>
              <w:right w:w="108" w:type="dxa"/>
            </w:tcMar>
            <w:vAlign w:val="center"/>
            <w:hideMark/>
          </w:tcPr>
          <w:p w:rsidR="001E1702" w:rsidRPr="00A97C0F" w:rsidRDefault="001E1702" w:rsidP="00AD6BCE">
            <w:pPr>
              <w:widowControl w:val="0"/>
              <w:jc w:val="center"/>
              <w:rPr>
                <w:i/>
                <w:color w:val="000000"/>
              </w:rPr>
            </w:pPr>
            <w:r w:rsidRPr="00A97C0F">
              <w:rPr>
                <w:i/>
                <w:color w:val="000000"/>
                <w:lang w:val="nl-NL"/>
              </w:rPr>
              <w:t>=</w:t>
            </w:r>
          </w:p>
        </w:tc>
        <w:tc>
          <w:tcPr>
            <w:tcW w:w="4588" w:type="dxa"/>
            <w:tcBorders>
              <w:bottom w:val="single" w:sz="4" w:space="0" w:color="auto"/>
            </w:tcBorders>
            <w:shd w:val="clear" w:color="auto" w:fill="FFFFFF"/>
            <w:tcMar>
              <w:top w:w="0" w:type="dxa"/>
              <w:left w:w="108" w:type="dxa"/>
              <w:bottom w:w="0" w:type="dxa"/>
              <w:right w:w="108" w:type="dxa"/>
            </w:tcMar>
            <w:vAlign w:val="center"/>
            <w:hideMark/>
          </w:tcPr>
          <w:p w:rsidR="001E1702" w:rsidRPr="00A97C0F" w:rsidRDefault="001E1702" w:rsidP="00AD6BCE">
            <w:pPr>
              <w:widowControl w:val="0"/>
              <w:jc w:val="center"/>
              <w:rPr>
                <w:i/>
                <w:color w:val="000000"/>
              </w:rPr>
            </w:pPr>
            <w:r w:rsidRPr="00A97C0F">
              <w:rPr>
                <w:i/>
                <w:color w:val="000000"/>
                <w:lang w:val="nl-NL"/>
              </w:rPr>
              <w:t>Giá dịch vụ chưa có thuế GTGT</w:t>
            </w:r>
          </w:p>
        </w:tc>
      </w:tr>
      <w:tr w:rsidR="001E1702" w:rsidRPr="00FE678B" w:rsidTr="00C473C3">
        <w:trPr>
          <w:tblCellSpacing w:w="0" w:type="dxa"/>
          <w:jc w:val="center"/>
        </w:trPr>
        <w:tc>
          <w:tcPr>
            <w:tcW w:w="2660" w:type="dxa"/>
            <w:vMerge/>
            <w:shd w:val="clear" w:color="auto" w:fill="FFFFFF"/>
            <w:vAlign w:val="center"/>
            <w:hideMark/>
          </w:tcPr>
          <w:p w:rsidR="001E1702" w:rsidRPr="00A97C0F" w:rsidRDefault="001E1702" w:rsidP="00AD6BCE">
            <w:pPr>
              <w:widowControl w:val="0"/>
              <w:rPr>
                <w:i/>
                <w:color w:val="000000"/>
              </w:rPr>
            </w:pPr>
          </w:p>
        </w:tc>
        <w:tc>
          <w:tcPr>
            <w:tcW w:w="0" w:type="auto"/>
            <w:vMerge/>
            <w:shd w:val="clear" w:color="auto" w:fill="FFFFFF"/>
            <w:vAlign w:val="center"/>
            <w:hideMark/>
          </w:tcPr>
          <w:p w:rsidR="001E1702" w:rsidRPr="00A97C0F" w:rsidRDefault="001E1702" w:rsidP="00AD6BCE">
            <w:pPr>
              <w:widowControl w:val="0"/>
              <w:rPr>
                <w:i/>
                <w:color w:val="000000"/>
              </w:rPr>
            </w:pPr>
          </w:p>
        </w:tc>
        <w:tc>
          <w:tcPr>
            <w:tcW w:w="4588" w:type="dxa"/>
            <w:shd w:val="clear" w:color="auto" w:fill="FFFFFF"/>
            <w:tcMar>
              <w:top w:w="0" w:type="dxa"/>
              <w:left w:w="108" w:type="dxa"/>
              <w:bottom w:w="0" w:type="dxa"/>
              <w:right w:w="108" w:type="dxa"/>
            </w:tcMar>
            <w:vAlign w:val="center"/>
            <w:hideMark/>
          </w:tcPr>
          <w:p w:rsidR="001E1702" w:rsidRPr="00A97C0F" w:rsidRDefault="001E1702" w:rsidP="00AD6BCE">
            <w:pPr>
              <w:widowControl w:val="0"/>
              <w:jc w:val="center"/>
              <w:rPr>
                <w:i/>
                <w:color w:val="000000"/>
              </w:rPr>
            </w:pPr>
            <w:r w:rsidRPr="00A97C0F">
              <w:rPr>
                <w:i/>
                <w:color w:val="000000"/>
                <w:lang w:val="nl-NL"/>
              </w:rPr>
              <w:t>1 + Thuế suất thuế TTĐB</w:t>
            </w:r>
          </w:p>
        </w:tc>
      </w:tr>
    </w:tbl>
    <w:p w:rsidR="001E1702" w:rsidRPr="00FE6A8E" w:rsidRDefault="001E1702" w:rsidP="00AD6BCE">
      <w:pPr>
        <w:widowControl w:val="0"/>
        <w:spacing w:after="120" w:line="340" w:lineRule="exact"/>
        <w:ind w:firstLine="720"/>
        <w:jc w:val="both"/>
        <w:rPr>
          <w:spacing w:val="-9"/>
          <w:lang w:val="nl-NL"/>
        </w:rPr>
      </w:pPr>
      <w:r w:rsidRPr="00FE6A8E">
        <w:rPr>
          <w:color w:val="000000"/>
          <w:spacing w:val="-9"/>
          <w:shd w:val="clear" w:color="auto" w:fill="FFFFFF"/>
          <w:lang w:val="nl-NL"/>
        </w:rPr>
        <w:lastRenderedPageBreak/>
        <w:t>Đối với kinh doanh đặt cược, giá làm căn cứ xác định giá tính thuế TTĐB là doanh thu bán vé đặt cược trừ (-) tiền trả thưởng cho khách hàng (giá chưa có thuế GTGT).</w:t>
      </w:r>
      <w:r w:rsidRPr="00FE6A8E">
        <w:rPr>
          <w:spacing w:val="-9"/>
          <w:lang w:val="nl-NL"/>
        </w:rPr>
        <w:t xml:space="preserve"> </w:t>
      </w:r>
    </w:p>
    <w:p w:rsidR="001E1702" w:rsidRPr="00F8496E" w:rsidRDefault="001E1702" w:rsidP="00AD6BCE">
      <w:pPr>
        <w:widowControl w:val="0"/>
        <w:spacing w:after="120" w:line="340" w:lineRule="exact"/>
        <w:ind w:firstLine="720"/>
        <w:jc w:val="both"/>
        <w:rPr>
          <w:i/>
          <w:lang w:val="nl-NL"/>
        </w:rPr>
      </w:pPr>
      <w:r w:rsidRPr="00F8496E">
        <w:rPr>
          <w:i/>
          <w:lang w:val="nl-NL"/>
        </w:rPr>
        <w:t>c) Về thuế thu nhập doanh nghiệp (TNDN)</w:t>
      </w:r>
    </w:p>
    <w:p w:rsidR="001E1702" w:rsidRDefault="001E1702" w:rsidP="00AD6BCE">
      <w:pPr>
        <w:widowControl w:val="0"/>
        <w:spacing w:after="120" w:line="340" w:lineRule="exact"/>
        <w:ind w:firstLine="720"/>
        <w:jc w:val="both"/>
        <w:rPr>
          <w:lang w:val="nl-NL"/>
        </w:rPr>
      </w:pPr>
      <w:r>
        <w:rPr>
          <w:lang w:val="nl-NL"/>
        </w:rPr>
        <w:t>- Theo quy định của Luật thuế TNDN, số thuế TNDN phải nộp trong kỳ tính thuế được tính bằng thu nhập tính thuế nhân với thuế suất (khoản 1 Điều 11 Luật thuế TNDN năm 2008). Thuế suất thuế TNDN đối với doanh nghiệp kinh doanh đặt cược là 20% (khoản 6 Điều 1 Luật thuế TNDN (sửa đổi) năm 2013).</w:t>
      </w:r>
    </w:p>
    <w:p w:rsidR="001E1702" w:rsidRPr="00850BFE" w:rsidRDefault="001E1702" w:rsidP="00AD6BCE">
      <w:pPr>
        <w:widowControl w:val="0"/>
        <w:spacing w:after="120" w:line="340" w:lineRule="exact"/>
        <w:ind w:firstLine="720"/>
        <w:jc w:val="both"/>
        <w:rPr>
          <w:spacing w:val="-4"/>
          <w:lang w:val="nl-NL"/>
        </w:rPr>
      </w:pPr>
      <w:r w:rsidRPr="00850BFE">
        <w:rPr>
          <w:spacing w:val="-4"/>
          <w:lang w:val="nl-NL"/>
        </w:rPr>
        <w:t>- Tại điểm a khoản 1 và điểm o khoản 3 Điều 5 Thông tư số 78/2014/TT-BTC ngày 18/6/2014 của Bộ Tài chính quy định doanh thu để tính thu nhập chịu thuế:</w:t>
      </w:r>
    </w:p>
    <w:p w:rsidR="001E1702" w:rsidRDefault="001E1702" w:rsidP="00AD6BCE">
      <w:pPr>
        <w:widowControl w:val="0"/>
        <w:spacing w:after="120" w:line="340" w:lineRule="exact"/>
        <w:ind w:firstLine="720"/>
        <w:jc w:val="both"/>
        <w:rPr>
          <w:i/>
          <w:lang w:val="nl-NL"/>
        </w:rPr>
      </w:pPr>
      <w:r w:rsidRPr="00850BFE">
        <w:rPr>
          <w:i/>
          <w:lang w:val="nl-NL"/>
        </w:rPr>
        <w:t>“</w:t>
      </w:r>
      <w:r>
        <w:rPr>
          <w:i/>
          <w:lang w:val="nl-NL"/>
        </w:rPr>
        <w:t>a) Đối với doanh nghiệp nộp thuế giá trị gia tăng theo phương pháp khấu trừ thuế là doanh thu chưa bao gồm thuế giá trị gia tăng”.</w:t>
      </w:r>
    </w:p>
    <w:p w:rsidR="001E1702" w:rsidRPr="00850BFE" w:rsidRDefault="001E1702" w:rsidP="00AD6BCE">
      <w:pPr>
        <w:widowControl w:val="0"/>
        <w:spacing w:after="120" w:line="340" w:lineRule="exact"/>
        <w:ind w:firstLine="720"/>
        <w:jc w:val="both"/>
        <w:rPr>
          <w:i/>
          <w:lang w:val="nl-NL"/>
        </w:rPr>
      </w:pPr>
      <w:r>
        <w:rPr>
          <w:i/>
          <w:lang w:val="nl-NL"/>
        </w:rPr>
        <w:t xml:space="preserve">“o) Đối với hoạt động kinh doanh trò chơi có thưởng (casino, trò chơi điện tử có thưởng, kinh doanh có đặt cược) là số tiền thu từ hoạt dộng này bao gồm cả thuế tiêu thụ đặc biệt trừ số tiền đã trả thưởng cho khách”. </w:t>
      </w:r>
    </w:p>
    <w:p w:rsidR="001E1702" w:rsidRPr="00F8496E" w:rsidRDefault="001E1702" w:rsidP="00AD6BCE">
      <w:pPr>
        <w:widowControl w:val="0"/>
        <w:spacing w:after="120" w:line="340" w:lineRule="exact"/>
        <w:ind w:firstLine="720"/>
        <w:jc w:val="both"/>
        <w:rPr>
          <w:b/>
          <w:i/>
          <w:lang w:val="nl-NL"/>
        </w:rPr>
      </w:pPr>
      <w:r w:rsidRPr="00F8496E">
        <w:rPr>
          <w:b/>
          <w:i/>
          <w:lang w:val="nl-NL"/>
        </w:rPr>
        <w:t>2. Quy định về trả thưởng</w:t>
      </w:r>
    </w:p>
    <w:p w:rsidR="001E1702" w:rsidRDefault="001E1702" w:rsidP="00AD6BCE">
      <w:pPr>
        <w:widowControl w:val="0"/>
        <w:spacing w:after="120" w:line="340" w:lineRule="exact"/>
        <w:ind w:firstLine="720"/>
        <w:jc w:val="both"/>
        <w:rPr>
          <w:bCs/>
          <w:iCs/>
          <w:lang w:val="nl-NL"/>
        </w:rPr>
      </w:pPr>
      <w:r>
        <w:rPr>
          <w:lang w:val="nl-NL"/>
        </w:rPr>
        <w:t>Nghị định số 06</w:t>
      </w:r>
      <w:r w:rsidR="00072064">
        <w:rPr>
          <w:lang w:val="nl-NL"/>
        </w:rPr>
        <w:t xml:space="preserve"> và dự thảo Nghị định</w:t>
      </w:r>
      <w:r>
        <w:rPr>
          <w:lang w:val="nl-NL"/>
        </w:rPr>
        <w:t xml:space="preserve">, </w:t>
      </w:r>
      <w:r w:rsidR="00072064">
        <w:rPr>
          <w:lang w:val="nl-NL"/>
        </w:rPr>
        <w:t>t</w:t>
      </w:r>
      <w:r>
        <w:rPr>
          <w:lang w:val="nl-NL"/>
        </w:rPr>
        <w:t xml:space="preserve">ỷ lệ trả thưởng do doanh nghiệp xây dựng </w:t>
      </w:r>
      <w:r w:rsidRPr="00937B00">
        <w:rPr>
          <w:bCs/>
          <w:iCs/>
          <w:lang w:val="nl-NL"/>
        </w:rPr>
        <w:t>ở mức tối thiểu là 65% trên doanh thu bán vé đối với từng sản phẩm đặt cược</w:t>
      </w:r>
      <w:r>
        <w:rPr>
          <w:bCs/>
          <w:iCs/>
          <w:lang w:val="nl-NL"/>
        </w:rPr>
        <w:t xml:space="preserve"> và phải quy định cụ thể tại Thể lệ đặt cược.</w:t>
      </w:r>
    </w:p>
    <w:p w:rsidR="001E1702" w:rsidRPr="00C347E0" w:rsidRDefault="001E1702" w:rsidP="00AD6BCE">
      <w:pPr>
        <w:widowControl w:val="0"/>
        <w:spacing w:after="120" w:line="340" w:lineRule="exact"/>
        <w:ind w:firstLine="720"/>
        <w:jc w:val="both"/>
        <w:rPr>
          <w:b/>
          <w:lang w:val="nl-NL"/>
        </w:rPr>
      </w:pPr>
      <w:r>
        <w:rPr>
          <w:b/>
          <w:lang w:val="nl-NL"/>
        </w:rPr>
        <w:t>II</w:t>
      </w:r>
      <w:r w:rsidRPr="00937B00">
        <w:rPr>
          <w:b/>
          <w:lang w:val="nl-NL"/>
        </w:rPr>
        <w:t xml:space="preserve">. </w:t>
      </w:r>
      <w:r>
        <w:rPr>
          <w:b/>
          <w:lang w:val="nl-NL"/>
        </w:rPr>
        <w:t>Xác định mức đóng góp về tài chính nộp NSNN</w:t>
      </w:r>
    </w:p>
    <w:p w:rsidR="001E1702" w:rsidRPr="00A97C0F" w:rsidRDefault="001E1702" w:rsidP="00AD6BCE">
      <w:pPr>
        <w:widowControl w:val="0"/>
        <w:spacing w:after="120" w:line="340" w:lineRule="exact"/>
        <w:jc w:val="both"/>
        <w:rPr>
          <w:b/>
          <w:i/>
          <w:lang w:val="nl-NL"/>
        </w:rPr>
      </w:pPr>
      <w:r w:rsidRPr="00937B00">
        <w:rPr>
          <w:lang w:val="nl-NL"/>
        </w:rPr>
        <w:tab/>
      </w:r>
      <w:r w:rsidRPr="00A97C0F">
        <w:rPr>
          <w:b/>
          <w:i/>
          <w:lang w:val="nl-NL"/>
        </w:rPr>
        <w:t xml:space="preserve">1. </w:t>
      </w:r>
      <w:r>
        <w:rPr>
          <w:b/>
          <w:i/>
          <w:lang w:val="nl-NL"/>
        </w:rPr>
        <w:t>Về d</w:t>
      </w:r>
      <w:r w:rsidRPr="00A97C0F">
        <w:rPr>
          <w:b/>
          <w:i/>
          <w:lang w:val="nl-NL"/>
        </w:rPr>
        <w:t xml:space="preserve">oanh thu </w:t>
      </w:r>
    </w:p>
    <w:p w:rsidR="001E1702" w:rsidRPr="009C7B4E" w:rsidRDefault="001E1702" w:rsidP="00AD6BCE">
      <w:pPr>
        <w:widowControl w:val="0"/>
        <w:spacing w:after="120" w:line="340" w:lineRule="exact"/>
        <w:jc w:val="both"/>
        <w:rPr>
          <w:i/>
          <w:lang w:val="nl-NL"/>
        </w:rPr>
      </w:pPr>
      <w:r w:rsidRPr="005632C1">
        <w:rPr>
          <w:i/>
          <w:lang w:val="nl-NL"/>
        </w:rPr>
        <w:tab/>
        <w:t xml:space="preserve">a) </w:t>
      </w:r>
      <w:r>
        <w:rPr>
          <w:i/>
          <w:lang w:val="nl-NL"/>
        </w:rPr>
        <w:t>D</w:t>
      </w:r>
      <w:r w:rsidRPr="005632C1">
        <w:rPr>
          <w:i/>
          <w:lang w:val="nl-NL"/>
        </w:rPr>
        <w:t>oanh thu bán vé đặt cược</w:t>
      </w:r>
      <w:r w:rsidRPr="005632C1">
        <w:rPr>
          <w:i/>
          <w:lang w:val="nl-NL"/>
        </w:rPr>
        <w:tab/>
      </w:r>
    </w:p>
    <w:p w:rsidR="001E1702" w:rsidRDefault="001E1702" w:rsidP="00AD6BCE">
      <w:pPr>
        <w:widowControl w:val="0"/>
        <w:spacing w:after="120" w:line="340" w:lineRule="exact"/>
        <w:ind w:firstLine="720"/>
        <w:jc w:val="both"/>
        <w:rPr>
          <w:lang w:val="nl-NL"/>
        </w:rPr>
      </w:pPr>
      <w:r>
        <w:rPr>
          <w:lang w:val="nl-NL"/>
        </w:rPr>
        <w:t xml:space="preserve">- Theo quy định tại dự thảo Nghị định, doanh nghiệp kinh doanh đặt cược bóng đá quốc tế được phép phân phối vé đặt cược qua 03 phương thức: (i) Bán trực tiếp cho người chơi qua thiết bị đầu cuối; (ii) </w:t>
      </w:r>
      <w:r w:rsidR="00072064">
        <w:rPr>
          <w:lang w:val="nl-NL"/>
        </w:rPr>
        <w:t>Thông</w:t>
      </w:r>
      <w:r>
        <w:rPr>
          <w:lang w:val="nl-NL"/>
        </w:rPr>
        <w:t xml:space="preserve"> qua điện thoại; (iii) Internet.</w:t>
      </w:r>
    </w:p>
    <w:p w:rsidR="001E1702" w:rsidRPr="00CB5A7D" w:rsidRDefault="001E1702" w:rsidP="00AD6BCE">
      <w:pPr>
        <w:widowControl w:val="0"/>
        <w:spacing w:after="120" w:line="340" w:lineRule="exact"/>
        <w:ind w:firstLine="720"/>
        <w:jc w:val="both"/>
        <w:rPr>
          <w:spacing w:val="-2"/>
          <w:lang w:val="nl-NL"/>
        </w:rPr>
      </w:pPr>
      <w:r w:rsidRPr="00CB5A7D">
        <w:rPr>
          <w:spacing w:val="-2"/>
          <w:lang w:val="nl-NL"/>
        </w:rPr>
        <w:t xml:space="preserve">- Giả định doanh thu bán vé đặt cược qua thiết bị đầu cuối trong năm đầu tiên kinh doanh là </w:t>
      </w:r>
      <w:r w:rsidR="00072064" w:rsidRPr="00CB5A7D">
        <w:rPr>
          <w:spacing w:val="-2"/>
          <w:lang w:val="nl-NL"/>
        </w:rPr>
        <w:t>6.5</w:t>
      </w:r>
      <w:r w:rsidRPr="00CB5A7D">
        <w:rPr>
          <w:spacing w:val="-2"/>
          <w:lang w:val="nl-NL"/>
        </w:rPr>
        <w:t>00 tỷ đồng (tương tự như doanh thu của Vietlott trong năm đầu tiên kinh doanh</w:t>
      </w:r>
      <w:r w:rsidR="00072064" w:rsidRPr="00CB5A7D">
        <w:rPr>
          <w:spacing w:val="-2"/>
          <w:lang w:val="nl-NL"/>
        </w:rPr>
        <w:t xml:space="preserve"> trên phạm vi cả nước qua thiết bị đầu cuối và điện thoại</w:t>
      </w:r>
      <w:r w:rsidRPr="00CB5A7D">
        <w:rPr>
          <w:spacing w:val="-2"/>
          <w:lang w:val="nl-NL"/>
        </w:rPr>
        <w:t xml:space="preserve">). Giả định doanh thu tăng 10% </w:t>
      </w:r>
      <w:r w:rsidR="0094426B">
        <w:rPr>
          <w:spacing w:val="-2"/>
          <w:lang w:val="nl-NL"/>
        </w:rPr>
        <w:t>so với năm trước liền kề</w:t>
      </w:r>
      <w:r w:rsidRPr="00CB5A7D">
        <w:rPr>
          <w:spacing w:val="-2"/>
          <w:lang w:val="nl-NL"/>
        </w:rPr>
        <w:t xml:space="preserve">. </w:t>
      </w:r>
    </w:p>
    <w:p w:rsidR="001E1702" w:rsidRDefault="001E1702" w:rsidP="00AD6BCE">
      <w:pPr>
        <w:widowControl w:val="0"/>
        <w:spacing w:after="120" w:line="340" w:lineRule="exact"/>
        <w:ind w:firstLine="720"/>
        <w:jc w:val="both"/>
        <w:rPr>
          <w:lang w:val="nl-NL"/>
        </w:rPr>
      </w:pPr>
      <w:r>
        <w:rPr>
          <w:lang w:val="nl-NL"/>
        </w:rPr>
        <w:t xml:space="preserve">- Với giả định nêu trên, doanh thu bán vé đặt cược bình quân trong </w:t>
      </w:r>
      <w:r w:rsidR="0094426B">
        <w:rPr>
          <w:lang w:val="nl-NL"/>
        </w:rPr>
        <w:t>05</w:t>
      </w:r>
      <w:r>
        <w:rPr>
          <w:lang w:val="nl-NL"/>
        </w:rPr>
        <w:t xml:space="preserve"> năm thí điểm là </w:t>
      </w:r>
      <w:r w:rsidR="00673DED">
        <w:rPr>
          <w:lang w:val="nl-NL"/>
        </w:rPr>
        <w:t>7.936,6</w:t>
      </w:r>
      <w:r>
        <w:rPr>
          <w:lang w:val="nl-NL"/>
        </w:rPr>
        <w:t xml:space="preserve"> tỷ đồng. T</w:t>
      </w:r>
      <w:r w:rsidRPr="00937B00">
        <w:rPr>
          <w:lang w:val="nl-NL"/>
        </w:rPr>
        <w:t xml:space="preserve">ổng doanh thu </w:t>
      </w:r>
      <w:r>
        <w:rPr>
          <w:lang w:val="nl-NL"/>
        </w:rPr>
        <w:t xml:space="preserve">bán vé trong </w:t>
      </w:r>
      <w:r w:rsidR="00673DED">
        <w:rPr>
          <w:lang w:val="nl-NL"/>
        </w:rPr>
        <w:t>05</w:t>
      </w:r>
      <w:r w:rsidRPr="00937B00">
        <w:rPr>
          <w:lang w:val="nl-NL"/>
        </w:rPr>
        <w:t xml:space="preserve"> năm thí điểm kinh doanh là </w:t>
      </w:r>
      <w:r w:rsidR="00673DED">
        <w:rPr>
          <w:lang w:val="nl-NL"/>
        </w:rPr>
        <w:t>39.683,2</w:t>
      </w:r>
      <w:r w:rsidRPr="00937B00">
        <w:rPr>
          <w:lang w:val="nl-NL"/>
        </w:rPr>
        <w:t xml:space="preserve"> tỷ đồng.</w:t>
      </w:r>
    </w:p>
    <w:p w:rsidR="001E1702" w:rsidRPr="009C7B4E" w:rsidRDefault="001E1702" w:rsidP="00AD6BCE">
      <w:pPr>
        <w:widowControl w:val="0"/>
        <w:spacing w:after="120" w:line="340" w:lineRule="exact"/>
        <w:jc w:val="both"/>
        <w:rPr>
          <w:i/>
          <w:lang w:val="nl-NL"/>
        </w:rPr>
      </w:pPr>
      <w:r w:rsidRPr="005632C1">
        <w:rPr>
          <w:i/>
          <w:lang w:val="nl-NL"/>
        </w:rPr>
        <w:tab/>
        <w:t xml:space="preserve">b) </w:t>
      </w:r>
      <w:r>
        <w:rPr>
          <w:i/>
          <w:lang w:val="nl-NL"/>
        </w:rPr>
        <w:t>D</w:t>
      </w:r>
      <w:r w:rsidRPr="005632C1">
        <w:rPr>
          <w:i/>
          <w:lang w:val="nl-NL"/>
        </w:rPr>
        <w:t>oanh thu</w:t>
      </w:r>
      <w:r>
        <w:rPr>
          <w:i/>
          <w:lang w:val="nl-NL"/>
        </w:rPr>
        <w:t xml:space="preserve"> sau khi trả thưởng cho người chơi</w:t>
      </w:r>
    </w:p>
    <w:p w:rsidR="001E1702" w:rsidRPr="003438E0" w:rsidRDefault="001E1702" w:rsidP="00AD6BCE">
      <w:pPr>
        <w:widowControl w:val="0"/>
        <w:spacing w:after="120" w:line="340" w:lineRule="exact"/>
        <w:jc w:val="both"/>
      </w:pPr>
      <w:r>
        <w:rPr>
          <w:lang w:val="nl-NL"/>
        </w:rPr>
        <w:tab/>
      </w:r>
      <w:r w:rsidRPr="00A97C0F">
        <w:rPr>
          <w:spacing w:val="-4"/>
          <w:lang w:val="nl-NL"/>
        </w:rPr>
        <w:t xml:space="preserve">- </w:t>
      </w:r>
      <w:r>
        <w:rPr>
          <w:spacing w:val="-4"/>
          <w:lang w:val="nl-NL"/>
        </w:rPr>
        <w:t>Giả định tỷ lệ</w:t>
      </w:r>
      <w:r w:rsidRPr="00A97C0F">
        <w:rPr>
          <w:spacing w:val="-4"/>
          <w:lang w:val="nl-NL"/>
        </w:rPr>
        <w:t xml:space="preserve"> trả thưởng</w:t>
      </w:r>
      <w:r>
        <w:rPr>
          <w:spacing w:val="-4"/>
          <w:lang w:val="nl-NL"/>
        </w:rPr>
        <w:t xml:space="preserve"> thực tế kinh doanh</w:t>
      </w:r>
      <w:r w:rsidRPr="00A97C0F">
        <w:rPr>
          <w:spacing w:val="-4"/>
          <w:lang w:val="nl-NL"/>
        </w:rPr>
        <w:t xml:space="preserve">: </w:t>
      </w:r>
      <w:r w:rsidRPr="00A97C0F">
        <w:rPr>
          <w:bCs/>
          <w:iCs/>
          <w:spacing w:val="-4"/>
          <w:lang w:val="nl-NL"/>
        </w:rPr>
        <w:t>65% doanh thu bán vé đặt cược (</w:t>
      </w:r>
      <w:r>
        <w:rPr>
          <w:bCs/>
          <w:iCs/>
          <w:spacing w:val="-4"/>
          <w:lang w:val="nl-NL"/>
        </w:rPr>
        <w:t xml:space="preserve">bằng tỷ lệ trả thưởng kế hoạch do doanh nghiệp xây dựng theo </w:t>
      </w:r>
      <w:r w:rsidRPr="00A97C0F">
        <w:rPr>
          <w:bCs/>
          <w:iCs/>
          <w:spacing w:val="-4"/>
          <w:lang w:val="nl-NL"/>
        </w:rPr>
        <w:t xml:space="preserve">quy định tại Điều 10, Điều 11 </w:t>
      </w:r>
      <w:r w:rsidR="00072064">
        <w:rPr>
          <w:bCs/>
          <w:iCs/>
          <w:spacing w:val="-4"/>
          <w:lang w:val="nl-NL"/>
        </w:rPr>
        <w:t xml:space="preserve">dự thảo </w:t>
      </w:r>
      <w:r w:rsidRPr="00A97C0F">
        <w:rPr>
          <w:bCs/>
          <w:iCs/>
          <w:spacing w:val="-4"/>
          <w:lang w:val="nl-NL"/>
        </w:rPr>
        <w:t>Nghị định</w:t>
      </w:r>
      <w:r w:rsidRPr="005632C1">
        <w:t xml:space="preserve">). Chi phí trả trưởng là </w:t>
      </w:r>
      <w:r w:rsidR="00072064">
        <w:t>4.225</w:t>
      </w:r>
      <w:r w:rsidRPr="005632C1">
        <w:t xml:space="preserve"> tỷ đồng (= </w:t>
      </w:r>
      <w:r w:rsidR="00072064">
        <w:t>6.500</w:t>
      </w:r>
      <w:r w:rsidRPr="005632C1">
        <w:t xml:space="preserve"> * 65%).  </w:t>
      </w:r>
    </w:p>
    <w:p w:rsidR="001E1702" w:rsidRDefault="001E1702" w:rsidP="00AD6BCE">
      <w:pPr>
        <w:widowControl w:val="0"/>
        <w:spacing w:after="120" w:line="340" w:lineRule="exact"/>
        <w:jc w:val="both"/>
      </w:pPr>
      <w:r w:rsidRPr="005632C1">
        <w:tab/>
        <w:t xml:space="preserve">- Doanh thu </w:t>
      </w:r>
      <w:r>
        <w:t>sau khi trả thưởng cho người chơi để tính thuế</w:t>
      </w:r>
      <w:r w:rsidRPr="005632C1">
        <w:t xml:space="preserve"> </w:t>
      </w:r>
      <w:r>
        <w:t xml:space="preserve">trong năm đầu </w:t>
      </w:r>
      <w:r>
        <w:lastRenderedPageBreak/>
        <w:t xml:space="preserve">tiên kinh doanh </w:t>
      </w:r>
      <w:r w:rsidRPr="005632C1">
        <w:t xml:space="preserve">là: </w:t>
      </w:r>
      <w:r w:rsidR="00C20C82">
        <w:t>2.275</w:t>
      </w:r>
      <w:r w:rsidRPr="005632C1">
        <w:t xml:space="preserve"> tỷ đồng (= </w:t>
      </w:r>
      <w:r w:rsidR="00C20C82">
        <w:t>6.500</w:t>
      </w:r>
      <w:r w:rsidRPr="005632C1">
        <w:t xml:space="preserve"> </w:t>
      </w:r>
      <w:r w:rsidR="00C20C82">
        <w:t>-</w:t>
      </w:r>
      <w:r w:rsidRPr="005632C1">
        <w:t xml:space="preserve"> </w:t>
      </w:r>
      <w:r w:rsidR="00C20C82">
        <w:t>4.225</w:t>
      </w:r>
      <w:r w:rsidRPr="005632C1">
        <w:t>)</w:t>
      </w:r>
      <w:r>
        <w:t xml:space="preserve">; bình quân trong </w:t>
      </w:r>
      <w:r w:rsidR="00B06865">
        <w:t>05</w:t>
      </w:r>
      <w:r>
        <w:t xml:space="preserve"> năm thí điểm kinh doanh là: </w:t>
      </w:r>
      <w:r w:rsidR="00B06865">
        <w:t>2.777,8</w:t>
      </w:r>
      <w:r>
        <w:t xml:space="preserve"> tỷ đồng; tổng cộng trong </w:t>
      </w:r>
      <w:r w:rsidR="00B06865">
        <w:t>05</w:t>
      </w:r>
      <w:r>
        <w:t xml:space="preserve"> năm là: </w:t>
      </w:r>
      <w:r w:rsidR="00B06865">
        <w:t>13.889,1</w:t>
      </w:r>
      <w:r>
        <w:t xml:space="preserve"> tỷ đồng. </w:t>
      </w:r>
    </w:p>
    <w:p w:rsidR="001E1702" w:rsidRPr="00744E3D" w:rsidRDefault="001E1702" w:rsidP="00AD6BCE">
      <w:pPr>
        <w:widowControl w:val="0"/>
        <w:spacing w:after="120" w:line="340" w:lineRule="exact"/>
        <w:jc w:val="both"/>
        <w:rPr>
          <w:spacing w:val="-2"/>
        </w:rPr>
      </w:pPr>
      <w:r>
        <w:tab/>
      </w:r>
      <w:r w:rsidRPr="005632C1">
        <w:rPr>
          <w:i/>
          <w:spacing w:val="-2"/>
        </w:rPr>
        <w:t>c) Các khoản giảm trừ doanh thu:</w:t>
      </w:r>
      <w:r w:rsidRPr="005632C1">
        <w:rPr>
          <w:spacing w:val="-2"/>
        </w:rPr>
        <w:t xml:space="preserve"> </w:t>
      </w:r>
      <w:r>
        <w:rPr>
          <w:spacing w:val="-2"/>
        </w:rPr>
        <w:t xml:space="preserve">trong năm đầu tiên </w:t>
      </w:r>
      <w:r w:rsidRPr="005632C1">
        <w:rPr>
          <w:spacing w:val="-2"/>
        </w:rPr>
        <w:t xml:space="preserve">là </w:t>
      </w:r>
      <w:r w:rsidR="00C20C82">
        <w:rPr>
          <w:spacing w:val="-2"/>
        </w:rPr>
        <w:t>684,1</w:t>
      </w:r>
      <w:r w:rsidRPr="005632C1">
        <w:rPr>
          <w:spacing w:val="-2"/>
        </w:rPr>
        <w:t xml:space="preserve"> tỷ đồng (=</w:t>
      </w:r>
      <w:r w:rsidR="00C20C82">
        <w:rPr>
          <w:spacing w:val="-2"/>
        </w:rPr>
        <w:t xml:space="preserve"> 477,3</w:t>
      </w:r>
      <w:r w:rsidRPr="005632C1">
        <w:rPr>
          <w:spacing w:val="-2"/>
        </w:rPr>
        <w:t xml:space="preserve"> + </w:t>
      </w:r>
      <w:r w:rsidR="00C20C82">
        <w:rPr>
          <w:spacing w:val="-2"/>
        </w:rPr>
        <w:t>206,8</w:t>
      </w:r>
      <w:r w:rsidRPr="005632C1">
        <w:rPr>
          <w:spacing w:val="-2"/>
        </w:rPr>
        <w:t>), gồm</w:t>
      </w:r>
      <w:r>
        <w:rPr>
          <w:spacing w:val="-2"/>
        </w:rPr>
        <w:t xml:space="preserve"> các khoản sau</w:t>
      </w:r>
      <w:r w:rsidRPr="005632C1">
        <w:rPr>
          <w:spacing w:val="-2"/>
        </w:rPr>
        <w:t xml:space="preserve">: </w:t>
      </w:r>
    </w:p>
    <w:p w:rsidR="001E1702" w:rsidRDefault="001E1702" w:rsidP="00AD6BCE">
      <w:pPr>
        <w:widowControl w:val="0"/>
        <w:spacing w:after="120" w:line="340" w:lineRule="exact"/>
        <w:jc w:val="both"/>
        <w:rPr>
          <w:i/>
          <w:lang w:val="nl-NL"/>
        </w:rPr>
      </w:pPr>
      <w:r>
        <w:tab/>
      </w:r>
      <w:r>
        <w:rPr>
          <w:spacing w:val="-6"/>
        </w:rPr>
        <w:t>-</w:t>
      </w:r>
      <w:r w:rsidRPr="005632C1">
        <w:rPr>
          <w:spacing w:val="-6"/>
        </w:rPr>
        <w:t xml:space="preserve"> Thuế GTGT phải nộp: </w:t>
      </w:r>
      <w:r w:rsidR="00C20C82">
        <w:rPr>
          <w:spacing w:val="-6"/>
          <w:lang w:val="nl-NL"/>
        </w:rPr>
        <w:t>206,8</w:t>
      </w:r>
      <w:r w:rsidRPr="005632C1">
        <w:rPr>
          <w:spacing w:val="-6"/>
          <w:lang w:val="nl-NL"/>
        </w:rPr>
        <w:t xml:space="preserve"> </w:t>
      </w:r>
      <w:r>
        <w:rPr>
          <w:spacing w:val="-6"/>
          <w:lang w:val="nl-NL"/>
        </w:rPr>
        <w:t xml:space="preserve">tỷ </w:t>
      </w:r>
      <w:r w:rsidRPr="005632C1">
        <w:rPr>
          <w:spacing w:val="-6"/>
          <w:lang w:val="nl-NL"/>
        </w:rPr>
        <w:t>đồng</w:t>
      </w:r>
      <w:r>
        <w:rPr>
          <w:spacing w:val="-6"/>
          <w:lang w:val="nl-NL"/>
        </w:rPr>
        <w:t>; được xác định cụ thể như sau:</w:t>
      </w:r>
    </w:p>
    <w:tbl>
      <w:tblPr>
        <w:tblW w:w="0" w:type="auto"/>
        <w:tblBorders>
          <w:insideH w:val="single" w:sz="4" w:space="0" w:color="auto"/>
        </w:tblBorders>
        <w:tblLook w:val="04A0"/>
      </w:tblPr>
      <w:tblGrid>
        <w:gridCol w:w="2152"/>
        <w:gridCol w:w="550"/>
        <w:gridCol w:w="2460"/>
        <w:gridCol w:w="811"/>
        <w:gridCol w:w="1218"/>
        <w:gridCol w:w="2273"/>
      </w:tblGrid>
      <w:tr w:rsidR="001E1702" w:rsidRPr="00C347E0" w:rsidTr="00C473C3">
        <w:tc>
          <w:tcPr>
            <w:tcW w:w="2152" w:type="dxa"/>
            <w:vMerge w:val="restart"/>
            <w:shd w:val="clear" w:color="auto" w:fill="auto"/>
            <w:vAlign w:val="center"/>
          </w:tcPr>
          <w:p w:rsidR="001E1702" w:rsidRDefault="001E1702" w:rsidP="00AD6BCE">
            <w:pPr>
              <w:widowControl w:val="0"/>
              <w:spacing w:after="120" w:line="340" w:lineRule="exact"/>
              <w:jc w:val="center"/>
              <w:rPr>
                <w:lang w:val="nl-NL"/>
              </w:rPr>
            </w:pPr>
            <w:r w:rsidRPr="00937B00">
              <w:t xml:space="preserve">Giá </w:t>
            </w:r>
            <w:r w:rsidRPr="00937B00">
              <w:rPr>
                <w:lang w:val="nl-NL"/>
              </w:rPr>
              <w:t>tính</w:t>
            </w:r>
            <w:r w:rsidRPr="00937B00">
              <w:t xml:space="preserve"> thuế </w:t>
            </w:r>
            <w:r w:rsidRPr="00937B00">
              <w:rPr>
                <w:lang w:val="nl-NL"/>
              </w:rPr>
              <w:t>GTGT</w:t>
            </w:r>
          </w:p>
        </w:tc>
        <w:tc>
          <w:tcPr>
            <w:tcW w:w="550" w:type="dxa"/>
            <w:vMerge w:val="restart"/>
            <w:shd w:val="clear" w:color="auto" w:fill="auto"/>
            <w:vAlign w:val="center"/>
          </w:tcPr>
          <w:p w:rsidR="001E1702" w:rsidRDefault="001E1702" w:rsidP="00AD6BCE">
            <w:pPr>
              <w:widowControl w:val="0"/>
              <w:spacing w:after="120" w:line="340" w:lineRule="exact"/>
              <w:jc w:val="center"/>
            </w:pPr>
            <w:r w:rsidRPr="00937B00">
              <w:t>=</w:t>
            </w:r>
          </w:p>
        </w:tc>
        <w:tc>
          <w:tcPr>
            <w:tcW w:w="2460" w:type="dxa"/>
            <w:shd w:val="clear" w:color="auto" w:fill="auto"/>
          </w:tcPr>
          <w:p w:rsidR="001E1702" w:rsidRDefault="001E1702" w:rsidP="00AD6BCE">
            <w:pPr>
              <w:widowControl w:val="0"/>
              <w:spacing w:after="120" w:line="340" w:lineRule="exact"/>
              <w:jc w:val="center"/>
            </w:pPr>
            <w:r w:rsidRPr="00937B00">
              <w:t>Số tiền thu được</w:t>
            </w:r>
          </w:p>
        </w:tc>
        <w:tc>
          <w:tcPr>
            <w:tcW w:w="811" w:type="dxa"/>
            <w:vMerge w:val="restart"/>
            <w:shd w:val="clear" w:color="auto" w:fill="auto"/>
            <w:vAlign w:val="center"/>
          </w:tcPr>
          <w:p w:rsidR="001E1702" w:rsidRDefault="001E1702" w:rsidP="00AD6BCE">
            <w:pPr>
              <w:widowControl w:val="0"/>
              <w:spacing w:after="120" w:line="340" w:lineRule="exact"/>
              <w:jc w:val="center"/>
            </w:pPr>
            <w:r w:rsidRPr="00937B00">
              <w:t>=</w:t>
            </w:r>
          </w:p>
        </w:tc>
        <w:tc>
          <w:tcPr>
            <w:tcW w:w="1218" w:type="dxa"/>
            <w:shd w:val="clear" w:color="auto" w:fill="auto"/>
            <w:vAlign w:val="center"/>
          </w:tcPr>
          <w:p w:rsidR="001E1702" w:rsidRDefault="00C20C82" w:rsidP="00AD6BCE">
            <w:pPr>
              <w:widowControl w:val="0"/>
              <w:spacing w:after="120" w:line="340" w:lineRule="exact"/>
              <w:jc w:val="center"/>
            </w:pPr>
            <w:r>
              <w:t>2.275</w:t>
            </w:r>
          </w:p>
        </w:tc>
        <w:tc>
          <w:tcPr>
            <w:tcW w:w="2273" w:type="dxa"/>
            <w:vMerge w:val="restart"/>
            <w:shd w:val="clear" w:color="auto" w:fill="auto"/>
            <w:vAlign w:val="center"/>
          </w:tcPr>
          <w:p w:rsidR="001E1702" w:rsidRDefault="001E1702" w:rsidP="00AD6BCE">
            <w:pPr>
              <w:widowControl w:val="0"/>
              <w:spacing w:after="120" w:line="340" w:lineRule="exact"/>
              <w:jc w:val="center"/>
            </w:pPr>
            <w:r w:rsidRPr="00937B00">
              <w:t>=</w:t>
            </w:r>
            <w:r>
              <w:t xml:space="preserve"> </w:t>
            </w:r>
            <w:r w:rsidR="00C20C82">
              <w:t>2.068</w:t>
            </w:r>
            <w:r>
              <w:t xml:space="preserve"> tỷ đồng </w:t>
            </w:r>
          </w:p>
        </w:tc>
      </w:tr>
      <w:tr w:rsidR="001E1702" w:rsidRPr="00C347E0" w:rsidTr="00C473C3">
        <w:tc>
          <w:tcPr>
            <w:tcW w:w="2152" w:type="dxa"/>
            <w:vMerge/>
            <w:shd w:val="clear" w:color="auto" w:fill="auto"/>
          </w:tcPr>
          <w:p w:rsidR="001E1702" w:rsidRDefault="001E1702" w:rsidP="00AD6BCE">
            <w:pPr>
              <w:widowControl w:val="0"/>
              <w:spacing w:after="120" w:line="340" w:lineRule="exact"/>
              <w:jc w:val="both"/>
            </w:pPr>
          </w:p>
        </w:tc>
        <w:tc>
          <w:tcPr>
            <w:tcW w:w="550" w:type="dxa"/>
            <w:vMerge/>
            <w:shd w:val="clear" w:color="auto" w:fill="auto"/>
          </w:tcPr>
          <w:p w:rsidR="001E1702" w:rsidRDefault="001E1702" w:rsidP="00AD6BCE">
            <w:pPr>
              <w:widowControl w:val="0"/>
              <w:spacing w:after="120" w:line="340" w:lineRule="exact"/>
              <w:jc w:val="both"/>
            </w:pPr>
          </w:p>
        </w:tc>
        <w:tc>
          <w:tcPr>
            <w:tcW w:w="2460" w:type="dxa"/>
            <w:shd w:val="clear" w:color="auto" w:fill="auto"/>
          </w:tcPr>
          <w:p w:rsidR="001E1702" w:rsidRDefault="001E1702" w:rsidP="00AD6BCE">
            <w:pPr>
              <w:widowControl w:val="0"/>
              <w:spacing w:after="120" w:line="340" w:lineRule="exact"/>
              <w:ind w:right="-157"/>
              <w:jc w:val="both"/>
            </w:pPr>
            <w:r w:rsidRPr="00937B00">
              <w:t>1 + thuế suất GTGT</w:t>
            </w:r>
          </w:p>
        </w:tc>
        <w:tc>
          <w:tcPr>
            <w:tcW w:w="811" w:type="dxa"/>
            <w:vMerge/>
            <w:shd w:val="clear" w:color="auto" w:fill="auto"/>
            <w:vAlign w:val="center"/>
          </w:tcPr>
          <w:p w:rsidR="001E1702" w:rsidRDefault="001E1702" w:rsidP="00AD6BCE">
            <w:pPr>
              <w:widowControl w:val="0"/>
              <w:spacing w:after="120" w:line="340" w:lineRule="exact"/>
              <w:jc w:val="center"/>
            </w:pPr>
          </w:p>
        </w:tc>
        <w:tc>
          <w:tcPr>
            <w:tcW w:w="1218" w:type="dxa"/>
            <w:shd w:val="clear" w:color="auto" w:fill="auto"/>
            <w:vAlign w:val="center"/>
          </w:tcPr>
          <w:p w:rsidR="001E1702" w:rsidRDefault="001E1702" w:rsidP="00AD6BCE">
            <w:pPr>
              <w:widowControl w:val="0"/>
              <w:spacing w:after="120" w:line="340" w:lineRule="exact"/>
              <w:jc w:val="center"/>
            </w:pPr>
            <w:r w:rsidRPr="00937B00">
              <w:t>1 + 10%</w:t>
            </w:r>
          </w:p>
        </w:tc>
        <w:tc>
          <w:tcPr>
            <w:tcW w:w="2273" w:type="dxa"/>
            <w:vMerge/>
            <w:shd w:val="clear" w:color="auto" w:fill="auto"/>
            <w:vAlign w:val="center"/>
          </w:tcPr>
          <w:p w:rsidR="001E1702" w:rsidRDefault="001E1702" w:rsidP="00AD6BCE">
            <w:pPr>
              <w:widowControl w:val="0"/>
              <w:spacing w:after="120" w:line="340" w:lineRule="exact"/>
              <w:jc w:val="center"/>
            </w:pPr>
          </w:p>
        </w:tc>
      </w:tr>
    </w:tbl>
    <w:p w:rsidR="001E1702" w:rsidRDefault="001E1702" w:rsidP="00AD6BCE">
      <w:pPr>
        <w:widowControl w:val="0"/>
        <w:spacing w:after="120" w:line="340" w:lineRule="exact"/>
        <w:rPr>
          <w:vanish/>
        </w:rPr>
      </w:pPr>
    </w:p>
    <w:tbl>
      <w:tblPr>
        <w:tblW w:w="9839" w:type="dxa"/>
        <w:tblInd w:w="108" w:type="dxa"/>
        <w:tblLook w:val="04A0"/>
      </w:tblPr>
      <w:tblGrid>
        <w:gridCol w:w="1753"/>
        <w:gridCol w:w="378"/>
        <w:gridCol w:w="1844"/>
        <w:gridCol w:w="983"/>
        <w:gridCol w:w="378"/>
        <w:gridCol w:w="2188"/>
        <w:gridCol w:w="433"/>
        <w:gridCol w:w="1882"/>
      </w:tblGrid>
      <w:tr w:rsidR="001E1702" w:rsidRPr="00C347E0" w:rsidTr="00C473C3">
        <w:trPr>
          <w:trHeight w:val="461"/>
        </w:trPr>
        <w:tc>
          <w:tcPr>
            <w:tcW w:w="1753" w:type="dxa"/>
            <w:vMerge w:val="restart"/>
            <w:shd w:val="clear" w:color="auto" w:fill="auto"/>
            <w:vAlign w:val="center"/>
          </w:tcPr>
          <w:p w:rsidR="001E1702" w:rsidRDefault="001E1702" w:rsidP="00AD6BCE">
            <w:pPr>
              <w:widowControl w:val="0"/>
              <w:spacing w:after="120" w:line="340" w:lineRule="exact"/>
              <w:jc w:val="center"/>
              <w:rPr>
                <w:lang w:val="nl-NL"/>
              </w:rPr>
            </w:pPr>
            <w:r w:rsidRPr="00937B00">
              <w:rPr>
                <w:lang w:val="nl-NL"/>
              </w:rPr>
              <w:t>Thuế GTGT phải nộp</w:t>
            </w:r>
          </w:p>
        </w:tc>
        <w:tc>
          <w:tcPr>
            <w:tcW w:w="378" w:type="dxa"/>
            <w:vMerge w:val="restart"/>
            <w:shd w:val="clear" w:color="auto" w:fill="auto"/>
            <w:vAlign w:val="center"/>
          </w:tcPr>
          <w:p w:rsidR="001E1702" w:rsidRDefault="001E1702" w:rsidP="00AD6BCE">
            <w:pPr>
              <w:widowControl w:val="0"/>
              <w:spacing w:after="120" w:line="340" w:lineRule="exact"/>
              <w:jc w:val="center"/>
              <w:rPr>
                <w:lang w:val="nl-NL"/>
              </w:rPr>
            </w:pPr>
            <w:r w:rsidRPr="00937B00">
              <w:rPr>
                <w:lang w:val="nl-NL"/>
              </w:rPr>
              <w:t>=</w:t>
            </w:r>
          </w:p>
        </w:tc>
        <w:tc>
          <w:tcPr>
            <w:tcW w:w="1844" w:type="dxa"/>
            <w:vMerge w:val="restart"/>
            <w:shd w:val="clear" w:color="auto" w:fill="auto"/>
            <w:vAlign w:val="center"/>
          </w:tcPr>
          <w:p w:rsidR="001E1702" w:rsidRDefault="001E1702" w:rsidP="00AD6BCE">
            <w:pPr>
              <w:widowControl w:val="0"/>
              <w:spacing w:after="120" w:line="340" w:lineRule="exact"/>
              <w:jc w:val="center"/>
              <w:rPr>
                <w:lang w:val="nl-NL"/>
              </w:rPr>
            </w:pPr>
            <w:r w:rsidRPr="00937B00">
              <w:rPr>
                <w:lang w:val="nl-NL"/>
              </w:rPr>
              <w:t>Giá tính</w:t>
            </w:r>
            <w:r w:rsidRPr="00937B00">
              <w:t xml:space="preserve"> thuế </w:t>
            </w:r>
            <w:r w:rsidRPr="00937B00">
              <w:rPr>
                <w:lang w:val="nl-NL"/>
              </w:rPr>
              <w:t>GTGT</w:t>
            </w:r>
          </w:p>
        </w:tc>
        <w:tc>
          <w:tcPr>
            <w:tcW w:w="983" w:type="dxa"/>
            <w:vMerge w:val="restart"/>
            <w:shd w:val="clear" w:color="auto" w:fill="auto"/>
            <w:vAlign w:val="center"/>
          </w:tcPr>
          <w:p w:rsidR="001E1702" w:rsidRDefault="001E1702" w:rsidP="00AD6BCE">
            <w:pPr>
              <w:widowControl w:val="0"/>
              <w:spacing w:after="120" w:line="340" w:lineRule="exact"/>
              <w:jc w:val="center"/>
              <w:rPr>
                <w:lang w:val="nl-NL"/>
              </w:rPr>
            </w:pPr>
            <w:r w:rsidRPr="00937B00">
              <w:rPr>
                <w:lang w:val="nl-NL"/>
              </w:rPr>
              <w:t>x 10%</w:t>
            </w:r>
          </w:p>
        </w:tc>
        <w:tc>
          <w:tcPr>
            <w:tcW w:w="378" w:type="dxa"/>
            <w:vMerge w:val="restart"/>
            <w:shd w:val="clear" w:color="auto" w:fill="auto"/>
            <w:vAlign w:val="center"/>
          </w:tcPr>
          <w:p w:rsidR="001E1702" w:rsidRDefault="001E1702" w:rsidP="00AD6BCE">
            <w:pPr>
              <w:widowControl w:val="0"/>
              <w:spacing w:after="120" w:line="340" w:lineRule="exact"/>
              <w:jc w:val="center"/>
              <w:rPr>
                <w:lang w:val="nl-NL"/>
              </w:rPr>
            </w:pPr>
            <w:r w:rsidRPr="00937B00">
              <w:rPr>
                <w:lang w:val="nl-NL"/>
              </w:rPr>
              <w:t>=</w:t>
            </w:r>
          </w:p>
        </w:tc>
        <w:tc>
          <w:tcPr>
            <w:tcW w:w="2188" w:type="dxa"/>
            <w:vMerge w:val="restart"/>
            <w:shd w:val="clear" w:color="auto" w:fill="auto"/>
            <w:vAlign w:val="center"/>
          </w:tcPr>
          <w:p w:rsidR="001E1702" w:rsidRDefault="00C20C82" w:rsidP="00AD6BCE">
            <w:pPr>
              <w:widowControl w:val="0"/>
              <w:spacing w:after="120" w:line="340" w:lineRule="exact"/>
              <w:rPr>
                <w:lang w:val="nl-NL"/>
              </w:rPr>
            </w:pPr>
            <w:r>
              <w:rPr>
                <w:lang w:val="nl-NL"/>
              </w:rPr>
              <w:t>2.068</w:t>
            </w:r>
            <w:r w:rsidR="001E1702">
              <w:rPr>
                <w:lang w:val="nl-NL"/>
              </w:rPr>
              <w:t xml:space="preserve">  </w:t>
            </w:r>
            <w:r w:rsidR="001E1702" w:rsidRPr="00937B00">
              <w:rPr>
                <w:lang w:val="nl-NL"/>
              </w:rPr>
              <w:t>x 10%</w:t>
            </w:r>
          </w:p>
        </w:tc>
        <w:tc>
          <w:tcPr>
            <w:tcW w:w="433" w:type="dxa"/>
            <w:vMerge w:val="restart"/>
            <w:shd w:val="clear" w:color="auto" w:fill="auto"/>
            <w:vAlign w:val="center"/>
          </w:tcPr>
          <w:p w:rsidR="001E1702" w:rsidRDefault="001E1702" w:rsidP="00AD6BCE">
            <w:pPr>
              <w:widowControl w:val="0"/>
              <w:spacing w:after="120" w:line="340" w:lineRule="exact"/>
              <w:jc w:val="center"/>
              <w:rPr>
                <w:lang w:val="nl-NL"/>
              </w:rPr>
            </w:pPr>
            <w:r w:rsidRPr="00937B00">
              <w:rPr>
                <w:lang w:val="nl-NL"/>
              </w:rPr>
              <w:t>=</w:t>
            </w:r>
          </w:p>
        </w:tc>
        <w:tc>
          <w:tcPr>
            <w:tcW w:w="1882" w:type="dxa"/>
            <w:vMerge w:val="restart"/>
            <w:shd w:val="clear" w:color="auto" w:fill="auto"/>
            <w:vAlign w:val="center"/>
          </w:tcPr>
          <w:p w:rsidR="001E1702" w:rsidRDefault="00C20C82" w:rsidP="00AD6BCE">
            <w:pPr>
              <w:widowControl w:val="0"/>
              <w:spacing w:after="120" w:line="340" w:lineRule="exact"/>
              <w:rPr>
                <w:lang w:val="nl-NL"/>
              </w:rPr>
            </w:pPr>
            <w:r>
              <w:rPr>
                <w:lang w:val="nl-NL"/>
              </w:rPr>
              <w:t>206,8</w:t>
            </w:r>
            <w:r w:rsidR="001E1702" w:rsidRPr="00937B00">
              <w:rPr>
                <w:lang w:val="nl-NL"/>
              </w:rPr>
              <w:t xml:space="preserve"> </w:t>
            </w:r>
            <w:r w:rsidR="001E1702">
              <w:rPr>
                <w:lang w:val="nl-NL"/>
              </w:rPr>
              <w:t xml:space="preserve">tỷ </w:t>
            </w:r>
            <w:r w:rsidR="001E1702" w:rsidRPr="00937B00">
              <w:rPr>
                <w:lang w:val="nl-NL"/>
              </w:rPr>
              <w:t>đồng</w:t>
            </w:r>
          </w:p>
        </w:tc>
      </w:tr>
      <w:tr w:rsidR="001E1702" w:rsidRPr="00C347E0" w:rsidTr="00C473C3">
        <w:trPr>
          <w:trHeight w:val="520"/>
        </w:trPr>
        <w:tc>
          <w:tcPr>
            <w:tcW w:w="1753" w:type="dxa"/>
            <w:vMerge/>
            <w:shd w:val="clear" w:color="auto" w:fill="auto"/>
          </w:tcPr>
          <w:p w:rsidR="001E1702" w:rsidRDefault="001E1702" w:rsidP="00AD6BCE">
            <w:pPr>
              <w:widowControl w:val="0"/>
              <w:spacing w:after="120" w:line="340" w:lineRule="exact"/>
              <w:jc w:val="both"/>
              <w:rPr>
                <w:lang w:val="nl-NL"/>
              </w:rPr>
            </w:pPr>
          </w:p>
        </w:tc>
        <w:tc>
          <w:tcPr>
            <w:tcW w:w="378" w:type="dxa"/>
            <w:vMerge/>
            <w:shd w:val="clear" w:color="auto" w:fill="auto"/>
          </w:tcPr>
          <w:p w:rsidR="001E1702" w:rsidRDefault="001E1702" w:rsidP="00AD6BCE">
            <w:pPr>
              <w:widowControl w:val="0"/>
              <w:spacing w:after="120" w:line="340" w:lineRule="exact"/>
              <w:jc w:val="both"/>
              <w:rPr>
                <w:lang w:val="nl-NL"/>
              </w:rPr>
            </w:pPr>
          </w:p>
        </w:tc>
        <w:tc>
          <w:tcPr>
            <w:tcW w:w="1844" w:type="dxa"/>
            <w:vMerge/>
            <w:shd w:val="clear" w:color="auto" w:fill="auto"/>
          </w:tcPr>
          <w:p w:rsidR="001E1702" w:rsidRDefault="001E1702" w:rsidP="00AD6BCE">
            <w:pPr>
              <w:widowControl w:val="0"/>
              <w:spacing w:after="120" w:line="340" w:lineRule="exact"/>
              <w:jc w:val="both"/>
              <w:rPr>
                <w:lang w:val="nl-NL"/>
              </w:rPr>
            </w:pPr>
          </w:p>
        </w:tc>
        <w:tc>
          <w:tcPr>
            <w:tcW w:w="983" w:type="dxa"/>
            <w:vMerge/>
            <w:shd w:val="clear" w:color="auto" w:fill="auto"/>
          </w:tcPr>
          <w:p w:rsidR="001E1702" w:rsidRDefault="001E1702" w:rsidP="00AD6BCE">
            <w:pPr>
              <w:widowControl w:val="0"/>
              <w:spacing w:after="120" w:line="340" w:lineRule="exact"/>
              <w:jc w:val="both"/>
              <w:rPr>
                <w:lang w:val="nl-NL"/>
              </w:rPr>
            </w:pPr>
          </w:p>
        </w:tc>
        <w:tc>
          <w:tcPr>
            <w:tcW w:w="378" w:type="dxa"/>
            <w:vMerge/>
            <w:shd w:val="clear" w:color="auto" w:fill="auto"/>
          </w:tcPr>
          <w:p w:rsidR="001E1702" w:rsidRDefault="001E1702" w:rsidP="00AD6BCE">
            <w:pPr>
              <w:widowControl w:val="0"/>
              <w:spacing w:after="120" w:line="340" w:lineRule="exact"/>
              <w:jc w:val="both"/>
              <w:rPr>
                <w:lang w:val="nl-NL"/>
              </w:rPr>
            </w:pPr>
          </w:p>
        </w:tc>
        <w:tc>
          <w:tcPr>
            <w:tcW w:w="2188" w:type="dxa"/>
            <w:vMerge/>
            <w:shd w:val="clear" w:color="auto" w:fill="auto"/>
          </w:tcPr>
          <w:p w:rsidR="001E1702" w:rsidRDefault="001E1702" w:rsidP="00AD6BCE">
            <w:pPr>
              <w:widowControl w:val="0"/>
              <w:spacing w:after="120" w:line="340" w:lineRule="exact"/>
              <w:jc w:val="center"/>
              <w:rPr>
                <w:lang w:val="nl-NL"/>
              </w:rPr>
            </w:pPr>
          </w:p>
        </w:tc>
        <w:tc>
          <w:tcPr>
            <w:tcW w:w="433" w:type="dxa"/>
            <w:vMerge/>
            <w:shd w:val="clear" w:color="auto" w:fill="auto"/>
          </w:tcPr>
          <w:p w:rsidR="001E1702" w:rsidRDefault="001E1702" w:rsidP="00AD6BCE">
            <w:pPr>
              <w:widowControl w:val="0"/>
              <w:spacing w:after="120" w:line="340" w:lineRule="exact"/>
              <w:jc w:val="center"/>
              <w:rPr>
                <w:lang w:val="nl-NL"/>
              </w:rPr>
            </w:pPr>
          </w:p>
        </w:tc>
        <w:tc>
          <w:tcPr>
            <w:tcW w:w="1882" w:type="dxa"/>
            <w:vMerge/>
            <w:shd w:val="clear" w:color="auto" w:fill="auto"/>
          </w:tcPr>
          <w:p w:rsidR="001E1702" w:rsidRDefault="001E1702" w:rsidP="00AD6BCE">
            <w:pPr>
              <w:widowControl w:val="0"/>
              <w:spacing w:after="120" w:line="340" w:lineRule="exact"/>
              <w:jc w:val="center"/>
              <w:rPr>
                <w:lang w:val="nl-NL"/>
              </w:rPr>
            </w:pPr>
          </w:p>
        </w:tc>
      </w:tr>
    </w:tbl>
    <w:p w:rsidR="001E1702" w:rsidRPr="00485D89" w:rsidRDefault="001E1702" w:rsidP="00AD6BCE">
      <w:pPr>
        <w:widowControl w:val="0"/>
        <w:spacing w:after="120" w:line="340" w:lineRule="exact"/>
        <w:ind w:firstLine="720"/>
        <w:jc w:val="both"/>
        <w:rPr>
          <w:lang w:val="nl-NL"/>
        </w:rPr>
      </w:pPr>
      <w:r w:rsidRPr="00A97C0F">
        <w:rPr>
          <w:lang w:val="nl-NL"/>
        </w:rPr>
        <w:t>-</w:t>
      </w:r>
      <w:r w:rsidRPr="00485D89">
        <w:rPr>
          <w:lang w:val="nl-NL"/>
        </w:rPr>
        <w:t xml:space="preserve"> </w:t>
      </w:r>
      <w:r>
        <w:rPr>
          <w:lang w:val="nl-NL"/>
        </w:rPr>
        <w:t>T</w:t>
      </w:r>
      <w:r w:rsidRPr="00485D89">
        <w:rPr>
          <w:lang w:val="nl-NL"/>
        </w:rPr>
        <w:t>huế TTĐB phải nộp</w:t>
      </w:r>
      <w:r>
        <w:rPr>
          <w:lang w:val="nl-NL"/>
        </w:rPr>
        <w:t>:</w:t>
      </w:r>
      <w:r w:rsidRPr="00485D89">
        <w:rPr>
          <w:lang w:val="nl-NL"/>
        </w:rPr>
        <w:t xml:space="preserve"> </w:t>
      </w:r>
      <w:r w:rsidR="00C20C82">
        <w:rPr>
          <w:lang w:val="nl-NL"/>
        </w:rPr>
        <w:t>477,3</w:t>
      </w:r>
      <w:r>
        <w:rPr>
          <w:lang w:val="nl-NL"/>
        </w:rPr>
        <w:t xml:space="preserve"> tỷ đồng; </w:t>
      </w:r>
      <w:r w:rsidRPr="00A97C0F">
        <w:rPr>
          <w:lang w:val="nl-NL"/>
        </w:rPr>
        <w:t xml:space="preserve">được xác định </w:t>
      </w:r>
      <w:r w:rsidRPr="00485D89">
        <w:rPr>
          <w:lang w:val="nl-NL"/>
        </w:rPr>
        <w:t>như sau:</w:t>
      </w:r>
    </w:p>
    <w:tbl>
      <w:tblPr>
        <w:tblW w:w="10173" w:type="dxa"/>
        <w:tblBorders>
          <w:insideH w:val="single" w:sz="4" w:space="0" w:color="auto"/>
        </w:tblBorders>
        <w:tblLook w:val="04A0"/>
      </w:tblPr>
      <w:tblGrid>
        <w:gridCol w:w="1634"/>
        <w:gridCol w:w="462"/>
        <w:gridCol w:w="3503"/>
        <w:gridCol w:w="374"/>
        <w:gridCol w:w="2073"/>
        <w:gridCol w:w="2127"/>
      </w:tblGrid>
      <w:tr w:rsidR="001E1702" w:rsidRPr="00C347E0" w:rsidTr="00C473C3">
        <w:tc>
          <w:tcPr>
            <w:tcW w:w="1634" w:type="dxa"/>
            <w:vMerge w:val="restart"/>
            <w:shd w:val="clear" w:color="auto" w:fill="auto"/>
            <w:vAlign w:val="center"/>
          </w:tcPr>
          <w:p w:rsidR="001E1702" w:rsidRDefault="001E1702" w:rsidP="00AD6BCE">
            <w:pPr>
              <w:widowControl w:val="0"/>
              <w:spacing w:after="120" w:line="340" w:lineRule="exact"/>
              <w:jc w:val="center"/>
            </w:pPr>
            <w:r w:rsidRPr="00937B00">
              <w:t>Giá tính thuế TTĐB</w:t>
            </w:r>
          </w:p>
        </w:tc>
        <w:tc>
          <w:tcPr>
            <w:tcW w:w="462" w:type="dxa"/>
            <w:vMerge w:val="restart"/>
            <w:shd w:val="clear" w:color="auto" w:fill="auto"/>
            <w:vAlign w:val="center"/>
          </w:tcPr>
          <w:p w:rsidR="001E1702" w:rsidRDefault="001E1702" w:rsidP="00AD6BCE">
            <w:pPr>
              <w:widowControl w:val="0"/>
              <w:spacing w:after="120" w:line="340" w:lineRule="exact"/>
              <w:jc w:val="center"/>
            </w:pPr>
            <w:r w:rsidRPr="00937B00">
              <w:t>=</w:t>
            </w:r>
          </w:p>
        </w:tc>
        <w:tc>
          <w:tcPr>
            <w:tcW w:w="3503" w:type="dxa"/>
            <w:shd w:val="clear" w:color="auto" w:fill="auto"/>
          </w:tcPr>
          <w:p w:rsidR="001E1702" w:rsidRPr="00A97C0F" w:rsidRDefault="001E1702" w:rsidP="00AD6BCE">
            <w:pPr>
              <w:widowControl w:val="0"/>
              <w:spacing w:after="120" w:line="340" w:lineRule="exact"/>
              <w:jc w:val="center"/>
              <w:rPr>
                <w:spacing w:val="-12"/>
              </w:rPr>
            </w:pPr>
            <w:r w:rsidRPr="00A97C0F">
              <w:rPr>
                <w:color w:val="000000"/>
                <w:spacing w:val="-12"/>
                <w:lang w:val="nl-NL"/>
              </w:rPr>
              <w:t>Giá dịch vụ chưa có thuế GTGT</w:t>
            </w:r>
          </w:p>
        </w:tc>
        <w:tc>
          <w:tcPr>
            <w:tcW w:w="374" w:type="dxa"/>
            <w:vMerge w:val="restart"/>
            <w:shd w:val="clear" w:color="auto" w:fill="auto"/>
            <w:vAlign w:val="center"/>
          </w:tcPr>
          <w:p w:rsidR="001E1702" w:rsidRDefault="001E1702" w:rsidP="00AD6BCE">
            <w:pPr>
              <w:widowControl w:val="0"/>
              <w:spacing w:after="120" w:line="340" w:lineRule="exact"/>
              <w:jc w:val="center"/>
            </w:pPr>
            <w:r w:rsidRPr="00937B00">
              <w:t>=</w:t>
            </w:r>
          </w:p>
        </w:tc>
        <w:tc>
          <w:tcPr>
            <w:tcW w:w="2073" w:type="dxa"/>
            <w:shd w:val="clear" w:color="auto" w:fill="auto"/>
            <w:vAlign w:val="center"/>
          </w:tcPr>
          <w:p w:rsidR="001E1702" w:rsidRDefault="00C20C82" w:rsidP="00AD6BCE">
            <w:pPr>
              <w:widowControl w:val="0"/>
              <w:spacing w:after="120" w:line="340" w:lineRule="exact"/>
              <w:jc w:val="center"/>
            </w:pPr>
            <w:r>
              <w:t>2.275</w:t>
            </w:r>
            <w:r w:rsidR="001E1702">
              <w:t xml:space="preserve"> </w:t>
            </w:r>
            <w:r>
              <w:t>-</w:t>
            </w:r>
            <w:r w:rsidR="001E1702">
              <w:t xml:space="preserve"> </w:t>
            </w:r>
            <w:r>
              <w:t>206,8</w:t>
            </w:r>
          </w:p>
        </w:tc>
        <w:tc>
          <w:tcPr>
            <w:tcW w:w="2127" w:type="dxa"/>
            <w:vMerge w:val="restart"/>
            <w:shd w:val="clear" w:color="auto" w:fill="auto"/>
            <w:vAlign w:val="center"/>
          </w:tcPr>
          <w:p w:rsidR="001E1702" w:rsidRDefault="001E1702" w:rsidP="00AD6BCE">
            <w:pPr>
              <w:widowControl w:val="0"/>
              <w:spacing w:after="120" w:line="340" w:lineRule="exact"/>
              <w:ind w:right="-105"/>
              <w:jc w:val="center"/>
            </w:pPr>
            <w:r w:rsidRPr="00937B00">
              <w:t>=</w:t>
            </w:r>
            <w:r>
              <w:t xml:space="preserve"> </w:t>
            </w:r>
            <w:r w:rsidR="00C20C82">
              <w:t>1.590</w:t>
            </w:r>
            <w:r>
              <w:t xml:space="preserve"> tỷ đồng</w:t>
            </w:r>
          </w:p>
        </w:tc>
      </w:tr>
      <w:tr w:rsidR="001E1702" w:rsidRPr="00C347E0" w:rsidTr="00C473C3">
        <w:tc>
          <w:tcPr>
            <w:tcW w:w="1634" w:type="dxa"/>
            <w:vMerge/>
            <w:shd w:val="clear" w:color="auto" w:fill="auto"/>
          </w:tcPr>
          <w:p w:rsidR="001E1702" w:rsidRDefault="001E1702" w:rsidP="00AD6BCE">
            <w:pPr>
              <w:widowControl w:val="0"/>
              <w:spacing w:after="120" w:line="340" w:lineRule="exact"/>
              <w:jc w:val="both"/>
            </w:pPr>
          </w:p>
        </w:tc>
        <w:tc>
          <w:tcPr>
            <w:tcW w:w="462" w:type="dxa"/>
            <w:vMerge/>
            <w:shd w:val="clear" w:color="auto" w:fill="auto"/>
          </w:tcPr>
          <w:p w:rsidR="001E1702" w:rsidRDefault="001E1702" w:rsidP="00AD6BCE">
            <w:pPr>
              <w:widowControl w:val="0"/>
              <w:spacing w:after="120" w:line="340" w:lineRule="exact"/>
              <w:jc w:val="both"/>
            </w:pPr>
          </w:p>
        </w:tc>
        <w:tc>
          <w:tcPr>
            <w:tcW w:w="3503" w:type="dxa"/>
            <w:shd w:val="clear" w:color="auto" w:fill="auto"/>
          </w:tcPr>
          <w:p w:rsidR="001E1702" w:rsidRDefault="001E1702" w:rsidP="00AD6BCE">
            <w:pPr>
              <w:widowControl w:val="0"/>
              <w:spacing w:after="120" w:line="340" w:lineRule="exact"/>
              <w:jc w:val="center"/>
            </w:pPr>
            <w:r w:rsidRPr="00937B00">
              <w:t>1 + thuế suất thuế TTĐB</w:t>
            </w:r>
          </w:p>
        </w:tc>
        <w:tc>
          <w:tcPr>
            <w:tcW w:w="374" w:type="dxa"/>
            <w:vMerge/>
            <w:shd w:val="clear" w:color="auto" w:fill="auto"/>
            <w:vAlign w:val="center"/>
          </w:tcPr>
          <w:p w:rsidR="001E1702" w:rsidRDefault="001E1702" w:rsidP="00AD6BCE">
            <w:pPr>
              <w:widowControl w:val="0"/>
              <w:spacing w:after="120" w:line="340" w:lineRule="exact"/>
              <w:jc w:val="center"/>
            </w:pPr>
          </w:p>
        </w:tc>
        <w:tc>
          <w:tcPr>
            <w:tcW w:w="2073" w:type="dxa"/>
            <w:shd w:val="clear" w:color="auto" w:fill="auto"/>
            <w:vAlign w:val="center"/>
          </w:tcPr>
          <w:p w:rsidR="001E1702" w:rsidRDefault="001E1702" w:rsidP="00AD6BCE">
            <w:pPr>
              <w:widowControl w:val="0"/>
              <w:spacing w:after="120" w:line="340" w:lineRule="exact"/>
              <w:jc w:val="center"/>
            </w:pPr>
            <w:r w:rsidRPr="00937B00">
              <w:t>(1 + 30%)</w:t>
            </w:r>
          </w:p>
        </w:tc>
        <w:tc>
          <w:tcPr>
            <w:tcW w:w="2127" w:type="dxa"/>
            <w:vMerge/>
            <w:shd w:val="clear" w:color="auto" w:fill="auto"/>
            <w:vAlign w:val="center"/>
          </w:tcPr>
          <w:p w:rsidR="001E1702" w:rsidRDefault="001E1702" w:rsidP="00AD6BCE">
            <w:pPr>
              <w:widowControl w:val="0"/>
              <w:spacing w:after="120" w:line="340" w:lineRule="exact"/>
              <w:jc w:val="center"/>
            </w:pPr>
          </w:p>
        </w:tc>
      </w:tr>
    </w:tbl>
    <w:p w:rsidR="001E1702" w:rsidRDefault="001E1702" w:rsidP="00AD6BCE">
      <w:pPr>
        <w:widowControl w:val="0"/>
        <w:spacing w:after="120" w:line="340" w:lineRule="exact"/>
        <w:rPr>
          <w:vanish/>
        </w:rPr>
      </w:pPr>
    </w:p>
    <w:tbl>
      <w:tblPr>
        <w:tblW w:w="9624" w:type="dxa"/>
        <w:tblInd w:w="-18" w:type="dxa"/>
        <w:tblLayout w:type="fixed"/>
        <w:tblLook w:val="04A0"/>
      </w:tblPr>
      <w:tblGrid>
        <w:gridCol w:w="1596"/>
        <w:gridCol w:w="532"/>
        <w:gridCol w:w="1526"/>
        <w:gridCol w:w="980"/>
        <w:gridCol w:w="476"/>
        <w:gridCol w:w="2104"/>
        <w:gridCol w:w="2410"/>
      </w:tblGrid>
      <w:tr w:rsidR="001E1702" w:rsidRPr="00C347E0" w:rsidTr="00C473C3">
        <w:trPr>
          <w:trHeight w:val="460"/>
        </w:trPr>
        <w:tc>
          <w:tcPr>
            <w:tcW w:w="1596" w:type="dxa"/>
            <w:shd w:val="clear" w:color="auto" w:fill="auto"/>
            <w:vAlign w:val="center"/>
          </w:tcPr>
          <w:p w:rsidR="001E1702" w:rsidRDefault="001E1702" w:rsidP="00AD6BCE">
            <w:pPr>
              <w:widowControl w:val="0"/>
              <w:spacing w:after="120" w:line="340" w:lineRule="exact"/>
              <w:jc w:val="center"/>
              <w:rPr>
                <w:lang w:val="nl-NL"/>
              </w:rPr>
            </w:pPr>
            <w:r w:rsidRPr="00937B00">
              <w:rPr>
                <w:lang w:val="nl-NL"/>
              </w:rPr>
              <w:t>Thuế TTĐB phải nộp</w:t>
            </w:r>
          </w:p>
        </w:tc>
        <w:tc>
          <w:tcPr>
            <w:tcW w:w="532" w:type="dxa"/>
            <w:shd w:val="clear" w:color="auto" w:fill="auto"/>
            <w:vAlign w:val="center"/>
          </w:tcPr>
          <w:p w:rsidR="001E1702" w:rsidRDefault="001E1702" w:rsidP="00AD6BCE">
            <w:pPr>
              <w:widowControl w:val="0"/>
              <w:spacing w:after="120" w:line="340" w:lineRule="exact"/>
              <w:jc w:val="center"/>
              <w:rPr>
                <w:lang w:val="nl-NL"/>
              </w:rPr>
            </w:pPr>
            <w:r w:rsidRPr="00937B00">
              <w:rPr>
                <w:lang w:val="nl-NL"/>
              </w:rPr>
              <w:t>=</w:t>
            </w:r>
          </w:p>
        </w:tc>
        <w:tc>
          <w:tcPr>
            <w:tcW w:w="1526" w:type="dxa"/>
            <w:shd w:val="clear" w:color="auto" w:fill="auto"/>
            <w:vAlign w:val="center"/>
          </w:tcPr>
          <w:p w:rsidR="001E1702" w:rsidRDefault="001E1702" w:rsidP="00AD6BCE">
            <w:pPr>
              <w:widowControl w:val="0"/>
              <w:spacing w:after="120" w:line="340" w:lineRule="exact"/>
              <w:jc w:val="center"/>
              <w:rPr>
                <w:lang w:val="nl-NL"/>
              </w:rPr>
            </w:pPr>
            <w:r w:rsidRPr="00937B00">
              <w:rPr>
                <w:lang w:val="nl-NL"/>
              </w:rPr>
              <w:t>Giá tính thuế TTĐB</w:t>
            </w:r>
          </w:p>
        </w:tc>
        <w:tc>
          <w:tcPr>
            <w:tcW w:w="980" w:type="dxa"/>
            <w:shd w:val="clear" w:color="auto" w:fill="auto"/>
            <w:vAlign w:val="center"/>
          </w:tcPr>
          <w:p w:rsidR="001E1702" w:rsidRDefault="001E1702" w:rsidP="00AD6BCE">
            <w:pPr>
              <w:widowControl w:val="0"/>
              <w:spacing w:after="120" w:line="340" w:lineRule="exact"/>
              <w:jc w:val="center"/>
              <w:rPr>
                <w:lang w:val="nl-NL"/>
              </w:rPr>
            </w:pPr>
            <w:r w:rsidRPr="00937B00">
              <w:rPr>
                <w:lang w:val="nl-NL"/>
              </w:rPr>
              <w:t>x 30%</w:t>
            </w:r>
          </w:p>
        </w:tc>
        <w:tc>
          <w:tcPr>
            <w:tcW w:w="476" w:type="dxa"/>
            <w:shd w:val="clear" w:color="auto" w:fill="auto"/>
            <w:vAlign w:val="center"/>
          </w:tcPr>
          <w:p w:rsidR="001E1702" w:rsidRDefault="001E1702" w:rsidP="00AD6BCE">
            <w:pPr>
              <w:widowControl w:val="0"/>
              <w:spacing w:after="120" w:line="340" w:lineRule="exact"/>
              <w:jc w:val="center"/>
              <w:rPr>
                <w:lang w:val="nl-NL"/>
              </w:rPr>
            </w:pPr>
            <w:r w:rsidRPr="00937B00">
              <w:rPr>
                <w:lang w:val="nl-NL"/>
              </w:rPr>
              <w:t>=</w:t>
            </w:r>
          </w:p>
        </w:tc>
        <w:tc>
          <w:tcPr>
            <w:tcW w:w="2104" w:type="dxa"/>
            <w:shd w:val="clear" w:color="auto" w:fill="auto"/>
            <w:vAlign w:val="center"/>
          </w:tcPr>
          <w:p w:rsidR="001E1702" w:rsidRDefault="00C20C82" w:rsidP="00AD6BCE">
            <w:pPr>
              <w:widowControl w:val="0"/>
              <w:spacing w:after="120" w:line="340" w:lineRule="exact"/>
              <w:ind w:right="-108"/>
              <w:jc w:val="center"/>
              <w:rPr>
                <w:lang w:val="nl-NL"/>
              </w:rPr>
            </w:pPr>
            <w:r>
              <w:rPr>
                <w:lang w:val="nl-NL"/>
              </w:rPr>
              <w:t>1.590</w:t>
            </w:r>
            <w:r w:rsidR="001E1702">
              <w:rPr>
                <w:lang w:val="nl-NL"/>
              </w:rPr>
              <w:t xml:space="preserve"> </w:t>
            </w:r>
            <w:r w:rsidR="001E1702" w:rsidRPr="00937B00">
              <w:rPr>
                <w:lang w:val="nl-NL"/>
              </w:rPr>
              <w:t>x</w:t>
            </w:r>
            <w:r w:rsidR="001E1702">
              <w:rPr>
                <w:lang w:val="nl-NL"/>
              </w:rPr>
              <w:t xml:space="preserve"> 30%  </w:t>
            </w:r>
          </w:p>
        </w:tc>
        <w:tc>
          <w:tcPr>
            <w:tcW w:w="2410" w:type="dxa"/>
            <w:shd w:val="clear" w:color="auto" w:fill="auto"/>
            <w:vAlign w:val="center"/>
          </w:tcPr>
          <w:p w:rsidR="001E1702" w:rsidRDefault="001E1702" w:rsidP="00AD6BCE">
            <w:pPr>
              <w:widowControl w:val="0"/>
              <w:spacing w:after="120" w:line="340" w:lineRule="exact"/>
              <w:ind w:left="-108"/>
              <w:jc w:val="center"/>
              <w:rPr>
                <w:lang w:val="nl-NL"/>
              </w:rPr>
            </w:pPr>
            <w:r>
              <w:rPr>
                <w:lang w:val="nl-NL"/>
              </w:rPr>
              <w:t xml:space="preserve">= </w:t>
            </w:r>
            <w:r w:rsidR="00C20C82">
              <w:rPr>
                <w:lang w:val="nl-NL"/>
              </w:rPr>
              <w:t>477,3</w:t>
            </w:r>
            <w:r w:rsidRPr="00937B00">
              <w:rPr>
                <w:lang w:val="nl-NL"/>
              </w:rPr>
              <w:t xml:space="preserve"> đồng</w:t>
            </w:r>
            <w:r>
              <w:rPr>
                <w:lang w:val="nl-NL"/>
              </w:rPr>
              <w:t>.</w:t>
            </w:r>
          </w:p>
        </w:tc>
      </w:tr>
    </w:tbl>
    <w:p w:rsidR="001E1702" w:rsidRDefault="001E1702" w:rsidP="00AD6BCE">
      <w:pPr>
        <w:widowControl w:val="0"/>
        <w:spacing w:after="120" w:line="340" w:lineRule="exact"/>
        <w:jc w:val="both"/>
        <w:rPr>
          <w:lang w:val="nl-NL"/>
        </w:rPr>
      </w:pPr>
      <w:r>
        <w:rPr>
          <w:lang w:val="nl-NL"/>
        </w:rPr>
        <w:tab/>
      </w:r>
      <w:r w:rsidRPr="005632C1">
        <w:rPr>
          <w:i/>
          <w:lang w:val="nl-NL"/>
        </w:rPr>
        <w:t>d) Doanh thu thuần:</w:t>
      </w:r>
      <w:r>
        <w:rPr>
          <w:lang w:val="nl-NL"/>
        </w:rPr>
        <w:t xml:space="preserve"> trong năm đầu tiên kinh doanh là </w:t>
      </w:r>
      <w:r w:rsidR="00C20C82">
        <w:rPr>
          <w:lang w:val="nl-NL"/>
        </w:rPr>
        <w:t>1</w:t>
      </w:r>
      <w:r w:rsidR="004524B8">
        <w:rPr>
          <w:lang w:val="nl-NL"/>
        </w:rPr>
        <w:t>.</w:t>
      </w:r>
      <w:r w:rsidR="00C20C82">
        <w:rPr>
          <w:lang w:val="nl-NL"/>
        </w:rPr>
        <w:t>590,9</w:t>
      </w:r>
      <w:r>
        <w:rPr>
          <w:lang w:val="nl-NL"/>
        </w:rPr>
        <w:t xml:space="preserve"> tỷ đồng (=</w:t>
      </w:r>
      <w:r w:rsidR="00C20C82">
        <w:rPr>
          <w:lang w:val="nl-NL"/>
        </w:rPr>
        <w:t>2.275</w:t>
      </w:r>
      <w:r>
        <w:rPr>
          <w:lang w:val="nl-NL"/>
        </w:rPr>
        <w:t xml:space="preserve"> </w:t>
      </w:r>
      <w:r w:rsidR="004524B8">
        <w:rPr>
          <w:lang w:val="nl-NL"/>
        </w:rPr>
        <w:t>-</w:t>
      </w:r>
      <w:r>
        <w:rPr>
          <w:lang w:val="nl-NL"/>
        </w:rPr>
        <w:t xml:space="preserve"> </w:t>
      </w:r>
      <w:r w:rsidR="004524B8">
        <w:rPr>
          <w:lang w:val="nl-NL"/>
        </w:rPr>
        <w:t>684,1</w:t>
      </w:r>
      <w:r>
        <w:rPr>
          <w:lang w:val="nl-NL"/>
        </w:rPr>
        <w:t xml:space="preserve">); bình quân trong </w:t>
      </w:r>
      <w:r w:rsidR="00B06865">
        <w:rPr>
          <w:lang w:val="nl-NL"/>
        </w:rPr>
        <w:t>05</w:t>
      </w:r>
      <w:r>
        <w:rPr>
          <w:lang w:val="nl-NL"/>
        </w:rPr>
        <w:t xml:space="preserve"> năm là </w:t>
      </w:r>
      <w:r w:rsidR="00B06865">
        <w:rPr>
          <w:lang w:val="nl-NL"/>
        </w:rPr>
        <w:t>1.942,5</w:t>
      </w:r>
      <w:r>
        <w:rPr>
          <w:lang w:val="nl-NL"/>
        </w:rPr>
        <w:t xml:space="preserve"> tỷ đồng. Tổng cộng trong </w:t>
      </w:r>
      <w:r w:rsidR="00B06865">
        <w:rPr>
          <w:lang w:val="nl-NL"/>
        </w:rPr>
        <w:t>05</w:t>
      </w:r>
      <w:r>
        <w:rPr>
          <w:lang w:val="nl-NL"/>
        </w:rPr>
        <w:t xml:space="preserve"> năm là: </w:t>
      </w:r>
      <w:r w:rsidR="00B06865">
        <w:rPr>
          <w:lang w:val="nl-NL"/>
        </w:rPr>
        <w:t>9.712,7</w:t>
      </w:r>
      <w:r>
        <w:rPr>
          <w:lang w:val="nl-NL"/>
        </w:rPr>
        <w:t xml:space="preserve"> tỷ đồng.  </w:t>
      </w:r>
    </w:p>
    <w:p w:rsidR="001E1702" w:rsidRPr="00A97C0F" w:rsidRDefault="001E1702" w:rsidP="00AD6BCE">
      <w:pPr>
        <w:widowControl w:val="0"/>
        <w:spacing w:after="120" w:line="320" w:lineRule="exact"/>
        <w:jc w:val="both"/>
        <w:rPr>
          <w:b/>
          <w:i/>
          <w:lang w:val="nl-NL"/>
        </w:rPr>
      </w:pPr>
      <w:r w:rsidRPr="00937B00">
        <w:rPr>
          <w:lang w:val="nl-NL"/>
        </w:rPr>
        <w:tab/>
      </w:r>
      <w:r w:rsidRPr="00A97C0F">
        <w:rPr>
          <w:b/>
          <w:i/>
          <w:lang w:val="nl-NL"/>
        </w:rPr>
        <w:t xml:space="preserve">2. </w:t>
      </w:r>
      <w:r>
        <w:rPr>
          <w:b/>
          <w:i/>
          <w:lang w:val="nl-NL"/>
        </w:rPr>
        <w:t>Về c</w:t>
      </w:r>
      <w:r w:rsidRPr="00A97C0F">
        <w:rPr>
          <w:b/>
          <w:i/>
          <w:lang w:val="nl-NL"/>
        </w:rPr>
        <w:t>ác khoản chi phí</w:t>
      </w:r>
    </w:p>
    <w:p w:rsidR="001E1702" w:rsidRDefault="001E1702" w:rsidP="00AD6BCE">
      <w:pPr>
        <w:widowControl w:val="0"/>
        <w:spacing w:after="120" w:line="320" w:lineRule="exact"/>
        <w:jc w:val="both"/>
        <w:rPr>
          <w:bCs/>
          <w:iCs/>
          <w:lang w:val="nl-NL"/>
        </w:rPr>
      </w:pPr>
      <w:r w:rsidRPr="00937B00">
        <w:rPr>
          <w:lang w:val="nl-NL"/>
        </w:rPr>
        <w:tab/>
      </w:r>
      <w:r w:rsidRPr="005632C1">
        <w:rPr>
          <w:i/>
          <w:spacing w:val="-4"/>
          <w:lang w:val="nl-NL"/>
        </w:rPr>
        <w:t>a)</w:t>
      </w:r>
      <w:r w:rsidRPr="005632C1">
        <w:rPr>
          <w:bCs/>
          <w:i/>
          <w:iCs/>
          <w:lang w:val="nl-NL"/>
        </w:rPr>
        <w:t xml:space="preserve"> Chi hoa hồng đại lý:</w:t>
      </w:r>
      <w:r w:rsidRPr="00937B00">
        <w:rPr>
          <w:bCs/>
          <w:iCs/>
          <w:lang w:val="nl-NL"/>
        </w:rPr>
        <w:t xml:space="preserve"> </w:t>
      </w:r>
    </w:p>
    <w:p w:rsidR="001E1702" w:rsidRDefault="001E1702" w:rsidP="00AD6BCE">
      <w:pPr>
        <w:widowControl w:val="0"/>
        <w:spacing w:after="120" w:line="320" w:lineRule="exact"/>
        <w:ind w:firstLine="720"/>
        <w:jc w:val="both"/>
        <w:rPr>
          <w:bCs/>
          <w:iCs/>
          <w:lang w:val="nl-NL"/>
        </w:rPr>
      </w:pPr>
      <w:r>
        <w:rPr>
          <w:bCs/>
          <w:iCs/>
          <w:lang w:val="nl-NL"/>
        </w:rPr>
        <w:t>- Theo quy định của pháp luật về kinh doanh đặt cược, doanh nghiệp kinh doanh đặt cược phải xây dựng và ký hợp đồng với các đại lý/điểm bán vé đặt cược để phân phối vé (Điều 1</w:t>
      </w:r>
      <w:r w:rsidR="00CB0D6C">
        <w:rPr>
          <w:bCs/>
          <w:iCs/>
          <w:lang w:val="nl-NL"/>
        </w:rPr>
        <w:t>5</w:t>
      </w:r>
      <w:r>
        <w:rPr>
          <w:bCs/>
          <w:iCs/>
          <w:lang w:val="nl-NL"/>
        </w:rPr>
        <w:t xml:space="preserve"> và Điều 18 Nghị định số 06/2017/NĐ-CP). Doanh nghiệp phải chi trả hoa hồng bán vé đặt cược và khoản </w:t>
      </w:r>
      <w:r w:rsidR="00CB0D6C">
        <w:rPr>
          <w:bCs/>
          <w:iCs/>
          <w:lang w:val="nl-NL"/>
        </w:rPr>
        <w:t>chi</w:t>
      </w:r>
      <w:r>
        <w:rPr>
          <w:bCs/>
          <w:iCs/>
          <w:lang w:val="nl-NL"/>
        </w:rPr>
        <w:t xml:space="preserve"> này phải được quy định cụ thể tại hợp đồng </w:t>
      </w:r>
      <w:r w:rsidR="00CB0D6C">
        <w:rPr>
          <w:bCs/>
          <w:iCs/>
          <w:lang w:val="nl-NL"/>
        </w:rPr>
        <w:t xml:space="preserve">kinh tế ký kết với </w:t>
      </w:r>
      <w:r>
        <w:rPr>
          <w:bCs/>
          <w:iCs/>
          <w:lang w:val="nl-NL"/>
        </w:rPr>
        <w:t xml:space="preserve">đại lý. </w:t>
      </w:r>
    </w:p>
    <w:p w:rsidR="001E1702" w:rsidRDefault="001E1702" w:rsidP="00AD6BCE">
      <w:pPr>
        <w:widowControl w:val="0"/>
        <w:spacing w:after="120" w:line="320" w:lineRule="exact"/>
        <w:ind w:firstLine="720"/>
        <w:jc w:val="both"/>
        <w:rPr>
          <w:bCs/>
          <w:iCs/>
          <w:lang w:val="nl-NL"/>
        </w:rPr>
      </w:pPr>
      <w:r>
        <w:rPr>
          <w:bCs/>
          <w:iCs/>
          <w:lang w:val="nl-NL"/>
        </w:rPr>
        <w:t xml:space="preserve">- Giả định tỷ lệ hoa hồng đại lý bình quân là </w:t>
      </w:r>
      <w:r w:rsidR="004524B8">
        <w:rPr>
          <w:bCs/>
          <w:iCs/>
          <w:lang w:val="nl-NL"/>
        </w:rPr>
        <w:t>10</w:t>
      </w:r>
      <w:r w:rsidRPr="00937B00">
        <w:rPr>
          <w:bCs/>
          <w:iCs/>
          <w:lang w:val="nl-NL"/>
        </w:rPr>
        <w:t>% doanh thu bán vé đặt cược.</w:t>
      </w:r>
      <w:r>
        <w:rPr>
          <w:bCs/>
          <w:iCs/>
          <w:lang w:val="nl-NL"/>
        </w:rPr>
        <w:t xml:space="preserve"> Số tiền chi hoa hồng đại lý trong năm đầu tiên là: </w:t>
      </w:r>
      <w:r w:rsidR="004524B8">
        <w:rPr>
          <w:bCs/>
          <w:iCs/>
          <w:lang w:val="nl-NL"/>
        </w:rPr>
        <w:t>650</w:t>
      </w:r>
      <w:r>
        <w:rPr>
          <w:bCs/>
          <w:iCs/>
          <w:lang w:val="nl-NL"/>
        </w:rPr>
        <w:t xml:space="preserve"> tỷ đồng (= </w:t>
      </w:r>
      <w:r w:rsidR="004524B8">
        <w:rPr>
          <w:bCs/>
          <w:iCs/>
          <w:lang w:val="nl-NL"/>
        </w:rPr>
        <w:t>6.500</w:t>
      </w:r>
      <w:r>
        <w:rPr>
          <w:bCs/>
          <w:iCs/>
          <w:lang w:val="nl-NL"/>
        </w:rPr>
        <w:t xml:space="preserve"> * </w:t>
      </w:r>
      <w:r w:rsidR="004524B8">
        <w:rPr>
          <w:bCs/>
          <w:iCs/>
          <w:lang w:val="nl-NL"/>
        </w:rPr>
        <w:t>10</w:t>
      </w:r>
      <w:r>
        <w:rPr>
          <w:bCs/>
          <w:iCs/>
          <w:lang w:val="nl-NL"/>
        </w:rPr>
        <w:t xml:space="preserve">%); bình quân trong </w:t>
      </w:r>
      <w:r w:rsidR="00CB0D6C">
        <w:rPr>
          <w:bCs/>
          <w:iCs/>
          <w:lang w:val="nl-NL"/>
        </w:rPr>
        <w:t>05</w:t>
      </w:r>
      <w:r>
        <w:rPr>
          <w:bCs/>
          <w:iCs/>
          <w:lang w:val="nl-NL"/>
        </w:rPr>
        <w:t xml:space="preserve"> năm là </w:t>
      </w:r>
      <w:r w:rsidR="00CB0D6C">
        <w:rPr>
          <w:bCs/>
          <w:iCs/>
          <w:lang w:val="nl-NL"/>
        </w:rPr>
        <w:t>793,7</w:t>
      </w:r>
      <w:r>
        <w:rPr>
          <w:bCs/>
          <w:iCs/>
          <w:lang w:val="nl-NL"/>
        </w:rPr>
        <w:t xml:space="preserve"> tỷ đồng; tổng trong </w:t>
      </w:r>
      <w:r w:rsidR="00CB0D6C">
        <w:rPr>
          <w:bCs/>
          <w:iCs/>
          <w:lang w:val="nl-NL"/>
        </w:rPr>
        <w:t>05</w:t>
      </w:r>
      <w:r>
        <w:rPr>
          <w:bCs/>
          <w:iCs/>
          <w:lang w:val="nl-NL"/>
        </w:rPr>
        <w:t xml:space="preserve"> năm là </w:t>
      </w:r>
      <w:r w:rsidR="00CB0D6C">
        <w:rPr>
          <w:bCs/>
          <w:iCs/>
          <w:lang w:val="nl-NL"/>
        </w:rPr>
        <w:t>3.968,3</w:t>
      </w:r>
      <w:r>
        <w:rPr>
          <w:bCs/>
          <w:iCs/>
          <w:lang w:val="nl-NL"/>
        </w:rPr>
        <w:t xml:space="preserve"> tỷ đồng.</w:t>
      </w:r>
    </w:p>
    <w:p w:rsidR="001E1702" w:rsidRPr="00840CB3" w:rsidRDefault="001E1702" w:rsidP="00AD6BCE">
      <w:pPr>
        <w:widowControl w:val="0"/>
        <w:spacing w:after="120" w:line="320" w:lineRule="exact"/>
        <w:jc w:val="both"/>
        <w:rPr>
          <w:bCs/>
          <w:i/>
          <w:iCs/>
          <w:spacing w:val="-6"/>
          <w:lang w:val="nl-NL"/>
        </w:rPr>
      </w:pPr>
      <w:r w:rsidRPr="00937B00">
        <w:rPr>
          <w:bCs/>
          <w:iCs/>
          <w:lang w:val="nl-NL"/>
        </w:rPr>
        <w:tab/>
      </w:r>
      <w:r w:rsidRPr="005632C1">
        <w:rPr>
          <w:bCs/>
          <w:i/>
          <w:iCs/>
          <w:spacing w:val="-6"/>
          <w:lang w:val="nl-NL"/>
        </w:rPr>
        <w:t xml:space="preserve">b) Chi phí khấu hao tài sản cố định: </w:t>
      </w:r>
    </w:p>
    <w:p w:rsidR="001E1702" w:rsidRPr="00CB0D6C" w:rsidRDefault="001E1702" w:rsidP="00AD6BCE">
      <w:pPr>
        <w:widowControl w:val="0"/>
        <w:spacing w:after="120" w:line="320" w:lineRule="exact"/>
        <w:jc w:val="both"/>
        <w:rPr>
          <w:bCs/>
          <w:iCs/>
          <w:lang w:val="nl-NL"/>
        </w:rPr>
      </w:pPr>
      <w:r w:rsidRPr="00937B00">
        <w:rPr>
          <w:bCs/>
          <w:iCs/>
          <w:spacing w:val="-6"/>
          <w:lang w:val="nl-NL"/>
        </w:rPr>
        <w:tab/>
      </w:r>
      <w:r w:rsidRPr="00CB0D6C">
        <w:rPr>
          <w:bCs/>
          <w:iCs/>
          <w:lang w:val="nl-NL"/>
        </w:rPr>
        <w:t xml:space="preserve">- </w:t>
      </w:r>
      <w:r w:rsidR="004524B8" w:rsidRPr="00CB0D6C">
        <w:rPr>
          <w:bCs/>
          <w:iCs/>
          <w:lang w:val="nl-NL"/>
        </w:rPr>
        <w:t xml:space="preserve">Dự thảo </w:t>
      </w:r>
      <w:r w:rsidRPr="00CB0D6C">
        <w:rPr>
          <w:bCs/>
          <w:iCs/>
          <w:lang w:val="nl-NL"/>
        </w:rPr>
        <w:t xml:space="preserve">Nghị định </w:t>
      </w:r>
      <w:r w:rsidR="004524B8" w:rsidRPr="00CB0D6C">
        <w:rPr>
          <w:bCs/>
          <w:iCs/>
          <w:lang w:val="nl-NL"/>
        </w:rPr>
        <w:t xml:space="preserve">quy định </w:t>
      </w:r>
      <w:r w:rsidRPr="00CB0D6C">
        <w:rPr>
          <w:bCs/>
          <w:iCs/>
          <w:lang w:val="nl-NL"/>
        </w:rPr>
        <w:t xml:space="preserve">vốn đầu tư </w:t>
      </w:r>
      <w:r w:rsidR="004524B8" w:rsidRPr="00CB0D6C">
        <w:rPr>
          <w:bCs/>
          <w:iCs/>
          <w:lang w:val="nl-NL"/>
        </w:rPr>
        <w:t>dự án</w:t>
      </w:r>
      <w:r w:rsidRPr="00CB0D6C">
        <w:rPr>
          <w:bCs/>
          <w:iCs/>
          <w:lang w:val="nl-NL"/>
        </w:rPr>
        <w:t xml:space="preserve"> tối thiểu là 1.000 tỷ đồng</w:t>
      </w:r>
      <w:r w:rsidR="004524B8" w:rsidRPr="00CB0D6C">
        <w:rPr>
          <w:bCs/>
          <w:iCs/>
          <w:lang w:val="nl-NL"/>
        </w:rPr>
        <w:t xml:space="preserve">, chủ yếu để </w:t>
      </w:r>
      <w:r w:rsidRPr="00CB0D6C">
        <w:rPr>
          <w:bCs/>
          <w:iCs/>
          <w:lang w:val="nl-NL"/>
        </w:rPr>
        <w:t xml:space="preserve">đầu tư hệ thống đặt cược (gồm máy chủ, thiết bị đầu cuối, phần mềm kinh doanh, phần mềm bảo mật...) đáp ứng điều kiện </w:t>
      </w:r>
      <w:r w:rsidR="004524B8" w:rsidRPr="00CB0D6C">
        <w:rPr>
          <w:bCs/>
          <w:iCs/>
          <w:lang w:val="nl-NL"/>
        </w:rPr>
        <w:t>kỹ thuật đặt cược theo quy định</w:t>
      </w:r>
      <w:r w:rsidRPr="00CB0D6C">
        <w:rPr>
          <w:bCs/>
          <w:iCs/>
          <w:lang w:val="nl-NL"/>
        </w:rPr>
        <w:t xml:space="preserve">. </w:t>
      </w:r>
    </w:p>
    <w:p w:rsidR="001E1702" w:rsidRDefault="001E1702" w:rsidP="00AD6BCE">
      <w:pPr>
        <w:widowControl w:val="0"/>
        <w:spacing w:after="120" w:line="320" w:lineRule="exact"/>
        <w:ind w:firstLine="720"/>
        <w:jc w:val="both"/>
        <w:rPr>
          <w:bCs/>
          <w:iCs/>
          <w:lang w:val="nl-NL"/>
        </w:rPr>
      </w:pPr>
      <w:r>
        <w:rPr>
          <w:bCs/>
          <w:iCs/>
          <w:spacing w:val="-2"/>
          <w:lang w:val="nl-NL"/>
        </w:rPr>
        <w:t xml:space="preserve">- </w:t>
      </w:r>
      <w:r w:rsidRPr="00937B00">
        <w:rPr>
          <w:bCs/>
          <w:iCs/>
          <w:spacing w:val="-2"/>
          <w:lang w:val="nl-NL"/>
        </w:rPr>
        <w:t>Tại Thông tư số 45/2013/TT-BTC ngày 25/4/2013 hướng dẫn chế độ quản lý, sử dụng và trích khấu hao tài sản cố định quy định khung khấu hao các loại máy móc, thiết bị viễn thông, thông tin điện tử... có thời gian trích khấu hao từ 3-15 năm.</w:t>
      </w:r>
    </w:p>
    <w:p w:rsidR="001E1702" w:rsidRDefault="004524B8" w:rsidP="00AD6BCE">
      <w:pPr>
        <w:widowControl w:val="0"/>
        <w:spacing w:after="120" w:line="320" w:lineRule="exact"/>
        <w:ind w:firstLine="720"/>
        <w:jc w:val="both"/>
        <w:rPr>
          <w:bCs/>
          <w:iCs/>
          <w:spacing w:val="-2"/>
          <w:lang w:val="nl-NL"/>
        </w:rPr>
      </w:pPr>
      <w:r>
        <w:rPr>
          <w:bCs/>
          <w:iCs/>
          <w:lang w:val="nl-NL"/>
        </w:rPr>
        <w:t>- Giả định vốn</w:t>
      </w:r>
      <w:r w:rsidR="001E1702">
        <w:rPr>
          <w:bCs/>
          <w:iCs/>
          <w:lang w:val="nl-NL"/>
        </w:rPr>
        <w:t xml:space="preserve"> đầu tư </w:t>
      </w:r>
      <w:r>
        <w:rPr>
          <w:bCs/>
          <w:iCs/>
          <w:lang w:val="nl-NL"/>
        </w:rPr>
        <w:t>dự án</w:t>
      </w:r>
      <w:r w:rsidR="001E1702">
        <w:rPr>
          <w:bCs/>
          <w:iCs/>
          <w:lang w:val="nl-NL"/>
        </w:rPr>
        <w:t xml:space="preserve"> là 1.000 tỷ đồng, </w:t>
      </w:r>
      <w:r>
        <w:rPr>
          <w:bCs/>
          <w:iCs/>
          <w:lang w:val="nl-NL"/>
        </w:rPr>
        <w:t xml:space="preserve">phân kỳ thành 02 giai đoạn </w:t>
      </w:r>
      <w:r w:rsidR="001E1702">
        <w:rPr>
          <w:bCs/>
          <w:iCs/>
          <w:lang w:val="nl-NL"/>
        </w:rPr>
        <w:lastRenderedPageBreak/>
        <w:t xml:space="preserve">gồm: </w:t>
      </w:r>
      <w:r>
        <w:rPr>
          <w:bCs/>
          <w:iCs/>
          <w:lang w:val="nl-NL"/>
        </w:rPr>
        <w:t>80</w:t>
      </w:r>
      <w:r w:rsidR="001E1702">
        <w:rPr>
          <w:bCs/>
          <w:iCs/>
          <w:lang w:val="nl-NL"/>
        </w:rPr>
        <w:t xml:space="preserve">0 tỷ đồng trong năm đầu kinh doanh </w:t>
      </w:r>
      <w:r>
        <w:rPr>
          <w:bCs/>
          <w:iCs/>
          <w:lang w:val="nl-NL"/>
        </w:rPr>
        <w:t>và</w:t>
      </w:r>
      <w:r w:rsidR="001E1702">
        <w:rPr>
          <w:bCs/>
          <w:iCs/>
          <w:lang w:val="nl-NL"/>
        </w:rPr>
        <w:t xml:space="preserve"> 200 tỷ đồng </w:t>
      </w:r>
      <w:r>
        <w:rPr>
          <w:bCs/>
          <w:iCs/>
          <w:lang w:val="nl-NL"/>
        </w:rPr>
        <w:t>trong năm thứ hai</w:t>
      </w:r>
      <w:r w:rsidR="001E1702">
        <w:rPr>
          <w:bCs/>
          <w:iCs/>
          <w:lang w:val="nl-NL"/>
        </w:rPr>
        <w:t xml:space="preserve">. </w:t>
      </w:r>
      <w:r w:rsidR="001E1702">
        <w:rPr>
          <w:lang w:val="nl-NL"/>
        </w:rPr>
        <w:t>T</w:t>
      </w:r>
      <w:r w:rsidR="001E1702" w:rsidRPr="00937B00">
        <w:rPr>
          <w:bCs/>
          <w:iCs/>
          <w:spacing w:val="-2"/>
          <w:lang w:val="nl-NL"/>
        </w:rPr>
        <w:t xml:space="preserve">hời gian khấu hao </w:t>
      </w:r>
      <w:r w:rsidR="001E1702">
        <w:rPr>
          <w:bCs/>
          <w:iCs/>
          <w:spacing w:val="-2"/>
          <w:lang w:val="nl-NL"/>
        </w:rPr>
        <w:t xml:space="preserve">tài sản cố định </w:t>
      </w:r>
      <w:r w:rsidR="001E1702" w:rsidRPr="00937B00">
        <w:rPr>
          <w:bCs/>
          <w:iCs/>
          <w:spacing w:val="-2"/>
          <w:lang w:val="nl-NL"/>
        </w:rPr>
        <w:t xml:space="preserve">là </w:t>
      </w:r>
      <w:r w:rsidR="00CB0D6C">
        <w:rPr>
          <w:bCs/>
          <w:iCs/>
          <w:spacing w:val="-2"/>
          <w:lang w:val="nl-NL"/>
        </w:rPr>
        <w:t>05</w:t>
      </w:r>
      <w:r w:rsidR="001E1702" w:rsidRPr="00937B00">
        <w:rPr>
          <w:bCs/>
          <w:iCs/>
          <w:spacing w:val="-2"/>
          <w:lang w:val="nl-NL"/>
        </w:rPr>
        <w:t xml:space="preserve"> năm. </w:t>
      </w:r>
      <w:r w:rsidR="001E1702">
        <w:rPr>
          <w:bCs/>
          <w:iCs/>
          <w:spacing w:val="-2"/>
          <w:lang w:val="nl-NL"/>
        </w:rPr>
        <w:t>C</w:t>
      </w:r>
      <w:r w:rsidR="001E1702" w:rsidRPr="00937B00">
        <w:rPr>
          <w:bCs/>
          <w:iCs/>
          <w:spacing w:val="-2"/>
          <w:lang w:val="nl-NL"/>
        </w:rPr>
        <w:t xml:space="preserve">hi phí khấu hao tài sản cố định được phân bổ đều theo phương pháp khấu hao đường thẳng trong </w:t>
      </w:r>
      <w:r w:rsidR="00CB0D6C">
        <w:rPr>
          <w:bCs/>
          <w:iCs/>
          <w:spacing w:val="-2"/>
          <w:lang w:val="nl-NL"/>
        </w:rPr>
        <w:t>05</w:t>
      </w:r>
      <w:r w:rsidR="001E1702" w:rsidRPr="00937B00">
        <w:rPr>
          <w:bCs/>
          <w:iCs/>
          <w:spacing w:val="-2"/>
          <w:lang w:val="nl-NL"/>
        </w:rPr>
        <w:t xml:space="preserve"> năm</w:t>
      </w:r>
      <w:r w:rsidR="001E1702">
        <w:rPr>
          <w:bCs/>
          <w:iCs/>
          <w:spacing w:val="-2"/>
          <w:lang w:val="nl-NL"/>
        </w:rPr>
        <w:t xml:space="preserve"> kinh doanh. </w:t>
      </w:r>
    </w:p>
    <w:p w:rsidR="001E1702" w:rsidRDefault="001E1702" w:rsidP="00AD6BCE">
      <w:pPr>
        <w:widowControl w:val="0"/>
        <w:spacing w:after="120" w:line="320" w:lineRule="exact"/>
        <w:ind w:firstLine="720"/>
        <w:jc w:val="both"/>
        <w:rPr>
          <w:bCs/>
          <w:iCs/>
          <w:spacing w:val="-2"/>
          <w:lang w:val="nl-NL"/>
        </w:rPr>
      </w:pPr>
      <w:r>
        <w:rPr>
          <w:bCs/>
          <w:iCs/>
          <w:spacing w:val="-2"/>
          <w:lang w:val="nl-NL"/>
        </w:rPr>
        <w:t xml:space="preserve">Với giả định nêu trên, chi khấu hao tài sản cố định trong năm đầu tiên là: </w:t>
      </w:r>
      <w:r w:rsidR="00CB0D6C">
        <w:rPr>
          <w:bCs/>
          <w:iCs/>
          <w:spacing w:val="-2"/>
          <w:lang w:val="nl-NL"/>
        </w:rPr>
        <w:t>160</w:t>
      </w:r>
      <w:r>
        <w:rPr>
          <w:bCs/>
          <w:iCs/>
          <w:spacing w:val="-2"/>
          <w:lang w:val="nl-NL"/>
        </w:rPr>
        <w:t xml:space="preserve"> tỷ đồng (=</w:t>
      </w:r>
      <w:r w:rsidR="004524B8">
        <w:rPr>
          <w:bCs/>
          <w:iCs/>
          <w:spacing w:val="-2"/>
          <w:lang w:val="nl-NL"/>
        </w:rPr>
        <w:t xml:space="preserve"> 8</w:t>
      </w:r>
      <w:r>
        <w:rPr>
          <w:bCs/>
          <w:iCs/>
          <w:spacing w:val="-2"/>
          <w:lang w:val="nl-NL"/>
        </w:rPr>
        <w:t>00/</w:t>
      </w:r>
      <w:r w:rsidR="00CB0D6C">
        <w:rPr>
          <w:bCs/>
          <w:iCs/>
          <w:spacing w:val="-2"/>
          <w:lang w:val="nl-NL"/>
        </w:rPr>
        <w:t>5</w:t>
      </w:r>
      <w:r>
        <w:rPr>
          <w:bCs/>
          <w:iCs/>
          <w:spacing w:val="-2"/>
          <w:lang w:val="nl-NL"/>
        </w:rPr>
        <w:t xml:space="preserve"> năm); </w:t>
      </w:r>
      <w:r w:rsidR="004524B8">
        <w:rPr>
          <w:bCs/>
          <w:iCs/>
          <w:spacing w:val="-2"/>
          <w:lang w:val="nl-NL"/>
        </w:rPr>
        <w:t xml:space="preserve">từ </w:t>
      </w:r>
      <w:r>
        <w:rPr>
          <w:bCs/>
          <w:iCs/>
          <w:spacing w:val="-2"/>
          <w:lang w:val="nl-NL"/>
        </w:rPr>
        <w:t>năm 2</w:t>
      </w:r>
      <w:r w:rsidR="004524B8">
        <w:rPr>
          <w:bCs/>
          <w:iCs/>
          <w:spacing w:val="-2"/>
          <w:lang w:val="nl-NL"/>
        </w:rPr>
        <w:t xml:space="preserve"> đến năm </w:t>
      </w:r>
      <w:r w:rsidR="00CB0D6C">
        <w:rPr>
          <w:bCs/>
          <w:iCs/>
          <w:spacing w:val="-2"/>
          <w:lang w:val="nl-NL"/>
        </w:rPr>
        <w:t>5</w:t>
      </w:r>
      <w:r>
        <w:rPr>
          <w:bCs/>
          <w:iCs/>
          <w:spacing w:val="-2"/>
          <w:lang w:val="nl-NL"/>
        </w:rPr>
        <w:t xml:space="preserve">: </w:t>
      </w:r>
      <w:r w:rsidR="00CB0D6C">
        <w:rPr>
          <w:bCs/>
          <w:iCs/>
          <w:spacing w:val="-2"/>
          <w:lang w:val="nl-NL"/>
        </w:rPr>
        <w:t>210</w:t>
      </w:r>
      <w:r>
        <w:rPr>
          <w:bCs/>
          <w:iCs/>
          <w:spacing w:val="-2"/>
          <w:lang w:val="nl-NL"/>
        </w:rPr>
        <w:t xml:space="preserve"> tỷ đồng (=</w:t>
      </w:r>
      <w:r w:rsidR="00CB0D6C">
        <w:rPr>
          <w:bCs/>
          <w:iCs/>
          <w:spacing w:val="-2"/>
          <w:lang w:val="nl-NL"/>
        </w:rPr>
        <w:t xml:space="preserve"> 160</w:t>
      </w:r>
      <w:r>
        <w:rPr>
          <w:bCs/>
          <w:iCs/>
          <w:spacing w:val="-2"/>
          <w:lang w:val="nl-NL"/>
        </w:rPr>
        <w:t xml:space="preserve"> + 200/</w:t>
      </w:r>
      <w:r w:rsidR="00CB0D6C">
        <w:rPr>
          <w:bCs/>
          <w:iCs/>
          <w:spacing w:val="-2"/>
          <w:lang w:val="nl-NL"/>
        </w:rPr>
        <w:t>4</w:t>
      </w:r>
      <w:r>
        <w:rPr>
          <w:bCs/>
          <w:iCs/>
          <w:spacing w:val="-2"/>
          <w:lang w:val="nl-NL"/>
        </w:rPr>
        <w:t>)</w:t>
      </w:r>
      <w:r w:rsidRPr="00937B00">
        <w:rPr>
          <w:bCs/>
          <w:iCs/>
          <w:spacing w:val="-2"/>
          <w:lang w:val="nl-NL"/>
        </w:rPr>
        <w:t>.</w:t>
      </w:r>
    </w:p>
    <w:p w:rsidR="001E1702" w:rsidRDefault="001E1702" w:rsidP="00AD6BCE">
      <w:pPr>
        <w:widowControl w:val="0"/>
        <w:spacing w:after="120" w:line="320" w:lineRule="exact"/>
        <w:jc w:val="both"/>
        <w:rPr>
          <w:bCs/>
          <w:iCs/>
          <w:lang w:val="nl-NL"/>
        </w:rPr>
      </w:pPr>
      <w:r w:rsidRPr="00937B00">
        <w:rPr>
          <w:bCs/>
          <w:iCs/>
          <w:lang w:val="nl-NL"/>
        </w:rPr>
        <w:tab/>
      </w:r>
      <w:r w:rsidRPr="005632C1">
        <w:rPr>
          <w:bCs/>
          <w:i/>
          <w:iCs/>
          <w:lang w:val="nl-NL"/>
        </w:rPr>
        <w:t>c) Chi phí tiền lương</w:t>
      </w:r>
      <w:r w:rsidRPr="00937B00">
        <w:rPr>
          <w:bCs/>
          <w:iCs/>
          <w:lang w:val="nl-NL"/>
        </w:rPr>
        <w:t xml:space="preserve">: </w:t>
      </w:r>
    </w:p>
    <w:p w:rsidR="001E1702" w:rsidRDefault="001E1702" w:rsidP="00AD6BCE">
      <w:pPr>
        <w:widowControl w:val="0"/>
        <w:spacing w:after="120" w:line="320" w:lineRule="exact"/>
        <w:jc w:val="both"/>
        <w:rPr>
          <w:bCs/>
          <w:iCs/>
          <w:lang w:val="nl-NL"/>
        </w:rPr>
      </w:pPr>
      <w:r>
        <w:rPr>
          <w:bCs/>
          <w:iCs/>
          <w:lang w:val="nl-NL"/>
        </w:rPr>
        <w:tab/>
        <w:t>- Giả định số lượng người lao đ</w:t>
      </w:r>
      <w:r w:rsidR="004524B8">
        <w:rPr>
          <w:bCs/>
          <w:iCs/>
          <w:lang w:val="nl-NL"/>
        </w:rPr>
        <w:t>ộ</w:t>
      </w:r>
      <w:r>
        <w:rPr>
          <w:bCs/>
          <w:iCs/>
          <w:lang w:val="nl-NL"/>
        </w:rPr>
        <w:t>ng của doanh nghiệp là 2</w:t>
      </w:r>
      <w:r w:rsidR="005B7D04">
        <w:rPr>
          <w:bCs/>
          <w:iCs/>
          <w:lang w:val="nl-NL"/>
        </w:rPr>
        <w:t>0</w:t>
      </w:r>
      <w:r>
        <w:rPr>
          <w:bCs/>
          <w:iCs/>
          <w:lang w:val="nl-NL"/>
        </w:rPr>
        <w:t xml:space="preserve">0 người, </w:t>
      </w:r>
      <w:r w:rsidRPr="00937B00">
        <w:rPr>
          <w:bCs/>
          <w:iCs/>
          <w:lang w:val="nl-NL"/>
        </w:rPr>
        <w:t xml:space="preserve">mức lương bình quân là </w:t>
      </w:r>
      <w:r w:rsidR="005B7D04">
        <w:rPr>
          <w:bCs/>
          <w:iCs/>
          <w:lang w:val="nl-NL"/>
        </w:rPr>
        <w:t>2</w:t>
      </w:r>
      <w:r w:rsidRPr="00937B00">
        <w:rPr>
          <w:bCs/>
          <w:iCs/>
          <w:lang w:val="nl-NL"/>
        </w:rPr>
        <w:t>5 triệu/người/tháng</w:t>
      </w:r>
      <w:r>
        <w:rPr>
          <w:bCs/>
          <w:iCs/>
          <w:lang w:val="nl-NL"/>
        </w:rPr>
        <w:t xml:space="preserve">. Số lượng người quản lý doanh nghiệp là 5 người, mức lương bình quân là </w:t>
      </w:r>
      <w:r w:rsidR="005B7D04">
        <w:rPr>
          <w:bCs/>
          <w:iCs/>
          <w:lang w:val="nl-NL"/>
        </w:rPr>
        <w:t>3</w:t>
      </w:r>
      <w:r w:rsidRPr="00937B00">
        <w:rPr>
          <w:bCs/>
          <w:iCs/>
          <w:lang w:val="nl-NL"/>
        </w:rPr>
        <w:t>00 triệu/người/tháng</w:t>
      </w:r>
      <w:r>
        <w:rPr>
          <w:bCs/>
          <w:iCs/>
          <w:lang w:val="nl-NL"/>
        </w:rPr>
        <w:t>. T</w:t>
      </w:r>
      <w:r w:rsidRPr="00937B00">
        <w:rPr>
          <w:bCs/>
          <w:iCs/>
          <w:lang w:val="nl-NL"/>
        </w:rPr>
        <w:t xml:space="preserve">iền lương </w:t>
      </w:r>
      <w:r>
        <w:rPr>
          <w:bCs/>
          <w:iCs/>
          <w:lang w:val="nl-NL"/>
        </w:rPr>
        <w:t>người lao động tăng 5</w:t>
      </w:r>
      <w:r w:rsidRPr="00937B00">
        <w:rPr>
          <w:bCs/>
          <w:iCs/>
          <w:lang w:val="nl-NL"/>
        </w:rPr>
        <w:t>% qua các năm</w:t>
      </w:r>
      <w:r>
        <w:rPr>
          <w:bCs/>
          <w:iCs/>
          <w:lang w:val="nl-NL"/>
        </w:rPr>
        <w:t xml:space="preserve"> </w:t>
      </w:r>
      <w:r w:rsidRPr="00937B00">
        <w:rPr>
          <w:lang w:val="nl-NL"/>
        </w:rPr>
        <w:t>tiếp theo tốc độ tăng của chỉ số giá tiêu dùng (CPI)</w:t>
      </w:r>
      <w:r>
        <w:rPr>
          <w:bCs/>
          <w:iCs/>
          <w:lang w:val="nl-NL"/>
        </w:rPr>
        <w:t>.</w:t>
      </w:r>
    </w:p>
    <w:p w:rsidR="001E1702" w:rsidRDefault="001E1702" w:rsidP="00AD6BCE">
      <w:pPr>
        <w:widowControl w:val="0"/>
        <w:spacing w:after="120" w:line="320" w:lineRule="exact"/>
        <w:jc w:val="both"/>
        <w:rPr>
          <w:bCs/>
          <w:iCs/>
          <w:lang w:val="nl-NL"/>
        </w:rPr>
      </w:pPr>
      <w:r>
        <w:rPr>
          <w:bCs/>
          <w:iCs/>
          <w:lang w:val="nl-NL"/>
        </w:rPr>
        <w:tab/>
        <w:t xml:space="preserve">- Chi phí tiền lương cho người lao động trong năm đầu tiên là: </w:t>
      </w:r>
      <w:r w:rsidR="0093315A">
        <w:rPr>
          <w:bCs/>
          <w:iCs/>
          <w:lang w:val="nl-NL"/>
        </w:rPr>
        <w:t>78</w:t>
      </w:r>
      <w:r>
        <w:rPr>
          <w:bCs/>
          <w:iCs/>
          <w:lang w:val="nl-NL"/>
        </w:rPr>
        <w:t xml:space="preserve"> tỷ đồng (= </w:t>
      </w:r>
      <w:r w:rsidR="005B7D04">
        <w:rPr>
          <w:bCs/>
          <w:iCs/>
          <w:lang w:val="nl-NL"/>
        </w:rPr>
        <w:t>20</w:t>
      </w:r>
      <w:r>
        <w:rPr>
          <w:bCs/>
          <w:iCs/>
          <w:lang w:val="nl-NL"/>
        </w:rPr>
        <w:t xml:space="preserve">0 * </w:t>
      </w:r>
      <w:r w:rsidR="005B7D04">
        <w:rPr>
          <w:bCs/>
          <w:iCs/>
          <w:lang w:val="nl-NL"/>
        </w:rPr>
        <w:t>25</w:t>
      </w:r>
      <w:r>
        <w:rPr>
          <w:bCs/>
          <w:iCs/>
          <w:lang w:val="nl-NL"/>
        </w:rPr>
        <w:t xml:space="preserve"> * 12 + 5 * </w:t>
      </w:r>
      <w:r w:rsidR="005B7D04">
        <w:rPr>
          <w:bCs/>
          <w:iCs/>
          <w:lang w:val="nl-NL"/>
        </w:rPr>
        <w:t>3</w:t>
      </w:r>
      <w:r>
        <w:rPr>
          <w:bCs/>
          <w:iCs/>
          <w:lang w:val="nl-NL"/>
        </w:rPr>
        <w:t xml:space="preserve">00 * 12).      </w:t>
      </w:r>
    </w:p>
    <w:p w:rsidR="001E1702" w:rsidRDefault="001E1702" w:rsidP="00AD6BCE">
      <w:pPr>
        <w:widowControl w:val="0"/>
        <w:spacing w:after="120" w:line="320" w:lineRule="exact"/>
        <w:jc w:val="both"/>
        <w:rPr>
          <w:bCs/>
          <w:iCs/>
          <w:lang w:val="nl-NL"/>
        </w:rPr>
      </w:pPr>
      <w:r w:rsidRPr="00937B00">
        <w:rPr>
          <w:bCs/>
          <w:iCs/>
          <w:lang w:val="nl-NL"/>
        </w:rPr>
        <w:tab/>
      </w:r>
      <w:r w:rsidRPr="005632C1">
        <w:rPr>
          <w:bCs/>
          <w:i/>
          <w:iCs/>
          <w:lang w:val="nl-NL"/>
        </w:rPr>
        <w:t>d) Chi phí thuê trụ sở, chi nhánh, văn phòng đại diện:</w:t>
      </w:r>
      <w:r w:rsidRPr="00937B00">
        <w:rPr>
          <w:bCs/>
          <w:iCs/>
          <w:lang w:val="nl-NL"/>
        </w:rPr>
        <w:t xml:space="preserve"> </w:t>
      </w:r>
    </w:p>
    <w:p w:rsidR="001E1702" w:rsidRPr="00204856" w:rsidRDefault="001E1702" w:rsidP="00AD6BCE">
      <w:pPr>
        <w:widowControl w:val="0"/>
        <w:spacing w:after="120" w:line="320" w:lineRule="exact"/>
        <w:jc w:val="both"/>
        <w:rPr>
          <w:bCs/>
          <w:iCs/>
          <w:spacing w:val="-2"/>
          <w:lang w:val="nl-NL"/>
        </w:rPr>
      </w:pPr>
      <w:r>
        <w:rPr>
          <w:bCs/>
          <w:iCs/>
          <w:lang w:val="nl-NL"/>
        </w:rPr>
        <w:tab/>
      </w:r>
      <w:r w:rsidRPr="00204856">
        <w:rPr>
          <w:bCs/>
          <w:iCs/>
          <w:spacing w:val="-2"/>
          <w:lang w:val="nl-NL"/>
        </w:rPr>
        <w:t>- Để kinh doanh đặt cược, doanh nghiệp không cần thiết phải đầu tư xây dựng trụ sở làm việc và các chi nhánh/văn phòng đại diện tại các tỉnh, thành phố và có thể thuê trụ sở làm việc và các chi nhánh/văn phòng đạ</w:t>
      </w:r>
      <w:r w:rsidR="00302A3A">
        <w:rPr>
          <w:bCs/>
          <w:iCs/>
          <w:spacing w:val="-2"/>
          <w:lang w:val="nl-NL"/>
        </w:rPr>
        <w:t>i diện (tương tự như Vie</w:t>
      </w:r>
      <w:r w:rsidR="00793660">
        <w:rPr>
          <w:bCs/>
          <w:iCs/>
          <w:spacing w:val="-2"/>
          <w:lang w:val="nl-NL"/>
        </w:rPr>
        <w:t>t</w:t>
      </w:r>
      <w:r w:rsidRPr="00204856">
        <w:rPr>
          <w:bCs/>
          <w:iCs/>
          <w:spacing w:val="-2"/>
          <w:lang w:val="nl-NL"/>
        </w:rPr>
        <w:t>lott).</w:t>
      </w:r>
    </w:p>
    <w:p w:rsidR="001E1702" w:rsidRPr="00C347E0" w:rsidRDefault="001E1702" w:rsidP="00AD6BCE">
      <w:pPr>
        <w:widowControl w:val="0"/>
        <w:spacing w:after="120" w:line="320" w:lineRule="exact"/>
        <w:jc w:val="both"/>
        <w:rPr>
          <w:lang w:val="nl-NL"/>
        </w:rPr>
      </w:pPr>
      <w:r>
        <w:rPr>
          <w:bCs/>
          <w:iCs/>
          <w:lang w:val="nl-NL"/>
        </w:rPr>
        <w:tab/>
        <w:t xml:space="preserve">- </w:t>
      </w:r>
      <w:r w:rsidRPr="00937B00">
        <w:rPr>
          <w:bCs/>
          <w:iCs/>
          <w:lang w:val="nl-NL"/>
        </w:rPr>
        <w:t xml:space="preserve">Giả định chi phí </w:t>
      </w:r>
      <w:r>
        <w:rPr>
          <w:bCs/>
          <w:iCs/>
          <w:lang w:val="nl-NL"/>
        </w:rPr>
        <w:t>thuê trụ sở, chi nhánh/văn phòng đại diện trong năm đầu tiên kinh doanh</w:t>
      </w:r>
      <w:r w:rsidRPr="00937B00">
        <w:rPr>
          <w:bCs/>
          <w:iCs/>
          <w:lang w:val="nl-NL"/>
        </w:rPr>
        <w:t xml:space="preserve"> là </w:t>
      </w:r>
      <w:r w:rsidR="0093315A">
        <w:rPr>
          <w:bCs/>
          <w:iCs/>
          <w:lang w:val="nl-NL"/>
        </w:rPr>
        <w:t>18</w:t>
      </w:r>
      <w:r w:rsidRPr="00937B00">
        <w:rPr>
          <w:bCs/>
          <w:iCs/>
          <w:lang w:val="nl-NL"/>
        </w:rPr>
        <w:t xml:space="preserve"> tỷ đồng/năm. </w:t>
      </w:r>
      <w:r w:rsidRPr="00937B00">
        <w:rPr>
          <w:lang w:val="nl-NL"/>
        </w:rPr>
        <w:t xml:space="preserve">Chi phí này tăng 5% qua các năm tiếp theo tốc độ tăng </w:t>
      </w:r>
      <w:r>
        <w:rPr>
          <w:lang w:val="nl-NL"/>
        </w:rPr>
        <w:t xml:space="preserve">của </w:t>
      </w:r>
      <w:r w:rsidRPr="00937B00">
        <w:rPr>
          <w:lang w:val="nl-NL"/>
        </w:rPr>
        <w:t>CPI.</w:t>
      </w:r>
      <w:r>
        <w:rPr>
          <w:lang w:val="nl-NL"/>
        </w:rPr>
        <w:t xml:space="preserve"> Chi phí bình quân trong </w:t>
      </w:r>
      <w:r w:rsidR="007E6143">
        <w:rPr>
          <w:lang w:val="nl-NL"/>
        </w:rPr>
        <w:t>05</w:t>
      </w:r>
      <w:r>
        <w:rPr>
          <w:lang w:val="nl-NL"/>
        </w:rPr>
        <w:t xml:space="preserve"> năm là </w:t>
      </w:r>
      <w:r w:rsidR="007E6143">
        <w:rPr>
          <w:lang w:val="nl-NL"/>
        </w:rPr>
        <w:t>19,9</w:t>
      </w:r>
      <w:r>
        <w:rPr>
          <w:lang w:val="nl-NL"/>
        </w:rPr>
        <w:t xml:space="preserve"> tỷ đồng; tổng trong </w:t>
      </w:r>
      <w:r w:rsidR="007E6143">
        <w:rPr>
          <w:lang w:val="nl-NL"/>
        </w:rPr>
        <w:t>05</w:t>
      </w:r>
      <w:r>
        <w:rPr>
          <w:lang w:val="nl-NL"/>
        </w:rPr>
        <w:t xml:space="preserve"> năm là </w:t>
      </w:r>
      <w:r w:rsidR="007E6143">
        <w:rPr>
          <w:lang w:val="nl-NL"/>
        </w:rPr>
        <w:t>99,5</w:t>
      </w:r>
      <w:r>
        <w:rPr>
          <w:lang w:val="nl-NL"/>
        </w:rPr>
        <w:t xml:space="preserve"> tỷ đồng.</w:t>
      </w:r>
    </w:p>
    <w:p w:rsidR="001E1702" w:rsidRDefault="001E1702" w:rsidP="00AD6BCE">
      <w:pPr>
        <w:widowControl w:val="0"/>
        <w:spacing w:after="120" w:line="320" w:lineRule="exact"/>
        <w:jc w:val="both"/>
        <w:rPr>
          <w:lang w:val="nl-NL"/>
        </w:rPr>
      </w:pPr>
      <w:r w:rsidRPr="00937B00">
        <w:rPr>
          <w:lang w:val="nl-NL"/>
        </w:rPr>
        <w:tab/>
      </w:r>
      <w:r w:rsidRPr="005632C1">
        <w:rPr>
          <w:i/>
          <w:lang w:val="nl-NL"/>
        </w:rPr>
        <w:t xml:space="preserve">đ) Chi phí </w:t>
      </w:r>
      <w:r>
        <w:rPr>
          <w:i/>
          <w:lang w:val="nl-NL"/>
        </w:rPr>
        <w:t xml:space="preserve">marketing, </w:t>
      </w:r>
      <w:r w:rsidRPr="005632C1">
        <w:rPr>
          <w:i/>
          <w:lang w:val="nl-NL"/>
        </w:rPr>
        <w:t>vận hành hệ thống</w:t>
      </w:r>
      <w:r w:rsidRPr="005632C1">
        <w:rPr>
          <w:i/>
          <w:color w:val="000000"/>
          <w:lang w:val="vi-VN" w:eastAsia="vi-VN"/>
        </w:rPr>
        <w:t xml:space="preserve"> đặt cược</w:t>
      </w:r>
      <w:r w:rsidRPr="005632C1">
        <w:rPr>
          <w:i/>
          <w:color w:val="000000"/>
          <w:lang w:eastAsia="vi-VN"/>
        </w:rPr>
        <w:t xml:space="preserve"> (bảo trì, bảo dưỡng</w:t>
      </w:r>
      <w:r w:rsidRPr="005632C1">
        <w:rPr>
          <w:i/>
          <w:color w:val="000000"/>
          <w:lang w:val="vi-VN" w:eastAsia="vi-VN"/>
        </w:rPr>
        <w:t>, thuê đường truyền dữ liệu…)</w:t>
      </w:r>
      <w:r w:rsidRPr="00937B00">
        <w:rPr>
          <w:lang w:val="nl-NL"/>
        </w:rPr>
        <w:t xml:space="preserve">: </w:t>
      </w:r>
      <w:r w:rsidRPr="00937B00">
        <w:rPr>
          <w:bCs/>
          <w:iCs/>
          <w:lang w:val="nl-NL"/>
        </w:rPr>
        <w:t xml:space="preserve">Giả định chi phí này </w:t>
      </w:r>
      <w:r>
        <w:rPr>
          <w:bCs/>
          <w:iCs/>
          <w:lang w:val="nl-NL"/>
        </w:rPr>
        <w:t>trong năm đầu tiên kinh doanh là</w:t>
      </w:r>
      <w:r w:rsidRPr="00937B00">
        <w:rPr>
          <w:bCs/>
          <w:iCs/>
          <w:lang w:val="nl-NL"/>
        </w:rPr>
        <w:t xml:space="preserve"> </w:t>
      </w:r>
      <w:r w:rsidR="009D6294">
        <w:rPr>
          <w:bCs/>
          <w:iCs/>
          <w:lang w:val="nl-NL"/>
        </w:rPr>
        <w:t>80</w:t>
      </w:r>
      <w:r>
        <w:rPr>
          <w:bCs/>
          <w:iCs/>
          <w:lang w:val="nl-NL"/>
        </w:rPr>
        <w:t xml:space="preserve"> tỷ đồng/năm </w:t>
      </w:r>
      <w:r w:rsidR="009D6294">
        <w:rPr>
          <w:bCs/>
          <w:iCs/>
          <w:lang w:val="nl-NL"/>
        </w:rPr>
        <w:t xml:space="preserve">(nhằm quảng bá hình ảnh và hiện diện của doanh nghiệp) </w:t>
      </w:r>
      <w:r>
        <w:rPr>
          <w:bCs/>
          <w:iCs/>
          <w:lang w:val="nl-NL"/>
        </w:rPr>
        <w:t xml:space="preserve">và </w:t>
      </w:r>
      <w:r w:rsidRPr="00937B00">
        <w:rPr>
          <w:lang w:val="nl-NL"/>
        </w:rPr>
        <w:t>tăng 5% qua các năm tiếp theo tốc độ tăng của CPI.</w:t>
      </w:r>
      <w:r>
        <w:rPr>
          <w:lang w:val="nl-NL"/>
        </w:rPr>
        <w:t xml:space="preserve"> Chi phí bình quân trong </w:t>
      </w:r>
      <w:r w:rsidR="007E6143">
        <w:rPr>
          <w:lang w:val="nl-NL"/>
        </w:rPr>
        <w:t>05</w:t>
      </w:r>
      <w:r>
        <w:rPr>
          <w:lang w:val="nl-NL"/>
        </w:rPr>
        <w:t xml:space="preserve"> năm là </w:t>
      </w:r>
      <w:r w:rsidR="007E6143">
        <w:rPr>
          <w:lang w:val="nl-NL"/>
        </w:rPr>
        <w:t>88,4</w:t>
      </w:r>
      <w:r>
        <w:rPr>
          <w:lang w:val="nl-NL"/>
        </w:rPr>
        <w:t xml:space="preserve"> tỷ đồng; tổng trong </w:t>
      </w:r>
      <w:r w:rsidR="007E6143">
        <w:rPr>
          <w:lang w:val="nl-NL"/>
        </w:rPr>
        <w:t>05</w:t>
      </w:r>
      <w:r>
        <w:rPr>
          <w:lang w:val="nl-NL"/>
        </w:rPr>
        <w:t xml:space="preserve"> năm là </w:t>
      </w:r>
      <w:r w:rsidR="007E6143">
        <w:rPr>
          <w:lang w:val="nl-NL"/>
        </w:rPr>
        <w:t>442,1</w:t>
      </w:r>
      <w:r>
        <w:rPr>
          <w:lang w:val="nl-NL"/>
        </w:rPr>
        <w:t xml:space="preserve"> tỷ đồng.</w:t>
      </w:r>
    </w:p>
    <w:p w:rsidR="001E1702" w:rsidRPr="00FE6A8E" w:rsidRDefault="001E1702" w:rsidP="00AD6BCE">
      <w:pPr>
        <w:widowControl w:val="0"/>
        <w:spacing w:after="120" w:line="320" w:lineRule="exact"/>
        <w:jc w:val="both"/>
        <w:rPr>
          <w:spacing w:val="-4"/>
          <w:lang w:val="nl-NL"/>
        </w:rPr>
      </w:pPr>
      <w:r>
        <w:rPr>
          <w:lang w:val="nl-NL"/>
        </w:rPr>
        <w:tab/>
      </w:r>
      <w:r w:rsidRPr="00FE6A8E">
        <w:rPr>
          <w:i/>
          <w:spacing w:val="-4"/>
          <w:lang w:val="nl-NL"/>
        </w:rPr>
        <w:t>e) Chi phí hành chính và chi khác:</w:t>
      </w:r>
      <w:r w:rsidRPr="00FE6A8E">
        <w:rPr>
          <w:spacing w:val="-4"/>
          <w:lang w:val="nl-NL"/>
        </w:rPr>
        <w:t xml:space="preserve"> </w:t>
      </w:r>
      <w:r w:rsidRPr="00FE6A8E">
        <w:rPr>
          <w:bCs/>
          <w:iCs/>
          <w:spacing w:val="-4"/>
          <w:lang w:val="nl-NL"/>
        </w:rPr>
        <w:t xml:space="preserve">Giả định chi phí này trong năm đầu tiên kinh doanh là 10 tỷ đồng/năm và </w:t>
      </w:r>
      <w:r w:rsidRPr="00FE6A8E">
        <w:rPr>
          <w:spacing w:val="-4"/>
          <w:lang w:val="nl-NL"/>
        </w:rPr>
        <w:t xml:space="preserve">tăng 5% qua các năm tiếp theo tốc độ tăng của CPI. Chi phí bình quân trong </w:t>
      </w:r>
      <w:r w:rsidR="007E6143">
        <w:rPr>
          <w:spacing w:val="-4"/>
          <w:lang w:val="nl-NL"/>
        </w:rPr>
        <w:t>05</w:t>
      </w:r>
      <w:r w:rsidRPr="00FE6A8E">
        <w:rPr>
          <w:spacing w:val="-4"/>
          <w:lang w:val="nl-NL"/>
        </w:rPr>
        <w:t xml:space="preserve"> năm là 1</w:t>
      </w:r>
      <w:r w:rsidR="007E6143">
        <w:rPr>
          <w:spacing w:val="-4"/>
          <w:lang w:val="nl-NL"/>
        </w:rPr>
        <w:t>1,1</w:t>
      </w:r>
      <w:r w:rsidRPr="00FE6A8E">
        <w:rPr>
          <w:spacing w:val="-4"/>
          <w:lang w:val="nl-NL"/>
        </w:rPr>
        <w:t xml:space="preserve"> tỷ đồng; tổng trong </w:t>
      </w:r>
      <w:r w:rsidR="007E6143">
        <w:rPr>
          <w:spacing w:val="-4"/>
          <w:lang w:val="nl-NL"/>
        </w:rPr>
        <w:t>05</w:t>
      </w:r>
      <w:r w:rsidRPr="00FE6A8E">
        <w:rPr>
          <w:spacing w:val="-4"/>
          <w:lang w:val="nl-NL"/>
        </w:rPr>
        <w:t xml:space="preserve"> năm là </w:t>
      </w:r>
      <w:r w:rsidR="007E6143">
        <w:rPr>
          <w:spacing w:val="-4"/>
          <w:lang w:val="nl-NL"/>
        </w:rPr>
        <w:t>55,3</w:t>
      </w:r>
      <w:r w:rsidRPr="00FE6A8E">
        <w:rPr>
          <w:spacing w:val="-4"/>
          <w:lang w:val="nl-NL"/>
        </w:rPr>
        <w:t xml:space="preserve"> tỷ đồng.</w:t>
      </w:r>
    </w:p>
    <w:p w:rsidR="008E407A" w:rsidRDefault="001E1702" w:rsidP="00AD6BCE">
      <w:pPr>
        <w:widowControl w:val="0"/>
        <w:spacing w:after="120" w:line="320" w:lineRule="exact"/>
        <w:jc w:val="both"/>
        <w:rPr>
          <w:lang w:val="nl-NL"/>
        </w:rPr>
      </w:pPr>
      <w:r w:rsidRPr="00937B00">
        <w:rPr>
          <w:lang w:val="nl-NL"/>
        </w:rPr>
        <w:tab/>
        <w:t>Căn cứ vào các giả định nêu trên, Bộ Tài chính dự kiến kết quả kinh doanh của doanh nghiệp như sau:</w:t>
      </w:r>
    </w:p>
    <w:p w:rsidR="001E1702" w:rsidRDefault="008E407A" w:rsidP="00AD6BCE">
      <w:pPr>
        <w:widowControl w:val="0"/>
        <w:spacing w:after="200" w:line="276" w:lineRule="auto"/>
        <w:rPr>
          <w:lang w:val="nl-NL"/>
        </w:rPr>
      </w:pPr>
      <w:r>
        <w:rPr>
          <w:lang w:val="nl-NL"/>
        </w:rPr>
        <w:br w:type="page"/>
      </w:r>
    </w:p>
    <w:tbl>
      <w:tblPr>
        <w:tblW w:w="9917" w:type="dxa"/>
        <w:tblInd w:w="-436" w:type="dxa"/>
        <w:tblLook w:val="04A0"/>
      </w:tblPr>
      <w:tblGrid>
        <w:gridCol w:w="708"/>
        <w:gridCol w:w="2837"/>
        <w:gridCol w:w="876"/>
        <w:gridCol w:w="876"/>
        <w:gridCol w:w="876"/>
        <w:gridCol w:w="876"/>
        <w:gridCol w:w="876"/>
        <w:gridCol w:w="1006"/>
        <w:gridCol w:w="986"/>
      </w:tblGrid>
      <w:tr w:rsidR="008E407A" w:rsidRPr="008E407A" w:rsidTr="00673DED">
        <w:trPr>
          <w:trHeight w:val="810"/>
        </w:trPr>
        <w:tc>
          <w:tcPr>
            <w:tcW w:w="70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center"/>
              <w:rPr>
                <w:b/>
                <w:bCs/>
                <w:color w:val="000000"/>
                <w:sz w:val="22"/>
                <w:szCs w:val="22"/>
              </w:rPr>
            </w:pPr>
            <w:r w:rsidRPr="008E407A">
              <w:rPr>
                <w:b/>
                <w:bCs/>
                <w:color w:val="000000"/>
                <w:sz w:val="22"/>
                <w:szCs w:val="22"/>
              </w:rPr>
              <w:lastRenderedPageBreak/>
              <w:t>STT</w:t>
            </w:r>
          </w:p>
        </w:tc>
        <w:tc>
          <w:tcPr>
            <w:tcW w:w="2837" w:type="dxa"/>
            <w:tcBorders>
              <w:top w:val="single" w:sz="8" w:space="0" w:color="auto"/>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center"/>
              <w:rPr>
                <w:b/>
                <w:bCs/>
                <w:color w:val="000000"/>
                <w:sz w:val="22"/>
                <w:szCs w:val="22"/>
              </w:rPr>
            </w:pPr>
            <w:r w:rsidRPr="008E407A">
              <w:rPr>
                <w:b/>
                <w:bCs/>
                <w:color w:val="000000"/>
                <w:sz w:val="22"/>
                <w:szCs w:val="22"/>
              </w:rPr>
              <w:t>Nội dung</w:t>
            </w:r>
          </w:p>
        </w:tc>
        <w:tc>
          <w:tcPr>
            <w:tcW w:w="876" w:type="dxa"/>
            <w:tcBorders>
              <w:top w:val="single" w:sz="8" w:space="0" w:color="auto"/>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center"/>
              <w:rPr>
                <w:b/>
                <w:bCs/>
                <w:color w:val="000000"/>
                <w:sz w:val="22"/>
                <w:szCs w:val="22"/>
              </w:rPr>
            </w:pPr>
            <w:r w:rsidRPr="008E407A">
              <w:rPr>
                <w:b/>
                <w:bCs/>
                <w:color w:val="000000"/>
                <w:sz w:val="22"/>
                <w:szCs w:val="22"/>
              </w:rPr>
              <w:t>Năm 1</w:t>
            </w:r>
          </w:p>
        </w:tc>
        <w:tc>
          <w:tcPr>
            <w:tcW w:w="876" w:type="dxa"/>
            <w:tcBorders>
              <w:top w:val="single" w:sz="8" w:space="0" w:color="auto"/>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center"/>
              <w:rPr>
                <w:b/>
                <w:bCs/>
                <w:color w:val="000000"/>
                <w:sz w:val="22"/>
                <w:szCs w:val="22"/>
              </w:rPr>
            </w:pPr>
            <w:r w:rsidRPr="008E407A">
              <w:rPr>
                <w:b/>
                <w:bCs/>
                <w:color w:val="000000"/>
                <w:sz w:val="22"/>
                <w:szCs w:val="22"/>
              </w:rPr>
              <w:t>Năm 2</w:t>
            </w:r>
          </w:p>
        </w:tc>
        <w:tc>
          <w:tcPr>
            <w:tcW w:w="876" w:type="dxa"/>
            <w:tcBorders>
              <w:top w:val="single" w:sz="8" w:space="0" w:color="auto"/>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center"/>
              <w:rPr>
                <w:b/>
                <w:bCs/>
                <w:color w:val="000000"/>
                <w:sz w:val="22"/>
                <w:szCs w:val="22"/>
              </w:rPr>
            </w:pPr>
            <w:r w:rsidRPr="008E407A">
              <w:rPr>
                <w:b/>
                <w:bCs/>
                <w:color w:val="000000"/>
                <w:sz w:val="22"/>
                <w:szCs w:val="22"/>
              </w:rPr>
              <w:t>Năm 3</w:t>
            </w:r>
          </w:p>
        </w:tc>
        <w:tc>
          <w:tcPr>
            <w:tcW w:w="876" w:type="dxa"/>
            <w:tcBorders>
              <w:top w:val="single" w:sz="8" w:space="0" w:color="auto"/>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center"/>
              <w:rPr>
                <w:b/>
                <w:bCs/>
                <w:color w:val="000000"/>
                <w:sz w:val="22"/>
                <w:szCs w:val="22"/>
              </w:rPr>
            </w:pPr>
            <w:r w:rsidRPr="008E407A">
              <w:rPr>
                <w:b/>
                <w:bCs/>
                <w:color w:val="000000"/>
                <w:sz w:val="22"/>
                <w:szCs w:val="22"/>
              </w:rPr>
              <w:t>Năm 4</w:t>
            </w:r>
          </w:p>
        </w:tc>
        <w:tc>
          <w:tcPr>
            <w:tcW w:w="876" w:type="dxa"/>
            <w:tcBorders>
              <w:top w:val="single" w:sz="8" w:space="0" w:color="auto"/>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center"/>
              <w:rPr>
                <w:b/>
                <w:bCs/>
                <w:color w:val="000000"/>
                <w:sz w:val="22"/>
                <w:szCs w:val="22"/>
              </w:rPr>
            </w:pPr>
            <w:r w:rsidRPr="008E407A">
              <w:rPr>
                <w:b/>
                <w:bCs/>
                <w:color w:val="000000"/>
                <w:sz w:val="22"/>
                <w:szCs w:val="22"/>
              </w:rPr>
              <w:t>Năm 5</w:t>
            </w:r>
          </w:p>
        </w:tc>
        <w:tc>
          <w:tcPr>
            <w:tcW w:w="1006" w:type="dxa"/>
            <w:tcBorders>
              <w:top w:val="single" w:sz="8" w:space="0" w:color="auto"/>
              <w:left w:val="nil"/>
              <w:bottom w:val="single" w:sz="4" w:space="0" w:color="auto"/>
              <w:right w:val="single" w:sz="8" w:space="0" w:color="auto"/>
            </w:tcBorders>
            <w:shd w:val="clear" w:color="auto" w:fill="auto"/>
            <w:vAlign w:val="center"/>
            <w:hideMark/>
          </w:tcPr>
          <w:p w:rsidR="008E407A" w:rsidRPr="008E407A" w:rsidRDefault="008E407A" w:rsidP="00AD6BCE">
            <w:pPr>
              <w:widowControl w:val="0"/>
              <w:jc w:val="center"/>
              <w:rPr>
                <w:b/>
                <w:bCs/>
                <w:color w:val="000000"/>
                <w:sz w:val="22"/>
                <w:szCs w:val="22"/>
              </w:rPr>
            </w:pPr>
            <w:r w:rsidRPr="008E407A">
              <w:rPr>
                <w:b/>
                <w:bCs/>
                <w:color w:val="000000"/>
                <w:sz w:val="22"/>
                <w:szCs w:val="22"/>
              </w:rPr>
              <w:t>Bình quân 05 năm</w:t>
            </w:r>
          </w:p>
        </w:tc>
        <w:tc>
          <w:tcPr>
            <w:tcW w:w="986" w:type="dxa"/>
            <w:tcBorders>
              <w:top w:val="single" w:sz="8" w:space="0" w:color="auto"/>
              <w:left w:val="nil"/>
              <w:bottom w:val="single" w:sz="4" w:space="0" w:color="auto"/>
              <w:right w:val="single" w:sz="8" w:space="0" w:color="auto"/>
            </w:tcBorders>
            <w:shd w:val="clear" w:color="auto" w:fill="auto"/>
            <w:vAlign w:val="center"/>
            <w:hideMark/>
          </w:tcPr>
          <w:p w:rsidR="008E407A" w:rsidRPr="008E407A" w:rsidRDefault="008E407A" w:rsidP="00AD6BCE">
            <w:pPr>
              <w:widowControl w:val="0"/>
              <w:jc w:val="center"/>
              <w:rPr>
                <w:b/>
                <w:bCs/>
                <w:color w:val="000000"/>
                <w:sz w:val="22"/>
                <w:szCs w:val="22"/>
              </w:rPr>
            </w:pPr>
            <w:r w:rsidRPr="008E407A">
              <w:rPr>
                <w:b/>
                <w:bCs/>
                <w:color w:val="000000"/>
                <w:sz w:val="22"/>
                <w:szCs w:val="22"/>
              </w:rPr>
              <w:t xml:space="preserve">Tổng cộng </w:t>
            </w:r>
            <w:r w:rsidRPr="008E407A">
              <w:rPr>
                <w:b/>
                <w:bCs/>
                <w:color w:val="000000"/>
                <w:sz w:val="22"/>
                <w:szCs w:val="22"/>
              </w:rPr>
              <w:br/>
              <w:t>05 năm</w:t>
            </w:r>
          </w:p>
        </w:tc>
      </w:tr>
      <w:tr w:rsidR="008E407A" w:rsidRPr="008E407A" w:rsidTr="00673DED">
        <w:trPr>
          <w:trHeight w:val="255"/>
        </w:trPr>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E407A" w:rsidRPr="008E407A" w:rsidRDefault="008E407A" w:rsidP="00AD6BCE">
            <w:pPr>
              <w:widowControl w:val="0"/>
              <w:rPr>
                <w:b/>
                <w:bCs/>
                <w:color w:val="000000"/>
                <w:sz w:val="22"/>
                <w:szCs w:val="22"/>
              </w:rPr>
            </w:pPr>
            <w:r w:rsidRPr="008E407A">
              <w:rPr>
                <w:b/>
                <w:bCs/>
                <w:color w:val="000000"/>
                <w:sz w:val="22"/>
                <w:szCs w:val="22"/>
              </w:rPr>
              <w:t>I.</w:t>
            </w:r>
          </w:p>
        </w:tc>
        <w:tc>
          <w:tcPr>
            <w:tcW w:w="2837"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b/>
                <w:bCs/>
                <w:color w:val="000000"/>
                <w:sz w:val="22"/>
                <w:szCs w:val="22"/>
              </w:rPr>
            </w:pPr>
            <w:r w:rsidRPr="008E407A">
              <w:rPr>
                <w:b/>
                <w:bCs/>
                <w:color w:val="000000"/>
                <w:sz w:val="22"/>
                <w:szCs w:val="22"/>
              </w:rPr>
              <w:t>DOANH THU</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b/>
                <w:bCs/>
                <w:color w:val="000000"/>
                <w:sz w:val="22"/>
                <w:szCs w:val="22"/>
              </w:rPr>
            </w:pPr>
            <w:r w:rsidRPr="008E407A">
              <w:rPr>
                <w:b/>
                <w:bCs/>
                <w:color w:val="000000"/>
                <w:sz w:val="22"/>
                <w:szCs w:val="22"/>
              </w:rPr>
              <w:t> </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b/>
                <w:bCs/>
                <w:color w:val="000000"/>
                <w:sz w:val="22"/>
                <w:szCs w:val="22"/>
              </w:rPr>
            </w:pPr>
            <w:r w:rsidRPr="008E407A">
              <w:rPr>
                <w:b/>
                <w:bCs/>
                <w:color w:val="000000"/>
                <w:sz w:val="22"/>
                <w:szCs w:val="22"/>
              </w:rPr>
              <w:t> </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b/>
                <w:bCs/>
                <w:color w:val="000000"/>
                <w:sz w:val="22"/>
                <w:szCs w:val="22"/>
              </w:rPr>
            </w:pPr>
            <w:r w:rsidRPr="008E407A">
              <w:rPr>
                <w:b/>
                <w:bCs/>
                <w:color w:val="000000"/>
                <w:sz w:val="22"/>
                <w:szCs w:val="22"/>
              </w:rPr>
              <w:t> </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b/>
                <w:bCs/>
                <w:color w:val="000000"/>
                <w:sz w:val="22"/>
                <w:szCs w:val="22"/>
              </w:rPr>
            </w:pPr>
            <w:r w:rsidRPr="008E407A">
              <w:rPr>
                <w:b/>
                <w:bCs/>
                <w:color w:val="000000"/>
                <w:sz w:val="22"/>
                <w:szCs w:val="22"/>
              </w:rPr>
              <w:t> </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b/>
                <w:bCs/>
                <w:color w:val="000000"/>
                <w:sz w:val="22"/>
                <w:szCs w:val="22"/>
              </w:rPr>
            </w:pPr>
            <w:r w:rsidRPr="008E407A">
              <w:rPr>
                <w:b/>
                <w:bCs/>
                <w:color w:val="000000"/>
                <w:sz w:val="22"/>
                <w:szCs w:val="22"/>
              </w:rPr>
              <w:t> </w:t>
            </w:r>
          </w:p>
        </w:tc>
        <w:tc>
          <w:tcPr>
            <w:tcW w:w="100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b/>
                <w:bCs/>
                <w:color w:val="000000"/>
                <w:sz w:val="22"/>
                <w:szCs w:val="22"/>
              </w:rPr>
            </w:pPr>
            <w:r w:rsidRPr="008E407A">
              <w:rPr>
                <w:b/>
                <w:bCs/>
                <w:color w:val="000000"/>
                <w:sz w:val="22"/>
                <w:szCs w:val="22"/>
              </w:rPr>
              <w:t> </w:t>
            </w:r>
          </w:p>
        </w:tc>
        <w:tc>
          <w:tcPr>
            <w:tcW w:w="98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b/>
                <w:bCs/>
                <w:color w:val="000000"/>
                <w:sz w:val="22"/>
                <w:szCs w:val="22"/>
              </w:rPr>
            </w:pPr>
            <w:r w:rsidRPr="008E407A">
              <w:rPr>
                <w:b/>
                <w:bCs/>
                <w:color w:val="000000"/>
                <w:sz w:val="22"/>
                <w:szCs w:val="22"/>
              </w:rPr>
              <w:t> </w:t>
            </w:r>
          </w:p>
        </w:tc>
      </w:tr>
      <w:tr w:rsidR="008E407A" w:rsidRPr="008E407A" w:rsidTr="00673DED">
        <w:trPr>
          <w:trHeight w:val="255"/>
        </w:trPr>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1.</w:t>
            </w:r>
          </w:p>
        </w:tc>
        <w:tc>
          <w:tcPr>
            <w:tcW w:w="2837"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color w:val="000000"/>
                <w:sz w:val="22"/>
                <w:szCs w:val="22"/>
              </w:rPr>
            </w:pPr>
            <w:r w:rsidRPr="008E407A">
              <w:rPr>
                <w:color w:val="000000"/>
                <w:sz w:val="22"/>
                <w:szCs w:val="22"/>
              </w:rPr>
              <w:t>Doanh thu bán vé</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rPr>
                <w:color w:val="000000"/>
                <w:sz w:val="22"/>
                <w:szCs w:val="22"/>
              </w:rPr>
            </w:pPr>
            <w:r w:rsidRPr="008E407A">
              <w:rPr>
                <w:color w:val="000000"/>
                <w:sz w:val="22"/>
                <w:szCs w:val="22"/>
              </w:rPr>
              <w:t xml:space="preserve">6.500,0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rPr>
                <w:color w:val="000000"/>
                <w:sz w:val="22"/>
                <w:szCs w:val="22"/>
              </w:rPr>
            </w:pPr>
            <w:r w:rsidRPr="008E407A">
              <w:rPr>
                <w:color w:val="000000"/>
                <w:sz w:val="22"/>
                <w:szCs w:val="22"/>
              </w:rPr>
              <w:t xml:space="preserve">7.150,0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rPr>
                <w:color w:val="000000"/>
                <w:sz w:val="22"/>
                <w:szCs w:val="22"/>
              </w:rPr>
            </w:pPr>
            <w:r w:rsidRPr="008E407A">
              <w:rPr>
                <w:color w:val="000000"/>
                <w:sz w:val="22"/>
                <w:szCs w:val="22"/>
              </w:rPr>
              <w:t xml:space="preserve">7.865,0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8.651,5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rPr>
                <w:color w:val="000000"/>
                <w:sz w:val="22"/>
                <w:szCs w:val="22"/>
              </w:rPr>
            </w:pPr>
            <w:r w:rsidRPr="008E407A">
              <w:rPr>
                <w:color w:val="000000"/>
                <w:sz w:val="22"/>
                <w:szCs w:val="22"/>
              </w:rPr>
              <w:t xml:space="preserve">9.516,7 </w:t>
            </w:r>
          </w:p>
        </w:tc>
        <w:tc>
          <w:tcPr>
            <w:tcW w:w="100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rPr>
                <w:color w:val="000000"/>
                <w:sz w:val="22"/>
                <w:szCs w:val="22"/>
              </w:rPr>
            </w:pPr>
            <w:r w:rsidRPr="008E407A">
              <w:rPr>
                <w:color w:val="000000"/>
                <w:sz w:val="22"/>
                <w:szCs w:val="22"/>
              </w:rPr>
              <w:t xml:space="preserve">7.936,6 </w:t>
            </w:r>
          </w:p>
        </w:tc>
        <w:tc>
          <w:tcPr>
            <w:tcW w:w="98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rPr>
                <w:color w:val="000000"/>
                <w:sz w:val="22"/>
                <w:szCs w:val="22"/>
              </w:rPr>
            </w:pPr>
            <w:r w:rsidRPr="008E407A">
              <w:rPr>
                <w:color w:val="000000"/>
                <w:sz w:val="22"/>
                <w:szCs w:val="22"/>
              </w:rPr>
              <w:t xml:space="preserve">39.683,2 </w:t>
            </w:r>
          </w:p>
        </w:tc>
      </w:tr>
      <w:tr w:rsidR="008E407A" w:rsidRPr="008E407A" w:rsidTr="00673DED">
        <w:trPr>
          <w:trHeight w:val="510"/>
        </w:trPr>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2.</w:t>
            </w:r>
          </w:p>
        </w:tc>
        <w:tc>
          <w:tcPr>
            <w:tcW w:w="2837" w:type="dxa"/>
            <w:tcBorders>
              <w:top w:val="nil"/>
              <w:left w:val="nil"/>
              <w:bottom w:val="single" w:sz="4" w:space="0" w:color="auto"/>
              <w:right w:val="single" w:sz="8" w:space="0" w:color="auto"/>
            </w:tcBorders>
            <w:shd w:val="clear" w:color="auto" w:fill="auto"/>
            <w:vAlign w:val="bottom"/>
            <w:hideMark/>
          </w:tcPr>
          <w:p w:rsidR="008E407A" w:rsidRPr="008E407A" w:rsidRDefault="008E407A" w:rsidP="00AD6BCE">
            <w:pPr>
              <w:widowControl w:val="0"/>
              <w:rPr>
                <w:color w:val="000000"/>
                <w:sz w:val="22"/>
                <w:szCs w:val="22"/>
              </w:rPr>
            </w:pPr>
            <w:r w:rsidRPr="008E407A">
              <w:rPr>
                <w:color w:val="000000"/>
                <w:sz w:val="22"/>
                <w:szCs w:val="22"/>
              </w:rPr>
              <w:t xml:space="preserve">Doanh thu bán vé trừ chi phí trả thưởng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rPr>
                <w:color w:val="000000"/>
                <w:sz w:val="22"/>
                <w:szCs w:val="22"/>
              </w:rPr>
            </w:pPr>
            <w:r w:rsidRPr="008E407A">
              <w:rPr>
                <w:color w:val="000000"/>
                <w:sz w:val="22"/>
                <w:szCs w:val="22"/>
              </w:rPr>
              <w:t xml:space="preserve">2.275,0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rPr>
                <w:color w:val="000000"/>
                <w:sz w:val="22"/>
                <w:szCs w:val="22"/>
              </w:rPr>
            </w:pPr>
            <w:r w:rsidRPr="008E407A">
              <w:rPr>
                <w:color w:val="000000"/>
                <w:sz w:val="22"/>
                <w:szCs w:val="22"/>
              </w:rPr>
              <w:t xml:space="preserve">2.502,5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rPr>
                <w:color w:val="000000"/>
                <w:sz w:val="22"/>
                <w:szCs w:val="22"/>
              </w:rPr>
            </w:pPr>
            <w:r w:rsidRPr="008E407A">
              <w:rPr>
                <w:color w:val="000000"/>
                <w:sz w:val="22"/>
                <w:szCs w:val="22"/>
              </w:rPr>
              <w:t xml:space="preserve">2.752,8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rPr>
                <w:color w:val="000000"/>
                <w:sz w:val="22"/>
                <w:szCs w:val="22"/>
              </w:rPr>
            </w:pPr>
            <w:r w:rsidRPr="008E407A">
              <w:rPr>
                <w:color w:val="000000"/>
                <w:sz w:val="22"/>
                <w:szCs w:val="22"/>
              </w:rPr>
              <w:t xml:space="preserve">3.028,0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rPr>
                <w:color w:val="000000"/>
                <w:sz w:val="22"/>
                <w:szCs w:val="22"/>
              </w:rPr>
            </w:pPr>
            <w:r w:rsidRPr="008E407A">
              <w:rPr>
                <w:color w:val="000000"/>
                <w:sz w:val="22"/>
                <w:szCs w:val="22"/>
              </w:rPr>
              <w:t xml:space="preserve">3.330,8 </w:t>
            </w:r>
          </w:p>
        </w:tc>
        <w:tc>
          <w:tcPr>
            <w:tcW w:w="100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rPr>
                <w:color w:val="000000"/>
                <w:sz w:val="22"/>
                <w:szCs w:val="22"/>
              </w:rPr>
            </w:pPr>
            <w:r w:rsidRPr="008E407A">
              <w:rPr>
                <w:color w:val="000000"/>
                <w:sz w:val="22"/>
                <w:szCs w:val="22"/>
              </w:rPr>
              <w:t xml:space="preserve">2.777,8 </w:t>
            </w:r>
          </w:p>
        </w:tc>
        <w:tc>
          <w:tcPr>
            <w:tcW w:w="98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rPr>
                <w:color w:val="000000"/>
                <w:sz w:val="22"/>
                <w:szCs w:val="22"/>
              </w:rPr>
            </w:pPr>
            <w:r w:rsidRPr="008E407A">
              <w:rPr>
                <w:color w:val="000000"/>
                <w:sz w:val="22"/>
                <w:szCs w:val="22"/>
              </w:rPr>
              <w:t xml:space="preserve">13.889,1 </w:t>
            </w:r>
          </w:p>
        </w:tc>
      </w:tr>
      <w:tr w:rsidR="008E407A" w:rsidRPr="008E407A" w:rsidTr="00673DED">
        <w:trPr>
          <w:trHeight w:val="255"/>
        </w:trPr>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3.</w:t>
            </w:r>
          </w:p>
        </w:tc>
        <w:tc>
          <w:tcPr>
            <w:tcW w:w="2837"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color w:val="000000"/>
                <w:sz w:val="22"/>
                <w:szCs w:val="22"/>
              </w:rPr>
            </w:pPr>
            <w:r w:rsidRPr="008E407A">
              <w:rPr>
                <w:color w:val="000000"/>
                <w:sz w:val="22"/>
                <w:szCs w:val="22"/>
              </w:rPr>
              <w:t>Các khoản giảm trừ doanh thu</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684,1</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752,5</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827,8</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910,5</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1.001,6</w:t>
            </w:r>
          </w:p>
        </w:tc>
        <w:tc>
          <w:tcPr>
            <w:tcW w:w="1006" w:type="dxa"/>
            <w:tcBorders>
              <w:top w:val="nil"/>
              <w:left w:val="nil"/>
              <w:bottom w:val="single" w:sz="4" w:space="0" w:color="auto"/>
              <w:right w:val="single" w:sz="8" w:space="0" w:color="auto"/>
            </w:tcBorders>
            <w:shd w:val="clear" w:color="auto" w:fill="auto"/>
            <w:noWrap/>
            <w:vAlign w:val="center"/>
            <w:hideMark/>
          </w:tcPr>
          <w:p w:rsidR="008E407A" w:rsidRDefault="008E407A" w:rsidP="00AD6BCE">
            <w:pPr>
              <w:widowControl w:val="0"/>
              <w:jc w:val="right"/>
              <w:rPr>
                <w:color w:val="000000"/>
                <w:sz w:val="22"/>
                <w:szCs w:val="22"/>
              </w:rPr>
            </w:pPr>
          </w:p>
          <w:p w:rsidR="008E407A" w:rsidRPr="008E407A" w:rsidRDefault="008E407A" w:rsidP="00AD6BCE">
            <w:pPr>
              <w:widowControl w:val="0"/>
              <w:jc w:val="right"/>
              <w:rPr>
                <w:color w:val="000000"/>
                <w:sz w:val="22"/>
                <w:szCs w:val="22"/>
              </w:rPr>
            </w:pPr>
            <w:r w:rsidRPr="008E407A">
              <w:rPr>
                <w:color w:val="000000"/>
                <w:sz w:val="22"/>
                <w:szCs w:val="22"/>
              </w:rPr>
              <w:t>835,3</w:t>
            </w:r>
          </w:p>
        </w:tc>
        <w:tc>
          <w:tcPr>
            <w:tcW w:w="986" w:type="dxa"/>
            <w:tcBorders>
              <w:top w:val="nil"/>
              <w:left w:val="nil"/>
              <w:bottom w:val="single" w:sz="4" w:space="0" w:color="auto"/>
              <w:right w:val="single" w:sz="8" w:space="0" w:color="auto"/>
            </w:tcBorders>
            <w:shd w:val="clear" w:color="auto" w:fill="auto"/>
            <w:noWrap/>
            <w:vAlign w:val="center"/>
            <w:hideMark/>
          </w:tcPr>
          <w:p w:rsidR="008E407A" w:rsidRDefault="008E407A" w:rsidP="00AD6BCE">
            <w:pPr>
              <w:widowControl w:val="0"/>
              <w:jc w:val="right"/>
              <w:rPr>
                <w:color w:val="000000"/>
                <w:sz w:val="22"/>
                <w:szCs w:val="22"/>
              </w:rPr>
            </w:pPr>
          </w:p>
          <w:p w:rsidR="008E407A" w:rsidRPr="008E407A" w:rsidRDefault="008E407A" w:rsidP="00AD6BCE">
            <w:pPr>
              <w:widowControl w:val="0"/>
              <w:jc w:val="right"/>
              <w:rPr>
                <w:color w:val="000000"/>
                <w:sz w:val="22"/>
                <w:szCs w:val="22"/>
              </w:rPr>
            </w:pPr>
            <w:r w:rsidRPr="008E407A">
              <w:rPr>
                <w:color w:val="000000"/>
                <w:sz w:val="22"/>
                <w:szCs w:val="22"/>
              </w:rPr>
              <w:t>4.176,4</w:t>
            </w:r>
          </w:p>
        </w:tc>
      </w:tr>
      <w:tr w:rsidR="008E407A" w:rsidRPr="008E407A" w:rsidTr="00673DED">
        <w:trPr>
          <w:trHeight w:val="255"/>
        </w:trPr>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w:t>
            </w:r>
          </w:p>
        </w:tc>
        <w:tc>
          <w:tcPr>
            <w:tcW w:w="2837"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color w:val="000000"/>
                <w:sz w:val="22"/>
                <w:szCs w:val="22"/>
              </w:rPr>
            </w:pPr>
            <w:r w:rsidRPr="008E407A">
              <w:rPr>
                <w:color w:val="000000"/>
                <w:sz w:val="22"/>
                <w:szCs w:val="22"/>
              </w:rPr>
              <w:t xml:space="preserve">   - Thuế GTGT</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 xml:space="preserve">       206,8 </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 xml:space="preserve">       227,5 </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 xml:space="preserve">       250,3 </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 xml:space="preserve">       275,3 </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 xml:space="preserve">       302,8 </w:t>
            </w:r>
          </w:p>
        </w:tc>
        <w:tc>
          <w:tcPr>
            <w:tcW w:w="100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252,5 </w:t>
            </w:r>
          </w:p>
        </w:tc>
        <w:tc>
          <w:tcPr>
            <w:tcW w:w="98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1.262,6 </w:t>
            </w:r>
          </w:p>
        </w:tc>
      </w:tr>
      <w:tr w:rsidR="008E407A" w:rsidRPr="008E407A" w:rsidTr="00673DED">
        <w:trPr>
          <w:trHeight w:val="255"/>
        </w:trPr>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w:t>
            </w:r>
          </w:p>
        </w:tc>
        <w:tc>
          <w:tcPr>
            <w:tcW w:w="2837"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color w:val="000000"/>
                <w:sz w:val="22"/>
                <w:szCs w:val="22"/>
              </w:rPr>
            </w:pPr>
            <w:r w:rsidRPr="008E407A">
              <w:rPr>
                <w:color w:val="000000"/>
                <w:sz w:val="22"/>
                <w:szCs w:val="22"/>
              </w:rPr>
              <w:t xml:space="preserve">   - Thuế TTĐB</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 xml:space="preserve">       477,3 </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 xml:space="preserve">       525,0 </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 xml:space="preserve">       577,5 </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 xml:space="preserve">       635,3 </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 xml:space="preserve">       698,8 </w:t>
            </w:r>
          </w:p>
        </w:tc>
        <w:tc>
          <w:tcPr>
            <w:tcW w:w="100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582,8 </w:t>
            </w:r>
          </w:p>
        </w:tc>
        <w:tc>
          <w:tcPr>
            <w:tcW w:w="98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2.913,8 </w:t>
            </w:r>
          </w:p>
        </w:tc>
      </w:tr>
      <w:tr w:rsidR="008E407A" w:rsidRPr="008E407A" w:rsidTr="00673DED">
        <w:trPr>
          <w:trHeight w:val="255"/>
        </w:trPr>
        <w:tc>
          <w:tcPr>
            <w:tcW w:w="708" w:type="dxa"/>
            <w:tcBorders>
              <w:top w:val="nil"/>
              <w:left w:val="single" w:sz="8" w:space="0" w:color="auto"/>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4.</w:t>
            </w:r>
          </w:p>
        </w:tc>
        <w:tc>
          <w:tcPr>
            <w:tcW w:w="2837"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color w:val="000000"/>
                <w:sz w:val="22"/>
                <w:szCs w:val="22"/>
              </w:rPr>
            </w:pPr>
            <w:r w:rsidRPr="008E407A">
              <w:rPr>
                <w:color w:val="000000"/>
                <w:sz w:val="22"/>
                <w:szCs w:val="22"/>
              </w:rPr>
              <w:t xml:space="preserve">Doanh thu thuần </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 xml:space="preserve">    1.590,9 </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 xml:space="preserve">    1.750,0 </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 xml:space="preserve">    1.925,0 </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 xml:space="preserve">    2.117,5 </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 xml:space="preserve">    2.329,3 </w:t>
            </w:r>
          </w:p>
        </w:tc>
        <w:tc>
          <w:tcPr>
            <w:tcW w:w="100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1.942,5 </w:t>
            </w:r>
          </w:p>
        </w:tc>
        <w:tc>
          <w:tcPr>
            <w:tcW w:w="98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9.712,7 </w:t>
            </w:r>
          </w:p>
        </w:tc>
      </w:tr>
      <w:tr w:rsidR="008E407A" w:rsidRPr="008E407A" w:rsidTr="00673DED">
        <w:trPr>
          <w:trHeight w:val="212"/>
        </w:trPr>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E407A" w:rsidRPr="008E407A" w:rsidRDefault="008E407A" w:rsidP="00AD6BCE">
            <w:pPr>
              <w:widowControl w:val="0"/>
              <w:rPr>
                <w:b/>
                <w:bCs/>
                <w:color w:val="000000"/>
                <w:sz w:val="22"/>
                <w:szCs w:val="22"/>
              </w:rPr>
            </w:pPr>
            <w:r w:rsidRPr="008E407A">
              <w:rPr>
                <w:b/>
                <w:bCs/>
                <w:color w:val="000000"/>
                <w:sz w:val="22"/>
                <w:szCs w:val="22"/>
              </w:rPr>
              <w:t>II.</w:t>
            </w:r>
          </w:p>
        </w:tc>
        <w:tc>
          <w:tcPr>
            <w:tcW w:w="2837" w:type="dxa"/>
            <w:tcBorders>
              <w:top w:val="nil"/>
              <w:left w:val="nil"/>
              <w:bottom w:val="single" w:sz="4" w:space="0" w:color="auto"/>
              <w:right w:val="single" w:sz="8" w:space="0" w:color="auto"/>
            </w:tcBorders>
            <w:shd w:val="clear" w:color="auto" w:fill="auto"/>
            <w:vAlign w:val="bottom"/>
            <w:hideMark/>
          </w:tcPr>
          <w:p w:rsidR="008E407A" w:rsidRPr="00673DED" w:rsidRDefault="008E407A" w:rsidP="00AD6BCE">
            <w:pPr>
              <w:widowControl w:val="0"/>
              <w:rPr>
                <w:b/>
                <w:bCs/>
                <w:color w:val="000000"/>
                <w:sz w:val="22"/>
                <w:szCs w:val="22"/>
              </w:rPr>
            </w:pPr>
            <w:r w:rsidRPr="00673DED">
              <w:rPr>
                <w:b/>
                <w:bCs/>
                <w:color w:val="000000"/>
                <w:sz w:val="22"/>
                <w:szCs w:val="22"/>
              </w:rPr>
              <w:t>CHI PHÍ</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673DED" w:rsidRDefault="008E407A" w:rsidP="00AD6BCE">
            <w:pPr>
              <w:widowControl w:val="0"/>
              <w:jc w:val="right"/>
              <w:rPr>
                <w:b/>
                <w:bCs/>
                <w:color w:val="000000"/>
                <w:sz w:val="22"/>
                <w:szCs w:val="22"/>
              </w:rPr>
            </w:pPr>
            <w:r w:rsidRPr="00673DED">
              <w:rPr>
                <w:b/>
                <w:bCs/>
                <w:color w:val="000000"/>
                <w:sz w:val="22"/>
                <w:szCs w:val="22"/>
              </w:rPr>
              <w:t xml:space="preserve">      996,0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673DED" w:rsidRDefault="008E407A" w:rsidP="00AD6BCE">
            <w:pPr>
              <w:widowControl w:val="0"/>
              <w:jc w:val="right"/>
              <w:rPr>
                <w:b/>
                <w:bCs/>
                <w:color w:val="000000"/>
                <w:sz w:val="22"/>
                <w:szCs w:val="22"/>
              </w:rPr>
            </w:pPr>
            <w:r w:rsidRPr="00673DED">
              <w:rPr>
                <w:b/>
                <w:bCs/>
                <w:color w:val="000000"/>
                <w:sz w:val="22"/>
                <w:szCs w:val="22"/>
              </w:rPr>
              <w:t xml:space="preserve">   1.120,3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673DED" w:rsidRDefault="008E407A" w:rsidP="00AD6BCE">
            <w:pPr>
              <w:widowControl w:val="0"/>
              <w:jc w:val="right"/>
              <w:rPr>
                <w:b/>
                <w:bCs/>
                <w:color w:val="000000"/>
                <w:sz w:val="22"/>
                <w:szCs w:val="22"/>
              </w:rPr>
            </w:pPr>
            <w:r w:rsidRPr="00673DED">
              <w:rPr>
                <w:b/>
                <w:bCs/>
                <w:color w:val="000000"/>
                <w:sz w:val="22"/>
                <w:szCs w:val="22"/>
              </w:rPr>
              <w:t xml:space="preserve">   1.201,6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673DED" w:rsidRDefault="008E407A" w:rsidP="00AD6BCE">
            <w:pPr>
              <w:widowControl w:val="0"/>
              <w:jc w:val="right"/>
              <w:rPr>
                <w:b/>
                <w:bCs/>
                <w:color w:val="000000"/>
                <w:sz w:val="22"/>
                <w:szCs w:val="22"/>
              </w:rPr>
            </w:pPr>
            <w:r w:rsidRPr="00673DED">
              <w:rPr>
                <w:b/>
                <w:bCs/>
                <w:color w:val="000000"/>
                <w:sz w:val="22"/>
                <w:szCs w:val="22"/>
              </w:rPr>
              <w:t xml:space="preserve">   1.290,5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673DED" w:rsidRDefault="008E407A" w:rsidP="00AD6BCE">
            <w:pPr>
              <w:widowControl w:val="0"/>
              <w:jc w:val="right"/>
              <w:rPr>
                <w:b/>
                <w:bCs/>
                <w:color w:val="000000"/>
                <w:sz w:val="22"/>
                <w:szCs w:val="22"/>
              </w:rPr>
            </w:pPr>
            <w:r w:rsidRPr="00673DED">
              <w:rPr>
                <w:b/>
                <w:bCs/>
                <w:color w:val="000000"/>
                <w:sz w:val="22"/>
                <w:szCs w:val="22"/>
              </w:rPr>
              <w:t xml:space="preserve">   1.387,7 </w:t>
            </w:r>
          </w:p>
        </w:tc>
        <w:tc>
          <w:tcPr>
            <w:tcW w:w="1006" w:type="dxa"/>
            <w:tcBorders>
              <w:top w:val="nil"/>
              <w:left w:val="nil"/>
              <w:bottom w:val="single" w:sz="4" w:space="0" w:color="auto"/>
              <w:right w:val="single" w:sz="8" w:space="0" w:color="auto"/>
            </w:tcBorders>
            <w:shd w:val="clear" w:color="auto" w:fill="auto"/>
            <w:noWrap/>
            <w:vAlign w:val="center"/>
            <w:hideMark/>
          </w:tcPr>
          <w:p w:rsidR="008E407A" w:rsidRPr="00673DED" w:rsidRDefault="008E407A" w:rsidP="00AD6BCE">
            <w:pPr>
              <w:widowControl w:val="0"/>
              <w:jc w:val="right"/>
              <w:rPr>
                <w:b/>
                <w:color w:val="000000"/>
                <w:sz w:val="22"/>
                <w:szCs w:val="22"/>
              </w:rPr>
            </w:pPr>
            <w:r w:rsidRPr="00673DED">
              <w:rPr>
                <w:b/>
                <w:color w:val="000000"/>
                <w:sz w:val="22"/>
                <w:szCs w:val="22"/>
              </w:rPr>
              <w:t xml:space="preserve">    1.199,2 </w:t>
            </w:r>
          </w:p>
        </w:tc>
        <w:tc>
          <w:tcPr>
            <w:tcW w:w="986" w:type="dxa"/>
            <w:tcBorders>
              <w:top w:val="nil"/>
              <w:left w:val="nil"/>
              <w:bottom w:val="single" w:sz="4" w:space="0" w:color="auto"/>
              <w:right w:val="single" w:sz="8" w:space="0" w:color="auto"/>
            </w:tcBorders>
            <w:shd w:val="clear" w:color="auto" w:fill="auto"/>
            <w:noWrap/>
            <w:vAlign w:val="center"/>
            <w:hideMark/>
          </w:tcPr>
          <w:p w:rsidR="008E407A" w:rsidRPr="00673DED" w:rsidRDefault="008E407A" w:rsidP="00AD6BCE">
            <w:pPr>
              <w:widowControl w:val="0"/>
              <w:jc w:val="right"/>
              <w:rPr>
                <w:b/>
                <w:color w:val="000000"/>
                <w:sz w:val="22"/>
                <w:szCs w:val="22"/>
              </w:rPr>
            </w:pPr>
            <w:r w:rsidRPr="00673DED">
              <w:rPr>
                <w:b/>
                <w:color w:val="000000"/>
                <w:sz w:val="22"/>
                <w:szCs w:val="22"/>
              </w:rPr>
              <w:t xml:space="preserve">      5.996,1 </w:t>
            </w:r>
          </w:p>
        </w:tc>
      </w:tr>
      <w:tr w:rsidR="008E407A" w:rsidRPr="008E407A" w:rsidTr="00673DED">
        <w:trPr>
          <w:trHeight w:val="255"/>
        </w:trPr>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1.</w:t>
            </w:r>
          </w:p>
        </w:tc>
        <w:tc>
          <w:tcPr>
            <w:tcW w:w="2837"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color w:val="000000"/>
                <w:sz w:val="22"/>
                <w:szCs w:val="22"/>
              </w:rPr>
            </w:pPr>
            <w:r w:rsidRPr="008E407A">
              <w:rPr>
                <w:color w:val="000000"/>
                <w:sz w:val="22"/>
                <w:szCs w:val="22"/>
              </w:rPr>
              <w:t>Chi hoa hồng đại lý</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650,0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715,0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786,5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865,2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951,7 </w:t>
            </w:r>
          </w:p>
        </w:tc>
        <w:tc>
          <w:tcPr>
            <w:tcW w:w="100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793,7 </w:t>
            </w:r>
          </w:p>
        </w:tc>
        <w:tc>
          <w:tcPr>
            <w:tcW w:w="98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3.968,3 </w:t>
            </w:r>
          </w:p>
        </w:tc>
      </w:tr>
      <w:tr w:rsidR="008E407A" w:rsidRPr="008E407A" w:rsidTr="00673DED">
        <w:trPr>
          <w:trHeight w:val="255"/>
        </w:trPr>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2.</w:t>
            </w:r>
          </w:p>
        </w:tc>
        <w:tc>
          <w:tcPr>
            <w:tcW w:w="2837" w:type="dxa"/>
            <w:tcBorders>
              <w:top w:val="nil"/>
              <w:left w:val="nil"/>
              <w:bottom w:val="single" w:sz="4" w:space="0" w:color="auto"/>
              <w:right w:val="single" w:sz="8" w:space="0" w:color="auto"/>
            </w:tcBorders>
            <w:shd w:val="clear" w:color="auto" w:fill="auto"/>
            <w:vAlign w:val="bottom"/>
            <w:hideMark/>
          </w:tcPr>
          <w:p w:rsidR="008E407A" w:rsidRPr="008E407A" w:rsidRDefault="008E407A" w:rsidP="00AD6BCE">
            <w:pPr>
              <w:widowControl w:val="0"/>
              <w:rPr>
                <w:color w:val="000000"/>
                <w:sz w:val="22"/>
                <w:szCs w:val="22"/>
              </w:rPr>
            </w:pPr>
            <w:r w:rsidRPr="008E407A">
              <w:rPr>
                <w:color w:val="000000"/>
                <w:sz w:val="22"/>
                <w:szCs w:val="22"/>
              </w:rPr>
              <w:t xml:space="preserve">Chi khấu hao tài sản cố định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160,0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210,0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210,0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210,0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210,0 </w:t>
            </w:r>
          </w:p>
        </w:tc>
        <w:tc>
          <w:tcPr>
            <w:tcW w:w="100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200,0 </w:t>
            </w:r>
          </w:p>
        </w:tc>
        <w:tc>
          <w:tcPr>
            <w:tcW w:w="98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1.000,0 </w:t>
            </w:r>
          </w:p>
        </w:tc>
      </w:tr>
      <w:tr w:rsidR="008E407A" w:rsidRPr="008E407A" w:rsidTr="00673DED">
        <w:trPr>
          <w:trHeight w:val="255"/>
        </w:trPr>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3.</w:t>
            </w:r>
          </w:p>
        </w:tc>
        <w:tc>
          <w:tcPr>
            <w:tcW w:w="2837"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color w:val="000000"/>
                <w:sz w:val="22"/>
                <w:szCs w:val="22"/>
              </w:rPr>
            </w:pPr>
            <w:r w:rsidRPr="008E407A">
              <w:rPr>
                <w:color w:val="000000"/>
                <w:sz w:val="22"/>
                <w:szCs w:val="22"/>
              </w:rPr>
              <w:t>Chi phí tiền lương</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78,0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81,9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86,0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90,3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94,8 </w:t>
            </w:r>
          </w:p>
        </w:tc>
        <w:tc>
          <w:tcPr>
            <w:tcW w:w="100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86,2 </w:t>
            </w:r>
          </w:p>
        </w:tc>
        <w:tc>
          <w:tcPr>
            <w:tcW w:w="98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431,0 </w:t>
            </w:r>
          </w:p>
        </w:tc>
      </w:tr>
      <w:tr w:rsidR="008E407A" w:rsidRPr="008E407A" w:rsidTr="00673DED">
        <w:trPr>
          <w:trHeight w:val="510"/>
        </w:trPr>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4.</w:t>
            </w:r>
          </w:p>
        </w:tc>
        <w:tc>
          <w:tcPr>
            <w:tcW w:w="2837" w:type="dxa"/>
            <w:tcBorders>
              <w:top w:val="nil"/>
              <w:left w:val="nil"/>
              <w:bottom w:val="single" w:sz="4" w:space="0" w:color="auto"/>
              <w:right w:val="single" w:sz="8" w:space="0" w:color="auto"/>
            </w:tcBorders>
            <w:shd w:val="clear" w:color="auto" w:fill="auto"/>
            <w:vAlign w:val="bottom"/>
            <w:hideMark/>
          </w:tcPr>
          <w:p w:rsidR="008E407A" w:rsidRPr="008E407A" w:rsidRDefault="008E407A" w:rsidP="00AD6BCE">
            <w:pPr>
              <w:widowControl w:val="0"/>
              <w:rPr>
                <w:color w:val="000000"/>
                <w:sz w:val="22"/>
                <w:szCs w:val="22"/>
              </w:rPr>
            </w:pPr>
            <w:r w:rsidRPr="008E407A">
              <w:rPr>
                <w:color w:val="000000"/>
                <w:sz w:val="22"/>
                <w:szCs w:val="22"/>
              </w:rPr>
              <w:t>Chi phí thuê trụ sở, chi nhánh tại các địa phương</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18,0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18,9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19,8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20,8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21,9 </w:t>
            </w:r>
          </w:p>
        </w:tc>
        <w:tc>
          <w:tcPr>
            <w:tcW w:w="100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19,9 </w:t>
            </w:r>
          </w:p>
        </w:tc>
        <w:tc>
          <w:tcPr>
            <w:tcW w:w="98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99,5 </w:t>
            </w:r>
          </w:p>
        </w:tc>
      </w:tr>
      <w:tr w:rsidR="008E407A" w:rsidRPr="008E407A" w:rsidTr="00673DED">
        <w:trPr>
          <w:trHeight w:val="1005"/>
        </w:trPr>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5.</w:t>
            </w:r>
          </w:p>
        </w:tc>
        <w:tc>
          <w:tcPr>
            <w:tcW w:w="2837" w:type="dxa"/>
            <w:tcBorders>
              <w:top w:val="nil"/>
              <w:left w:val="nil"/>
              <w:bottom w:val="single" w:sz="4" w:space="0" w:color="auto"/>
              <w:right w:val="single" w:sz="8" w:space="0" w:color="auto"/>
            </w:tcBorders>
            <w:shd w:val="clear" w:color="auto" w:fill="auto"/>
            <w:vAlign w:val="bottom"/>
            <w:hideMark/>
          </w:tcPr>
          <w:p w:rsidR="008E407A" w:rsidRPr="008E407A" w:rsidRDefault="008E407A" w:rsidP="00AD6BCE">
            <w:pPr>
              <w:widowControl w:val="0"/>
              <w:rPr>
                <w:color w:val="000000"/>
                <w:sz w:val="22"/>
                <w:szCs w:val="22"/>
              </w:rPr>
            </w:pPr>
            <w:r w:rsidRPr="008E407A">
              <w:rPr>
                <w:color w:val="000000"/>
                <w:sz w:val="22"/>
                <w:szCs w:val="22"/>
              </w:rPr>
              <w:t xml:space="preserve">Chi phí marketing, vận hành hệ thống đặt cược (bảo trì, bảo dưỡng, đường truyền dữ liệu…)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80,0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84,0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88,2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92,6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97,2 </w:t>
            </w:r>
          </w:p>
        </w:tc>
        <w:tc>
          <w:tcPr>
            <w:tcW w:w="100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88,4 </w:t>
            </w:r>
          </w:p>
        </w:tc>
        <w:tc>
          <w:tcPr>
            <w:tcW w:w="98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442,1 </w:t>
            </w:r>
          </w:p>
        </w:tc>
      </w:tr>
      <w:tr w:rsidR="008E407A" w:rsidRPr="008E407A" w:rsidTr="00673DED">
        <w:trPr>
          <w:trHeight w:val="255"/>
        </w:trPr>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center"/>
              <w:rPr>
                <w:color w:val="000000"/>
                <w:sz w:val="22"/>
                <w:szCs w:val="22"/>
              </w:rPr>
            </w:pPr>
            <w:r w:rsidRPr="008E407A">
              <w:rPr>
                <w:color w:val="000000"/>
                <w:sz w:val="22"/>
                <w:szCs w:val="22"/>
              </w:rPr>
              <w:t>6.</w:t>
            </w:r>
          </w:p>
        </w:tc>
        <w:tc>
          <w:tcPr>
            <w:tcW w:w="2837" w:type="dxa"/>
            <w:tcBorders>
              <w:top w:val="nil"/>
              <w:left w:val="nil"/>
              <w:bottom w:val="single" w:sz="4" w:space="0" w:color="auto"/>
              <w:right w:val="single" w:sz="8" w:space="0" w:color="auto"/>
            </w:tcBorders>
            <w:shd w:val="clear" w:color="auto" w:fill="auto"/>
            <w:vAlign w:val="bottom"/>
            <w:hideMark/>
          </w:tcPr>
          <w:p w:rsidR="008E407A" w:rsidRPr="008E407A" w:rsidRDefault="008E407A" w:rsidP="00AD6BCE">
            <w:pPr>
              <w:widowControl w:val="0"/>
              <w:rPr>
                <w:color w:val="000000"/>
                <w:sz w:val="22"/>
                <w:szCs w:val="22"/>
              </w:rPr>
            </w:pPr>
            <w:r w:rsidRPr="008E407A">
              <w:rPr>
                <w:color w:val="000000"/>
                <w:sz w:val="22"/>
                <w:szCs w:val="22"/>
              </w:rPr>
              <w:t>Chi hành chính, chi khác</w:t>
            </w:r>
          </w:p>
        </w:tc>
        <w:tc>
          <w:tcPr>
            <w:tcW w:w="876"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jc w:val="right"/>
              <w:rPr>
                <w:color w:val="000000"/>
                <w:sz w:val="22"/>
                <w:szCs w:val="22"/>
              </w:rPr>
            </w:pPr>
            <w:r w:rsidRPr="008E407A">
              <w:rPr>
                <w:color w:val="000000"/>
                <w:sz w:val="22"/>
                <w:szCs w:val="22"/>
              </w:rPr>
              <w:t xml:space="preserve">         10,0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10,5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11,0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11,6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12,2 </w:t>
            </w:r>
          </w:p>
        </w:tc>
        <w:tc>
          <w:tcPr>
            <w:tcW w:w="100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11,1 </w:t>
            </w:r>
          </w:p>
        </w:tc>
        <w:tc>
          <w:tcPr>
            <w:tcW w:w="98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color w:val="000000"/>
                <w:sz w:val="22"/>
                <w:szCs w:val="22"/>
              </w:rPr>
            </w:pPr>
            <w:r w:rsidRPr="008E407A">
              <w:rPr>
                <w:color w:val="000000"/>
                <w:sz w:val="22"/>
                <w:szCs w:val="22"/>
              </w:rPr>
              <w:t xml:space="preserve">           55,3 </w:t>
            </w:r>
          </w:p>
        </w:tc>
      </w:tr>
      <w:tr w:rsidR="008E407A" w:rsidRPr="008E407A" w:rsidTr="00673DED">
        <w:trPr>
          <w:trHeight w:val="255"/>
        </w:trPr>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E407A" w:rsidRPr="008E407A" w:rsidRDefault="008E407A" w:rsidP="00AD6BCE">
            <w:pPr>
              <w:widowControl w:val="0"/>
              <w:rPr>
                <w:b/>
                <w:bCs/>
                <w:color w:val="000000"/>
                <w:sz w:val="22"/>
                <w:szCs w:val="22"/>
              </w:rPr>
            </w:pPr>
            <w:r w:rsidRPr="008E407A">
              <w:rPr>
                <w:b/>
                <w:bCs/>
                <w:color w:val="000000"/>
                <w:sz w:val="22"/>
                <w:szCs w:val="22"/>
              </w:rPr>
              <w:t>III.</w:t>
            </w:r>
          </w:p>
        </w:tc>
        <w:tc>
          <w:tcPr>
            <w:tcW w:w="2837"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b/>
                <w:bCs/>
                <w:color w:val="000000"/>
                <w:sz w:val="22"/>
                <w:szCs w:val="22"/>
              </w:rPr>
            </w:pPr>
            <w:r w:rsidRPr="008E407A">
              <w:rPr>
                <w:b/>
                <w:bCs/>
                <w:color w:val="000000"/>
                <w:sz w:val="22"/>
                <w:szCs w:val="22"/>
              </w:rPr>
              <w:t>Lợi nhuận trước thuế</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594,9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629,7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723,4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827,0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941,5 </w:t>
            </w:r>
          </w:p>
        </w:tc>
        <w:tc>
          <w:tcPr>
            <w:tcW w:w="100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743,3 </w:t>
            </w:r>
          </w:p>
        </w:tc>
        <w:tc>
          <w:tcPr>
            <w:tcW w:w="98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3.716,6 </w:t>
            </w:r>
          </w:p>
        </w:tc>
      </w:tr>
      <w:tr w:rsidR="008E407A" w:rsidRPr="008E407A" w:rsidTr="00673DED">
        <w:trPr>
          <w:trHeight w:val="255"/>
        </w:trPr>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E407A" w:rsidRPr="008E407A" w:rsidRDefault="008E407A" w:rsidP="00AD6BCE">
            <w:pPr>
              <w:widowControl w:val="0"/>
              <w:rPr>
                <w:b/>
                <w:bCs/>
                <w:color w:val="000000"/>
                <w:sz w:val="22"/>
                <w:szCs w:val="22"/>
              </w:rPr>
            </w:pPr>
            <w:r w:rsidRPr="008E407A">
              <w:rPr>
                <w:b/>
                <w:bCs/>
                <w:color w:val="000000"/>
                <w:sz w:val="22"/>
                <w:szCs w:val="22"/>
              </w:rPr>
              <w:t>IV.</w:t>
            </w:r>
          </w:p>
        </w:tc>
        <w:tc>
          <w:tcPr>
            <w:tcW w:w="2837"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b/>
                <w:bCs/>
                <w:color w:val="000000"/>
                <w:sz w:val="22"/>
                <w:szCs w:val="22"/>
              </w:rPr>
            </w:pPr>
            <w:r w:rsidRPr="008E407A">
              <w:rPr>
                <w:b/>
                <w:bCs/>
                <w:color w:val="000000"/>
                <w:sz w:val="22"/>
                <w:szCs w:val="22"/>
              </w:rPr>
              <w:t>Thuế TNDN</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119,0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125,9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144,7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165,4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188,3 </w:t>
            </w:r>
          </w:p>
        </w:tc>
        <w:tc>
          <w:tcPr>
            <w:tcW w:w="100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148,7 </w:t>
            </w:r>
          </w:p>
        </w:tc>
        <w:tc>
          <w:tcPr>
            <w:tcW w:w="98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743,3 </w:t>
            </w:r>
          </w:p>
        </w:tc>
      </w:tr>
      <w:tr w:rsidR="008E407A" w:rsidRPr="008E407A" w:rsidTr="00673DED">
        <w:trPr>
          <w:trHeight w:val="255"/>
        </w:trPr>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E407A" w:rsidRPr="008E407A" w:rsidRDefault="008E407A" w:rsidP="00AD6BCE">
            <w:pPr>
              <w:widowControl w:val="0"/>
              <w:rPr>
                <w:b/>
                <w:bCs/>
                <w:color w:val="000000"/>
                <w:sz w:val="22"/>
                <w:szCs w:val="22"/>
              </w:rPr>
            </w:pPr>
            <w:r w:rsidRPr="008E407A">
              <w:rPr>
                <w:b/>
                <w:bCs/>
                <w:color w:val="000000"/>
                <w:sz w:val="22"/>
                <w:szCs w:val="22"/>
              </w:rPr>
              <w:t>V.</w:t>
            </w:r>
          </w:p>
        </w:tc>
        <w:tc>
          <w:tcPr>
            <w:tcW w:w="2837" w:type="dxa"/>
            <w:tcBorders>
              <w:top w:val="nil"/>
              <w:left w:val="nil"/>
              <w:bottom w:val="single" w:sz="4" w:space="0" w:color="auto"/>
              <w:right w:val="single" w:sz="8" w:space="0" w:color="auto"/>
            </w:tcBorders>
            <w:shd w:val="clear" w:color="auto" w:fill="auto"/>
            <w:noWrap/>
            <w:vAlign w:val="bottom"/>
            <w:hideMark/>
          </w:tcPr>
          <w:p w:rsidR="008E407A" w:rsidRPr="008E407A" w:rsidRDefault="008E407A" w:rsidP="00AD6BCE">
            <w:pPr>
              <w:widowControl w:val="0"/>
              <w:rPr>
                <w:b/>
                <w:bCs/>
                <w:color w:val="000000"/>
                <w:sz w:val="22"/>
                <w:szCs w:val="22"/>
              </w:rPr>
            </w:pPr>
            <w:r w:rsidRPr="008E407A">
              <w:rPr>
                <w:b/>
                <w:bCs/>
                <w:color w:val="000000"/>
                <w:sz w:val="22"/>
                <w:szCs w:val="22"/>
              </w:rPr>
              <w:t>Lợi nhuận sau thuế</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475,9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503,8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578,7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661,6 </w:t>
            </w:r>
          </w:p>
        </w:tc>
        <w:tc>
          <w:tcPr>
            <w:tcW w:w="87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753,2 </w:t>
            </w:r>
          </w:p>
        </w:tc>
        <w:tc>
          <w:tcPr>
            <w:tcW w:w="100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594,7 </w:t>
            </w:r>
          </w:p>
        </w:tc>
        <w:tc>
          <w:tcPr>
            <w:tcW w:w="986" w:type="dxa"/>
            <w:tcBorders>
              <w:top w:val="nil"/>
              <w:left w:val="nil"/>
              <w:bottom w:val="single" w:sz="4"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xml:space="preserve">     2.973,3 </w:t>
            </w:r>
          </w:p>
        </w:tc>
      </w:tr>
      <w:tr w:rsidR="008E407A" w:rsidRPr="008E407A" w:rsidTr="00673DED">
        <w:trPr>
          <w:trHeight w:val="525"/>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rsidR="008E407A" w:rsidRPr="008E407A" w:rsidRDefault="008E407A" w:rsidP="00AD6BCE">
            <w:pPr>
              <w:widowControl w:val="0"/>
              <w:rPr>
                <w:b/>
                <w:bCs/>
                <w:color w:val="000000"/>
                <w:sz w:val="22"/>
                <w:szCs w:val="22"/>
              </w:rPr>
            </w:pPr>
            <w:r w:rsidRPr="008E407A">
              <w:rPr>
                <w:b/>
                <w:bCs/>
                <w:color w:val="000000"/>
                <w:sz w:val="22"/>
                <w:szCs w:val="22"/>
              </w:rPr>
              <w:t>VI.</w:t>
            </w:r>
          </w:p>
        </w:tc>
        <w:tc>
          <w:tcPr>
            <w:tcW w:w="2837" w:type="dxa"/>
            <w:tcBorders>
              <w:top w:val="nil"/>
              <w:left w:val="nil"/>
              <w:bottom w:val="single" w:sz="8" w:space="0" w:color="auto"/>
              <w:right w:val="single" w:sz="8" w:space="0" w:color="auto"/>
            </w:tcBorders>
            <w:shd w:val="clear" w:color="auto" w:fill="auto"/>
            <w:vAlign w:val="bottom"/>
            <w:hideMark/>
          </w:tcPr>
          <w:p w:rsidR="008E407A" w:rsidRPr="008E407A" w:rsidRDefault="008E407A" w:rsidP="00AD6BCE">
            <w:pPr>
              <w:widowControl w:val="0"/>
              <w:rPr>
                <w:b/>
                <w:bCs/>
                <w:color w:val="000000"/>
                <w:sz w:val="22"/>
                <w:szCs w:val="22"/>
              </w:rPr>
            </w:pPr>
            <w:r w:rsidRPr="008E407A">
              <w:rPr>
                <w:b/>
                <w:bCs/>
                <w:color w:val="000000"/>
                <w:sz w:val="22"/>
                <w:szCs w:val="22"/>
              </w:rPr>
              <w:t>Tỷ lệ lợi nhuận sau thuế/Doanh thu bán vé (%)</w:t>
            </w:r>
          </w:p>
        </w:tc>
        <w:tc>
          <w:tcPr>
            <w:tcW w:w="876" w:type="dxa"/>
            <w:tcBorders>
              <w:top w:val="nil"/>
              <w:left w:val="nil"/>
              <w:bottom w:val="single" w:sz="8"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7,32%</w:t>
            </w:r>
          </w:p>
        </w:tc>
        <w:tc>
          <w:tcPr>
            <w:tcW w:w="876" w:type="dxa"/>
            <w:tcBorders>
              <w:top w:val="nil"/>
              <w:left w:val="nil"/>
              <w:bottom w:val="single" w:sz="8"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7,05%</w:t>
            </w:r>
          </w:p>
        </w:tc>
        <w:tc>
          <w:tcPr>
            <w:tcW w:w="876" w:type="dxa"/>
            <w:tcBorders>
              <w:top w:val="nil"/>
              <w:left w:val="nil"/>
              <w:bottom w:val="single" w:sz="8"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7,36%</w:t>
            </w:r>
          </w:p>
        </w:tc>
        <w:tc>
          <w:tcPr>
            <w:tcW w:w="876" w:type="dxa"/>
            <w:tcBorders>
              <w:top w:val="nil"/>
              <w:left w:val="nil"/>
              <w:bottom w:val="single" w:sz="8"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7,65%</w:t>
            </w:r>
          </w:p>
        </w:tc>
        <w:tc>
          <w:tcPr>
            <w:tcW w:w="876" w:type="dxa"/>
            <w:tcBorders>
              <w:top w:val="nil"/>
              <w:left w:val="nil"/>
              <w:bottom w:val="single" w:sz="8"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7,91%</w:t>
            </w:r>
          </w:p>
        </w:tc>
        <w:tc>
          <w:tcPr>
            <w:tcW w:w="1006" w:type="dxa"/>
            <w:tcBorders>
              <w:top w:val="nil"/>
              <w:left w:val="nil"/>
              <w:bottom w:val="single" w:sz="8"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7,46%</w:t>
            </w:r>
          </w:p>
        </w:tc>
        <w:tc>
          <w:tcPr>
            <w:tcW w:w="986" w:type="dxa"/>
            <w:tcBorders>
              <w:top w:val="nil"/>
              <w:left w:val="nil"/>
              <w:bottom w:val="single" w:sz="8" w:space="0" w:color="auto"/>
              <w:right w:val="single" w:sz="8" w:space="0" w:color="auto"/>
            </w:tcBorders>
            <w:shd w:val="clear" w:color="auto" w:fill="auto"/>
            <w:noWrap/>
            <w:vAlign w:val="center"/>
            <w:hideMark/>
          </w:tcPr>
          <w:p w:rsidR="008E407A" w:rsidRPr="008E407A" w:rsidRDefault="008E407A" w:rsidP="00AD6BCE">
            <w:pPr>
              <w:widowControl w:val="0"/>
              <w:jc w:val="right"/>
              <w:rPr>
                <w:b/>
                <w:bCs/>
                <w:color w:val="000000"/>
                <w:sz w:val="22"/>
                <w:szCs w:val="22"/>
              </w:rPr>
            </w:pPr>
            <w:r w:rsidRPr="008E407A">
              <w:rPr>
                <w:b/>
                <w:bCs/>
                <w:color w:val="000000"/>
                <w:sz w:val="22"/>
                <w:szCs w:val="22"/>
              </w:rPr>
              <w:t> </w:t>
            </w:r>
          </w:p>
        </w:tc>
      </w:tr>
    </w:tbl>
    <w:p w:rsidR="008E407A" w:rsidRDefault="008E407A" w:rsidP="00AD6BCE">
      <w:pPr>
        <w:widowControl w:val="0"/>
        <w:spacing w:after="120" w:line="320" w:lineRule="exact"/>
        <w:jc w:val="both"/>
        <w:rPr>
          <w:lang w:val="nl-NL"/>
        </w:rPr>
      </w:pPr>
    </w:p>
    <w:p w:rsidR="004575B5" w:rsidRDefault="004575B5" w:rsidP="00AD6BCE">
      <w:pPr>
        <w:widowControl w:val="0"/>
        <w:spacing w:after="120" w:line="340" w:lineRule="exact"/>
        <w:ind w:firstLine="720"/>
        <w:jc w:val="both"/>
        <w:rPr>
          <w:b/>
          <w:lang w:val="nl-NL"/>
        </w:rPr>
      </w:pPr>
      <w:r>
        <w:rPr>
          <w:b/>
          <w:lang w:val="nl-NL"/>
        </w:rPr>
        <w:t>III</w:t>
      </w:r>
      <w:r w:rsidRPr="00937B00">
        <w:rPr>
          <w:b/>
          <w:lang w:val="nl-NL"/>
        </w:rPr>
        <w:t xml:space="preserve">. Nguyên tắc chia sẻ lợi nhuận giữa doanh nghiệp </w:t>
      </w:r>
      <w:r w:rsidR="001E69FB">
        <w:rPr>
          <w:b/>
          <w:lang w:val="nl-NL"/>
        </w:rPr>
        <w:t xml:space="preserve">thí điểm kinh doanh đặt cược BĐQT </w:t>
      </w:r>
      <w:r w:rsidRPr="00937B00">
        <w:rPr>
          <w:b/>
          <w:lang w:val="nl-NL"/>
        </w:rPr>
        <w:t>và Nhà nước</w:t>
      </w:r>
    </w:p>
    <w:p w:rsidR="004575B5" w:rsidRDefault="004575B5" w:rsidP="00AD6BCE">
      <w:pPr>
        <w:widowControl w:val="0"/>
        <w:spacing w:after="120" w:line="340" w:lineRule="exact"/>
        <w:jc w:val="both"/>
        <w:rPr>
          <w:spacing w:val="-2"/>
          <w:lang w:val="pt-BR"/>
        </w:rPr>
      </w:pPr>
      <w:r w:rsidRPr="00937B00">
        <w:rPr>
          <w:lang w:val="pt-BR"/>
        </w:rPr>
        <w:tab/>
        <w:t xml:space="preserve">- Hoạt động kinh doanh đặt cược </w:t>
      </w:r>
      <w:r w:rsidR="001E69FB">
        <w:rPr>
          <w:lang w:val="pt-BR"/>
        </w:rPr>
        <w:t>BĐQT</w:t>
      </w:r>
      <w:r w:rsidRPr="00937B00">
        <w:rPr>
          <w:lang w:val="pt-BR"/>
        </w:rPr>
        <w:t xml:space="preserve"> có thể coi là lĩnh vực kinh doanh độc quyền của Nhà nước (tương tự như kinh doanh xổ số hoàn toàn do các doanh nghiệp nhà nước thực hiện). Đây là lĩnh vực có thể mang lại lợi nhuận cao, nếu Nhà nước trao quyền kinh doanh cho doanh nghiệp thì cần phải có cơ chế chia sẻ lợi ích giữa doanh nghiệp và Nhà nước để sử dụng nguồn lực </w:t>
      </w:r>
      <w:r w:rsidRPr="00937B00">
        <w:rPr>
          <w:spacing w:val="-2"/>
          <w:lang w:val="pt-BR"/>
        </w:rPr>
        <w:t xml:space="preserve">cho các mục tiêu phát triển kinh tế - xã hội... </w:t>
      </w:r>
    </w:p>
    <w:p w:rsidR="008B45E9" w:rsidRDefault="004575B5" w:rsidP="00AD6BCE">
      <w:pPr>
        <w:widowControl w:val="0"/>
        <w:spacing w:after="120" w:line="340" w:lineRule="exact"/>
        <w:jc w:val="both"/>
        <w:rPr>
          <w:spacing w:val="-2"/>
          <w:lang w:val="pt-BR"/>
        </w:rPr>
      </w:pPr>
      <w:r w:rsidRPr="00937B00">
        <w:rPr>
          <w:spacing w:val="-2"/>
          <w:lang w:val="pt-BR"/>
        </w:rPr>
        <w:tab/>
        <w:t>- T</w:t>
      </w:r>
      <w:r>
        <w:rPr>
          <w:spacing w:val="-2"/>
          <w:lang w:val="pt-BR"/>
        </w:rPr>
        <w:t>ại dự thảo Nghị định quy định</w:t>
      </w:r>
      <w:r w:rsidRPr="00937B00">
        <w:rPr>
          <w:spacing w:val="-2"/>
          <w:lang w:val="pt-BR"/>
        </w:rPr>
        <w:t xml:space="preserve"> Chính phủ cho phép 01 doanh nghiệp tổ chức thí điểm kinh doanh. Như vậy, Chính phủ trao quyền tổ chức vận hành kinh </w:t>
      </w:r>
      <w:r w:rsidRPr="00937B00">
        <w:rPr>
          <w:spacing w:val="-2"/>
          <w:lang w:val="pt-BR"/>
        </w:rPr>
        <w:lastRenderedPageBreak/>
        <w:t>doanh cho doanh nghiệp này để kinh doanh tuân thủ quy định của pháp luật.</w:t>
      </w:r>
      <w:r w:rsidR="001E69FB">
        <w:rPr>
          <w:spacing w:val="-2"/>
          <w:lang w:val="pt-BR"/>
        </w:rPr>
        <w:t xml:space="preserve"> </w:t>
      </w:r>
      <w:r w:rsidR="00AD5654" w:rsidRPr="0055046D">
        <w:rPr>
          <w:spacing w:val="-2"/>
          <w:lang w:val="pt-BR"/>
        </w:rPr>
        <w:t xml:space="preserve">Vì vậy, Bộ Tài chính xây dựng nguyên tắc chia lợi nhuận giữa doanh nghiệp với Nhà nước như sau: Ngoài việc thực hiện nghĩa vụ về thuế theo quy định của pháp luật về thuế, doanh nghiệp thí điểm kinh doanh đặt cược </w:t>
      </w:r>
      <w:r w:rsidR="00AD5654">
        <w:rPr>
          <w:spacing w:val="-2"/>
          <w:lang w:val="pt-BR"/>
        </w:rPr>
        <w:t>BĐQT</w:t>
      </w:r>
      <w:r w:rsidR="00AD5654" w:rsidRPr="0055046D">
        <w:rPr>
          <w:spacing w:val="-2"/>
          <w:lang w:val="pt-BR"/>
        </w:rPr>
        <w:t xml:space="preserve"> phải cam kết đóng góp cho </w:t>
      </w:r>
      <w:r w:rsidR="00AD5654">
        <w:rPr>
          <w:spacing w:val="-2"/>
          <w:lang w:val="pt-BR"/>
        </w:rPr>
        <w:t>NSNN</w:t>
      </w:r>
      <w:r w:rsidR="00AD5654" w:rsidRPr="0055046D">
        <w:rPr>
          <w:spacing w:val="-2"/>
          <w:lang w:val="pt-BR"/>
        </w:rPr>
        <w:t xml:space="preserve">. Mức cam kết đóng góp do doanh nghiệp đề xuất nhưng tối thiểu không thấp hơn </w:t>
      </w:r>
      <w:r w:rsidR="00AD5654">
        <w:rPr>
          <w:spacing w:val="-2"/>
          <w:lang w:val="pt-BR"/>
        </w:rPr>
        <w:t>10</w:t>
      </w:r>
      <w:r w:rsidR="00AD5654" w:rsidRPr="0055046D">
        <w:rPr>
          <w:spacing w:val="-2"/>
          <w:lang w:val="pt-BR"/>
        </w:rPr>
        <w:t>% doanh thu bán vé</w:t>
      </w:r>
      <w:r w:rsidR="00AD5654">
        <w:rPr>
          <w:spacing w:val="-2"/>
          <w:lang w:val="pt-BR"/>
        </w:rPr>
        <w:t xml:space="preserve"> trừ chi phí trả thưởng (nhằm tương đồng với doanh thu tính thuế theo quy định của pháp luật về thuế)</w:t>
      </w:r>
      <w:r w:rsidR="00AD5654" w:rsidRPr="0055046D">
        <w:rPr>
          <w:spacing w:val="-2"/>
          <w:lang w:val="pt-BR"/>
        </w:rPr>
        <w:t xml:space="preserve">. </w:t>
      </w:r>
    </w:p>
    <w:p w:rsidR="00AD5654" w:rsidRPr="008B45E9" w:rsidRDefault="008B45E9" w:rsidP="00AD6BCE">
      <w:pPr>
        <w:widowControl w:val="0"/>
        <w:spacing w:after="120" w:line="340" w:lineRule="exact"/>
        <w:ind w:firstLine="720"/>
        <w:jc w:val="both"/>
        <w:rPr>
          <w:spacing w:val="-2"/>
          <w:lang w:val="pt-BR"/>
        </w:rPr>
      </w:pPr>
      <w:r w:rsidRPr="00F016AA">
        <w:rPr>
          <w:spacing w:val="-7"/>
          <w:lang w:val="pt-BR"/>
        </w:rPr>
        <w:t xml:space="preserve">- Theo phương án giả định nêu trên, tổng số tiền nhà nước thu được trong </w:t>
      </w:r>
      <w:r>
        <w:rPr>
          <w:spacing w:val="-7"/>
          <w:lang w:val="pt-BR"/>
        </w:rPr>
        <w:t>05</w:t>
      </w:r>
      <w:r w:rsidRPr="00F016AA">
        <w:rPr>
          <w:spacing w:val="-7"/>
          <w:lang w:val="pt-BR"/>
        </w:rPr>
        <w:t xml:space="preserve"> năm là </w:t>
      </w:r>
      <w:r>
        <w:rPr>
          <w:spacing w:val="-7"/>
          <w:lang w:val="pt-BR"/>
        </w:rPr>
        <w:t>6.308,7</w:t>
      </w:r>
      <w:r w:rsidRPr="00F016AA">
        <w:rPr>
          <w:spacing w:val="-7"/>
          <w:lang w:val="pt-BR"/>
        </w:rPr>
        <w:t xml:space="preserve"> tỷ đồng, gồm: (i) </w:t>
      </w:r>
      <w:r>
        <w:rPr>
          <w:spacing w:val="-7"/>
          <w:lang w:val="pt-BR"/>
        </w:rPr>
        <w:t>1.262,6</w:t>
      </w:r>
      <w:r w:rsidRPr="00F016AA">
        <w:rPr>
          <w:spacing w:val="-7"/>
          <w:lang w:val="pt-BR"/>
        </w:rPr>
        <w:t xml:space="preserve"> tỷ đồng thuế GTGT</w:t>
      </w:r>
      <w:r>
        <w:rPr>
          <w:spacing w:val="-7"/>
          <w:lang w:val="pt-BR"/>
        </w:rPr>
        <w:t>; 2.913,8 tỷ đồng thuế</w:t>
      </w:r>
      <w:r w:rsidRPr="00F016AA">
        <w:rPr>
          <w:spacing w:val="-7"/>
          <w:lang w:val="pt-BR"/>
        </w:rPr>
        <w:t xml:space="preserve"> TTĐB và </w:t>
      </w:r>
      <w:r>
        <w:rPr>
          <w:spacing w:val="-7"/>
          <w:lang w:val="pt-BR"/>
        </w:rPr>
        <w:t xml:space="preserve">743,3 tỷ đồng thuế </w:t>
      </w:r>
      <w:r w:rsidRPr="00F016AA">
        <w:rPr>
          <w:spacing w:val="-7"/>
          <w:lang w:val="pt-BR"/>
        </w:rPr>
        <w:t xml:space="preserve">TNDN; (ii) </w:t>
      </w:r>
      <w:r>
        <w:rPr>
          <w:spacing w:val="-7"/>
          <w:lang w:val="pt-BR"/>
        </w:rPr>
        <w:t>1.388,9</w:t>
      </w:r>
      <w:r w:rsidRPr="00F016AA">
        <w:rPr>
          <w:spacing w:val="-7"/>
          <w:lang w:val="pt-BR"/>
        </w:rPr>
        <w:t xml:space="preserve"> tỷ đồng tiền doanh nghiệp đóng góp cho NSNN (ngoài các khoản thuế phải nộp theo quy định của pháp luật).</w:t>
      </w:r>
    </w:p>
    <w:tbl>
      <w:tblPr>
        <w:tblW w:w="9240" w:type="dxa"/>
        <w:tblLook w:val="04A0"/>
      </w:tblPr>
      <w:tblGrid>
        <w:gridCol w:w="595"/>
        <w:gridCol w:w="2560"/>
        <w:gridCol w:w="880"/>
        <w:gridCol w:w="880"/>
        <w:gridCol w:w="880"/>
        <w:gridCol w:w="880"/>
        <w:gridCol w:w="880"/>
        <w:gridCol w:w="816"/>
        <w:gridCol w:w="916"/>
      </w:tblGrid>
      <w:tr w:rsidR="00AD5654" w:rsidRPr="006F4D5A" w:rsidTr="00E87E11">
        <w:trPr>
          <w:trHeight w:val="765"/>
        </w:trPr>
        <w:tc>
          <w:tcPr>
            <w:tcW w:w="4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center"/>
              <w:rPr>
                <w:b/>
                <w:bCs/>
                <w:color w:val="000000"/>
                <w:sz w:val="20"/>
                <w:szCs w:val="20"/>
              </w:rPr>
            </w:pPr>
            <w:r w:rsidRPr="006F4D5A">
              <w:rPr>
                <w:b/>
                <w:bCs/>
                <w:color w:val="000000"/>
                <w:sz w:val="20"/>
                <w:szCs w:val="20"/>
              </w:rPr>
              <w:t>STT</w:t>
            </w:r>
          </w:p>
        </w:tc>
        <w:tc>
          <w:tcPr>
            <w:tcW w:w="2560" w:type="dxa"/>
            <w:tcBorders>
              <w:top w:val="single" w:sz="8" w:space="0" w:color="auto"/>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center"/>
              <w:rPr>
                <w:b/>
                <w:bCs/>
                <w:color w:val="000000"/>
                <w:sz w:val="20"/>
                <w:szCs w:val="20"/>
              </w:rPr>
            </w:pPr>
            <w:r w:rsidRPr="006F4D5A">
              <w:rPr>
                <w:b/>
                <w:bCs/>
                <w:color w:val="000000"/>
                <w:sz w:val="20"/>
                <w:szCs w:val="20"/>
              </w:rPr>
              <w:t>Nội dung</w:t>
            </w:r>
          </w:p>
        </w:tc>
        <w:tc>
          <w:tcPr>
            <w:tcW w:w="880" w:type="dxa"/>
            <w:tcBorders>
              <w:top w:val="single" w:sz="8" w:space="0" w:color="auto"/>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center"/>
              <w:rPr>
                <w:b/>
                <w:bCs/>
                <w:color w:val="000000"/>
                <w:sz w:val="20"/>
                <w:szCs w:val="20"/>
              </w:rPr>
            </w:pPr>
            <w:r w:rsidRPr="006F4D5A">
              <w:rPr>
                <w:b/>
                <w:bCs/>
                <w:color w:val="000000"/>
                <w:sz w:val="20"/>
                <w:szCs w:val="20"/>
              </w:rPr>
              <w:t>Năm 1</w:t>
            </w:r>
          </w:p>
        </w:tc>
        <w:tc>
          <w:tcPr>
            <w:tcW w:w="880" w:type="dxa"/>
            <w:tcBorders>
              <w:top w:val="single" w:sz="8" w:space="0" w:color="auto"/>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center"/>
              <w:rPr>
                <w:b/>
                <w:bCs/>
                <w:color w:val="000000"/>
                <w:sz w:val="20"/>
                <w:szCs w:val="20"/>
              </w:rPr>
            </w:pPr>
            <w:r w:rsidRPr="006F4D5A">
              <w:rPr>
                <w:b/>
                <w:bCs/>
                <w:color w:val="000000"/>
                <w:sz w:val="20"/>
                <w:szCs w:val="20"/>
              </w:rPr>
              <w:t>Năm 2</w:t>
            </w:r>
          </w:p>
        </w:tc>
        <w:tc>
          <w:tcPr>
            <w:tcW w:w="880" w:type="dxa"/>
            <w:tcBorders>
              <w:top w:val="single" w:sz="8" w:space="0" w:color="auto"/>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center"/>
              <w:rPr>
                <w:b/>
                <w:bCs/>
                <w:color w:val="000000"/>
                <w:sz w:val="20"/>
                <w:szCs w:val="20"/>
              </w:rPr>
            </w:pPr>
            <w:r w:rsidRPr="006F4D5A">
              <w:rPr>
                <w:b/>
                <w:bCs/>
                <w:color w:val="000000"/>
                <w:sz w:val="20"/>
                <w:szCs w:val="20"/>
              </w:rPr>
              <w:t>Năm 3</w:t>
            </w:r>
          </w:p>
        </w:tc>
        <w:tc>
          <w:tcPr>
            <w:tcW w:w="880" w:type="dxa"/>
            <w:tcBorders>
              <w:top w:val="single" w:sz="8" w:space="0" w:color="auto"/>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center"/>
              <w:rPr>
                <w:b/>
                <w:bCs/>
                <w:color w:val="000000"/>
                <w:sz w:val="20"/>
                <w:szCs w:val="20"/>
              </w:rPr>
            </w:pPr>
            <w:r w:rsidRPr="006F4D5A">
              <w:rPr>
                <w:b/>
                <w:bCs/>
                <w:color w:val="000000"/>
                <w:sz w:val="20"/>
                <w:szCs w:val="20"/>
              </w:rPr>
              <w:t>Năm 4</w:t>
            </w:r>
          </w:p>
        </w:tc>
        <w:tc>
          <w:tcPr>
            <w:tcW w:w="880" w:type="dxa"/>
            <w:tcBorders>
              <w:top w:val="single" w:sz="8" w:space="0" w:color="auto"/>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center"/>
              <w:rPr>
                <w:b/>
                <w:bCs/>
                <w:color w:val="000000"/>
                <w:sz w:val="20"/>
                <w:szCs w:val="20"/>
              </w:rPr>
            </w:pPr>
            <w:r w:rsidRPr="006F4D5A">
              <w:rPr>
                <w:b/>
                <w:bCs/>
                <w:color w:val="000000"/>
                <w:sz w:val="20"/>
                <w:szCs w:val="20"/>
              </w:rPr>
              <w:t>Năm 5</w:t>
            </w:r>
          </w:p>
        </w:tc>
        <w:tc>
          <w:tcPr>
            <w:tcW w:w="880" w:type="dxa"/>
            <w:tcBorders>
              <w:top w:val="single" w:sz="8" w:space="0" w:color="auto"/>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center"/>
              <w:rPr>
                <w:b/>
                <w:bCs/>
                <w:color w:val="000000"/>
                <w:sz w:val="20"/>
                <w:szCs w:val="20"/>
              </w:rPr>
            </w:pPr>
            <w:r w:rsidRPr="006F4D5A">
              <w:rPr>
                <w:b/>
                <w:bCs/>
                <w:color w:val="000000"/>
                <w:sz w:val="20"/>
                <w:szCs w:val="20"/>
              </w:rPr>
              <w:t xml:space="preserve">Bình quân </w:t>
            </w:r>
            <w:r>
              <w:rPr>
                <w:b/>
                <w:bCs/>
                <w:color w:val="000000"/>
                <w:sz w:val="20"/>
                <w:szCs w:val="20"/>
              </w:rPr>
              <w:t>05</w:t>
            </w:r>
            <w:r w:rsidRPr="006F4D5A">
              <w:rPr>
                <w:b/>
                <w:bCs/>
                <w:color w:val="000000"/>
                <w:sz w:val="20"/>
                <w:szCs w:val="20"/>
              </w:rPr>
              <w:t xml:space="preserve"> năm</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center"/>
              <w:rPr>
                <w:b/>
                <w:bCs/>
                <w:color w:val="000000"/>
                <w:sz w:val="20"/>
                <w:szCs w:val="20"/>
              </w:rPr>
            </w:pPr>
            <w:r w:rsidRPr="006F4D5A">
              <w:rPr>
                <w:b/>
                <w:bCs/>
                <w:color w:val="000000"/>
                <w:sz w:val="20"/>
                <w:szCs w:val="20"/>
              </w:rPr>
              <w:t xml:space="preserve">Tổng cộng </w:t>
            </w:r>
            <w:r w:rsidRPr="006F4D5A">
              <w:rPr>
                <w:b/>
                <w:bCs/>
                <w:color w:val="000000"/>
                <w:sz w:val="20"/>
                <w:szCs w:val="20"/>
              </w:rPr>
              <w:br/>
            </w:r>
            <w:r>
              <w:rPr>
                <w:b/>
                <w:bCs/>
                <w:color w:val="000000"/>
                <w:sz w:val="20"/>
                <w:szCs w:val="20"/>
              </w:rPr>
              <w:t>05</w:t>
            </w:r>
            <w:r w:rsidRPr="006F4D5A">
              <w:rPr>
                <w:b/>
                <w:bCs/>
                <w:color w:val="000000"/>
                <w:sz w:val="20"/>
                <w:szCs w:val="20"/>
              </w:rPr>
              <w:t xml:space="preserve"> năm</w:t>
            </w:r>
          </w:p>
        </w:tc>
      </w:tr>
      <w:tr w:rsidR="00AD5654" w:rsidRPr="006F4D5A" w:rsidTr="00E87E11">
        <w:trPr>
          <w:trHeight w:val="25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center"/>
              <w:rPr>
                <w:b/>
                <w:bCs/>
                <w:color w:val="000000"/>
                <w:sz w:val="20"/>
                <w:szCs w:val="20"/>
              </w:rPr>
            </w:pPr>
            <w:r w:rsidRPr="006F4D5A">
              <w:rPr>
                <w:b/>
                <w:bCs/>
                <w:color w:val="000000"/>
                <w:sz w:val="20"/>
                <w:szCs w:val="20"/>
              </w:rPr>
              <w:t>I</w:t>
            </w:r>
          </w:p>
        </w:tc>
        <w:tc>
          <w:tcPr>
            <w:tcW w:w="256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rPr>
                <w:b/>
                <w:bCs/>
                <w:color w:val="000000"/>
                <w:sz w:val="20"/>
                <w:szCs w:val="20"/>
              </w:rPr>
            </w:pPr>
            <w:r w:rsidRPr="006F4D5A">
              <w:rPr>
                <w:b/>
                <w:bCs/>
                <w:color w:val="000000"/>
                <w:sz w:val="20"/>
                <w:szCs w:val="20"/>
              </w:rPr>
              <w:t>Tổng thuế nộp, gồm</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803,1 </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878,4 </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972,4 </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1.075,9 </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1.189,9 </w:t>
            </w:r>
          </w:p>
        </w:tc>
        <w:tc>
          <w:tcPr>
            <w:tcW w:w="880" w:type="dxa"/>
            <w:tcBorders>
              <w:top w:val="nil"/>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984,0 </w:t>
            </w:r>
          </w:p>
        </w:tc>
        <w:tc>
          <w:tcPr>
            <w:tcW w:w="960" w:type="dxa"/>
            <w:tcBorders>
              <w:top w:val="nil"/>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4.919,8 </w:t>
            </w:r>
          </w:p>
        </w:tc>
      </w:tr>
      <w:tr w:rsidR="00AD5654" w:rsidRPr="006F4D5A" w:rsidTr="00E87E11">
        <w:trPr>
          <w:trHeight w:val="255"/>
        </w:trPr>
        <w:tc>
          <w:tcPr>
            <w:tcW w:w="440" w:type="dxa"/>
            <w:tcBorders>
              <w:top w:val="nil"/>
              <w:left w:val="single" w:sz="8" w:space="0" w:color="auto"/>
              <w:bottom w:val="single" w:sz="4" w:space="0" w:color="auto"/>
              <w:right w:val="single" w:sz="8" w:space="0" w:color="auto"/>
            </w:tcBorders>
            <w:shd w:val="clear" w:color="auto" w:fill="auto"/>
            <w:noWrap/>
            <w:vAlign w:val="bottom"/>
            <w:hideMark/>
          </w:tcPr>
          <w:p w:rsidR="00AD5654" w:rsidRPr="006F4D5A" w:rsidRDefault="00AD5654" w:rsidP="00AD6BCE">
            <w:pPr>
              <w:widowControl w:val="0"/>
              <w:rPr>
                <w:color w:val="000000"/>
                <w:sz w:val="20"/>
                <w:szCs w:val="20"/>
              </w:rPr>
            </w:pPr>
            <w:r w:rsidRPr="006F4D5A">
              <w:rPr>
                <w:color w:val="000000"/>
                <w:sz w:val="20"/>
                <w:szCs w:val="20"/>
              </w:rPr>
              <w:t> </w:t>
            </w:r>
          </w:p>
        </w:tc>
        <w:tc>
          <w:tcPr>
            <w:tcW w:w="256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rPr>
                <w:color w:val="000000"/>
                <w:sz w:val="20"/>
                <w:szCs w:val="20"/>
              </w:rPr>
            </w:pPr>
            <w:r w:rsidRPr="006F4D5A">
              <w:rPr>
                <w:color w:val="000000"/>
                <w:sz w:val="20"/>
                <w:szCs w:val="20"/>
              </w:rPr>
              <w:t>Thuế GTGT</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color w:val="000000"/>
                <w:sz w:val="20"/>
                <w:szCs w:val="20"/>
              </w:rPr>
            </w:pPr>
            <w:r w:rsidRPr="006F4D5A">
              <w:rPr>
                <w:color w:val="000000"/>
                <w:sz w:val="20"/>
                <w:szCs w:val="20"/>
              </w:rPr>
              <w:t xml:space="preserve">       206,8 </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color w:val="000000"/>
                <w:sz w:val="20"/>
                <w:szCs w:val="20"/>
              </w:rPr>
            </w:pPr>
            <w:r w:rsidRPr="006F4D5A">
              <w:rPr>
                <w:color w:val="000000"/>
                <w:sz w:val="20"/>
                <w:szCs w:val="20"/>
              </w:rPr>
              <w:t xml:space="preserve">       227,5 </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color w:val="000000"/>
                <w:sz w:val="20"/>
                <w:szCs w:val="20"/>
              </w:rPr>
            </w:pPr>
            <w:r w:rsidRPr="006F4D5A">
              <w:rPr>
                <w:color w:val="000000"/>
                <w:sz w:val="20"/>
                <w:szCs w:val="20"/>
              </w:rPr>
              <w:t xml:space="preserve">       250,3 </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color w:val="000000"/>
                <w:sz w:val="20"/>
                <w:szCs w:val="20"/>
              </w:rPr>
            </w:pPr>
            <w:r w:rsidRPr="006F4D5A">
              <w:rPr>
                <w:color w:val="000000"/>
                <w:sz w:val="20"/>
                <w:szCs w:val="20"/>
              </w:rPr>
              <w:t xml:space="preserve">       275,3 </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color w:val="000000"/>
                <w:sz w:val="20"/>
                <w:szCs w:val="20"/>
              </w:rPr>
            </w:pPr>
            <w:r w:rsidRPr="006F4D5A">
              <w:rPr>
                <w:color w:val="000000"/>
                <w:sz w:val="20"/>
                <w:szCs w:val="20"/>
              </w:rPr>
              <w:t xml:space="preserve">       302,8 </w:t>
            </w:r>
          </w:p>
        </w:tc>
        <w:tc>
          <w:tcPr>
            <w:tcW w:w="880" w:type="dxa"/>
            <w:tcBorders>
              <w:top w:val="nil"/>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252,5 </w:t>
            </w:r>
          </w:p>
        </w:tc>
        <w:tc>
          <w:tcPr>
            <w:tcW w:w="960" w:type="dxa"/>
            <w:tcBorders>
              <w:top w:val="nil"/>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1.262,6 </w:t>
            </w:r>
          </w:p>
        </w:tc>
      </w:tr>
      <w:tr w:rsidR="00AD5654" w:rsidRPr="006F4D5A" w:rsidTr="00E87E11">
        <w:trPr>
          <w:trHeight w:val="255"/>
        </w:trPr>
        <w:tc>
          <w:tcPr>
            <w:tcW w:w="440" w:type="dxa"/>
            <w:tcBorders>
              <w:top w:val="nil"/>
              <w:left w:val="single" w:sz="8" w:space="0" w:color="auto"/>
              <w:bottom w:val="single" w:sz="4" w:space="0" w:color="auto"/>
              <w:right w:val="single" w:sz="8" w:space="0" w:color="auto"/>
            </w:tcBorders>
            <w:shd w:val="clear" w:color="auto" w:fill="auto"/>
            <w:noWrap/>
            <w:vAlign w:val="bottom"/>
            <w:hideMark/>
          </w:tcPr>
          <w:p w:rsidR="00AD5654" w:rsidRPr="006F4D5A" w:rsidRDefault="00AD5654" w:rsidP="00AD6BCE">
            <w:pPr>
              <w:widowControl w:val="0"/>
              <w:rPr>
                <w:color w:val="000000"/>
                <w:sz w:val="20"/>
                <w:szCs w:val="20"/>
              </w:rPr>
            </w:pPr>
            <w:r w:rsidRPr="006F4D5A">
              <w:rPr>
                <w:color w:val="000000"/>
                <w:sz w:val="20"/>
                <w:szCs w:val="20"/>
              </w:rPr>
              <w:t> </w:t>
            </w:r>
          </w:p>
        </w:tc>
        <w:tc>
          <w:tcPr>
            <w:tcW w:w="256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rPr>
                <w:color w:val="000000"/>
                <w:sz w:val="20"/>
                <w:szCs w:val="20"/>
              </w:rPr>
            </w:pPr>
            <w:r w:rsidRPr="006F4D5A">
              <w:rPr>
                <w:color w:val="000000"/>
                <w:sz w:val="20"/>
                <w:szCs w:val="20"/>
              </w:rPr>
              <w:t>Thuế TTĐB</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color w:val="000000"/>
                <w:sz w:val="20"/>
                <w:szCs w:val="20"/>
              </w:rPr>
            </w:pPr>
            <w:r w:rsidRPr="006F4D5A">
              <w:rPr>
                <w:color w:val="000000"/>
                <w:sz w:val="20"/>
                <w:szCs w:val="20"/>
              </w:rPr>
              <w:t xml:space="preserve">       477,3 </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color w:val="000000"/>
                <w:sz w:val="20"/>
                <w:szCs w:val="20"/>
              </w:rPr>
            </w:pPr>
            <w:r w:rsidRPr="006F4D5A">
              <w:rPr>
                <w:color w:val="000000"/>
                <w:sz w:val="20"/>
                <w:szCs w:val="20"/>
              </w:rPr>
              <w:t xml:space="preserve">       525,0 </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color w:val="000000"/>
                <w:sz w:val="20"/>
                <w:szCs w:val="20"/>
              </w:rPr>
            </w:pPr>
            <w:r w:rsidRPr="006F4D5A">
              <w:rPr>
                <w:color w:val="000000"/>
                <w:sz w:val="20"/>
                <w:szCs w:val="20"/>
              </w:rPr>
              <w:t xml:space="preserve">       577,5 </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color w:val="000000"/>
                <w:sz w:val="20"/>
                <w:szCs w:val="20"/>
              </w:rPr>
            </w:pPr>
            <w:r w:rsidRPr="006F4D5A">
              <w:rPr>
                <w:color w:val="000000"/>
                <w:sz w:val="20"/>
                <w:szCs w:val="20"/>
              </w:rPr>
              <w:t xml:space="preserve">       635,3 </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color w:val="000000"/>
                <w:sz w:val="20"/>
                <w:szCs w:val="20"/>
              </w:rPr>
            </w:pPr>
            <w:r w:rsidRPr="006F4D5A">
              <w:rPr>
                <w:color w:val="000000"/>
                <w:sz w:val="20"/>
                <w:szCs w:val="20"/>
              </w:rPr>
              <w:t xml:space="preserve">       698,8 </w:t>
            </w:r>
          </w:p>
        </w:tc>
        <w:tc>
          <w:tcPr>
            <w:tcW w:w="880" w:type="dxa"/>
            <w:tcBorders>
              <w:top w:val="nil"/>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582,8 </w:t>
            </w:r>
          </w:p>
        </w:tc>
        <w:tc>
          <w:tcPr>
            <w:tcW w:w="960" w:type="dxa"/>
            <w:tcBorders>
              <w:top w:val="nil"/>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2.913,8 </w:t>
            </w:r>
          </w:p>
        </w:tc>
      </w:tr>
      <w:tr w:rsidR="00AD5654" w:rsidRPr="006F4D5A" w:rsidTr="00E87E11">
        <w:trPr>
          <w:trHeight w:val="255"/>
        </w:trPr>
        <w:tc>
          <w:tcPr>
            <w:tcW w:w="440" w:type="dxa"/>
            <w:tcBorders>
              <w:top w:val="nil"/>
              <w:left w:val="single" w:sz="8" w:space="0" w:color="auto"/>
              <w:bottom w:val="single" w:sz="4" w:space="0" w:color="auto"/>
              <w:right w:val="single" w:sz="8" w:space="0" w:color="auto"/>
            </w:tcBorders>
            <w:shd w:val="clear" w:color="auto" w:fill="auto"/>
            <w:noWrap/>
            <w:vAlign w:val="bottom"/>
            <w:hideMark/>
          </w:tcPr>
          <w:p w:rsidR="00AD5654" w:rsidRPr="006F4D5A" w:rsidRDefault="00AD5654" w:rsidP="00AD6BCE">
            <w:pPr>
              <w:widowControl w:val="0"/>
              <w:rPr>
                <w:color w:val="000000"/>
                <w:sz w:val="20"/>
                <w:szCs w:val="20"/>
              </w:rPr>
            </w:pPr>
            <w:r w:rsidRPr="006F4D5A">
              <w:rPr>
                <w:color w:val="000000"/>
                <w:sz w:val="20"/>
                <w:szCs w:val="20"/>
              </w:rPr>
              <w:t> </w:t>
            </w:r>
          </w:p>
        </w:tc>
        <w:tc>
          <w:tcPr>
            <w:tcW w:w="256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rPr>
                <w:color w:val="000000"/>
                <w:sz w:val="20"/>
                <w:szCs w:val="20"/>
              </w:rPr>
            </w:pPr>
            <w:r w:rsidRPr="006F4D5A">
              <w:rPr>
                <w:color w:val="000000"/>
                <w:sz w:val="20"/>
                <w:szCs w:val="20"/>
              </w:rPr>
              <w:t>Thuế TNDN</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color w:val="000000"/>
                <w:sz w:val="20"/>
                <w:szCs w:val="20"/>
              </w:rPr>
            </w:pPr>
            <w:r w:rsidRPr="006F4D5A">
              <w:rPr>
                <w:color w:val="000000"/>
                <w:sz w:val="20"/>
                <w:szCs w:val="20"/>
              </w:rPr>
              <w:t xml:space="preserve">       119,0 </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color w:val="000000"/>
                <w:sz w:val="20"/>
                <w:szCs w:val="20"/>
              </w:rPr>
            </w:pPr>
            <w:r w:rsidRPr="006F4D5A">
              <w:rPr>
                <w:color w:val="000000"/>
                <w:sz w:val="20"/>
                <w:szCs w:val="20"/>
              </w:rPr>
              <w:t xml:space="preserve">       125,9 </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color w:val="000000"/>
                <w:sz w:val="20"/>
                <w:szCs w:val="20"/>
              </w:rPr>
            </w:pPr>
            <w:r w:rsidRPr="006F4D5A">
              <w:rPr>
                <w:color w:val="000000"/>
                <w:sz w:val="20"/>
                <w:szCs w:val="20"/>
              </w:rPr>
              <w:t xml:space="preserve">       144,7 </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color w:val="000000"/>
                <w:sz w:val="20"/>
                <w:szCs w:val="20"/>
              </w:rPr>
            </w:pPr>
            <w:r w:rsidRPr="006F4D5A">
              <w:rPr>
                <w:color w:val="000000"/>
                <w:sz w:val="20"/>
                <w:szCs w:val="20"/>
              </w:rPr>
              <w:t xml:space="preserve">       165,4 </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color w:val="000000"/>
                <w:sz w:val="20"/>
                <w:szCs w:val="20"/>
              </w:rPr>
            </w:pPr>
            <w:r w:rsidRPr="006F4D5A">
              <w:rPr>
                <w:color w:val="000000"/>
                <w:sz w:val="20"/>
                <w:szCs w:val="20"/>
              </w:rPr>
              <w:t xml:space="preserve">       188,3 </w:t>
            </w:r>
          </w:p>
        </w:tc>
        <w:tc>
          <w:tcPr>
            <w:tcW w:w="880" w:type="dxa"/>
            <w:tcBorders>
              <w:top w:val="nil"/>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148,7 </w:t>
            </w:r>
          </w:p>
        </w:tc>
        <w:tc>
          <w:tcPr>
            <w:tcW w:w="960" w:type="dxa"/>
            <w:tcBorders>
              <w:top w:val="nil"/>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743,3 </w:t>
            </w:r>
          </w:p>
        </w:tc>
      </w:tr>
      <w:tr w:rsidR="00AD5654" w:rsidRPr="006F4D5A" w:rsidTr="00E87E11">
        <w:trPr>
          <w:trHeight w:val="510"/>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center"/>
              <w:rPr>
                <w:b/>
                <w:bCs/>
                <w:color w:val="000000"/>
                <w:sz w:val="20"/>
                <w:szCs w:val="20"/>
              </w:rPr>
            </w:pPr>
            <w:r w:rsidRPr="006F4D5A">
              <w:rPr>
                <w:b/>
                <w:bCs/>
                <w:color w:val="000000"/>
                <w:sz w:val="20"/>
                <w:szCs w:val="20"/>
              </w:rPr>
              <w:t>II</w:t>
            </w:r>
          </w:p>
        </w:tc>
        <w:tc>
          <w:tcPr>
            <w:tcW w:w="2560" w:type="dxa"/>
            <w:tcBorders>
              <w:top w:val="nil"/>
              <w:left w:val="nil"/>
              <w:bottom w:val="single" w:sz="4" w:space="0" w:color="auto"/>
              <w:right w:val="single" w:sz="8" w:space="0" w:color="auto"/>
            </w:tcBorders>
            <w:shd w:val="clear" w:color="auto" w:fill="auto"/>
            <w:vAlign w:val="bottom"/>
            <w:hideMark/>
          </w:tcPr>
          <w:p w:rsidR="00AD5654" w:rsidRPr="006F4D5A" w:rsidRDefault="00AD5654" w:rsidP="00AD6BCE">
            <w:pPr>
              <w:widowControl w:val="0"/>
              <w:rPr>
                <w:b/>
                <w:bCs/>
                <w:color w:val="000000"/>
                <w:sz w:val="20"/>
                <w:szCs w:val="20"/>
              </w:rPr>
            </w:pPr>
            <w:r>
              <w:rPr>
                <w:b/>
                <w:bCs/>
                <w:color w:val="000000"/>
                <w:sz w:val="20"/>
                <w:szCs w:val="20"/>
              </w:rPr>
              <w:t>Số tiền đóng góp cho NSNN (10</w:t>
            </w:r>
            <w:r w:rsidRPr="006F4D5A">
              <w:rPr>
                <w:b/>
                <w:bCs/>
                <w:color w:val="000000"/>
                <w:sz w:val="20"/>
                <w:szCs w:val="20"/>
              </w:rPr>
              <w:t xml:space="preserve">% GGR) </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2</w:t>
            </w:r>
            <w:r>
              <w:rPr>
                <w:b/>
                <w:bCs/>
                <w:color w:val="000000"/>
                <w:sz w:val="20"/>
                <w:szCs w:val="20"/>
              </w:rPr>
              <w:t>27</w:t>
            </w:r>
            <w:r w:rsidRPr="006F4D5A">
              <w:rPr>
                <w:b/>
                <w:bCs/>
                <w:color w:val="000000"/>
                <w:sz w:val="20"/>
                <w:szCs w:val="20"/>
              </w:rPr>
              <w:t>,</w:t>
            </w:r>
            <w:r>
              <w:rPr>
                <w:b/>
                <w:bCs/>
                <w:color w:val="000000"/>
                <w:sz w:val="20"/>
                <w:szCs w:val="20"/>
              </w:rPr>
              <w:t>5</w:t>
            </w:r>
            <w:r w:rsidRPr="006F4D5A">
              <w:rPr>
                <w:b/>
                <w:bCs/>
                <w:color w:val="000000"/>
                <w:sz w:val="20"/>
                <w:szCs w:val="20"/>
              </w:rPr>
              <w:t xml:space="preserve"> </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2</w:t>
            </w:r>
            <w:r>
              <w:rPr>
                <w:b/>
                <w:bCs/>
                <w:color w:val="000000"/>
                <w:sz w:val="20"/>
                <w:szCs w:val="20"/>
              </w:rPr>
              <w:t>50</w:t>
            </w:r>
            <w:r w:rsidRPr="006F4D5A">
              <w:rPr>
                <w:b/>
                <w:bCs/>
                <w:color w:val="000000"/>
                <w:sz w:val="20"/>
                <w:szCs w:val="20"/>
              </w:rPr>
              <w:t>,</w:t>
            </w:r>
            <w:r>
              <w:rPr>
                <w:b/>
                <w:bCs/>
                <w:color w:val="000000"/>
                <w:sz w:val="20"/>
                <w:szCs w:val="20"/>
              </w:rPr>
              <w:t>3</w:t>
            </w:r>
            <w:r w:rsidRPr="006F4D5A">
              <w:rPr>
                <w:b/>
                <w:bCs/>
                <w:color w:val="000000"/>
                <w:sz w:val="20"/>
                <w:szCs w:val="20"/>
              </w:rPr>
              <w:t xml:space="preserve"> </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2</w:t>
            </w:r>
            <w:r>
              <w:rPr>
                <w:b/>
                <w:bCs/>
                <w:color w:val="000000"/>
                <w:sz w:val="20"/>
                <w:szCs w:val="20"/>
              </w:rPr>
              <w:t>75</w:t>
            </w:r>
            <w:r w:rsidRPr="006F4D5A">
              <w:rPr>
                <w:b/>
                <w:bCs/>
                <w:color w:val="000000"/>
                <w:sz w:val="20"/>
                <w:szCs w:val="20"/>
              </w:rPr>
              <w:t>,</w:t>
            </w:r>
            <w:r>
              <w:rPr>
                <w:b/>
                <w:bCs/>
                <w:color w:val="000000"/>
                <w:sz w:val="20"/>
                <w:szCs w:val="20"/>
              </w:rPr>
              <w:t>3</w:t>
            </w:r>
            <w:r w:rsidRPr="006F4D5A">
              <w:rPr>
                <w:b/>
                <w:bCs/>
                <w:color w:val="000000"/>
                <w:sz w:val="20"/>
                <w:szCs w:val="20"/>
              </w:rPr>
              <w:t xml:space="preserve"> </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w:t>
            </w:r>
            <w:r>
              <w:rPr>
                <w:b/>
                <w:bCs/>
                <w:color w:val="000000"/>
                <w:sz w:val="20"/>
                <w:szCs w:val="20"/>
              </w:rPr>
              <w:t>302</w:t>
            </w:r>
            <w:r w:rsidRPr="006F4D5A">
              <w:rPr>
                <w:b/>
                <w:bCs/>
                <w:color w:val="000000"/>
                <w:sz w:val="20"/>
                <w:szCs w:val="20"/>
              </w:rPr>
              <w:t>,</w:t>
            </w:r>
            <w:r>
              <w:rPr>
                <w:b/>
                <w:bCs/>
                <w:color w:val="000000"/>
                <w:sz w:val="20"/>
                <w:szCs w:val="20"/>
              </w:rPr>
              <w:t>8</w:t>
            </w:r>
            <w:r w:rsidRPr="006F4D5A">
              <w:rPr>
                <w:b/>
                <w:bCs/>
                <w:color w:val="000000"/>
                <w:sz w:val="20"/>
                <w:szCs w:val="20"/>
              </w:rPr>
              <w:t xml:space="preserve"> </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w:t>
            </w:r>
            <w:r>
              <w:rPr>
                <w:b/>
                <w:bCs/>
                <w:color w:val="000000"/>
                <w:sz w:val="20"/>
                <w:szCs w:val="20"/>
              </w:rPr>
              <w:t>333</w:t>
            </w:r>
            <w:r w:rsidRPr="006F4D5A">
              <w:rPr>
                <w:b/>
                <w:bCs/>
                <w:color w:val="000000"/>
                <w:sz w:val="20"/>
                <w:szCs w:val="20"/>
              </w:rPr>
              <w:t>,</w:t>
            </w:r>
            <w:r>
              <w:rPr>
                <w:b/>
                <w:bCs/>
                <w:color w:val="000000"/>
                <w:sz w:val="20"/>
                <w:szCs w:val="20"/>
              </w:rPr>
              <w:t>1</w:t>
            </w:r>
            <w:r w:rsidRPr="006F4D5A">
              <w:rPr>
                <w:b/>
                <w:bCs/>
                <w:color w:val="000000"/>
                <w:sz w:val="20"/>
                <w:szCs w:val="20"/>
              </w:rPr>
              <w:t xml:space="preserve"> </w:t>
            </w:r>
          </w:p>
        </w:tc>
        <w:tc>
          <w:tcPr>
            <w:tcW w:w="880" w:type="dxa"/>
            <w:tcBorders>
              <w:top w:val="nil"/>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w:t>
            </w:r>
            <w:r>
              <w:rPr>
                <w:b/>
                <w:bCs/>
                <w:color w:val="000000"/>
                <w:sz w:val="20"/>
                <w:szCs w:val="20"/>
              </w:rPr>
              <w:t>277</w:t>
            </w:r>
            <w:r w:rsidRPr="006F4D5A">
              <w:rPr>
                <w:b/>
                <w:bCs/>
                <w:color w:val="000000"/>
                <w:sz w:val="20"/>
                <w:szCs w:val="20"/>
              </w:rPr>
              <w:t>,</w:t>
            </w:r>
            <w:r>
              <w:rPr>
                <w:b/>
                <w:bCs/>
                <w:color w:val="000000"/>
                <w:sz w:val="20"/>
                <w:szCs w:val="20"/>
              </w:rPr>
              <w:t>8</w:t>
            </w:r>
            <w:r w:rsidRPr="006F4D5A">
              <w:rPr>
                <w:b/>
                <w:bCs/>
                <w:color w:val="000000"/>
                <w:sz w:val="20"/>
                <w:szCs w:val="20"/>
              </w:rPr>
              <w:t xml:space="preserve"> </w:t>
            </w:r>
          </w:p>
        </w:tc>
        <w:tc>
          <w:tcPr>
            <w:tcW w:w="960" w:type="dxa"/>
            <w:tcBorders>
              <w:top w:val="nil"/>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1.</w:t>
            </w:r>
            <w:r>
              <w:rPr>
                <w:b/>
                <w:bCs/>
                <w:color w:val="000000"/>
                <w:sz w:val="20"/>
                <w:szCs w:val="20"/>
              </w:rPr>
              <w:t>388</w:t>
            </w:r>
            <w:r w:rsidRPr="006F4D5A">
              <w:rPr>
                <w:b/>
                <w:bCs/>
                <w:color w:val="000000"/>
                <w:sz w:val="20"/>
                <w:szCs w:val="20"/>
              </w:rPr>
              <w:t>,</w:t>
            </w:r>
            <w:r>
              <w:rPr>
                <w:b/>
                <w:bCs/>
                <w:color w:val="000000"/>
                <w:sz w:val="20"/>
                <w:szCs w:val="20"/>
              </w:rPr>
              <w:t>9</w:t>
            </w:r>
            <w:r w:rsidRPr="006F4D5A">
              <w:rPr>
                <w:b/>
                <w:bCs/>
                <w:color w:val="000000"/>
                <w:sz w:val="20"/>
                <w:szCs w:val="20"/>
              </w:rPr>
              <w:t xml:space="preserve"> </w:t>
            </w:r>
          </w:p>
        </w:tc>
      </w:tr>
      <w:tr w:rsidR="00AD5654" w:rsidRPr="006F4D5A" w:rsidTr="00E87E11">
        <w:trPr>
          <w:trHeight w:val="510"/>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center"/>
              <w:rPr>
                <w:b/>
                <w:bCs/>
                <w:color w:val="000000"/>
                <w:sz w:val="20"/>
                <w:szCs w:val="20"/>
              </w:rPr>
            </w:pPr>
            <w:r w:rsidRPr="006F4D5A">
              <w:rPr>
                <w:b/>
                <w:bCs/>
                <w:color w:val="000000"/>
                <w:sz w:val="20"/>
                <w:szCs w:val="20"/>
              </w:rPr>
              <w:t> </w:t>
            </w:r>
          </w:p>
        </w:tc>
        <w:tc>
          <w:tcPr>
            <w:tcW w:w="2560" w:type="dxa"/>
            <w:tcBorders>
              <w:top w:val="nil"/>
              <w:left w:val="nil"/>
              <w:bottom w:val="single" w:sz="4" w:space="0" w:color="auto"/>
              <w:right w:val="single" w:sz="8" w:space="0" w:color="auto"/>
            </w:tcBorders>
            <w:shd w:val="clear" w:color="auto" w:fill="auto"/>
            <w:vAlign w:val="bottom"/>
            <w:hideMark/>
          </w:tcPr>
          <w:p w:rsidR="00AD5654" w:rsidRPr="006F4D5A" w:rsidRDefault="00AD5654" w:rsidP="00AD6BCE">
            <w:pPr>
              <w:widowControl w:val="0"/>
              <w:rPr>
                <w:color w:val="000000"/>
                <w:sz w:val="20"/>
                <w:szCs w:val="20"/>
              </w:rPr>
            </w:pPr>
            <w:r w:rsidRPr="006F4D5A">
              <w:rPr>
                <w:color w:val="000000"/>
                <w:sz w:val="20"/>
                <w:szCs w:val="20"/>
              </w:rPr>
              <w:t>Doanh thu bán vé trừ chi phí trả thưởng (GGR)</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color w:val="000000"/>
                <w:sz w:val="20"/>
                <w:szCs w:val="20"/>
              </w:rPr>
            </w:pPr>
            <w:r w:rsidRPr="006F4D5A">
              <w:rPr>
                <w:color w:val="000000"/>
                <w:sz w:val="20"/>
                <w:szCs w:val="20"/>
              </w:rPr>
              <w:t xml:space="preserve">    2.275,0 </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color w:val="000000"/>
                <w:sz w:val="20"/>
                <w:szCs w:val="20"/>
              </w:rPr>
            </w:pPr>
            <w:r w:rsidRPr="006F4D5A">
              <w:rPr>
                <w:color w:val="000000"/>
                <w:sz w:val="20"/>
                <w:szCs w:val="20"/>
              </w:rPr>
              <w:t xml:space="preserve">    2.502,5 </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color w:val="000000"/>
                <w:sz w:val="20"/>
                <w:szCs w:val="20"/>
              </w:rPr>
            </w:pPr>
            <w:r w:rsidRPr="006F4D5A">
              <w:rPr>
                <w:color w:val="000000"/>
                <w:sz w:val="20"/>
                <w:szCs w:val="20"/>
              </w:rPr>
              <w:t xml:space="preserve">    2.752,8 </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color w:val="000000"/>
                <w:sz w:val="20"/>
                <w:szCs w:val="20"/>
              </w:rPr>
            </w:pPr>
            <w:r w:rsidRPr="006F4D5A">
              <w:rPr>
                <w:color w:val="000000"/>
                <w:sz w:val="20"/>
                <w:szCs w:val="20"/>
              </w:rPr>
              <w:t xml:space="preserve">    3.028,0 </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color w:val="000000"/>
                <w:sz w:val="20"/>
                <w:szCs w:val="20"/>
              </w:rPr>
            </w:pPr>
            <w:r w:rsidRPr="006F4D5A">
              <w:rPr>
                <w:color w:val="000000"/>
                <w:sz w:val="20"/>
                <w:szCs w:val="20"/>
              </w:rPr>
              <w:t xml:space="preserve">    3.330,8 </w:t>
            </w:r>
          </w:p>
        </w:tc>
        <w:tc>
          <w:tcPr>
            <w:tcW w:w="880" w:type="dxa"/>
            <w:tcBorders>
              <w:top w:val="nil"/>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2.777,8 </w:t>
            </w:r>
          </w:p>
        </w:tc>
        <w:tc>
          <w:tcPr>
            <w:tcW w:w="960" w:type="dxa"/>
            <w:tcBorders>
              <w:top w:val="nil"/>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13.889,1 </w:t>
            </w:r>
          </w:p>
        </w:tc>
      </w:tr>
      <w:tr w:rsidR="00AD5654" w:rsidRPr="006F4D5A" w:rsidTr="00E87E11">
        <w:trPr>
          <w:trHeight w:val="25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center"/>
              <w:rPr>
                <w:b/>
                <w:bCs/>
                <w:color w:val="000000"/>
                <w:sz w:val="20"/>
                <w:szCs w:val="20"/>
              </w:rPr>
            </w:pPr>
            <w:r w:rsidRPr="006F4D5A">
              <w:rPr>
                <w:b/>
                <w:bCs/>
                <w:color w:val="000000"/>
                <w:sz w:val="20"/>
                <w:szCs w:val="20"/>
              </w:rPr>
              <w:t>III</w:t>
            </w:r>
          </w:p>
        </w:tc>
        <w:tc>
          <w:tcPr>
            <w:tcW w:w="256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rPr>
                <w:b/>
                <w:bCs/>
                <w:color w:val="000000"/>
                <w:sz w:val="20"/>
                <w:szCs w:val="20"/>
              </w:rPr>
            </w:pPr>
            <w:r w:rsidRPr="006F4D5A">
              <w:rPr>
                <w:b/>
                <w:bCs/>
                <w:color w:val="000000"/>
                <w:sz w:val="20"/>
                <w:szCs w:val="20"/>
              </w:rPr>
              <w:t>Tổng thu NSNN (III=I+II)</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1.0</w:t>
            </w:r>
            <w:r>
              <w:rPr>
                <w:b/>
                <w:bCs/>
                <w:color w:val="000000"/>
                <w:sz w:val="20"/>
                <w:szCs w:val="20"/>
              </w:rPr>
              <w:t>30</w:t>
            </w:r>
            <w:r w:rsidRPr="006F4D5A">
              <w:rPr>
                <w:b/>
                <w:bCs/>
                <w:color w:val="000000"/>
                <w:sz w:val="20"/>
                <w:szCs w:val="20"/>
              </w:rPr>
              <w:t>,</w:t>
            </w:r>
            <w:r>
              <w:rPr>
                <w:b/>
                <w:bCs/>
                <w:color w:val="000000"/>
                <w:sz w:val="20"/>
                <w:szCs w:val="20"/>
              </w:rPr>
              <w:t>6</w:t>
            </w:r>
            <w:r w:rsidRPr="006F4D5A">
              <w:rPr>
                <w:b/>
                <w:bCs/>
                <w:color w:val="000000"/>
                <w:sz w:val="20"/>
                <w:szCs w:val="20"/>
              </w:rPr>
              <w:t xml:space="preserve"> </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1.1</w:t>
            </w:r>
            <w:r>
              <w:rPr>
                <w:b/>
                <w:bCs/>
                <w:color w:val="000000"/>
                <w:sz w:val="20"/>
                <w:szCs w:val="20"/>
              </w:rPr>
              <w:t>28</w:t>
            </w:r>
            <w:r w:rsidRPr="006F4D5A">
              <w:rPr>
                <w:b/>
                <w:bCs/>
                <w:color w:val="000000"/>
                <w:sz w:val="20"/>
                <w:szCs w:val="20"/>
              </w:rPr>
              <w:t xml:space="preserve">,7 </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1.2</w:t>
            </w:r>
            <w:r>
              <w:rPr>
                <w:b/>
                <w:bCs/>
                <w:color w:val="000000"/>
                <w:sz w:val="20"/>
                <w:szCs w:val="20"/>
              </w:rPr>
              <w:t>47</w:t>
            </w:r>
            <w:r w:rsidRPr="006F4D5A">
              <w:rPr>
                <w:b/>
                <w:bCs/>
                <w:color w:val="000000"/>
                <w:sz w:val="20"/>
                <w:szCs w:val="20"/>
              </w:rPr>
              <w:t>,</w:t>
            </w:r>
            <w:r>
              <w:rPr>
                <w:b/>
                <w:bCs/>
                <w:color w:val="000000"/>
                <w:sz w:val="20"/>
                <w:szCs w:val="20"/>
              </w:rPr>
              <w:t>7</w:t>
            </w:r>
            <w:r w:rsidRPr="006F4D5A">
              <w:rPr>
                <w:b/>
                <w:bCs/>
                <w:color w:val="000000"/>
                <w:sz w:val="20"/>
                <w:szCs w:val="20"/>
              </w:rPr>
              <w:t xml:space="preserve"> </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1.3</w:t>
            </w:r>
            <w:r>
              <w:rPr>
                <w:b/>
                <w:bCs/>
                <w:color w:val="000000"/>
                <w:sz w:val="20"/>
                <w:szCs w:val="20"/>
              </w:rPr>
              <w:t>78</w:t>
            </w:r>
            <w:r w:rsidRPr="006F4D5A">
              <w:rPr>
                <w:b/>
                <w:bCs/>
                <w:color w:val="000000"/>
                <w:sz w:val="20"/>
                <w:szCs w:val="20"/>
              </w:rPr>
              <w:t>,</w:t>
            </w:r>
            <w:r>
              <w:rPr>
                <w:b/>
                <w:bCs/>
                <w:color w:val="000000"/>
                <w:sz w:val="20"/>
                <w:szCs w:val="20"/>
              </w:rPr>
              <w:t>7</w:t>
            </w:r>
            <w:r w:rsidRPr="006F4D5A">
              <w:rPr>
                <w:b/>
                <w:bCs/>
                <w:color w:val="000000"/>
                <w:sz w:val="20"/>
                <w:szCs w:val="20"/>
              </w:rPr>
              <w:t xml:space="preserve"> </w:t>
            </w:r>
          </w:p>
        </w:tc>
        <w:tc>
          <w:tcPr>
            <w:tcW w:w="880" w:type="dxa"/>
            <w:tcBorders>
              <w:top w:val="nil"/>
              <w:left w:val="nil"/>
              <w:bottom w:val="single" w:sz="4" w:space="0" w:color="auto"/>
              <w:right w:val="single" w:sz="8" w:space="0" w:color="auto"/>
            </w:tcBorders>
            <w:shd w:val="clear" w:color="auto" w:fill="auto"/>
            <w:noWrap/>
            <w:vAlign w:val="bottom"/>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1.</w:t>
            </w:r>
            <w:r>
              <w:rPr>
                <w:b/>
                <w:bCs/>
                <w:color w:val="000000"/>
                <w:sz w:val="20"/>
                <w:szCs w:val="20"/>
              </w:rPr>
              <w:t>523</w:t>
            </w:r>
            <w:r w:rsidRPr="006F4D5A">
              <w:rPr>
                <w:b/>
                <w:bCs/>
                <w:color w:val="000000"/>
                <w:sz w:val="20"/>
                <w:szCs w:val="20"/>
              </w:rPr>
              <w:t>,</w:t>
            </w:r>
            <w:r>
              <w:rPr>
                <w:b/>
                <w:bCs/>
                <w:color w:val="000000"/>
                <w:sz w:val="20"/>
                <w:szCs w:val="20"/>
              </w:rPr>
              <w:t>0</w:t>
            </w:r>
            <w:r w:rsidRPr="006F4D5A">
              <w:rPr>
                <w:b/>
                <w:bCs/>
                <w:color w:val="000000"/>
                <w:sz w:val="20"/>
                <w:szCs w:val="20"/>
              </w:rPr>
              <w:t xml:space="preserve"> </w:t>
            </w:r>
          </w:p>
        </w:tc>
        <w:tc>
          <w:tcPr>
            <w:tcW w:w="880" w:type="dxa"/>
            <w:tcBorders>
              <w:top w:val="nil"/>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1.2</w:t>
            </w:r>
            <w:r>
              <w:rPr>
                <w:b/>
                <w:bCs/>
                <w:color w:val="000000"/>
                <w:sz w:val="20"/>
                <w:szCs w:val="20"/>
              </w:rPr>
              <w:t>61</w:t>
            </w:r>
            <w:r w:rsidRPr="006F4D5A">
              <w:rPr>
                <w:b/>
                <w:bCs/>
                <w:color w:val="000000"/>
                <w:sz w:val="20"/>
                <w:szCs w:val="20"/>
              </w:rPr>
              <w:t>,</w:t>
            </w:r>
            <w:r>
              <w:rPr>
                <w:b/>
                <w:bCs/>
                <w:color w:val="000000"/>
                <w:sz w:val="20"/>
                <w:szCs w:val="20"/>
              </w:rPr>
              <w:t>7</w:t>
            </w:r>
            <w:r w:rsidRPr="006F4D5A">
              <w:rPr>
                <w:b/>
                <w:bCs/>
                <w:color w:val="000000"/>
                <w:sz w:val="20"/>
                <w:szCs w:val="20"/>
              </w:rPr>
              <w:t xml:space="preserve"> </w:t>
            </w:r>
          </w:p>
        </w:tc>
        <w:tc>
          <w:tcPr>
            <w:tcW w:w="960" w:type="dxa"/>
            <w:tcBorders>
              <w:top w:val="nil"/>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6.</w:t>
            </w:r>
            <w:r>
              <w:rPr>
                <w:b/>
                <w:bCs/>
                <w:color w:val="000000"/>
                <w:sz w:val="20"/>
                <w:szCs w:val="20"/>
              </w:rPr>
              <w:t>308</w:t>
            </w:r>
            <w:r w:rsidRPr="006F4D5A">
              <w:rPr>
                <w:b/>
                <w:bCs/>
                <w:color w:val="000000"/>
                <w:sz w:val="20"/>
                <w:szCs w:val="20"/>
              </w:rPr>
              <w:t>,</w:t>
            </w:r>
            <w:r>
              <w:rPr>
                <w:b/>
                <w:bCs/>
                <w:color w:val="000000"/>
                <w:sz w:val="20"/>
                <w:szCs w:val="20"/>
              </w:rPr>
              <w:t>7</w:t>
            </w:r>
            <w:r w:rsidRPr="006F4D5A">
              <w:rPr>
                <w:b/>
                <w:bCs/>
                <w:color w:val="000000"/>
                <w:sz w:val="20"/>
                <w:szCs w:val="20"/>
              </w:rPr>
              <w:t xml:space="preserve"> </w:t>
            </w:r>
          </w:p>
        </w:tc>
      </w:tr>
      <w:tr w:rsidR="00AD5654" w:rsidRPr="006F4D5A" w:rsidTr="00E87E11">
        <w:trPr>
          <w:trHeight w:val="765"/>
        </w:trPr>
        <w:tc>
          <w:tcPr>
            <w:tcW w:w="440" w:type="dxa"/>
            <w:tcBorders>
              <w:top w:val="nil"/>
              <w:left w:val="single" w:sz="8" w:space="0" w:color="auto"/>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center"/>
              <w:rPr>
                <w:b/>
                <w:bCs/>
                <w:color w:val="000000"/>
                <w:sz w:val="20"/>
                <w:szCs w:val="20"/>
              </w:rPr>
            </w:pPr>
            <w:r w:rsidRPr="006F4D5A">
              <w:rPr>
                <w:b/>
                <w:bCs/>
                <w:color w:val="000000"/>
                <w:sz w:val="20"/>
                <w:szCs w:val="20"/>
              </w:rPr>
              <w:t>IV</w:t>
            </w:r>
          </w:p>
        </w:tc>
        <w:tc>
          <w:tcPr>
            <w:tcW w:w="2560" w:type="dxa"/>
            <w:tcBorders>
              <w:top w:val="nil"/>
              <w:left w:val="nil"/>
              <w:bottom w:val="single" w:sz="4" w:space="0" w:color="auto"/>
              <w:right w:val="single" w:sz="8" w:space="0" w:color="auto"/>
            </w:tcBorders>
            <w:shd w:val="clear" w:color="auto" w:fill="auto"/>
            <w:vAlign w:val="bottom"/>
            <w:hideMark/>
          </w:tcPr>
          <w:p w:rsidR="00AD5654" w:rsidRPr="006F4D5A" w:rsidRDefault="00AD5654" w:rsidP="00AD6BCE">
            <w:pPr>
              <w:widowControl w:val="0"/>
              <w:rPr>
                <w:b/>
                <w:bCs/>
                <w:color w:val="000000"/>
                <w:sz w:val="20"/>
                <w:szCs w:val="20"/>
              </w:rPr>
            </w:pPr>
            <w:r w:rsidRPr="006F4D5A">
              <w:rPr>
                <w:b/>
                <w:bCs/>
                <w:color w:val="000000"/>
                <w:sz w:val="20"/>
                <w:szCs w:val="20"/>
              </w:rPr>
              <w:t>Lợi nhuận doanh nghiệp giữ lại (sau khi đóng góp cho NSNN theo cam kết)</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2</w:t>
            </w:r>
            <w:r>
              <w:rPr>
                <w:b/>
                <w:bCs/>
                <w:color w:val="000000"/>
                <w:sz w:val="20"/>
                <w:szCs w:val="20"/>
              </w:rPr>
              <w:t>48</w:t>
            </w:r>
            <w:r w:rsidRPr="006F4D5A">
              <w:rPr>
                <w:b/>
                <w:bCs/>
                <w:color w:val="000000"/>
                <w:sz w:val="20"/>
                <w:szCs w:val="20"/>
              </w:rPr>
              <w:t>,</w:t>
            </w:r>
            <w:r>
              <w:rPr>
                <w:b/>
                <w:bCs/>
                <w:color w:val="000000"/>
                <w:sz w:val="20"/>
                <w:szCs w:val="20"/>
              </w:rPr>
              <w:t>4</w:t>
            </w:r>
            <w:r w:rsidRPr="006F4D5A">
              <w:rPr>
                <w:b/>
                <w:bCs/>
                <w:color w:val="000000"/>
                <w:sz w:val="20"/>
                <w:szCs w:val="20"/>
              </w:rPr>
              <w:t xml:space="preserve"> </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2</w:t>
            </w:r>
            <w:r>
              <w:rPr>
                <w:b/>
                <w:bCs/>
                <w:color w:val="000000"/>
                <w:sz w:val="20"/>
                <w:szCs w:val="20"/>
              </w:rPr>
              <w:t>53</w:t>
            </w:r>
            <w:r w:rsidRPr="006F4D5A">
              <w:rPr>
                <w:b/>
                <w:bCs/>
                <w:color w:val="000000"/>
                <w:sz w:val="20"/>
                <w:szCs w:val="20"/>
              </w:rPr>
              <w:t xml:space="preserve">,5 </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3</w:t>
            </w:r>
            <w:r>
              <w:rPr>
                <w:b/>
                <w:bCs/>
                <w:color w:val="000000"/>
                <w:sz w:val="20"/>
                <w:szCs w:val="20"/>
              </w:rPr>
              <w:t>03</w:t>
            </w:r>
            <w:r w:rsidRPr="006F4D5A">
              <w:rPr>
                <w:b/>
                <w:bCs/>
                <w:color w:val="000000"/>
                <w:sz w:val="20"/>
                <w:szCs w:val="20"/>
              </w:rPr>
              <w:t>,</w:t>
            </w:r>
            <w:r>
              <w:rPr>
                <w:b/>
                <w:bCs/>
                <w:color w:val="000000"/>
                <w:sz w:val="20"/>
                <w:szCs w:val="20"/>
              </w:rPr>
              <w:t>5</w:t>
            </w:r>
            <w:r w:rsidRPr="006F4D5A">
              <w:rPr>
                <w:b/>
                <w:bCs/>
                <w:color w:val="000000"/>
                <w:sz w:val="20"/>
                <w:szCs w:val="20"/>
              </w:rPr>
              <w:t xml:space="preserve"> </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3</w:t>
            </w:r>
            <w:r>
              <w:rPr>
                <w:b/>
                <w:bCs/>
                <w:color w:val="000000"/>
                <w:sz w:val="20"/>
                <w:szCs w:val="20"/>
              </w:rPr>
              <w:t>58</w:t>
            </w:r>
            <w:r w:rsidRPr="006F4D5A">
              <w:rPr>
                <w:b/>
                <w:bCs/>
                <w:color w:val="000000"/>
                <w:sz w:val="20"/>
                <w:szCs w:val="20"/>
              </w:rPr>
              <w:t>,</w:t>
            </w:r>
            <w:r>
              <w:rPr>
                <w:b/>
                <w:bCs/>
                <w:color w:val="000000"/>
                <w:sz w:val="20"/>
                <w:szCs w:val="20"/>
              </w:rPr>
              <w:t>8</w:t>
            </w:r>
            <w:r w:rsidRPr="006F4D5A">
              <w:rPr>
                <w:b/>
                <w:bCs/>
                <w:color w:val="000000"/>
                <w:sz w:val="20"/>
                <w:szCs w:val="20"/>
              </w:rPr>
              <w:t xml:space="preserve"> </w:t>
            </w:r>
          </w:p>
        </w:tc>
        <w:tc>
          <w:tcPr>
            <w:tcW w:w="880" w:type="dxa"/>
            <w:tcBorders>
              <w:top w:val="nil"/>
              <w:left w:val="nil"/>
              <w:bottom w:val="single" w:sz="4"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4</w:t>
            </w:r>
            <w:r>
              <w:rPr>
                <w:b/>
                <w:bCs/>
                <w:color w:val="000000"/>
                <w:sz w:val="20"/>
                <w:szCs w:val="20"/>
              </w:rPr>
              <w:t>20</w:t>
            </w:r>
            <w:r w:rsidRPr="006F4D5A">
              <w:rPr>
                <w:b/>
                <w:bCs/>
                <w:color w:val="000000"/>
                <w:sz w:val="20"/>
                <w:szCs w:val="20"/>
              </w:rPr>
              <w:t>,</w:t>
            </w:r>
            <w:r>
              <w:rPr>
                <w:b/>
                <w:bCs/>
                <w:color w:val="000000"/>
                <w:sz w:val="20"/>
                <w:szCs w:val="20"/>
              </w:rPr>
              <w:t>1</w:t>
            </w:r>
            <w:r w:rsidRPr="006F4D5A">
              <w:rPr>
                <w:b/>
                <w:bCs/>
                <w:color w:val="000000"/>
                <w:sz w:val="20"/>
                <w:szCs w:val="20"/>
              </w:rPr>
              <w:t xml:space="preserve"> </w:t>
            </w:r>
          </w:p>
        </w:tc>
        <w:tc>
          <w:tcPr>
            <w:tcW w:w="880" w:type="dxa"/>
            <w:tcBorders>
              <w:top w:val="nil"/>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3</w:t>
            </w:r>
            <w:r>
              <w:rPr>
                <w:b/>
                <w:bCs/>
                <w:color w:val="000000"/>
                <w:sz w:val="20"/>
                <w:szCs w:val="20"/>
              </w:rPr>
              <w:t>16</w:t>
            </w:r>
            <w:r w:rsidRPr="006F4D5A">
              <w:rPr>
                <w:b/>
                <w:bCs/>
                <w:color w:val="000000"/>
                <w:sz w:val="20"/>
                <w:szCs w:val="20"/>
              </w:rPr>
              <w:t>,</w:t>
            </w:r>
            <w:r>
              <w:rPr>
                <w:b/>
                <w:bCs/>
                <w:color w:val="000000"/>
                <w:sz w:val="20"/>
                <w:szCs w:val="20"/>
              </w:rPr>
              <w:t>9</w:t>
            </w:r>
            <w:r w:rsidRPr="006F4D5A">
              <w:rPr>
                <w:b/>
                <w:bCs/>
                <w:color w:val="000000"/>
                <w:sz w:val="20"/>
                <w:szCs w:val="20"/>
              </w:rPr>
              <w:t xml:space="preserve"> </w:t>
            </w:r>
          </w:p>
        </w:tc>
        <w:tc>
          <w:tcPr>
            <w:tcW w:w="960" w:type="dxa"/>
            <w:tcBorders>
              <w:top w:val="nil"/>
              <w:left w:val="nil"/>
              <w:bottom w:val="single" w:sz="4"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1.</w:t>
            </w:r>
            <w:r>
              <w:rPr>
                <w:b/>
                <w:bCs/>
                <w:color w:val="000000"/>
                <w:sz w:val="20"/>
                <w:szCs w:val="20"/>
              </w:rPr>
              <w:t>584</w:t>
            </w:r>
            <w:r w:rsidRPr="006F4D5A">
              <w:rPr>
                <w:b/>
                <w:bCs/>
                <w:color w:val="000000"/>
                <w:sz w:val="20"/>
                <w:szCs w:val="20"/>
              </w:rPr>
              <w:t>,</w:t>
            </w:r>
            <w:r>
              <w:rPr>
                <w:b/>
                <w:bCs/>
                <w:color w:val="000000"/>
                <w:sz w:val="20"/>
                <w:szCs w:val="20"/>
              </w:rPr>
              <w:t>4</w:t>
            </w:r>
            <w:r w:rsidRPr="006F4D5A">
              <w:rPr>
                <w:b/>
                <w:bCs/>
                <w:color w:val="000000"/>
                <w:sz w:val="20"/>
                <w:szCs w:val="20"/>
              </w:rPr>
              <w:t xml:space="preserve"> </w:t>
            </w:r>
          </w:p>
        </w:tc>
      </w:tr>
      <w:tr w:rsidR="00AD5654" w:rsidRPr="006F4D5A" w:rsidTr="00E87E11">
        <w:trPr>
          <w:trHeight w:val="525"/>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AD5654" w:rsidRPr="006F4D5A" w:rsidRDefault="00AD5654" w:rsidP="00AD6BCE">
            <w:pPr>
              <w:widowControl w:val="0"/>
              <w:jc w:val="center"/>
              <w:rPr>
                <w:b/>
                <w:bCs/>
                <w:color w:val="000000"/>
                <w:sz w:val="20"/>
                <w:szCs w:val="20"/>
              </w:rPr>
            </w:pPr>
            <w:r w:rsidRPr="006F4D5A">
              <w:rPr>
                <w:b/>
                <w:bCs/>
                <w:color w:val="000000"/>
                <w:sz w:val="20"/>
                <w:szCs w:val="20"/>
              </w:rPr>
              <w:t>V</w:t>
            </w:r>
          </w:p>
        </w:tc>
        <w:tc>
          <w:tcPr>
            <w:tcW w:w="2560" w:type="dxa"/>
            <w:tcBorders>
              <w:top w:val="nil"/>
              <w:left w:val="nil"/>
              <w:bottom w:val="single" w:sz="8" w:space="0" w:color="auto"/>
              <w:right w:val="single" w:sz="8" w:space="0" w:color="auto"/>
            </w:tcBorders>
            <w:shd w:val="clear" w:color="auto" w:fill="auto"/>
            <w:vAlign w:val="bottom"/>
            <w:hideMark/>
          </w:tcPr>
          <w:p w:rsidR="00AD5654" w:rsidRPr="006F4D5A" w:rsidRDefault="00AD5654" w:rsidP="00AD6BCE">
            <w:pPr>
              <w:widowControl w:val="0"/>
              <w:rPr>
                <w:b/>
                <w:bCs/>
                <w:color w:val="000000"/>
                <w:sz w:val="20"/>
                <w:szCs w:val="20"/>
              </w:rPr>
            </w:pPr>
            <w:r w:rsidRPr="006F4D5A">
              <w:rPr>
                <w:b/>
                <w:bCs/>
                <w:color w:val="000000"/>
                <w:sz w:val="20"/>
                <w:szCs w:val="20"/>
              </w:rPr>
              <w:t>Luỹ kế lợi nhuận của doanh nghiệp</w:t>
            </w:r>
          </w:p>
        </w:tc>
        <w:tc>
          <w:tcPr>
            <w:tcW w:w="880" w:type="dxa"/>
            <w:tcBorders>
              <w:top w:val="nil"/>
              <w:left w:val="nil"/>
              <w:bottom w:val="single" w:sz="8"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2</w:t>
            </w:r>
            <w:r>
              <w:rPr>
                <w:b/>
                <w:bCs/>
                <w:color w:val="000000"/>
                <w:sz w:val="20"/>
                <w:szCs w:val="20"/>
              </w:rPr>
              <w:t>48</w:t>
            </w:r>
            <w:r w:rsidRPr="006F4D5A">
              <w:rPr>
                <w:b/>
                <w:bCs/>
                <w:color w:val="000000"/>
                <w:sz w:val="20"/>
                <w:szCs w:val="20"/>
              </w:rPr>
              <w:t>,</w:t>
            </w:r>
            <w:r>
              <w:rPr>
                <w:b/>
                <w:bCs/>
                <w:color w:val="000000"/>
                <w:sz w:val="20"/>
                <w:szCs w:val="20"/>
              </w:rPr>
              <w:t>4</w:t>
            </w:r>
            <w:r w:rsidRPr="006F4D5A">
              <w:rPr>
                <w:b/>
                <w:bCs/>
                <w:color w:val="000000"/>
                <w:sz w:val="20"/>
                <w:szCs w:val="20"/>
              </w:rPr>
              <w:t xml:space="preserve"> </w:t>
            </w:r>
          </w:p>
        </w:tc>
        <w:tc>
          <w:tcPr>
            <w:tcW w:w="880" w:type="dxa"/>
            <w:tcBorders>
              <w:top w:val="nil"/>
              <w:left w:val="nil"/>
              <w:bottom w:val="single" w:sz="8"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5</w:t>
            </w:r>
            <w:r>
              <w:rPr>
                <w:b/>
                <w:bCs/>
                <w:color w:val="000000"/>
                <w:sz w:val="20"/>
                <w:szCs w:val="20"/>
              </w:rPr>
              <w:t>01</w:t>
            </w:r>
            <w:r w:rsidRPr="006F4D5A">
              <w:rPr>
                <w:b/>
                <w:bCs/>
                <w:color w:val="000000"/>
                <w:sz w:val="20"/>
                <w:szCs w:val="20"/>
              </w:rPr>
              <w:t>,</w:t>
            </w:r>
            <w:r>
              <w:rPr>
                <w:b/>
                <w:bCs/>
                <w:color w:val="000000"/>
                <w:sz w:val="20"/>
                <w:szCs w:val="20"/>
              </w:rPr>
              <w:t>9</w:t>
            </w:r>
            <w:r w:rsidRPr="006F4D5A">
              <w:rPr>
                <w:b/>
                <w:bCs/>
                <w:color w:val="000000"/>
                <w:sz w:val="20"/>
                <w:szCs w:val="20"/>
              </w:rPr>
              <w:t xml:space="preserve"> </w:t>
            </w:r>
          </w:p>
        </w:tc>
        <w:tc>
          <w:tcPr>
            <w:tcW w:w="880" w:type="dxa"/>
            <w:tcBorders>
              <w:top w:val="nil"/>
              <w:left w:val="nil"/>
              <w:bottom w:val="single" w:sz="8"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8</w:t>
            </w:r>
            <w:r>
              <w:rPr>
                <w:b/>
                <w:bCs/>
                <w:color w:val="000000"/>
                <w:sz w:val="20"/>
                <w:szCs w:val="20"/>
              </w:rPr>
              <w:t>05</w:t>
            </w:r>
            <w:r w:rsidRPr="006F4D5A">
              <w:rPr>
                <w:b/>
                <w:bCs/>
                <w:color w:val="000000"/>
                <w:sz w:val="20"/>
                <w:szCs w:val="20"/>
              </w:rPr>
              <w:t>,</w:t>
            </w:r>
            <w:r>
              <w:rPr>
                <w:b/>
                <w:bCs/>
                <w:color w:val="000000"/>
                <w:sz w:val="20"/>
                <w:szCs w:val="20"/>
              </w:rPr>
              <w:t>4</w:t>
            </w:r>
            <w:r w:rsidRPr="006F4D5A">
              <w:rPr>
                <w:b/>
                <w:bCs/>
                <w:color w:val="000000"/>
                <w:sz w:val="20"/>
                <w:szCs w:val="20"/>
              </w:rPr>
              <w:t xml:space="preserve"> </w:t>
            </w:r>
          </w:p>
        </w:tc>
        <w:tc>
          <w:tcPr>
            <w:tcW w:w="880" w:type="dxa"/>
            <w:tcBorders>
              <w:top w:val="nil"/>
              <w:left w:val="nil"/>
              <w:bottom w:val="single" w:sz="8"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1.</w:t>
            </w:r>
            <w:r>
              <w:rPr>
                <w:b/>
                <w:bCs/>
                <w:color w:val="000000"/>
                <w:sz w:val="20"/>
                <w:szCs w:val="20"/>
              </w:rPr>
              <w:t>164</w:t>
            </w:r>
            <w:r w:rsidRPr="006F4D5A">
              <w:rPr>
                <w:b/>
                <w:bCs/>
                <w:color w:val="000000"/>
                <w:sz w:val="20"/>
                <w:szCs w:val="20"/>
              </w:rPr>
              <w:t>,</w:t>
            </w:r>
            <w:r>
              <w:rPr>
                <w:b/>
                <w:bCs/>
                <w:color w:val="000000"/>
                <w:sz w:val="20"/>
                <w:szCs w:val="20"/>
              </w:rPr>
              <w:t>2</w:t>
            </w:r>
            <w:r w:rsidRPr="006F4D5A">
              <w:rPr>
                <w:b/>
                <w:bCs/>
                <w:color w:val="000000"/>
                <w:sz w:val="20"/>
                <w:szCs w:val="20"/>
              </w:rPr>
              <w:t xml:space="preserve"> </w:t>
            </w:r>
          </w:p>
        </w:tc>
        <w:tc>
          <w:tcPr>
            <w:tcW w:w="880" w:type="dxa"/>
            <w:tcBorders>
              <w:top w:val="nil"/>
              <w:left w:val="nil"/>
              <w:bottom w:val="single" w:sz="8" w:space="0" w:color="auto"/>
              <w:right w:val="single" w:sz="8" w:space="0" w:color="auto"/>
            </w:tcBorders>
            <w:shd w:val="clear" w:color="auto" w:fill="auto"/>
            <w:noWrap/>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xml:space="preserve">   1.</w:t>
            </w:r>
            <w:r>
              <w:rPr>
                <w:b/>
                <w:bCs/>
                <w:color w:val="000000"/>
                <w:sz w:val="20"/>
                <w:szCs w:val="20"/>
              </w:rPr>
              <w:t>584</w:t>
            </w:r>
            <w:r w:rsidRPr="006F4D5A">
              <w:rPr>
                <w:b/>
                <w:bCs/>
                <w:color w:val="000000"/>
                <w:sz w:val="20"/>
                <w:szCs w:val="20"/>
              </w:rPr>
              <w:t>,</w:t>
            </w:r>
            <w:r>
              <w:rPr>
                <w:b/>
                <w:bCs/>
                <w:color w:val="000000"/>
                <w:sz w:val="20"/>
                <w:szCs w:val="20"/>
              </w:rPr>
              <w:t>4</w:t>
            </w:r>
            <w:r w:rsidRPr="006F4D5A">
              <w:rPr>
                <w:b/>
                <w:bCs/>
                <w:color w:val="000000"/>
                <w:sz w:val="20"/>
                <w:szCs w:val="20"/>
              </w:rPr>
              <w:t xml:space="preserve"> </w:t>
            </w:r>
          </w:p>
        </w:tc>
        <w:tc>
          <w:tcPr>
            <w:tcW w:w="880" w:type="dxa"/>
            <w:tcBorders>
              <w:top w:val="nil"/>
              <w:left w:val="nil"/>
              <w:bottom w:val="single" w:sz="8"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AD5654" w:rsidRPr="006F4D5A" w:rsidRDefault="00AD5654" w:rsidP="00AD6BCE">
            <w:pPr>
              <w:widowControl w:val="0"/>
              <w:jc w:val="right"/>
              <w:rPr>
                <w:b/>
                <w:bCs/>
                <w:color w:val="000000"/>
                <w:sz w:val="20"/>
                <w:szCs w:val="20"/>
              </w:rPr>
            </w:pPr>
            <w:r w:rsidRPr="006F4D5A">
              <w:rPr>
                <w:b/>
                <w:bCs/>
                <w:color w:val="000000"/>
                <w:sz w:val="20"/>
                <w:szCs w:val="20"/>
              </w:rPr>
              <w:t> </w:t>
            </w:r>
          </w:p>
        </w:tc>
      </w:tr>
    </w:tbl>
    <w:p w:rsidR="00AD5654" w:rsidRDefault="00AD5654" w:rsidP="00AD6BCE">
      <w:pPr>
        <w:widowControl w:val="0"/>
        <w:spacing w:after="120" w:line="340" w:lineRule="exact"/>
        <w:jc w:val="both"/>
        <w:rPr>
          <w:spacing w:val="-4"/>
          <w:lang w:val="pt-BR"/>
        </w:rPr>
      </w:pPr>
    </w:p>
    <w:p w:rsidR="00AD5654" w:rsidRPr="001E1702" w:rsidRDefault="00AD5654" w:rsidP="00AD6BCE">
      <w:pPr>
        <w:widowControl w:val="0"/>
        <w:spacing w:after="120" w:line="340" w:lineRule="exact"/>
        <w:ind w:firstLine="720"/>
        <w:jc w:val="both"/>
        <w:rPr>
          <w:spacing w:val="-6"/>
          <w:lang w:val="pt-BR"/>
        </w:rPr>
      </w:pPr>
      <w:r w:rsidRPr="00C36541">
        <w:rPr>
          <w:spacing w:val="-6"/>
          <w:lang w:val="pt-BR"/>
        </w:rPr>
        <w:t xml:space="preserve">- Doanh nghiệp kinh doanh đặt cược có </w:t>
      </w:r>
      <w:r>
        <w:rPr>
          <w:spacing w:val="-6"/>
          <w:lang w:val="pt-BR"/>
        </w:rPr>
        <w:t xml:space="preserve">lãi sau hơn 3 năm 10 tháng kinh doanh; có </w:t>
      </w:r>
      <w:r w:rsidRPr="00C36541">
        <w:rPr>
          <w:spacing w:val="-6"/>
          <w:lang w:val="pt-BR"/>
        </w:rPr>
        <w:t xml:space="preserve">tổng lợi nhuận trong </w:t>
      </w:r>
      <w:r>
        <w:rPr>
          <w:spacing w:val="-6"/>
          <w:lang w:val="pt-BR"/>
        </w:rPr>
        <w:t>05</w:t>
      </w:r>
      <w:r w:rsidRPr="00C36541">
        <w:rPr>
          <w:spacing w:val="-6"/>
          <w:lang w:val="pt-BR"/>
        </w:rPr>
        <w:t xml:space="preserve"> năm kinh doanh là </w:t>
      </w:r>
      <w:r>
        <w:rPr>
          <w:spacing w:val="-6"/>
          <w:lang w:val="pt-BR"/>
        </w:rPr>
        <w:t>1.584,4</w:t>
      </w:r>
      <w:r w:rsidRPr="00C36541">
        <w:rPr>
          <w:spacing w:val="-6"/>
          <w:lang w:val="pt-BR"/>
        </w:rPr>
        <w:t xml:space="preserve"> tỷ đồng; tỷ suất lợi nhuận/vốn đầu tư là </w:t>
      </w:r>
      <w:r>
        <w:rPr>
          <w:spacing w:val="-6"/>
          <w:lang w:val="pt-BR"/>
        </w:rPr>
        <w:t>158</w:t>
      </w:r>
      <w:r w:rsidRPr="00C36541">
        <w:rPr>
          <w:spacing w:val="-6"/>
          <w:lang w:val="pt-BR"/>
        </w:rPr>
        <w:t>% (=</w:t>
      </w:r>
      <w:r>
        <w:rPr>
          <w:spacing w:val="-6"/>
          <w:lang w:val="pt-BR"/>
        </w:rPr>
        <w:t>1.584,4</w:t>
      </w:r>
      <w:r w:rsidRPr="00C36541">
        <w:rPr>
          <w:spacing w:val="-6"/>
          <w:lang w:val="pt-BR"/>
        </w:rPr>
        <w:t>/1.000)./.</w:t>
      </w:r>
    </w:p>
    <w:p w:rsidR="004575B5" w:rsidRPr="001E1702" w:rsidRDefault="004575B5" w:rsidP="00AD6BCE">
      <w:pPr>
        <w:widowControl w:val="0"/>
        <w:spacing w:after="120" w:line="340" w:lineRule="exact"/>
        <w:ind w:firstLine="720"/>
        <w:jc w:val="both"/>
        <w:rPr>
          <w:spacing w:val="-6"/>
          <w:lang w:val="pt-BR"/>
        </w:rPr>
      </w:pPr>
    </w:p>
    <w:sectPr w:rsidR="004575B5" w:rsidRPr="001E1702" w:rsidSect="00B126E4">
      <w:headerReference w:type="default" r:id="rId8"/>
      <w:footerReference w:type="even" r:id="rId9"/>
      <w:pgSz w:w="11907" w:h="16840" w:code="9"/>
      <w:pgMar w:top="1134" w:right="1134" w:bottom="1134" w:left="1418" w:header="720" w:footer="45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AA2" w:rsidRDefault="000A2AA2" w:rsidP="001E1702">
      <w:r>
        <w:separator/>
      </w:r>
    </w:p>
  </w:endnote>
  <w:endnote w:type="continuationSeparator" w:id="0">
    <w:p w:rsidR="000A2AA2" w:rsidRDefault="000A2AA2" w:rsidP="001E170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Courier"/>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AA2" w:rsidRDefault="00DC5E32" w:rsidP="00C473C3">
    <w:pPr>
      <w:pStyle w:val="Footer"/>
      <w:framePr w:wrap="around" w:vAnchor="text" w:hAnchor="margin" w:xAlign="center" w:y="1"/>
      <w:rPr>
        <w:rStyle w:val="PageNumber"/>
      </w:rPr>
    </w:pPr>
    <w:r>
      <w:rPr>
        <w:rStyle w:val="PageNumber"/>
      </w:rPr>
      <w:fldChar w:fldCharType="begin"/>
    </w:r>
    <w:r w:rsidR="000A2AA2">
      <w:rPr>
        <w:rStyle w:val="PageNumber"/>
      </w:rPr>
      <w:instrText xml:space="preserve">PAGE  </w:instrText>
    </w:r>
    <w:r>
      <w:rPr>
        <w:rStyle w:val="PageNumber"/>
      </w:rPr>
      <w:fldChar w:fldCharType="end"/>
    </w:r>
  </w:p>
  <w:p w:rsidR="000A2AA2" w:rsidRDefault="000A2A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AA2" w:rsidRDefault="000A2AA2" w:rsidP="001E1702">
      <w:r>
        <w:separator/>
      </w:r>
    </w:p>
  </w:footnote>
  <w:footnote w:type="continuationSeparator" w:id="0">
    <w:p w:rsidR="000A2AA2" w:rsidRDefault="000A2AA2" w:rsidP="001E1702">
      <w:r>
        <w:continuationSeparator/>
      </w:r>
    </w:p>
  </w:footnote>
  <w:footnote w:id="1">
    <w:p w:rsidR="000A2AA2" w:rsidRPr="00D62A48" w:rsidRDefault="000A2AA2" w:rsidP="00046066">
      <w:pPr>
        <w:pStyle w:val="FootnoteText"/>
        <w:jc w:val="both"/>
        <w:rPr>
          <w:spacing w:val="-4"/>
          <w:sz w:val="22"/>
          <w:szCs w:val="22"/>
        </w:rPr>
      </w:pPr>
      <w:r w:rsidRPr="00D62A48">
        <w:rPr>
          <w:rStyle w:val="FootnoteReference"/>
          <w:spacing w:val="-4"/>
          <w:sz w:val="22"/>
          <w:szCs w:val="22"/>
        </w:rPr>
        <w:footnoteRef/>
      </w:r>
      <w:r w:rsidRPr="00D62A48">
        <w:rPr>
          <w:spacing w:val="-4"/>
          <w:sz w:val="22"/>
          <w:szCs w:val="22"/>
        </w:rPr>
        <w:t xml:space="preserve"> Thông tư số 101/2017/TT-BTC ngày 04/10/2017 của Bộ Tài chính hướng dẫn một số điều quy định tại Nghị định số 06; Thông tư số 15/2018/TT-BVHTTDL và Thông tư số 16/2018/TT-BVHTTDL ngày 14/3/2018 của Bộ Văn hoá, Thể thao và Du lịch quy định chuyên môn về tiêu chuẩn Trọng tài, giám sát, cơ sở vật chất, trang thiết bị của doanh nghiệp tổ chức hoạt động đua ngựa, đua chó để kinh doanh đặt cược.</w:t>
      </w:r>
    </w:p>
  </w:footnote>
  <w:footnote w:id="2">
    <w:p w:rsidR="000A2AA2" w:rsidRPr="00365920" w:rsidRDefault="000A2AA2" w:rsidP="000C30F3">
      <w:pPr>
        <w:pStyle w:val="FootnoteText"/>
        <w:jc w:val="both"/>
        <w:rPr>
          <w:sz w:val="22"/>
          <w:szCs w:val="22"/>
        </w:rPr>
      </w:pPr>
      <w:r w:rsidRPr="00365920">
        <w:rPr>
          <w:rStyle w:val="FootnoteReference"/>
          <w:sz w:val="22"/>
          <w:szCs w:val="22"/>
        </w:rPr>
        <w:footnoteRef/>
      </w:r>
      <w:r w:rsidRPr="00365920">
        <w:rPr>
          <w:sz w:val="22"/>
          <w:szCs w:val="22"/>
        </w:rPr>
        <w:t xml:space="preserve"> </w:t>
      </w:r>
      <w:r>
        <w:rPr>
          <w:spacing w:val="-2"/>
          <w:sz w:val="22"/>
          <w:szCs w:val="22"/>
          <w:lang w:val="nl-NL"/>
        </w:rPr>
        <w:t>L</w:t>
      </w:r>
      <w:r w:rsidRPr="00365920">
        <w:rPr>
          <w:spacing w:val="-2"/>
          <w:sz w:val="22"/>
          <w:szCs w:val="22"/>
          <w:lang w:val="nl-NL"/>
        </w:rPr>
        <w:t xml:space="preserve">uật </w:t>
      </w:r>
      <w:r>
        <w:rPr>
          <w:spacing w:val="-2"/>
          <w:sz w:val="22"/>
          <w:szCs w:val="22"/>
          <w:lang w:val="nl-NL"/>
        </w:rPr>
        <w:t>Đ</w:t>
      </w:r>
      <w:r w:rsidRPr="00365920">
        <w:rPr>
          <w:spacing w:val="-2"/>
          <w:sz w:val="22"/>
          <w:szCs w:val="22"/>
          <w:lang w:val="nl-NL"/>
        </w:rPr>
        <w:t>ấu thầu</w:t>
      </w:r>
      <w:r>
        <w:rPr>
          <w:spacing w:val="-2"/>
          <w:sz w:val="22"/>
          <w:szCs w:val="22"/>
          <w:lang w:val="nl-NL"/>
        </w:rPr>
        <w:t xml:space="preserve"> năm 2013 chưa có quy định đấu thầu lựa chọn doanh nghiệp kinh doanh có vướng mắc pháp lý trong triển khai thực hiện Nghị định số 06.</w:t>
      </w:r>
    </w:p>
  </w:footnote>
  <w:footnote w:id="3">
    <w:p w:rsidR="000A2AA2" w:rsidRPr="00046066" w:rsidRDefault="000A2AA2" w:rsidP="00046066">
      <w:pPr>
        <w:pStyle w:val="FootnoteText"/>
        <w:jc w:val="both"/>
        <w:rPr>
          <w:spacing w:val="-6"/>
          <w:sz w:val="22"/>
          <w:szCs w:val="22"/>
        </w:rPr>
      </w:pPr>
      <w:r w:rsidRPr="00046066">
        <w:rPr>
          <w:rStyle w:val="FootnoteReference"/>
          <w:spacing w:val="-6"/>
          <w:sz w:val="22"/>
          <w:szCs w:val="22"/>
        </w:rPr>
        <w:footnoteRef/>
      </w:r>
      <w:r w:rsidRPr="00046066">
        <w:rPr>
          <w:spacing w:val="-6"/>
          <w:sz w:val="22"/>
          <w:szCs w:val="22"/>
        </w:rPr>
        <w:t xml:space="preserve"> Luật Đấu thầu năm 2023, </w:t>
      </w:r>
      <w:r w:rsidRPr="00046066">
        <w:rPr>
          <w:spacing w:val="-6"/>
          <w:sz w:val="22"/>
          <w:szCs w:val="22"/>
          <w:lang w:val="nl-NL"/>
        </w:rPr>
        <w:t>Luật Đầu tư năm 2020, Luật Doanh nghiệp năm 2020, Luật xử lý vi phạm hành chính (sửa đổi) năm 2020, Luật Quy hoạch năm 2017, Nghị định số 31/2021/NĐ-CP ngày 26/3/2021 của Chính phủ quy định chi tiết và hướng dẫn thi hành một số điều của Luật Đầu tư,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r w:rsidRPr="00046066">
        <w:rPr>
          <w:spacing w:val="-6"/>
          <w:sz w:val="22"/>
          <w:szCs w:val="22"/>
          <w:lang w:val="pt-BR"/>
        </w:rPr>
        <w:t>.</w:t>
      </w:r>
    </w:p>
  </w:footnote>
  <w:footnote w:id="4">
    <w:p w:rsidR="000A2AA2" w:rsidRPr="00D333E9" w:rsidRDefault="000A2AA2" w:rsidP="00D333E9">
      <w:pPr>
        <w:pStyle w:val="FootnoteText"/>
        <w:jc w:val="both"/>
        <w:rPr>
          <w:spacing w:val="-8"/>
          <w:sz w:val="22"/>
          <w:szCs w:val="22"/>
        </w:rPr>
      </w:pPr>
      <w:r w:rsidRPr="00D333E9">
        <w:rPr>
          <w:rStyle w:val="FootnoteReference"/>
          <w:spacing w:val="-8"/>
          <w:sz w:val="22"/>
          <w:szCs w:val="22"/>
        </w:rPr>
        <w:footnoteRef/>
      </w:r>
      <w:r w:rsidRPr="00D333E9">
        <w:rPr>
          <w:spacing w:val="-8"/>
          <w:sz w:val="22"/>
          <w:szCs w:val="22"/>
        </w:rPr>
        <w:t xml:space="preserve"> </w:t>
      </w:r>
      <w:r w:rsidRPr="00D333E9">
        <w:rPr>
          <w:spacing w:val="-8"/>
          <w:sz w:val="22"/>
          <w:szCs w:val="22"/>
          <w:lang w:val="nl-NL"/>
        </w:rPr>
        <w:t>Nắng nóng vào mùa hè, lạnh buốt vào mùa đông (khu vực miền Bắc và miền Trung) và mưa nhiều ở miền Nam.</w:t>
      </w:r>
    </w:p>
  </w:footnote>
  <w:footnote w:id="5">
    <w:p w:rsidR="000A2AA2" w:rsidRPr="00E91551" w:rsidRDefault="000A2AA2" w:rsidP="00D5491B">
      <w:pPr>
        <w:pStyle w:val="NormalWeb"/>
        <w:tabs>
          <w:tab w:val="num" w:pos="0"/>
        </w:tabs>
        <w:spacing w:before="0" w:beforeAutospacing="0" w:after="0" w:afterAutospacing="0"/>
        <w:jc w:val="both"/>
        <w:rPr>
          <w:sz w:val="22"/>
          <w:szCs w:val="22"/>
        </w:rPr>
      </w:pPr>
      <w:r w:rsidRPr="00E91551">
        <w:rPr>
          <w:rStyle w:val="FootnoteReference"/>
          <w:sz w:val="22"/>
          <w:szCs w:val="22"/>
        </w:rPr>
        <w:footnoteRef/>
      </w:r>
      <w:r>
        <w:rPr>
          <w:rStyle w:val="Strong"/>
          <w:sz w:val="22"/>
          <w:szCs w:val="22"/>
        </w:rPr>
        <w:t xml:space="preserve"> </w:t>
      </w:r>
      <w:r w:rsidRPr="00F37D51">
        <w:rPr>
          <w:rStyle w:val="Strong"/>
          <w:b w:val="0"/>
          <w:sz w:val="22"/>
          <w:szCs w:val="22"/>
        </w:rPr>
        <w:t>Gồm: (i)</w:t>
      </w:r>
      <w:r>
        <w:rPr>
          <w:rStyle w:val="Strong"/>
          <w:sz w:val="22"/>
          <w:szCs w:val="22"/>
        </w:rPr>
        <w:t xml:space="preserve"> </w:t>
      </w:r>
      <w:r>
        <w:rPr>
          <w:sz w:val="22"/>
          <w:szCs w:val="22"/>
        </w:rPr>
        <w:t>Liên đoàn đ</w:t>
      </w:r>
      <w:r w:rsidRPr="00E91551">
        <w:rPr>
          <w:sz w:val="22"/>
          <w:szCs w:val="22"/>
        </w:rPr>
        <w:t>ua ngựa Châu Á</w:t>
      </w:r>
      <w:r w:rsidRPr="00E91551">
        <w:rPr>
          <w:rStyle w:val="Strong"/>
          <w:sz w:val="22"/>
          <w:szCs w:val="22"/>
        </w:rPr>
        <w:t xml:space="preserve"> </w:t>
      </w:r>
      <w:r w:rsidRPr="00F37D51">
        <w:rPr>
          <w:rStyle w:val="Strong"/>
          <w:b w:val="0"/>
          <w:sz w:val="22"/>
          <w:szCs w:val="22"/>
        </w:rPr>
        <w:t>(Asian Racing Federation - ARF, gồm</w:t>
      </w:r>
      <w:r>
        <w:rPr>
          <w:rStyle w:val="Strong"/>
          <w:sz w:val="22"/>
          <w:szCs w:val="22"/>
        </w:rPr>
        <w:t xml:space="preserve"> </w:t>
      </w:r>
      <w:r w:rsidRPr="00E91551">
        <w:rPr>
          <w:sz w:val="22"/>
          <w:szCs w:val="22"/>
        </w:rPr>
        <w:t>các quốc gia châu Á, Úc, New</w:t>
      </w:r>
      <w:r>
        <w:rPr>
          <w:sz w:val="22"/>
          <w:szCs w:val="22"/>
        </w:rPr>
        <w:t xml:space="preserve"> Zealand, Nam Phi, Trung Đông); (ii) Liên đoàn đ</w:t>
      </w:r>
      <w:r w:rsidRPr="00E91551">
        <w:rPr>
          <w:sz w:val="22"/>
          <w:szCs w:val="22"/>
        </w:rPr>
        <w:t>ua ngựa Châu Âu &amp; Địa Trung Hải</w:t>
      </w:r>
      <w:r>
        <w:rPr>
          <w:sz w:val="22"/>
          <w:szCs w:val="22"/>
        </w:rPr>
        <w:t xml:space="preserve"> </w:t>
      </w:r>
      <w:r w:rsidRPr="00F37D51">
        <w:rPr>
          <w:b/>
          <w:sz w:val="22"/>
          <w:szCs w:val="22"/>
        </w:rPr>
        <w:t>(</w:t>
      </w:r>
      <w:r w:rsidRPr="00F37D51">
        <w:rPr>
          <w:rStyle w:val="Strong"/>
          <w:b w:val="0"/>
          <w:sz w:val="22"/>
          <w:szCs w:val="22"/>
        </w:rPr>
        <w:t>European and Mediterranean Horseracing Federation - EMHF, b</w:t>
      </w:r>
      <w:r w:rsidRPr="00E91551">
        <w:rPr>
          <w:sz w:val="22"/>
          <w:szCs w:val="22"/>
        </w:rPr>
        <w:t>ao gồm hầu hết các nước châu Âu và</w:t>
      </w:r>
      <w:r>
        <w:rPr>
          <w:sz w:val="22"/>
          <w:szCs w:val="22"/>
        </w:rPr>
        <w:t xml:space="preserve"> một số nước vùng Địa Trung Hải); (iii) </w:t>
      </w:r>
      <w:r>
        <w:rPr>
          <w:rStyle w:val="Strong"/>
          <w:b w:val="0"/>
          <w:sz w:val="22"/>
          <w:szCs w:val="22"/>
        </w:rPr>
        <w:t>Pan-American Conference/</w:t>
      </w:r>
      <w:r w:rsidRPr="00F37D51">
        <w:rPr>
          <w:rStyle w:val="Strong"/>
          <w:b w:val="0"/>
          <w:sz w:val="22"/>
          <w:szCs w:val="22"/>
        </w:rPr>
        <w:t>OSAF</w:t>
      </w:r>
      <w:r w:rsidRPr="00E91551">
        <w:rPr>
          <w:sz w:val="22"/>
          <w:szCs w:val="22"/>
        </w:rPr>
        <w:t xml:space="preserve"> (Organización Sudamericana de Fomento del Pura Sangre de Carrera)</w:t>
      </w:r>
      <w:r>
        <w:rPr>
          <w:sz w:val="22"/>
          <w:szCs w:val="22"/>
        </w:rPr>
        <w:t xml:space="preserve"> là t</w:t>
      </w:r>
      <w:r w:rsidRPr="00E91551">
        <w:rPr>
          <w:sz w:val="22"/>
          <w:szCs w:val="22"/>
        </w:rPr>
        <w:t xml:space="preserve">ổ chức </w:t>
      </w:r>
      <w:r>
        <w:rPr>
          <w:sz w:val="22"/>
          <w:szCs w:val="22"/>
        </w:rPr>
        <w:t>đ</w:t>
      </w:r>
      <w:r w:rsidRPr="00E91551">
        <w:rPr>
          <w:sz w:val="22"/>
          <w:szCs w:val="22"/>
        </w:rPr>
        <w:t xml:space="preserve">ua ngựa Nam Mỹ, phối hợp với Bắc Mỹ qua </w:t>
      </w:r>
      <w:r w:rsidRPr="00F37D51">
        <w:rPr>
          <w:rStyle w:val="Strong"/>
          <w:b w:val="0"/>
          <w:sz w:val="22"/>
          <w:szCs w:val="22"/>
        </w:rPr>
        <w:t>The Jockey Club (USA)</w:t>
      </w:r>
      <w:r w:rsidRPr="00E91551">
        <w:rPr>
          <w:sz w:val="22"/>
          <w:szCs w:val="22"/>
        </w:rPr>
        <w:t xml:space="preserve"> và </w:t>
      </w:r>
      <w:r w:rsidRPr="00F37D51">
        <w:rPr>
          <w:rStyle w:val="Strong"/>
          <w:b w:val="0"/>
          <w:sz w:val="22"/>
          <w:szCs w:val="22"/>
        </w:rPr>
        <w:t>Canadian Thoroughbred Horse Society</w:t>
      </w:r>
      <w:r w:rsidRPr="00E91551">
        <w:rPr>
          <w:sz w:val="22"/>
          <w:szCs w:val="22"/>
        </w:rPr>
        <w:t>.</w:t>
      </w:r>
    </w:p>
  </w:footnote>
  <w:footnote w:id="6">
    <w:p w:rsidR="000A2AA2" w:rsidRPr="00886CFE" w:rsidRDefault="000A2AA2" w:rsidP="00CC24F5">
      <w:pPr>
        <w:pStyle w:val="FootnoteText"/>
        <w:jc w:val="both"/>
        <w:rPr>
          <w:spacing w:val="-10"/>
        </w:rPr>
      </w:pPr>
      <w:r w:rsidRPr="00886CFE">
        <w:rPr>
          <w:rStyle w:val="FootnoteReference"/>
          <w:spacing w:val="-10"/>
          <w:sz w:val="22"/>
        </w:rPr>
        <w:footnoteRef/>
      </w:r>
      <w:r w:rsidRPr="00886CFE">
        <w:rPr>
          <w:spacing w:val="-10"/>
          <w:sz w:val="22"/>
        </w:rPr>
        <w:t xml:space="preserve"> Khu vực </w:t>
      </w:r>
      <w:r w:rsidRPr="00886CFE">
        <w:rPr>
          <w:spacing w:val="-10"/>
          <w:sz w:val="22"/>
          <w:lang w:val="pt-BR"/>
        </w:rPr>
        <w:t>Châu Âu chậm hơn Việt Nam 5-6h; Mỹ chậm hơn 11-17h tùy theo bang, Úc trước 3h, Châu Á trước 2h...</w:t>
      </w:r>
    </w:p>
  </w:footnote>
  <w:footnote w:id="7">
    <w:p w:rsidR="000A2AA2" w:rsidRPr="00F6218F" w:rsidRDefault="000A2AA2" w:rsidP="00591CE4">
      <w:pPr>
        <w:pStyle w:val="FootnoteText"/>
        <w:rPr>
          <w:sz w:val="22"/>
          <w:szCs w:val="22"/>
        </w:rPr>
      </w:pPr>
      <w:r w:rsidRPr="00F6218F">
        <w:rPr>
          <w:rStyle w:val="FootnoteReference"/>
          <w:sz w:val="22"/>
          <w:szCs w:val="22"/>
        </w:rPr>
        <w:footnoteRef/>
      </w:r>
      <w:r w:rsidRPr="00F6218F">
        <w:rPr>
          <w:sz w:val="22"/>
          <w:szCs w:val="22"/>
        </w:rPr>
        <w:t xml:space="preserve"> </w:t>
      </w:r>
      <w:r w:rsidRPr="00F6218F">
        <w:rPr>
          <w:sz w:val="22"/>
          <w:szCs w:val="22"/>
          <w:lang w:val="pt-BR"/>
        </w:rPr>
        <w:t>Người chơi nhắn tin hoặc gọi điện đến tổng đài c</w:t>
      </w:r>
      <w:bookmarkStart w:id="0" w:name="_GoBack"/>
      <w:bookmarkEnd w:id="0"/>
      <w:r w:rsidRPr="00F6218F">
        <w:rPr>
          <w:sz w:val="22"/>
          <w:szCs w:val="22"/>
          <w:lang w:val="pt-BR"/>
        </w:rPr>
        <w:t>ủa doanh nghiệp để đặt cược đòi hỏi chi phí vận hành và sử dụng nhân lực lớn để tiếp nhận và xác nhận việc tham gia đặt cược của người chơi.</w:t>
      </w:r>
    </w:p>
  </w:footnote>
  <w:footnote w:id="8">
    <w:p w:rsidR="000A2AA2" w:rsidRPr="00D55057" w:rsidRDefault="000A2AA2" w:rsidP="000B6309">
      <w:pPr>
        <w:pStyle w:val="FootnoteText"/>
        <w:jc w:val="both"/>
        <w:rPr>
          <w:sz w:val="22"/>
          <w:szCs w:val="22"/>
        </w:rPr>
      </w:pPr>
      <w:r w:rsidRPr="00D55057">
        <w:rPr>
          <w:rStyle w:val="FootnoteReference"/>
          <w:sz w:val="22"/>
          <w:szCs w:val="22"/>
        </w:rPr>
        <w:footnoteRef/>
      </w:r>
      <w:r w:rsidRPr="00D55057">
        <w:rPr>
          <w:sz w:val="22"/>
          <w:szCs w:val="22"/>
        </w:rPr>
        <w:t xml:space="preserve"> </w:t>
      </w:r>
      <w:r>
        <w:rPr>
          <w:sz w:val="22"/>
          <w:szCs w:val="22"/>
        </w:rPr>
        <w:t>Phụ lục I ban hành kèm theo Nghị định số 31/2021/NĐ-CP của Chính phủ quy định chi tiết và hướng dẫn thi hành một số điều của Luật Đầu tư.</w:t>
      </w:r>
    </w:p>
  </w:footnote>
  <w:footnote w:id="9">
    <w:p w:rsidR="000A2AA2" w:rsidRPr="008B5CCA" w:rsidRDefault="000A2AA2" w:rsidP="0019091A">
      <w:pPr>
        <w:pStyle w:val="FootnoteText"/>
        <w:jc w:val="both"/>
        <w:rPr>
          <w:sz w:val="22"/>
          <w:szCs w:val="22"/>
          <w:lang w:val="vi-VN"/>
        </w:rPr>
      </w:pPr>
      <w:r w:rsidRPr="008B5CCA">
        <w:rPr>
          <w:rStyle w:val="FootnoteReference"/>
          <w:sz w:val="22"/>
          <w:szCs w:val="22"/>
        </w:rPr>
        <w:footnoteRef/>
      </w:r>
      <w:r w:rsidRPr="008B5CCA">
        <w:rPr>
          <w:sz w:val="22"/>
          <w:szCs w:val="22"/>
        </w:rPr>
        <w:t xml:space="preserve"> </w:t>
      </w:r>
      <w:r w:rsidRPr="008B5CCA">
        <w:rPr>
          <w:sz w:val="22"/>
          <w:szCs w:val="22"/>
          <w:lang w:val="vi-VN"/>
        </w:rPr>
        <w:t xml:space="preserve">Luật Quy hoạch </w:t>
      </w:r>
      <w:r>
        <w:rPr>
          <w:sz w:val="22"/>
          <w:szCs w:val="22"/>
        </w:rPr>
        <w:t xml:space="preserve">(điểm c khoản 1 Điều 59) </w:t>
      </w:r>
      <w:r w:rsidRPr="008B5CCA">
        <w:rPr>
          <w:sz w:val="22"/>
          <w:szCs w:val="22"/>
          <w:lang w:val="vi-VN"/>
        </w:rPr>
        <w:t xml:space="preserve">và </w:t>
      </w:r>
      <w:r w:rsidRPr="008B5CCA">
        <w:rPr>
          <w:sz w:val="22"/>
          <w:szCs w:val="22"/>
          <w:lang w:val="nl-NL"/>
        </w:rPr>
        <w:t>Nghị quyết số 751/2019/UBTVQH14 ngày 16/8/2019 của Ủy ban thường vụ Quốc hội</w:t>
      </w:r>
      <w:r>
        <w:rPr>
          <w:sz w:val="22"/>
          <w:szCs w:val="22"/>
          <w:lang w:val="vi-VN"/>
        </w:rPr>
        <w:t>.</w:t>
      </w:r>
    </w:p>
  </w:footnote>
  <w:footnote w:id="10">
    <w:p w:rsidR="000A2AA2" w:rsidRPr="002D6F79" w:rsidRDefault="000A2AA2" w:rsidP="00934A03">
      <w:pPr>
        <w:pStyle w:val="FootnoteText"/>
        <w:jc w:val="both"/>
        <w:rPr>
          <w:b/>
          <w:spacing w:val="-4"/>
          <w:sz w:val="22"/>
          <w:szCs w:val="22"/>
        </w:rPr>
      </w:pPr>
      <w:r w:rsidRPr="00862EF2">
        <w:rPr>
          <w:rStyle w:val="FootnoteReference"/>
          <w:b/>
          <w:spacing w:val="-4"/>
          <w:sz w:val="22"/>
          <w:szCs w:val="22"/>
        </w:rPr>
        <w:footnoteRef/>
      </w:r>
      <w:r w:rsidRPr="00862EF2">
        <w:rPr>
          <w:spacing w:val="-4"/>
          <w:sz w:val="22"/>
          <w:szCs w:val="22"/>
        </w:rPr>
        <w:t xml:space="preserve"> Nghị quyết số 57-NQ/TW ngày 22/12/2024, Nghị quyết số 68-NQ/TW ngày 04/5/2025</w:t>
      </w:r>
      <w:r>
        <w:rPr>
          <w:spacing w:val="-4"/>
          <w:sz w:val="22"/>
          <w:szCs w:val="22"/>
        </w:rPr>
        <w:t>, Nghị quyết số 66-NQ/TW ngày 30/4/2025</w:t>
      </w:r>
      <w:r w:rsidRPr="00862EF2">
        <w:rPr>
          <w:spacing w:val="-4"/>
          <w:sz w:val="22"/>
          <w:szCs w:val="22"/>
        </w:rPr>
        <w:t xml:space="preserve"> của Bộ Chính trị.</w:t>
      </w:r>
    </w:p>
  </w:footnote>
  <w:footnote w:id="11">
    <w:p w:rsidR="000A2AA2" w:rsidRPr="002D6F79" w:rsidRDefault="000A2AA2" w:rsidP="002A2E7D">
      <w:pPr>
        <w:pStyle w:val="FootnoteText"/>
        <w:rPr>
          <w:b/>
          <w:sz w:val="22"/>
          <w:szCs w:val="22"/>
        </w:rPr>
      </w:pPr>
      <w:r w:rsidRPr="00862EF2">
        <w:rPr>
          <w:rStyle w:val="FootnoteReference"/>
          <w:b/>
          <w:sz w:val="22"/>
          <w:szCs w:val="22"/>
        </w:rPr>
        <w:footnoteRef/>
      </w:r>
      <w:r w:rsidRPr="00862EF2">
        <w:rPr>
          <w:sz w:val="22"/>
          <w:szCs w:val="22"/>
        </w:rPr>
        <w:t xml:space="preserve"> Nghị quyết số 66/NQ-CP ngày 26/3/2025 của Chính phủ.</w:t>
      </w:r>
    </w:p>
  </w:footnote>
  <w:footnote w:id="12">
    <w:p w:rsidR="000A2AA2" w:rsidRPr="002D6F79" w:rsidRDefault="000A2AA2" w:rsidP="002A2E7D">
      <w:pPr>
        <w:pStyle w:val="FootnoteText"/>
        <w:rPr>
          <w:b/>
        </w:rPr>
      </w:pPr>
      <w:r w:rsidRPr="00862EF2">
        <w:rPr>
          <w:rStyle w:val="FootnoteReference"/>
          <w:b/>
        </w:rPr>
        <w:footnoteRef/>
      </w:r>
      <w:r w:rsidRPr="00862EF2">
        <w:t xml:space="preserve"> Công điện số 69/CĐ-TT</w:t>
      </w:r>
      <w:r>
        <w:t>g</w:t>
      </w:r>
      <w:r w:rsidRPr="00862EF2">
        <w:t xml:space="preserve"> ngày 22/5/2025 của Thủ tướng Chính phủ</w:t>
      </w:r>
    </w:p>
  </w:footnote>
  <w:footnote w:id="13">
    <w:p w:rsidR="000A2AA2" w:rsidRPr="00F0580F" w:rsidRDefault="000A2AA2" w:rsidP="00C25D6D">
      <w:pPr>
        <w:pStyle w:val="FootnoteText"/>
        <w:jc w:val="both"/>
        <w:rPr>
          <w:sz w:val="22"/>
          <w:szCs w:val="22"/>
          <w:lang w:val="vi-VN"/>
        </w:rPr>
      </w:pPr>
      <w:r w:rsidRPr="00F0580F">
        <w:rPr>
          <w:rStyle w:val="FootnoteReference"/>
          <w:sz w:val="22"/>
          <w:szCs w:val="22"/>
        </w:rPr>
        <w:footnoteRef/>
      </w:r>
      <w:r w:rsidRPr="00F0580F">
        <w:rPr>
          <w:sz w:val="22"/>
          <w:szCs w:val="22"/>
          <w:lang w:val="vi-VN"/>
        </w:rPr>
        <w:t xml:space="preserve"> </w:t>
      </w:r>
      <w:r w:rsidRPr="00F0580F">
        <w:rPr>
          <w:spacing w:val="-2"/>
          <w:sz w:val="22"/>
          <w:szCs w:val="22"/>
          <w:lang w:val="vi-VN"/>
        </w:rPr>
        <w:t xml:space="preserve">Công ty </w:t>
      </w:r>
      <w:r w:rsidRPr="00F0580F">
        <w:rPr>
          <w:spacing w:val="-2"/>
          <w:sz w:val="22"/>
          <w:szCs w:val="22"/>
          <w:lang w:val="nl-NL"/>
        </w:rPr>
        <w:t>c</w:t>
      </w:r>
      <w:r w:rsidRPr="00F0580F">
        <w:rPr>
          <w:spacing w:val="-2"/>
          <w:sz w:val="22"/>
          <w:szCs w:val="22"/>
          <w:lang w:val="vi-VN"/>
        </w:rPr>
        <w:t xml:space="preserve">ổ phần </w:t>
      </w:r>
      <w:r w:rsidRPr="00F0580F">
        <w:rPr>
          <w:spacing w:val="-2"/>
          <w:sz w:val="22"/>
          <w:szCs w:val="22"/>
          <w:lang w:val="nl-NL"/>
        </w:rPr>
        <w:t>dịch vụ thể thao thi đấu giải trí</w:t>
      </w:r>
      <w:r>
        <w:rPr>
          <w:spacing w:val="-2"/>
          <w:sz w:val="22"/>
          <w:szCs w:val="22"/>
          <w:lang w:val="nl-NL"/>
        </w:rPr>
        <w:t xml:space="preserve"> được thí điểm kinh doanh đặt cược đua chó tại tỉnh Bà Rịa - Vũng Tàu. </w:t>
      </w:r>
    </w:p>
  </w:footnote>
  <w:footnote w:id="14">
    <w:p w:rsidR="000A2AA2" w:rsidRPr="00F0580F" w:rsidRDefault="000A2AA2" w:rsidP="00A63CD0">
      <w:pPr>
        <w:pStyle w:val="FootnoteText"/>
        <w:jc w:val="both"/>
        <w:rPr>
          <w:sz w:val="22"/>
          <w:szCs w:val="22"/>
        </w:rPr>
      </w:pPr>
      <w:r w:rsidRPr="00F0580F">
        <w:rPr>
          <w:rStyle w:val="FootnoteReference"/>
          <w:sz w:val="22"/>
          <w:szCs w:val="22"/>
        </w:rPr>
        <w:footnoteRef/>
      </w:r>
      <w:r w:rsidRPr="00F0580F">
        <w:rPr>
          <w:sz w:val="22"/>
          <w:szCs w:val="22"/>
        </w:rPr>
        <w:t xml:space="preserve"> </w:t>
      </w:r>
      <w:r w:rsidRPr="00F0580F">
        <w:rPr>
          <w:sz w:val="22"/>
          <w:szCs w:val="22"/>
          <w:lang w:val="nl-NL"/>
        </w:rPr>
        <w:t xml:space="preserve">Quyết định số 1177/QĐ-TTg ngày </w:t>
      </w:r>
      <w:r>
        <w:rPr>
          <w:sz w:val="22"/>
          <w:szCs w:val="22"/>
          <w:lang w:val="nl-NL"/>
        </w:rPr>
        <w:t>12/9/2019 về chủ trương đầu tư Dự án Tổ hợp vui chơi giải trí đa năng - Trường đua ngựa tại xã Tân Minh và xã Phù Linh, huyện Sóc Sơn, thành phố Hà Nội</w:t>
      </w:r>
      <w:r w:rsidRPr="00F0580F">
        <w:rPr>
          <w:sz w:val="22"/>
          <w:szCs w:val="22"/>
          <w:lang w:val="nl-NL"/>
        </w:rPr>
        <w:t>.</w:t>
      </w:r>
    </w:p>
  </w:footnote>
  <w:footnote w:id="15">
    <w:p w:rsidR="000A2AA2" w:rsidRPr="00A97C0F" w:rsidRDefault="000A2AA2" w:rsidP="001E1702">
      <w:pPr>
        <w:pStyle w:val="FootnoteText"/>
        <w:rPr>
          <w:lang w:val="vi-VN"/>
        </w:rPr>
      </w:pPr>
      <w:r>
        <w:rPr>
          <w:rStyle w:val="FootnoteReference"/>
        </w:rPr>
        <w:footnoteRef/>
      </w:r>
      <w:r w:rsidRPr="00A97C0F">
        <w:rPr>
          <w:lang w:val="vi-VN"/>
        </w:rPr>
        <w:t xml:space="preserve"> </w:t>
      </w:r>
      <w:r>
        <w:rPr>
          <w:color w:val="000000"/>
          <w:shd w:val="clear" w:color="auto" w:fill="FFFFFF"/>
          <w:lang w:val="pt-BR"/>
        </w:rPr>
        <w:t xml:space="preserve">Quy định tại </w:t>
      </w:r>
      <w:r>
        <w:rPr>
          <w:lang w:val="nl-NL"/>
        </w:rPr>
        <w:t>điểm a khoản 1 Điều 7 Luật thuế GTGT số 13/2008/QH12 ngày 03/6/2008, được sửa đổi, bổ sung tại khoản 2 Điều 1 Luật số 31/2013/QH13 sửa đổi, bổ sung một số điều của Luật thuế GTGT.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0906006"/>
      <w:docPartObj>
        <w:docPartGallery w:val="Page Numbers (Top of Page)"/>
        <w:docPartUnique/>
      </w:docPartObj>
    </w:sdtPr>
    <w:sdtContent>
      <w:p w:rsidR="000A2AA2" w:rsidRDefault="00DC5E32">
        <w:pPr>
          <w:pStyle w:val="Header"/>
          <w:jc w:val="center"/>
        </w:pPr>
        <w:r w:rsidRPr="00B778E5">
          <w:rPr>
            <w:sz w:val="22"/>
            <w:szCs w:val="22"/>
          </w:rPr>
          <w:fldChar w:fldCharType="begin"/>
        </w:r>
        <w:r w:rsidR="000A2AA2" w:rsidRPr="00B778E5">
          <w:rPr>
            <w:sz w:val="22"/>
            <w:szCs w:val="22"/>
          </w:rPr>
          <w:instrText xml:space="preserve"> PAGE   \* MERGEFORMAT </w:instrText>
        </w:r>
        <w:r w:rsidRPr="00B778E5">
          <w:rPr>
            <w:sz w:val="22"/>
            <w:szCs w:val="22"/>
          </w:rPr>
          <w:fldChar w:fldCharType="separate"/>
        </w:r>
        <w:r w:rsidR="00033D2B">
          <w:rPr>
            <w:noProof/>
            <w:sz w:val="22"/>
            <w:szCs w:val="22"/>
          </w:rPr>
          <w:t>2</w:t>
        </w:r>
        <w:r w:rsidRPr="00B778E5">
          <w:rPr>
            <w:sz w:val="22"/>
            <w:szCs w:val="22"/>
          </w:rPr>
          <w:fldChar w:fldCharType="end"/>
        </w:r>
      </w:p>
    </w:sdtContent>
  </w:sdt>
  <w:p w:rsidR="000A2AA2" w:rsidRDefault="000A2A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510EE"/>
    <w:multiLevelType w:val="multilevel"/>
    <w:tmpl w:val="550ADF64"/>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rFonts w:ascii="Arial" w:eastAsia="Arial" w:hAnsi="Arial" w:cs="Arial"/>
        <w:color w:val="1B1C1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ED84567"/>
    <w:multiLevelType w:val="multilevel"/>
    <w:tmpl w:val="8362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874CD5"/>
    <w:multiLevelType w:val="hybridMultilevel"/>
    <w:tmpl w:val="F670D360"/>
    <w:lvl w:ilvl="0" w:tplc="04090001">
      <w:start w:val="1"/>
      <w:numFmt w:val="bullet"/>
      <w:lvlText w:val=""/>
      <w:lvlJc w:val="left"/>
      <w:pPr>
        <w:ind w:left="1417" w:hanging="360"/>
      </w:pPr>
      <w:rPr>
        <w:rFonts w:ascii="Symbol" w:hAnsi="Symbol"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3">
    <w:nsid w:val="6DBE5156"/>
    <w:multiLevelType w:val="multilevel"/>
    <w:tmpl w:val="1C8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937CFA"/>
    <w:multiLevelType w:val="multilevel"/>
    <w:tmpl w:val="CC125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C50913"/>
    <w:multiLevelType w:val="multilevel"/>
    <w:tmpl w:val="A538BEB8"/>
    <w:lvl w:ilvl="0">
      <w:start w:val="1"/>
      <w:numFmt w:val="decimal"/>
      <w:lvlText w:val="%1."/>
      <w:lvlJc w:val="left"/>
      <w:pPr>
        <w:ind w:left="720" w:hanging="360"/>
      </w:pPr>
      <w:rPr>
        <w:rFonts w:ascii="Arial" w:eastAsia="Arial" w:hAnsi="Arial" w:cs="Arial"/>
        <w:color w:val="1B1C1D"/>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1"/>
    <w:footnote w:id="0"/>
  </w:footnotePr>
  <w:endnotePr>
    <w:endnote w:id="-1"/>
    <w:endnote w:id="0"/>
  </w:endnotePr>
  <w:compat/>
  <w:rsids>
    <w:rsidRoot w:val="001E1702"/>
    <w:rsid w:val="000057BB"/>
    <w:rsid w:val="00005950"/>
    <w:rsid w:val="000151FA"/>
    <w:rsid w:val="00024007"/>
    <w:rsid w:val="000248EC"/>
    <w:rsid w:val="00024D3E"/>
    <w:rsid w:val="00025666"/>
    <w:rsid w:val="000304A6"/>
    <w:rsid w:val="00032704"/>
    <w:rsid w:val="00033D2B"/>
    <w:rsid w:val="000350C6"/>
    <w:rsid w:val="00035745"/>
    <w:rsid w:val="000366F9"/>
    <w:rsid w:val="00041DE1"/>
    <w:rsid w:val="000454CB"/>
    <w:rsid w:val="00046066"/>
    <w:rsid w:val="00054E89"/>
    <w:rsid w:val="0005643E"/>
    <w:rsid w:val="00062C53"/>
    <w:rsid w:val="00071C12"/>
    <w:rsid w:val="00072064"/>
    <w:rsid w:val="00076FC1"/>
    <w:rsid w:val="00082A07"/>
    <w:rsid w:val="00083047"/>
    <w:rsid w:val="000839C4"/>
    <w:rsid w:val="00091848"/>
    <w:rsid w:val="000A20CE"/>
    <w:rsid w:val="000A2AA2"/>
    <w:rsid w:val="000A79F9"/>
    <w:rsid w:val="000B01F1"/>
    <w:rsid w:val="000B6309"/>
    <w:rsid w:val="000C0171"/>
    <w:rsid w:val="000C2A99"/>
    <w:rsid w:val="000C30F3"/>
    <w:rsid w:val="000D03DF"/>
    <w:rsid w:val="000D048D"/>
    <w:rsid w:val="00104A24"/>
    <w:rsid w:val="0011417B"/>
    <w:rsid w:val="00115B51"/>
    <w:rsid w:val="00121273"/>
    <w:rsid w:val="001219CB"/>
    <w:rsid w:val="00123933"/>
    <w:rsid w:val="0012460B"/>
    <w:rsid w:val="001247F7"/>
    <w:rsid w:val="00126614"/>
    <w:rsid w:val="00135ED1"/>
    <w:rsid w:val="0014423D"/>
    <w:rsid w:val="00145D3D"/>
    <w:rsid w:val="00146422"/>
    <w:rsid w:val="00151CCD"/>
    <w:rsid w:val="001542B1"/>
    <w:rsid w:val="00155134"/>
    <w:rsid w:val="001573AE"/>
    <w:rsid w:val="00160B54"/>
    <w:rsid w:val="00167F82"/>
    <w:rsid w:val="00170B96"/>
    <w:rsid w:val="0017164C"/>
    <w:rsid w:val="00174CED"/>
    <w:rsid w:val="001756BF"/>
    <w:rsid w:val="001757A9"/>
    <w:rsid w:val="0019091A"/>
    <w:rsid w:val="00191CC0"/>
    <w:rsid w:val="00193229"/>
    <w:rsid w:val="00195D29"/>
    <w:rsid w:val="00195EB2"/>
    <w:rsid w:val="001968DF"/>
    <w:rsid w:val="001A5094"/>
    <w:rsid w:val="001B05A5"/>
    <w:rsid w:val="001B4CCE"/>
    <w:rsid w:val="001B56DF"/>
    <w:rsid w:val="001C5E9E"/>
    <w:rsid w:val="001C737D"/>
    <w:rsid w:val="001E1702"/>
    <w:rsid w:val="001E4677"/>
    <w:rsid w:val="001E4D3A"/>
    <w:rsid w:val="001E69FB"/>
    <w:rsid w:val="001E772F"/>
    <w:rsid w:val="001F08AC"/>
    <w:rsid w:val="001F4F56"/>
    <w:rsid w:val="001F7775"/>
    <w:rsid w:val="00203CDD"/>
    <w:rsid w:val="00203E80"/>
    <w:rsid w:val="002228CD"/>
    <w:rsid w:val="002278D0"/>
    <w:rsid w:val="00227BA7"/>
    <w:rsid w:val="00231054"/>
    <w:rsid w:val="0023117C"/>
    <w:rsid w:val="002465E5"/>
    <w:rsid w:val="002504B3"/>
    <w:rsid w:val="002552D2"/>
    <w:rsid w:val="0025576E"/>
    <w:rsid w:val="00255E65"/>
    <w:rsid w:val="00260004"/>
    <w:rsid w:val="00260ED9"/>
    <w:rsid w:val="00262F5A"/>
    <w:rsid w:val="00271068"/>
    <w:rsid w:val="00280E95"/>
    <w:rsid w:val="00287658"/>
    <w:rsid w:val="0029026F"/>
    <w:rsid w:val="00291DCA"/>
    <w:rsid w:val="0029215C"/>
    <w:rsid w:val="00294222"/>
    <w:rsid w:val="00296723"/>
    <w:rsid w:val="002A2E7D"/>
    <w:rsid w:val="002B13A1"/>
    <w:rsid w:val="002B1B7F"/>
    <w:rsid w:val="002B2F76"/>
    <w:rsid w:val="002B7B5A"/>
    <w:rsid w:val="002C0C01"/>
    <w:rsid w:val="002C2D82"/>
    <w:rsid w:val="002D25C2"/>
    <w:rsid w:val="002E1353"/>
    <w:rsid w:val="002E2120"/>
    <w:rsid w:val="002E40EA"/>
    <w:rsid w:val="002E658A"/>
    <w:rsid w:val="002F2867"/>
    <w:rsid w:val="002F4708"/>
    <w:rsid w:val="00301295"/>
    <w:rsid w:val="00302A3A"/>
    <w:rsid w:val="00302C51"/>
    <w:rsid w:val="00304C62"/>
    <w:rsid w:val="00306512"/>
    <w:rsid w:val="00312C34"/>
    <w:rsid w:val="00312CB1"/>
    <w:rsid w:val="003156D2"/>
    <w:rsid w:val="00316AC8"/>
    <w:rsid w:val="00317A2F"/>
    <w:rsid w:val="00323D55"/>
    <w:rsid w:val="003415E5"/>
    <w:rsid w:val="003437A2"/>
    <w:rsid w:val="00343C7B"/>
    <w:rsid w:val="00354E8F"/>
    <w:rsid w:val="003601F7"/>
    <w:rsid w:val="00363F2A"/>
    <w:rsid w:val="00370937"/>
    <w:rsid w:val="00372A69"/>
    <w:rsid w:val="00380D18"/>
    <w:rsid w:val="00381C3E"/>
    <w:rsid w:val="00384D48"/>
    <w:rsid w:val="003920C2"/>
    <w:rsid w:val="00397404"/>
    <w:rsid w:val="003A58F4"/>
    <w:rsid w:val="003B0C8A"/>
    <w:rsid w:val="003B1D34"/>
    <w:rsid w:val="003B33A3"/>
    <w:rsid w:val="003B5D9F"/>
    <w:rsid w:val="003B7360"/>
    <w:rsid w:val="003C0FA0"/>
    <w:rsid w:val="003C392C"/>
    <w:rsid w:val="003C5A42"/>
    <w:rsid w:val="003C7311"/>
    <w:rsid w:val="003C7F7B"/>
    <w:rsid w:val="003D2C8E"/>
    <w:rsid w:val="003D2FC1"/>
    <w:rsid w:val="003E138F"/>
    <w:rsid w:val="003E490E"/>
    <w:rsid w:val="003E5781"/>
    <w:rsid w:val="003E6A06"/>
    <w:rsid w:val="003F7A93"/>
    <w:rsid w:val="00400D78"/>
    <w:rsid w:val="00405AA1"/>
    <w:rsid w:val="00406513"/>
    <w:rsid w:val="00406553"/>
    <w:rsid w:val="004116BA"/>
    <w:rsid w:val="00415E52"/>
    <w:rsid w:val="004238BD"/>
    <w:rsid w:val="00424D2B"/>
    <w:rsid w:val="00426C74"/>
    <w:rsid w:val="004359BB"/>
    <w:rsid w:val="00437C7B"/>
    <w:rsid w:val="004524B8"/>
    <w:rsid w:val="00452C80"/>
    <w:rsid w:val="004575B5"/>
    <w:rsid w:val="00460588"/>
    <w:rsid w:val="00462B0E"/>
    <w:rsid w:val="0046324F"/>
    <w:rsid w:val="004661B4"/>
    <w:rsid w:val="00470B1D"/>
    <w:rsid w:val="00475F2B"/>
    <w:rsid w:val="00482F88"/>
    <w:rsid w:val="004830F4"/>
    <w:rsid w:val="00483CE2"/>
    <w:rsid w:val="00484CD2"/>
    <w:rsid w:val="004859B9"/>
    <w:rsid w:val="004A1A3E"/>
    <w:rsid w:val="004A29E2"/>
    <w:rsid w:val="004A2AE6"/>
    <w:rsid w:val="004A473B"/>
    <w:rsid w:val="004A612A"/>
    <w:rsid w:val="004A7C79"/>
    <w:rsid w:val="004B5155"/>
    <w:rsid w:val="004B67C5"/>
    <w:rsid w:val="004C340F"/>
    <w:rsid w:val="004C3E05"/>
    <w:rsid w:val="004C56DA"/>
    <w:rsid w:val="004C64A4"/>
    <w:rsid w:val="004D6E5D"/>
    <w:rsid w:val="004D75CF"/>
    <w:rsid w:val="004E032C"/>
    <w:rsid w:val="004E2415"/>
    <w:rsid w:val="004E2B36"/>
    <w:rsid w:val="004F11D2"/>
    <w:rsid w:val="004F386C"/>
    <w:rsid w:val="004F5F1A"/>
    <w:rsid w:val="00504B7A"/>
    <w:rsid w:val="00524275"/>
    <w:rsid w:val="00526F9F"/>
    <w:rsid w:val="00537A91"/>
    <w:rsid w:val="0054212C"/>
    <w:rsid w:val="005445A3"/>
    <w:rsid w:val="0055046D"/>
    <w:rsid w:val="005536C7"/>
    <w:rsid w:val="00556084"/>
    <w:rsid w:val="00577A24"/>
    <w:rsid w:val="00591CE4"/>
    <w:rsid w:val="00592359"/>
    <w:rsid w:val="00593C4E"/>
    <w:rsid w:val="005A06EF"/>
    <w:rsid w:val="005A4D32"/>
    <w:rsid w:val="005B0833"/>
    <w:rsid w:val="005B7D04"/>
    <w:rsid w:val="005D1621"/>
    <w:rsid w:val="005D25A1"/>
    <w:rsid w:val="005E010E"/>
    <w:rsid w:val="005E1868"/>
    <w:rsid w:val="005E62B2"/>
    <w:rsid w:val="005E700C"/>
    <w:rsid w:val="005E7B1D"/>
    <w:rsid w:val="005E7D6F"/>
    <w:rsid w:val="00613436"/>
    <w:rsid w:val="00616AE0"/>
    <w:rsid w:val="0062364A"/>
    <w:rsid w:val="00630334"/>
    <w:rsid w:val="00632325"/>
    <w:rsid w:val="00632601"/>
    <w:rsid w:val="00635432"/>
    <w:rsid w:val="00636471"/>
    <w:rsid w:val="006534EF"/>
    <w:rsid w:val="00654732"/>
    <w:rsid w:val="006649A4"/>
    <w:rsid w:val="00666080"/>
    <w:rsid w:val="006672A4"/>
    <w:rsid w:val="006706E1"/>
    <w:rsid w:val="00671309"/>
    <w:rsid w:val="00672F45"/>
    <w:rsid w:val="00673DED"/>
    <w:rsid w:val="00680438"/>
    <w:rsid w:val="00681B79"/>
    <w:rsid w:val="00683DC9"/>
    <w:rsid w:val="00687243"/>
    <w:rsid w:val="00695278"/>
    <w:rsid w:val="006A0D92"/>
    <w:rsid w:val="006A3484"/>
    <w:rsid w:val="006B154C"/>
    <w:rsid w:val="006B5955"/>
    <w:rsid w:val="006B6F27"/>
    <w:rsid w:val="006C008C"/>
    <w:rsid w:val="006C1479"/>
    <w:rsid w:val="006C48B5"/>
    <w:rsid w:val="006D1ABC"/>
    <w:rsid w:val="006E0D47"/>
    <w:rsid w:val="006E22AD"/>
    <w:rsid w:val="006E382F"/>
    <w:rsid w:val="006E7160"/>
    <w:rsid w:val="006F3A7B"/>
    <w:rsid w:val="006F4D5A"/>
    <w:rsid w:val="006F5BF2"/>
    <w:rsid w:val="006F5EE9"/>
    <w:rsid w:val="00705145"/>
    <w:rsid w:val="00707F34"/>
    <w:rsid w:val="0071417A"/>
    <w:rsid w:val="00716BD6"/>
    <w:rsid w:val="00720901"/>
    <w:rsid w:val="007230C3"/>
    <w:rsid w:val="00726DA8"/>
    <w:rsid w:val="00734D28"/>
    <w:rsid w:val="0073500F"/>
    <w:rsid w:val="007401C4"/>
    <w:rsid w:val="0075583B"/>
    <w:rsid w:val="0076270A"/>
    <w:rsid w:val="00763D3F"/>
    <w:rsid w:val="00763E59"/>
    <w:rsid w:val="007678FC"/>
    <w:rsid w:val="00772C87"/>
    <w:rsid w:val="00774935"/>
    <w:rsid w:val="0077676B"/>
    <w:rsid w:val="007803E2"/>
    <w:rsid w:val="00781862"/>
    <w:rsid w:val="00782B86"/>
    <w:rsid w:val="00783906"/>
    <w:rsid w:val="0079187A"/>
    <w:rsid w:val="00792E55"/>
    <w:rsid w:val="00793660"/>
    <w:rsid w:val="00793EE8"/>
    <w:rsid w:val="00794D8B"/>
    <w:rsid w:val="00796FA3"/>
    <w:rsid w:val="007A13FC"/>
    <w:rsid w:val="007A3C2E"/>
    <w:rsid w:val="007B2F47"/>
    <w:rsid w:val="007B5058"/>
    <w:rsid w:val="007B52AF"/>
    <w:rsid w:val="007B5443"/>
    <w:rsid w:val="007C468C"/>
    <w:rsid w:val="007D14BC"/>
    <w:rsid w:val="007D285D"/>
    <w:rsid w:val="007D4826"/>
    <w:rsid w:val="007D5945"/>
    <w:rsid w:val="007D7EAE"/>
    <w:rsid w:val="007E1F1E"/>
    <w:rsid w:val="007E21E5"/>
    <w:rsid w:val="007E26BB"/>
    <w:rsid w:val="007E6143"/>
    <w:rsid w:val="007F2B58"/>
    <w:rsid w:val="008040F1"/>
    <w:rsid w:val="0080577C"/>
    <w:rsid w:val="00807F6E"/>
    <w:rsid w:val="00817E98"/>
    <w:rsid w:val="00820BE2"/>
    <w:rsid w:val="00822D95"/>
    <w:rsid w:val="0082528B"/>
    <w:rsid w:val="00827F09"/>
    <w:rsid w:val="00832E40"/>
    <w:rsid w:val="00835990"/>
    <w:rsid w:val="0084009F"/>
    <w:rsid w:val="00841D5A"/>
    <w:rsid w:val="00842FAA"/>
    <w:rsid w:val="008444BC"/>
    <w:rsid w:val="00847799"/>
    <w:rsid w:val="00851EA6"/>
    <w:rsid w:val="00862186"/>
    <w:rsid w:val="0086621F"/>
    <w:rsid w:val="0086684E"/>
    <w:rsid w:val="00871403"/>
    <w:rsid w:val="00875852"/>
    <w:rsid w:val="00880624"/>
    <w:rsid w:val="00881990"/>
    <w:rsid w:val="00882AC4"/>
    <w:rsid w:val="0088619F"/>
    <w:rsid w:val="00886CFE"/>
    <w:rsid w:val="00890332"/>
    <w:rsid w:val="00892288"/>
    <w:rsid w:val="00896455"/>
    <w:rsid w:val="008A0BC8"/>
    <w:rsid w:val="008A39CE"/>
    <w:rsid w:val="008B21ED"/>
    <w:rsid w:val="008B45E9"/>
    <w:rsid w:val="008B730A"/>
    <w:rsid w:val="008C008C"/>
    <w:rsid w:val="008D47EE"/>
    <w:rsid w:val="008E407A"/>
    <w:rsid w:val="008F1F5A"/>
    <w:rsid w:val="00901529"/>
    <w:rsid w:val="00911053"/>
    <w:rsid w:val="009110C1"/>
    <w:rsid w:val="00911931"/>
    <w:rsid w:val="009130D3"/>
    <w:rsid w:val="0092167F"/>
    <w:rsid w:val="009277CA"/>
    <w:rsid w:val="00927D9B"/>
    <w:rsid w:val="0093315A"/>
    <w:rsid w:val="00934A03"/>
    <w:rsid w:val="00935F7A"/>
    <w:rsid w:val="00935FD5"/>
    <w:rsid w:val="00936726"/>
    <w:rsid w:val="00937F32"/>
    <w:rsid w:val="0094426B"/>
    <w:rsid w:val="00953E3F"/>
    <w:rsid w:val="00956A8E"/>
    <w:rsid w:val="00957FF6"/>
    <w:rsid w:val="009628E3"/>
    <w:rsid w:val="00962BF3"/>
    <w:rsid w:val="00962F7E"/>
    <w:rsid w:val="00972950"/>
    <w:rsid w:val="009734D3"/>
    <w:rsid w:val="00976684"/>
    <w:rsid w:val="0097696F"/>
    <w:rsid w:val="00983F6F"/>
    <w:rsid w:val="0098436A"/>
    <w:rsid w:val="00984A97"/>
    <w:rsid w:val="00991548"/>
    <w:rsid w:val="00991FFF"/>
    <w:rsid w:val="009941AC"/>
    <w:rsid w:val="009A1D20"/>
    <w:rsid w:val="009A228E"/>
    <w:rsid w:val="009B2EF1"/>
    <w:rsid w:val="009B4978"/>
    <w:rsid w:val="009B5FE0"/>
    <w:rsid w:val="009C4B30"/>
    <w:rsid w:val="009D2B6E"/>
    <w:rsid w:val="009D3F9C"/>
    <w:rsid w:val="009D6294"/>
    <w:rsid w:val="009E769D"/>
    <w:rsid w:val="009F0E3B"/>
    <w:rsid w:val="009F7698"/>
    <w:rsid w:val="009F7B4C"/>
    <w:rsid w:val="00A051DD"/>
    <w:rsid w:val="00A07835"/>
    <w:rsid w:val="00A10BD4"/>
    <w:rsid w:val="00A125E7"/>
    <w:rsid w:val="00A144AA"/>
    <w:rsid w:val="00A146AC"/>
    <w:rsid w:val="00A15A7E"/>
    <w:rsid w:val="00A16ADE"/>
    <w:rsid w:val="00A24BC0"/>
    <w:rsid w:val="00A255EA"/>
    <w:rsid w:val="00A36D60"/>
    <w:rsid w:val="00A439E9"/>
    <w:rsid w:val="00A4612A"/>
    <w:rsid w:val="00A50285"/>
    <w:rsid w:val="00A63CD0"/>
    <w:rsid w:val="00A650C3"/>
    <w:rsid w:val="00A66D4C"/>
    <w:rsid w:val="00A70501"/>
    <w:rsid w:val="00A93B95"/>
    <w:rsid w:val="00A951EF"/>
    <w:rsid w:val="00A9655B"/>
    <w:rsid w:val="00AA0EE5"/>
    <w:rsid w:val="00AA1AB5"/>
    <w:rsid w:val="00AA7F2E"/>
    <w:rsid w:val="00AB14CB"/>
    <w:rsid w:val="00AC419A"/>
    <w:rsid w:val="00AD487E"/>
    <w:rsid w:val="00AD5654"/>
    <w:rsid w:val="00AD6BCE"/>
    <w:rsid w:val="00AE15FB"/>
    <w:rsid w:val="00AE4619"/>
    <w:rsid w:val="00AF1645"/>
    <w:rsid w:val="00AF2124"/>
    <w:rsid w:val="00AF4423"/>
    <w:rsid w:val="00AF5721"/>
    <w:rsid w:val="00B0064E"/>
    <w:rsid w:val="00B05032"/>
    <w:rsid w:val="00B06865"/>
    <w:rsid w:val="00B126E4"/>
    <w:rsid w:val="00B130A2"/>
    <w:rsid w:val="00B131AF"/>
    <w:rsid w:val="00B20711"/>
    <w:rsid w:val="00B20D95"/>
    <w:rsid w:val="00B24C8F"/>
    <w:rsid w:val="00B25C76"/>
    <w:rsid w:val="00B269D3"/>
    <w:rsid w:val="00B35A59"/>
    <w:rsid w:val="00B3781E"/>
    <w:rsid w:val="00B37FE4"/>
    <w:rsid w:val="00B418F7"/>
    <w:rsid w:val="00B41BF8"/>
    <w:rsid w:val="00B45442"/>
    <w:rsid w:val="00B604E1"/>
    <w:rsid w:val="00B62FE8"/>
    <w:rsid w:val="00B64C79"/>
    <w:rsid w:val="00B67648"/>
    <w:rsid w:val="00B82597"/>
    <w:rsid w:val="00B82D9B"/>
    <w:rsid w:val="00B86A4E"/>
    <w:rsid w:val="00B92A8D"/>
    <w:rsid w:val="00B9588E"/>
    <w:rsid w:val="00BA114E"/>
    <w:rsid w:val="00BA1FB0"/>
    <w:rsid w:val="00BB2441"/>
    <w:rsid w:val="00BB2A15"/>
    <w:rsid w:val="00BB3CA4"/>
    <w:rsid w:val="00BB4E14"/>
    <w:rsid w:val="00BB52B5"/>
    <w:rsid w:val="00BB69A8"/>
    <w:rsid w:val="00BC1927"/>
    <w:rsid w:val="00BC4010"/>
    <w:rsid w:val="00BD401F"/>
    <w:rsid w:val="00BD7321"/>
    <w:rsid w:val="00BE545D"/>
    <w:rsid w:val="00BE6A2F"/>
    <w:rsid w:val="00BE7C15"/>
    <w:rsid w:val="00BF3557"/>
    <w:rsid w:val="00BF3673"/>
    <w:rsid w:val="00BF51A9"/>
    <w:rsid w:val="00BF6F93"/>
    <w:rsid w:val="00C012BD"/>
    <w:rsid w:val="00C0315B"/>
    <w:rsid w:val="00C03A4C"/>
    <w:rsid w:val="00C042B7"/>
    <w:rsid w:val="00C10EB0"/>
    <w:rsid w:val="00C16780"/>
    <w:rsid w:val="00C20B40"/>
    <w:rsid w:val="00C20C82"/>
    <w:rsid w:val="00C216D8"/>
    <w:rsid w:val="00C24C73"/>
    <w:rsid w:val="00C25D6D"/>
    <w:rsid w:val="00C26C94"/>
    <w:rsid w:val="00C30523"/>
    <w:rsid w:val="00C32909"/>
    <w:rsid w:val="00C3570B"/>
    <w:rsid w:val="00C378F0"/>
    <w:rsid w:val="00C444A2"/>
    <w:rsid w:val="00C445AF"/>
    <w:rsid w:val="00C473C3"/>
    <w:rsid w:val="00C5179B"/>
    <w:rsid w:val="00C5382F"/>
    <w:rsid w:val="00C565F9"/>
    <w:rsid w:val="00C57656"/>
    <w:rsid w:val="00C61864"/>
    <w:rsid w:val="00C63AD1"/>
    <w:rsid w:val="00C67452"/>
    <w:rsid w:val="00C779E3"/>
    <w:rsid w:val="00C80921"/>
    <w:rsid w:val="00C857AB"/>
    <w:rsid w:val="00C87571"/>
    <w:rsid w:val="00C923E4"/>
    <w:rsid w:val="00C92983"/>
    <w:rsid w:val="00C945AA"/>
    <w:rsid w:val="00C95CFF"/>
    <w:rsid w:val="00C96DF8"/>
    <w:rsid w:val="00CA1C60"/>
    <w:rsid w:val="00CA2F14"/>
    <w:rsid w:val="00CA7755"/>
    <w:rsid w:val="00CB0D6C"/>
    <w:rsid w:val="00CB2E04"/>
    <w:rsid w:val="00CB5A7D"/>
    <w:rsid w:val="00CB6C1D"/>
    <w:rsid w:val="00CB7D97"/>
    <w:rsid w:val="00CC1B24"/>
    <w:rsid w:val="00CC1F64"/>
    <w:rsid w:val="00CC24F5"/>
    <w:rsid w:val="00CC7331"/>
    <w:rsid w:val="00CD2084"/>
    <w:rsid w:val="00CD2A9F"/>
    <w:rsid w:val="00CD43B7"/>
    <w:rsid w:val="00CD759B"/>
    <w:rsid w:val="00CE2DE8"/>
    <w:rsid w:val="00CE2EE1"/>
    <w:rsid w:val="00CE34AB"/>
    <w:rsid w:val="00CE3866"/>
    <w:rsid w:val="00D01C37"/>
    <w:rsid w:val="00D04543"/>
    <w:rsid w:val="00D04C3F"/>
    <w:rsid w:val="00D1246A"/>
    <w:rsid w:val="00D14D20"/>
    <w:rsid w:val="00D20BCE"/>
    <w:rsid w:val="00D21F1A"/>
    <w:rsid w:val="00D23237"/>
    <w:rsid w:val="00D25A54"/>
    <w:rsid w:val="00D31C3D"/>
    <w:rsid w:val="00D3240F"/>
    <w:rsid w:val="00D333E9"/>
    <w:rsid w:val="00D37AB0"/>
    <w:rsid w:val="00D4413D"/>
    <w:rsid w:val="00D51044"/>
    <w:rsid w:val="00D543E2"/>
    <w:rsid w:val="00D5491B"/>
    <w:rsid w:val="00D60689"/>
    <w:rsid w:val="00D60BB9"/>
    <w:rsid w:val="00D612D8"/>
    <w:rsid w:val="00D61A59"/>
    <w:rsid w:val="00D63688"/>
    <w:rsid w:val="00D6568D"/>
    <w:rsid w:val="00D659F5"/>
    <w:rsid w:val="00D73F92"/>
    <w:rsid w:val="00D76064"/>
    <w:rsid w:val="00D76A39"/>
    <w:rsid w:val="00D76B76"/>
    <w:rsid w:val="00D83BE6"/>
    <w:rsid w:val="00D84751"/>
    <w:rsid w:val="00D871A9"/>
    <w:rsid w:val="00D879D7"/>
    <w:rsid w:val="00D971EC"/>
    <w:rsid w:val="00D978C5"/>
    <w:rsid w:val="00D97D52"/>
    <w:rsid w:val="00DA1468"/>
    <w:rsid w:val="00DA2EAA"/>
    <w:rsid w:val="00DA5BBF"/>
    <w:rsid w:val="00DA5F79"/>
    <w:rsid w:val="00DA7F6E"/>
    <w:rsid w:val="00DB3FA8"/>
    <w:rsid w:val="00DC126D"/>
    <w:rsid w:val="00DC5E32"/>
    <w:rsid w:val="00DC7788"/>
    <w:rsid w:val="00DD01C5"/>
    <w:rsid w:val="00DD455E"/>
    <w:rsid w:val="00DE10DF"/>
    <w:rsid w:val="00DE2039"/>
    <w:rsid w:val="00DF0E71"/>
    <w:rsid w:val="00DF36E0"/>
    <w:rsid w:val="00E0113C"/>
    <w:rsid w:val="00E018A1"/>
    <w:rsid w:val="00E029E4"/>
    <w:rsid w:val="00E04499"/>
    <w:rsid w:val="00E154E9"/>
    <w:rsid w:val="00E1640A"/>
    <w:rsid w:val="00E17341"/>
    <w:rsid w:val="00E24DFE"/>
    <w:rsid w:val="00E306D5"/>
    <w:rsid w:val="00E324D0"/>
    <w:rsid w:val="00E32514"/>
    <w:rsid w:val="00E36E9A"/>
    <w:rsid w:val="00E37D84"/>
    <w:rsid w:val="00E42C06"/>
    <w:rsid w:val="00E45027"/>
    <w:rsid w:val="00E542B7"/>
    <w:rsid w:val="00E55EBA"/>
    <w:rsid w:val="00E601C6"/>
    <w:rsid w:val="00E60B41"/>
    <w:rsid w:val="00E6139F"/>
    <w:rsid w:val="00E71B1B"/>
    <w:rsid w:val="00E76411"/>
    <w:rsid w:val="00E76C4B"/>
    <w:rsid w:val="00E77038"/>
    <w:rsid w:val="00E84460"/>
    <w:rsid w:val="00E86170"/>
    <w:rsid w:val="00E87E11"/>
    <w:rsid w:val="00E91551"/>
    <w:rsid w:val="00EB0509"/>
    <w:rsid w:val="00EB33E7"/>
    <w:rsid w:val="00EB3AAD"/>
    <w:rsid w:val="00EC3585"/>
    <w:rsid w:val="00EE00C2"/>
    <w:rsid w:val="00EE1936"/>
    <w:rsid w:val="00EE279F"/>
    <w:rsid w:val="00EE5258"/>
    <w:rsid w:val="00EE5851"/>
    <w:rsid w:val="00EE6CFC"/>
    <w:rsid w:val="00EE7060"/>
    <w:rsid w:val="00EE7939"/>
    <w:rsid w:val="00EF2E95"/>
    <w:rsid w:val="00EF58A0"/>
    <w:rsid w:val="00EF70AC"/>
    <w:rsid w:val="00EF7D96"/>
    <w:rsid w:val="00F016AA"/>
    <w:rsid w:val="00F023A9"/>
    <w:rsid w:val="00F0324F"/>
    <w:rsid w:val="00F0342A"/>
    <w:rsid w:val="00F0494D"/>
    <w:rsid w:val="00F07827"/>
    <w:rsid w:val="00F116A0"/>
    <w:rsid w:val="00F14A47"/>
    <w:rsid w:val="00F1632E"/>
    <w:rsid w:val="00F22864"/>
    <w:rsid w:val="00F22ABE"/>
    <w:rsid w:val="00F24977"/>
    <w:rsid w:val="00F32891"/>
    <w:rsid w:val="00F33142"/>
    <w:rsid w:val="00F37D51"/>
    <w:rsid w:val="00F414FA"/>
    <w:rsid w:val="00F44784"/>
    <w:rsid w:val="00F44B91"/>
    <w:rsid w:val="00F451D1"/>
    <w:rsid w:val="00F5122F"/>
    <w:rsid w:val="00F571B8"/>
    <w:rsid w:val="00F610FF"/>
    <w:rsid w:val="00F62FB1"/>
    <w:rsid w:val="00F67330"/>
    <w:rsid w:val="00F7359A"/>
    <w:rsid w:val="00F82ED5"/>
    <w:rsid w:val="00F840D4"/>
    <w:rsid w:val="00F8743C"/>
    <w:rsid w:val="00F92DA9"/>
    <w:rsid w:val="00FA1CF4"/>
    <w:rsid w:val="00FA2BAD"/>
    <w:rsid w:val="00FA452C"/>
    <w:rsid w:val="00FA4E09"/>
    <w:rsid w:val="00FA6EEE"/>
    <w:rsid w:val="00FA7A65"/>
    <w:rsid w:val="00FB59EC"/>
    <w:rsid w:val="00FB7797"/>
    <w:rsid w:val="00FC33A7"/>
    <w:rsid w:val="00FC63F4"/>
    <w:rsid w:val="00FC6653"/>
    <w:rsid w:val="00FE7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nhideWhenUsed="0" w:qFormat="1"/>
    <w:lsdException w:name="Document Map" w:uiPriority="0"/>
    <w:lsdException w:name="annotation subject" w:uiPriority="0"/>
    <w:lsdException w:name="Table Simple 1" w:uiPriority="0"/>
    <w:lsdException w:name="Table Classic 1" w:uiPriority="0"/>
    <w:lsdException w:name="Table Grid 2" w:uiPriority="0"/>
    <w:lsdException w:name="Table Grid 5" w:uiPriority="0"/>
    <w:lsdException w:name="Table Grid 6" w:uiPriority="0"/>
    <w:lsdException w:name="Tabl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702"/>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1E1702"/>
    <w:pPr>
      <w:keepNext/>
      <w:spacing w:before="240" w:after="60"/>
      <w:outlineLvl w:val="0"/>
    </w:pPr>
    <w:rPr>
      <w:b/>
      <w:kern w:val="32"/>
      <w:sz w:val="32"/>
      <w:szCs w:val="20"/>
    </w:rPr>
  </w:style>
  <w:style w:type="paragraph" w:styleId="Heading2">
    <w:name w:val="heading 2"/>
    <w:basedOn w:val="Normal"/>
    <w:next w:val="Normal"/>
    <w:link w:val="Heading2Char"/>
    <w:uiPriority w:val="9"/>
    <w:qFormat/>
    <w:rsid w:val="001E1702"/>
    <w:pPr>
      <w:keepNext/>
      <w:spacing w:before="240" w:after="60"/>
      <w:outlineLvl w:val="1"/>
    </w:pPr>
    <w:rPr>
      <w:b/>
      <w:i/>
      <w:szCs w:val="20"/>
    </w:rPr>
  </w:style>
  <w:style w:type="paragraph" w:styleId="Heading3">
    <w:name w:val="heading 3"/>
    <w:aliases w:val="Char Char Char Char,Char Char Char Char Char"/>
    <w:basedOn w:val="Normal"/>
    <w:link w:val="Heading3Char1"/>
    <w:uiPriority w:val="99"/>
    <w:qFormat/>
    <w:rsid w:val="001E1702"/>
    <w:pPr>
      <w:spacing w:before="100" w:beforeAutospacing="1" w:after="100" w:afterAutospacing="1"/>
      <w:outlineLvl w:val="2"/>
    </w:pPr>
    <w:rPr>
      <w:rFonts w:ascii="Cambria" w:hAnsi="Cambria"/>
      <w:b/>
      <w:bCs/>
      <w:sz w:val="26"/>
      <w:szCs w:val="26"/>
    </w:rPr>
  </w:style>
  <w:style w:type="paragraph" w:styleId="Heading4">
    <w:name w:val="heading 4"/>
    <w:basedOn w:val="Normal"/>
    <w:next w:val="Normal"/>
    <w:link w:val="Heading4Char"/>
    <w:qFormat/>
    <w:rsid w:val="001E1702"/>
    <w:pPr>
      <w:keepNext/>
      <w:spacing w:before="240" w:after="60"/>
      <w:outlineLvl w:val="3"/>
    </w:pPr>
    <w:rPr>
      <w:rFonts w:ascii="Arial" w:hAnsi="Arial"/>
      <w:b/>
      <w:szCs w:val="20"/>
    </w:rPr>
  </w:style>
  <w:style w:type="paragraph" w:styleId="Heading5">
    <w:name w:val="heading 5"/>
    <w:basedOn w:val="Normal"/>
    <w:next w:val="Normal"/>
    <w:link w:val="Heading5Char"/>
    <w:qFormat/>
    <w:rsid w:val="001E1702"/>
    <w:pPr>
      <w:keepNext/>
      <w:spacing w:before="120"/>
      <w:jc w:val="center"/>
      <w:outlineLvl w:val="4"/>
    </w:pPr>
    <w:rPr>
      <w:rFonts w:ascii=".VnTimeH" w:hAnsi=".VnTimeH"/>
      <w:b/>
      <w:sz w:val="24"/>
      <w:szCs w:val="20"/>
    </w:rPr>
  </w:style>
  <w:style w:type="paragraph" w:styleId="Heading7">
    <w:name w:val="heading 7"/>
    <w:basedOn w:val="Normal"/>
    <w:next w:val="Normal"/>
    <w:link w:val="Heading7Char"/>
    <w:qFormat/>
    <w:rsid w:val="001E1702"/>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1702"/>
    <w:rPr>
      <w:rFonts w:ascii="Times New Roman" w:eastAsia="Times New Roman" w:hAnsi="Times New Roman" w:cs="Times New Roman"/>
      <w:b/>
      <w:kern w:val="32"/>
      <w:sz w:val="32"/>
      <w:szCs w:val="20"/>
    </w:rPr>
  </w:style>
  <w:style w:type="character" w:customStyle="1" w:styleId="Heading2Char">
    <w:name w:val="Heading 2 Char"/>
    <w:basedOn w:val="DefaultParagraphFont"/>
    <w:link w:val="Heading2"/>
    <w:uiPriority w:val="9"/>
    <w:rsid w:val="001E1702"/>
    <w:rPr>
      <w:rFonts w:ascii="Times New Roman" w:eastAsia="Times New Roman" w:hAnsi="Times New Roman" w:cs="Times New Roman"/>
      <w:b/>
      <w:i/>
      <w:sz w:val="28"/>
      <w:szCs w:val="20"/>
    </w:rPr>
  </w:style>
  <w:style w:type="character" w:customStyle="1" w:styleId="Heading3Char">
    <w:name w:val="Heading 3 Char"/>
    <w:basedOn w:val="DefaultParagraphFont"/>
    <w:uiPriority w:val="9"/>
    <w:semiHidden/>
    <w:rsid w:val="001E1702"/>
    <w:rPr>
      <w:rFonts w:asciiTheme="majorHAnsi" w:eastAsiaTheme="majorEastAsia" w:hAnsiTheme="majorHAnsi" w:cstheme="majorBidi"/>
      <w:b/>
      <w:bCs/>
      <w:color w:val="4F81BD" w:themeColor="accent1"/>
      <w:sz w:val="28"/>
      <w:szCs w:val="28"/>
    </w:rPr>
  </w:style>
  <w:style w:type="character" w:customStyle="1" w:styleId="Heading4Char">
    <w:name w:val="Heading 4 Char"/>
    <w:basedOn w:val="DefaultParagraphFont"/>
    <w:link w:val="Heading4"/>
    <w:rsid w:val="001E1702"/>
    <w:rPr>
      <w:rFonts w:ascii="Arial" w:eastAsia="Times New Roman" w:hAnsi="Arial" w:cs="Times New Roman"/>
      <w:b/>
      <w:sz w:val="28"/>
      <w:szCs w:val="20"/>
    </w:rPr>
  </w:style>
  <w:style w:type="character" w:customStyle="1" w:styleId="Heading5Char">
    <w:name w:val="Heading 5 Char"/>
    <w:basedOn w:val="DefaultParagraphFont"/>
    <w:link w:val="Heading5"/>
    <w:rsid w:val="001E1702"/>
    <w:rPr>
      <w:rFonts w:ascii=".VnTimeH" w:eastAsia="Times New Roman" w:hAnsi=".VnTimeH" w:cs="Times New Roman"/>
      <w:b/>
      <w:sz w:val="24"/>
      <w:szCs w:val="20"/>
    </w:rPr>
  </w:style>
  <w:style w:type="character" w:customStyle="1" w:styleId="Heading7Char">
    <w:name w:val="Heading 7 Char"/>
    <w:basedOn w:val="DefaultParagraphFont"/>
    <w:link w:val="Heading7"/>
    <w:rsid w:val="001E1702"/>
    <w:rPr>
      <w:rFonts w:ascii="Times New Roman" w:eastAsia="Times New Roman" w:hAnsi="Times New Roman" w:cs="Times New Roman"/>
      <w:sz w:val="24"/>
      <w:szCs w:val="24"/>
    </w:rPr>
  </w:style>
  <w:style w:type="character" w:customStyle="1" w:styleId="Heading3Char1">
    <w:name w:val="Heading 3 Char1"/>
    <w:aliases w:val="Char Char Char Char Char1,Char Char Char Char Char Char"/>
    <w:link w:val="Heading3"/>
    <w:uiPriority w:val="99"/>
    <w:locked/>
    <w:rsid w:val="001E1702"/>
    <w:rPr>
      <w:rFonts w:ascii="Cambria" w:eastAsia="Times New Roman" w:hAnsi="Cambria" w:cs="Times New Roman"/>
      <w:b/>
      <w:bCs/>
      <w:sz w:val="26"/>
      <w:szCs w:val="26"/>
    </w:rPr>
  </w:style>
  <w:style w:type="paragraph" w:styleId="BalloonText">
    <w:name w:val="Balloon Text"/>
    <w:basedOn w:val="Normal"/>
    <w:link w:val="BalloonTextChar"/>
    <w:semiHidden/>
    <w:rsid w:val="001E1702"/>
    <w:rPr>
      <w:rFonts w:ascii="Tahoma" w:hAnsi="Tahoma"/>
      <w:sz w:val="16"/>
      <w:szCs w:val="20"/>
    </w:rPr>
  </w:style>
  <w:style w:type="character" w:customStyle="1" w:styleId="BalloonTextChar">
    <w:name w:val="Balloon Text Char"/>
    <w:basedOn w:val="DefaultParagraphFont"/>
    <w:link w:val="BalloonText"/>
    <w:semiHidden/>
    <w:rsid w:val="001E1702"/>
    <w:rPr>
      <w:rFonts w:ascii="Tahoma" w:eastAsia="Times New Roman" w:hAnsi="Tahoma" w:cs="Times New Roman"/>
      <w:sz w:val="16"/>
      <w:szCs w:val="20"/>
    </w:rPr>
  </w:style>
  <w:style w:type="paragraph" w:styleId="Footer">
    <w:name w:val="footer"/>
    <w:basedOn w:val="Normal"/>
    <w:link w:val="FooterChar"/>
    <w:uiPriority w:val="99"/>
    <w:rsid w:val="001E1702"/>
    <w:pPr>
      <w:tabs>
        <w:tab w:val="center" w:pos="4320"/>
        <w:tab w:val="right" w:pos="8640"/>
      </w:tabs>
    </w:pPr>
    <w:rPr>
      <w:szCs w:val="20"/>
    </w:rPr>
  </w:style>
  <w:style w:type="character" w:customStyle="1" w:styleId="FooterChar">
    <w:name w:val="Footer Char"/>
    <w:basedOn w:val="DefaultParagraphFont"/>
    <w:link w:val="Footer"/>
    <w:uiPriority w:val="99"/>
    <w:rsid w:val="001E1702"/>
    <w:rPr>
      <w:rFonts w:ascii="Times New Roman" w:eastAsia="Times New Roman" w:hAnsi="Times New Roman" w:cs="Times New Roman"/>
      <w:sz w:val="28"/>
      <w:szCs w:val="20"/>
    </w:rPr>
  </w:style>
  <w:style w:type="character" w:styleId="PageNumber">
    <w:name w:val="page number"/>
    <w:rsid w:val="001E1702"/>
    <w:rPr>
      <w:rFonts w:cs="Times New Roman"/>
    </w:rPr>
  </w:style>
  <w:style w:type="character" w:styleId="Strong">
    <w:name w:val="Strong"/>
    <w:uiPriority w:val="22"/>
    <w:qFormat/>
    <w:rsid w:val="001E1702"/>
    <w:rPr>
      <w:rFonts w:cs="Times New Roman"/>
      <w:b/>
    </w:rPr>
  </w:style>
  <w:style w:type="paragraph" w:styleId="Header">
    <w:name w:val="header"/>
    <w:basedOn w:val="Normal"/>
    <w:link w:val="HeaderChar"/>
    <w:uiPriority w:val="99"/>
    <w:rsid w:val="001E1702"/>
    <w:pPr>
      <w:tabs>
        <w:tab w:val="center" w:pos="4320"/>
        <w:tab w:val="right" w:pos="8640"/>
      </w:tabs>
    </w:pPr>
    <w:rPr>
      <w:szCs w:val="20"/>
    </w:rPr>
  </w:style>
  <w:style w:type="character" w:customStyle="1" w:styleId="HeaderChar">
    <w:name w:val="Header Char"/>
    <w:basedOn w:val="DefaultParagraphFont"/>
    <w:link w:val="Header"/>
    <w:uiPriority w:val="99"/>
    <w:rsid w:val="001E1702"/>
    <w:rPr>
      <w:rFonts w:ascii="Times New Roman" w:eastAsia="Times New Roman" w:hAnsi="Times New Roman" w:cs="Times New Roman"/>
      <w:sz w:val="28"/>
      <w:szCs w:val="20"/>
    </w:rPr>
  </w:style>
  <w:style w:type="paragraph" w:styleId="NormalWeb">
    <w:name w:val="Normal (Web)"/>
    <w:basedOn w:val="Normal"/>
    <w:uiPriority w:val="99"/>
    <w:rsid w:val="001E1702"/>
    <w:pPr>
      <w:spacing w:before="100" w:beforeAutospacing="1" w:after="100" w:afterAutospacing="1"/>
    </w:pPr>
    <w:rPr>
      <w:sz w:val="24"/>
      <w:szCs w:val="24"/>
    </w:rPr>
  </w:style>
  <w:style w:type="character" w:styleId="Emphasis">
    <w:name w:val="Emphasis"/>
    <w:uiPriority w:val="99"/>
    <w:qFormat/>
    <w:rsid w:val="001E1702"/>
    <w:rPr>
      <w:rFonts w:cs="Times New Roman"/>
      <w:i/>
    </w:rPr>
  </w:style>
  <w:style w:type="paragraph" w:customStyle="1" w:styleId="Thanbai">
    <w:name w:val="Than bai"/>
    <w:basedOn w:val="Normal"/>
    <w:uiPriority w:val="99"/>
    <w:rsid w:val="001E1702"/>
    <w:pPr>
      <w:spacing w:after="240" w:line="312" w:lineRule="auto"/>
      <w:ind w:firstLine="720"/>
      <w:jc w:val="both"/>
    </w:pPr>
    <w:rPr>
      <w:szCs w:val="20"/>
    </w:rPr>
  </w:style>
  <w:style w:type="table" w:styleId="TableGrid">
    <w:name w:val="Table Grid"/>
    <w:basedOn w:val="TableNormal"/>
    <w:uiPriority w:val="59"/>
    <w:rsid w:val="001E1702"/>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fn,footnote text,Footnotes,Footnote ak"/>
    <w:basedOn w:val="Normal"/>
    <w:link w:val="FootnoteTextChar"/>
    <w:uiPriority w:val="99"/>
    <w:qFormat/>
    <w:rsid w:val="001E1702"/>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1E1702"/>
    <w:rPr>
      <w:rFonts w:ascii="Times New Roman" w:eastAsia="Times New Roman" w:hAnsi="Times New Roman" w:cs="Times New Roman"/>
      <w:sz w:val="20"/>
      <w:szCs w:val="20"/>
    </w:rPr>
  </w:style>
  <w:style w:type="character" w:styleId="FootnoteReference">
    <w:name w:val="footnote reference"/>
    <w:aliases w:val="Footnote,Footnote text,ftref,Ref,de nota al pie,Footnote text + 13 pt,Footnote Text1,Footnote Reference Numbering,Footnote + Arial,10 pt,Black,(NECG) Footnote Reference,Footnote symbol,Footnote reference number,note TESI,BVI fnr,fr,f"/>
    <w:link w:val="CarattereCarattereCharCharCharCharCharCharZchn"/>
    <w:uiPriority w:val="99"/>
    <w:qFormat/>
    <w:rsid w:val="001E1702"/>
    <w:rPr>
      <w:rFonts w:cs="Times New Roman"/>
      <w:vertAlign w:val="superscript"/>
    </w:rPr>
  </w:style>
  <w:style w:type="paragraph" w:styleId="BodyText">
    <w:name w:val="Body Text"/>
    <w:basedOn w:val="Normal"/>
    <w:link w:val="BodyTextChar"/>
    <w:rsid w:val="001E1702"/>
    <w:pPr>
      <w:spacing w:after="120"/>
    </w:pPr>
  </w:style>
  <w:style w:type="character" w:customStyle="1" w:styleId="BodyTextChar">
    <w:name w:val="Body Text Char"/>
    <w:basedOn w:val="DefaultParagraphFont"/>
    <w:link w:val="BodyText"/>
    <w:rsid w:val="001E1702"/>
    <w:rPr>
      <w:rFonts w:ascii="Times New Roman" w:eastAsia="Times New Roman" w:hAnsi="Times New Roman" w:cs="Times New Roman"/>
      <w:sz w:val="28"/>
      <w:szCs w:val="28"/>
    </w:rPr>
  </w:style>
  <w:style w:type="paragraph" w:styleId="BodyTextFirstIndent">
    <w:name w:val="Body Text First Indent"/>
    <w:basedOn w:val="BodyText"/>
    <w:link w:val="BodyTextFirstIndentChar"/>
    <w:uiPriority w:val="99"/>
    <w:rsid w:val="001E1702"/>
    <w:pPr>
      <w:spacing w:line="276" w:lineRule="auto"/>
      <w:ind w:firstLine="210"/>
    </w:pPr>
    <w:rPr>
      <w:rFonts w:ascii="Arial" w:hAnsi="Arial"/>
      <w:sz w:val="22"/>
      <w:szCs w:val="22"/>
    </w:rPr>
  </w:style>
  <w:style w:type="character" w:customStyle="1" w:styleId="BodyTextFirstIndentChar">
    <w:name w:val="Body Text First Indent Char"/>
    <w:basedOn w:val="BodyTextChar"/>
    <w:link w:val="BodyTextFirstIndent"/>
    <w:uiPriority w:val="99"/>
    <w:rsid w:val="001E1702"/>
    <w:rPr>
      <w:rFonts w:ascii="Arial" w:eastAsia="Times New Roman" w:hAnsi="Arial" w:cs="Times New Roman"/>
      <w:sz w:val="28"/>
      <w:szCs w:val="28"/>
    </w:rPr>
  </w:style>
  <w:style w:type="paragraph" w:styleId="DocumentMap">
    <w:name w:val="Document Map"/>
    <w:basedOn w:val="Normal"/>
    <w:link w:val="DocumentMapChar"/>
    <w:rsid w:val="001E1702"/>
    <w:rPr>
      <w:rFonts w:ascii="Tahoma" w:hAnsi="Tahoma"/>
      <w:sz w:val="16"/>
      <w:szCs w:val="20"/>
    </w:rPr>
  </w:style>
  <w:style w:type="character" w:customStyle="1" w:styleId="DocumentMapChar">
    <w:name w:val="Document Map Char"/>
    <w:basedOn w:val="DefaultParagraphFont"/>
    <w:link w:val="DocumentMap"/>
    <w:rsid w:val="001E1702"/>
    <w:rPr>
      <w:rFonts w:ascii="Tahoma" w:eastAsia="Times New Roman" w:hAnsi="Tahoma" w:cs="Times New Roman"/>
      <w:sz w:val="16"/>
      <w:szCs w:val="20"/>
    </w:rPr>
  </w:style>
  <w:style w:type="paragraph" w:customStyle="1" w:styleId="oncaDanhsch">
    <w:name w:val="Đoạn của Danh sách"/>
    <w:basedOn w:val="Normal"/>
    <w:uiPriority w:val="99"/>
    <w:qFormat/>
    <w:rsid w:val="001E1702"/>
    <w:pPr>
      <w:spacing w:after="240" w:line="360" w:lineRule="exact"/>
      <w:ind w:left="720"/>
      <w:contextualSpacing/>
      <w:jc w:val="both"/>
    </w:pPr>
    <w:rPr>
      <w:szCs w:val="24"/>
    </w:rPr>
  </w:style>
  <w:style w:type="paragraph" w:customStyle="1" w:styleId="mcMclc">
    <w:name w:val="Đề mục Mục lục"/>
    <w:basedOn w:val="Heading1"/>
    <w:next w:val="Normal"/>
    <w:uiPriority w:val="99"/>
    <w:qFormat/>
    <w:rsid w:val="001E1702"/>
    <w:pPr>
      <w:keepLines/>
      <w:pageBreakBefore/>
      <w:pBdr>
        <w:left w:val="single" w:sz="4" w:space="4" w:color="auto"/>
        <w:bottom w:val="double" w:sz="6" w:space="1" w:color="auto"/>
      </w:pBdr>
      <w:spacing w:before="0" w:after="0" w:line="276" w:lineRule="auto"/>
      <w:jc w:val="both"/>
      <w:outlineLvl w:val="9"/>
    </w:pPr>
    <w:rPr>
      <w:color w:val="365F91"/>
      <w:kern w:val="0"/>
      <w:sz w:val="28"/>
      <w:szCs w:val="28"/>
    </w:rPr>
  </w:style>
  <w:style w:type="paragraph" w:styleId="TOC1">
    <w:name w:val="toc 1"/>
    <w:basedOn w:val="Normal"/>
    <w:next w:val="Normal"/>
    <w:autoRedefine/>
    <w:uiPriority w:val="99"/>
    <w:rsid w:val="001E1702"/>
    <w:pPr>
      <w:spacing w:after="100" w:line="360" w:lineRule="exact"/>
      <w:jc w:val="both"/>
    </w:pPr>
    <w:rPr>
      <w:szCs w:val="24"/>
    </w:rPr>
  </w:style>
  <w:style w:type="paragraph" w:styleId="TOC2">
    <w:name w:val="toc 2"/>
    <w:basedOn w:val="Normal"/>
    <w:next w:val="Normal"/>
    <w:autoRedefine/>
    <w:uiPriority w:val="99"/>
    <w:rsid w:val="001E1702"/>
    <w:pPr>
      <w:spacing w:after="100" w:line="360" w:lineRule="exact"/>
      <w:ind w:left="240"/>
      <w:jc w:val="both"/>
    </w:pPr>
    <w:rPr>
      <w:szCs w:val="24"/>
    </w:rPr>
  </w:style>
  <w:style w:type="paragraph" w:styleId="TOC3">
    <w:name w:val="toc 3"/>
    <w:basedOn w:val="Normal"/>
    <w:next w:val="Normal"/>
    <w:autoRedefine/>
    <w:uiPriority w:val="99"/>
    <w:rsid w:val="001E1702"/>
    <w:pPr>
      <w:spacing w:after="100" w:line="360" w:lineRule="exact"/>
      <w:ind w:left="480"/>
      <w:jc w:val="both"/>
    </w:pPr>
    <w:rPr>
      <w:szCs w:val="24"/>
    </w:rPr>
  </w:style>
  <w:style w:type="character" w:styleId="Hyperlink">
    <w:name w:val="Hyperlink"/>
    <w:uiPriority w:val="99"/>
    <w:rsid w:val="001E1702"/>
    <w:rPr>
      <w:rFonts w:cs="Times New Roman"/>
      <w:color w:val="0000FF"/>
      <w:u w:val="single"/>
    </w:rPr>
  </w:style>
  <w:style w:type="paragraph" w:customStyle="1" w:styleId="Normal1">
    <w:name w:val="Normal1"/>
    <w:uiPriority w:val="99"/>
    <w:rsid w:val="001E1702"/>
    <w:pPr>
      <w:spacing w:after="0"/>
    </w:pPr>
    <w:rPr>
      <w:rFonts w:ascii="Arial" w:eastAsia="Times New Roman" w:hAnsi="Arial" w:cs="Arial"/>
      <w:color w:val="000000"/>
      <w:szCs w:val="20"/>
      <w:lang w:val="vi-VN" w:eastAsia="vi-VN"/>
    </w:rPr>
  </w:style>
  <w:style w:type="paragraph" w:customStyle="1" w:styleId="KhngGincch">
    <w:name w:val="Không Giãn cách"/>
    <w:uiPriority w:val="99"/>
    <w:qFormat/>
    <w:rsid w:val="001E1702"/>
    <w:pPr>
      <w:spacing w:after="0" w:line="240" w:lineRule="auto"/>
    </w:pPr>
    <w:rPr>
      <w:rFonts w:ascii="Times New Roman" w:eastAsia="Times New Roman" w:hAnsi="Times New Roman" w:cs="Times New Roman"/>
      <w:sz w:val="28"/>
      <w:szCs w:val="24"/>
    </w:rPr>
  </w:style>
  <w:style w:type="paragraph" w:styleId="ListParagraph">
    <w:name w:val="List Paragraph"/>
    <w:basedOn w:val="Normal"/>
    <w:link w:val="ListParagraphChar"/>
    <w:uiPriority w:val="34"/>
    <w:qFormat/>
    <w:rsid w:val="001E1702"/>
    <w:pPr>
      <w:ind w:left="720"/>
      <w:contextualSpacing/>
    </w:pPr>
  </w:style>
  <w:style w:type="character" w:styleId="CommentReference">
    <w:name w:val="annotation reference"/>
    <w:basedOn w:val="DefaultParagraphFont"/>
    <w:unhideWhenUsed/>
    <w:rsid w:val="001E1702"/>
    <w:rPr>
      <w:sz w:val="16"/>
      <w:szCs w:val="16"/>
    </w:rPr>
  </w:style>
  <w:style w:type="paragraph" w:styleId="CommentText">
    <w:name w:val="annotation text"/>
    <w:basedOn w:val="Normal"/>
    <w:link w:val="CommentTextChar"/>
    <w:unhideWhenUsed/>
    <w:rsid w:val="001E1702"/>
    <w:rPr>
      <w:sz w:val="20"/>
      <w:szCs w:val="20"/>
    </w:rPr>
  </w:style>
  <w:style w:type="character" w:customStyle="1" w:styleId="CommentTextChar">
    <w:name w:val="Comment Text Char"/>
    <w:basedOn w:val="DefaultParagraphFont"/>
    <w:link w:val="CommentText"/>
    <w:rsid w:val="001E17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1E1702"/>
    <w:rPr>
      <w:b/>
      <w:bCs/>
    </w:rPr>
  </w:style>
  <w:style w:type="character" w:customStyle="1" w:styleId="CommentSubjectChar">
    <w:name w:val="Comment Subject Char"/>
    <w:basedOn w:val="CommentTextChar"/>
    <w:link w:val="CommentSubject"/>
    <w:rsid w:val="001E1702"/>
    <w:rPr>
      <w:rFonts w:ascii="Times New Roman" w:eastAsia="Times New Roman" w:hAnsi="Times New Roman" w:cs="Times New Roman"/>
      <w:b/>
      <w:bCs/>
      <w:sz w:val="20"/>
      <w:szCs w:val="20"/>
    </w:rPr>
  </w:style>
  <w:style w:type="paragraph" w:styleId="BodyTextIndent">
    <w:name w:val="Body Text Indent"/>
    <w:basedOn w:val="Normal"/>
    <w:link w:val="BodyTextIndentChar"/>
    <w:rsid w:val="001E1702"/>
    <w:pPr>
      <w:ind w:firstLine="720"/>
      <w:jc w:val="both"/>
    </w:pPr>
    <w:rPr>
      <w:rFonts w:ascii=".VnTime" w:hAnsi=".VnTime"/>
      <w:szCs w:val="20"/>
    </w:rPr>
  </w:style>
  <w:style w:type="character" w:customStyle="1" w:styleId="BodyTextIndentChar">
    <w:name w:val="Body Text Indent Char"/>
    <w:basedOn w:val="DefaultParagraphFont"/>
    <w:link w:val="BodyTextIndent"/>
    <w:rsid w:val="001E1702"/>
    <w:rPr>
      <w:rFonts w:ascii=".VnTime" w:eastAsia="Times New Roman" w:hAnsi=".VnTime" w:cs="Times New Roman"/>
      <w:sz w:val="28"/>
      <w:szCs w:val="20"/>
    </w:rPr>
  </w:style>
  <w:style w:type="character" w:customStyle="1" w:styleId="ListParagraphChar">
    <w:name w:val="List Paragraph Char"/>
    <w:link w:val="ListParagraph"/>
    <w:uiPriority w:val="34"/>
    <w:locked/>
    <w:rsid w:val="001E1702"/>
    <w:rPr>
      <w:rFonts w:ascii="Times New Roman" w:eastAsia="Times New Roman" w:hAnsi="Times New Roman" w:cs="Times New Roman"/>
      <w:sz w:val="28"/>
      <w:szCs w:val="28"/>
    </w:rPr>
  </w:style>
  <w:style w:type="table" w:styleId="TableGrid2">
    <w:name w:val="Table Grid 2"/>
    <w:basedOn w:val="TableNormal"/>
    <w:rsid w:val="001E1702"/>
    <w:pPr>
      <w:spacing w:after="0" w:line="240" w:lineRule="auto"/>
    </w:pPr>
    <w:rPr>
      <w:rFonts w:ascii="Times New Roman" w:eastAsia="MS Mincho"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2">
    <w:name w:val="Body Text 2"/>
    <w:basedOn w:val="Normal"/>
    <w:link w:val="BodyText2Char"/>
    <w:rsid w:val="001E1702"/>
    <w:pPr>
      <w:spacing w:after="120" w:line="480" w:lineRule="auto"/>
    </w:pPr>
    <w:rPr>
      <w:rFonts w:eastAsia="MS Mincho"/>
    </w:rPr>
  </w:style>
  <w:style w:type="character" w:customStyle="1" w:styleId="BodyText2Char">
    <w:name w:val="Body Text 2 Char"/>
    <w:basedOn w:val="DefaultParagraphFont"/>
    <w:link w:val="BodyText2"/>
    <w:rsid w:val="001E1702"/>
    <w:rPr>
      <w:rFonts w:ascii="Times New Roman" w:eastAsia="MS Mincho" w:hAnsi="Times New Roman" w:cs="Times New Roman"/>
      <w:sz w:val="28"/>
      <w:szCs w:val="28"/>
    </w:rPr>
  </w:style>
  <w:style w:type="character" w:customStyle="1" w:styleId="text">
    <w:name w:val="text"/>
    <w:rsid w:val="001E1702"/>
  </w:style>
  <w:style w:type="character" w:customStyle="1" w:styleId="sharedtext">
    <w:name w:val="shared_text"/>
    <w:rsid w:val="001E1702"/>
  </w:style>
  <w:style w:type="character" w:styleId="FollowedHyperlink">
    <w:name w:val="FollowedHyperlink"/>
    <w:rsid w:val="001E1702"/>
    <w:rPr>
      <w:color w:val="800080"/>
      <w:u w:val="single"/>
    </w:rPr>
  </w:style>
  <w:style w:type="paragraph" w:customStyle="1" w:styleId="n-dieund">
    <w:name w:val="n-dieund"/>
    <w:basedOn w:val="Normal"/>
    <w:rsid w:val="001E1702"/>
    <w:pPr>
      <w:spacing w:after="120"/>
      <w:ind w:firstLine="709"/>
      <w:jc w:val="both"/>
    </w:pPr>
    <w:rPr>
      <w:rFonts w:ascii=".VnTime" w:hAnsi=".VnTime"/>
      <w:szCs w:val="20"/>
      <w:lang w:eastAsia="ja-JP"/>
    </w:rPr>
  </w:style>
  <w:style w:type="paragraph" w:styleId="EndnoteText">
    <w:name w:val="endnote text"/>
    <w:basedOn w:val="Normal"/>
    <w:link w:val="EndnoteTextChar"/>
    <w:rsid w:val="001E1702"/>
    <w:rPr>
      <w:rFonts w:ascii=".VnTime" w:hAnsi=".VnTime"/>
      <w:sz w:val="20"/>
      <w:szCs w:val="20"/>
    </w:rPr>
  </w:style>
  <w:style w:type="character" w:customStyle="1" w:styleId="EndnoteTextChar">
    <w:name w:val="Endnote Text Char"/>
    <w:basedOn w:val="DefaultParagraphFont"/>
    <w:link w:val="EndnoteText"/>
    <w:rsid w:val="001E1702"/>
    <w:rPr>
      <w:rFonts w:ascii=".VnTime" w:eastAsia="Times New Roman" w:hAnsi=".VnTime" w:cs="Times New Roman"/>
      <w:sz w:val="20"/>
      <w:szCs w:val="20"/>
    </w:rPr>
  </w:style>
  <w:style w:type="character" w:styleId="EndnoteReference">
    <w:name w:val="endnote reference"/>
    <w:rsid w:val="001E1702"/>
    <w:rPr>
      <w:vertAlign w:val="superscript"/>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1E1702"/>
    <w:pPr>
      <w:spacing w:after="160" w:line="240" w:lineRule="exact"/>
    </w:pPr>
    <w:rPr>
      <w:rFonts w:ascii="Arial" w:hAnsi="Arial"/>
      <w:sz w:val="22"/>
      <w:szCs w:val="22"/>
    </w:rPr>
  </w:style>
  <w:style w:type="numbering" w:customStyle="1" w:styleId="NoList1">
    <w:name w:val="No List1"/>
    <w:next w:val="NoList"/>
    <w:uiPriority w:val="99"/>
    <w:semiHidden/>
    <w:unhideWhenUsed/>
    <w:rsid w:val="001E1702"/>
  </w:style>
  <w:style w:type="table" w:styleId="TableGrid6">
    <w:name w:val="Table Grid 6"/>
    <w:basedOn w:val="TableNormal"/>
    <w:rsid w:val="001E1702"/>
    <w:pPr>
      <w:spacing w:after="0" w:line="240" w:lineRule="auto"/>
    </w:pPr>
    <w:rPr>
      <w:rFonts w:ascii="Times New Roman" w:eastAsia="MS Mincho"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1E1702"/>
    <w:pPr>
      <w:spacing w:after="0" w:line="240" w:lineRule="auto"/>
    </w:pPr>
    <w:rPr>
      <w:rFonts w:ascii="Times New Roman" w:eastAsia="MS Mincho"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3">
    <w:name w:val="Table List 3"/>
    <w:basedOn w:val="TableNormal"/>
    <w:rsid w:val="001E1702"/>
    <w:pPr>
      <w:spacing w:after="0" w:line="240" w:lineRule="auto"/>
    </w:pPr>
    <w:rPr>
      <w:rFonts w:ascii="Times New Roman" w:eastAsia="MS Mincho"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Simple1">
    <w:name w:val="Table Simple 1"/>
    <w:basedOn w:val="TableNormal"/>
    <w:rsid w:val="001E1702"/>
    <w:pPr>
      <w:spacing w:after="0" w:line="240" w:lineRule="auto"/>
    </w:pPr>
    <w:rPr>
      <w:rFonts w:ascii="Times New Roman" w:eastAsia="MS Mincho"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1">
    <w:name w:val="Table Classic 1"/>
    <w:basedOn w:val="TableNormal"/>
    <w:rsid w:val="001E1702"/>
    <w:pPr>
      <w:spacing w:after="0" w:line="240" w:lineRule="auto"/>
    </w:pPr>
    <w:rPr>
      <w:rFonts w:ascii="Times New Roman" w:eastAsia="MS Mincho"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1E1702"/>
    <w:pPr>
      <w:spacing w:after="0" w:line="240" w:lineRule="auto"/>
    </w:pPr>
    <w:rPr>
      <w:rFonts w:ascii=".VnTime" w:eastAsia="Times New Roman" w:hAnsi=".VnTime" w:cs="Times New Roman"/>
      <w:sz w:val="28"/>
      <w:szCs w:val="28"/>
    </w:rPr>
  </w:style>
  <w:style w:type="character" w:customStyle="1" w:styleId="titjackpot1">
    <w:name w:val="titjackpot1"/>
    <w:rsid w:val="001E1702"/>
    <w:rPr>
      <w:rFonts w:ascii="Arial" w:hAnsi="Arial" w:cs="Arial" w:hint="default"/>
      <w:b w:val="0"/>
      <w:bCs w:val="0"/>
      <w:color w:val="FFFFFF"/>
      <w:sz w:val="29"/>
      <w:szCs w:val="29"/>
    </w:rPr>
  </w:style>
  <w:style w:type="character" w:customStyle="1" w:styleId="dataresultb1">
    <w:name w:val="dataresultb1"/>
    <w:rsid w:val="001E1702"/>
    <w:rPr>
      <w:rFonts w:ascii="Arial" w:hAnsi="Arial" w:cs="Arial" w:hint="default"/>
      <w:b/>
      <w:bCs/>
      <w:color w:val="000000"/>
      <w:sz w:val="21"/>
      <w:szCs w:val="21"/>
    </w:rPr>
  </w:style>
  <w:style w:type="character" w:customStyle="1" w:styleId="titprizetagb1">
    <w:name w:val="titprizetagb1"/>
    <w:rsid w:val="001E1702"/>
    <w:rPr>
      <w:rFonts w:ascii="Arial" w:hAnsi="Arial" w:cs="Arial" w:hint="default"/>
      <w:b w:val="0"/>
      <w:bCs w:val="0"/>
      <w:color w:val="FFFFFF"/>
      <w:sz w:val="17"/>
      <w:szCs w:val="17"/>
    </w:rPr>
  </w:style>
  <w:style w:type="character" w:customStyle="1" w:styleId="datajackprize1">
    <w:name w:val="datajackprize1"/>
    <w:rsid w:val="001E1702"/>
    <w:rPr>
      <w:rFonts w:ascii="Arial" w:hAnsi="Arial" w:cs="Arial" w:hint="default"/>
      <w:b/>
      <w:bCs/>
      <w:color w:val="CC0000"/>
      <w:sz w:val="18"/>
      <w:szCs w:val="18"/>
    </w:rPr>
  </w:style>
  <w:style w:type="paragraph" w:styleId="BodyText3">
    <w:name w:val="Body Text 3"/>
    <w:basedOn w:val="Normal"/>
    <w:link w:val="BodyText3Char"/>
    <w:rsid w:val="001E1702"/>
    <w:pPr>
      <w:spacing w:before="120"/>
      <w:jc w:val="both"/>
    </w:pPr>
    <w:rPr>
      <w:rFonts w:ascii=".VnTime" w:hAnsi=".VnTime"/>
      <w:sz w:val="20"/>
      <w:szCs w:val="20"/>
    </w:rPr>
  </w:style>
  <w:style w:type="character" w:customStyle="1" w:styleId="BodyText3Char">
    <w:name w:val="Body Text 3 Char"/>
    <w:basedOn w:val="DefaultParagraphFont"/>
    <w:link w:val="BodyText3"/>
    <w:rsid w:val="001E1702"/>
    <w:rPr>
      <w:rFonts w:ascii=".VnTime" w:eastAsia="Times New Roman" w:hAnsi=".VnTime" w:cs="Times New Roman"/>
      <w:sz w:val="20"/>
      <w:szCs w:val="20"/>
    </w:rPr>
  </w:style>
  <w:style w:type="character" w:customStyle="1" w:styleId="copyright1">
    <w:name w:val="copyright1"/>
    <w:rsid w:val="001E1702"/>
    <w:rPr>
      <w:rFonts w:ascii="Arial" w:hAnsi="Arial" w:cs="Arial" w:hint="default"/>
      <w:color w:val="333333"/>
      <w:sz w:val="17"/>
      <w:szCs w:val="17"/>
    </w:rPr>
  </w:style>
  <w:style w:type="character" w:customStyle="1" w:styleId="h31">
    <w:name w:val="h31"/>
    <w:rsid w:val="001E1702"/>
    <w:rPr>
      <w:b/>
      <w:bCs/>
      <w:sz w:val="18"/>
      <w:szCs w:val="18"/>
    </w:rPr>
  </w:style>
  <w:style w:type="character" w:customStyle="1" w:styleId="normal10">
    <w:name w:val="normal1"/>
    <w:rsid w:val="001E1702"/>
    <w:rPr>
      <w:rFonts w:ascii="Arial" w:hAnsi="Arial" w:cs="Arial" w:hint="default"/>
      <w:color w:val="000000"/>
      <w:sz w:val="18"/>
      <w:szCs w:val="18"/>
    </w:rPr>
  </w:style>
  <w:style w:type="paragraph" w:customStyle="1" w:styleId="Nomaltimes">
    <w:name w:val="Nomal+times"/>
    <w:basedOn w:val="Normal"/>
    <w:rsid w:val="001E1702"/>
    <w:pPr>
      <w:jc w:val="both"/>
    </w:pPr>
    <w:rPr>
      <w:sz w:val="27"/>
      <w:szCs w:val="27"/>
      <w:lang w:val="nl-NL"/>
    </w:rPr>
  </w:style>
  <w:style w:type="character" w:customStyle="1" w:styleId="normal-h1">
    <w:name w:val="normal-h1"/>
    <w:rsid w:val="001E1702"/>
    <w:rPr>
      <w:rFonts w:ascii="Times New Roman" w:hAnsi="Times New Roman" w:cs="Times New Roman" w:hint="default"/>
      <w:color w:val="0000FF"/>
      <w:sz w:val="24"/>
      <w:szCs w:val="24"/>
    </w:rPr>
  </w:style>
  <w:style w:type="character" w:customStyle="1" w:styleId="normal-h">
    <w:name w:val="normal-h"/>
    <w:rsid w:val="001E1702"/>
  </w:style>
  <w:style w:type="paragraph" w:customStyle="1" w:styleId="Default">
    <w:name w:val="Default"/>
    <w:rsid w:val="001E1702"/>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character" w:customStyle="1" w:styleId="fontstyle01">
    <w:name w:val="fontstyle01"/>
    <w:basedOn w:val="DefaultParagraphFont"/>
    <w:rsid w:val="001E1702"/>
    <w:rPr>
      <w:rFonts w:ascii="Times New Roman" w:hAnsi="Times New Roman" w:cs="Times New Roman" w:hint="default"/>
      <w:b w:val="0"/>
      <w:bCs w:val="0"/>
      <w:i w:val="0"/>
      <w:iCs w:val="0"/>
      <w:color w:val="000000"/>
      <w:sz w:val="28"/>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1E1702"/>
    <w:pPr>
      <w:spacing w:after="160" w:line="240" w:lineRule="exact"/>
    </w:pPr>
    <w:rPr>
      <w:rFonts w:asciiTheme="minorHAnsi" w:eastAsiaTheme="minorHAnsi" w:hAnsiTheme="minorHAnsi"/>
      <w:sz w:val="22"/>
      <w:szCs w:val="22"/>
      <w:vertAlign w:val="superscript"/>
    </w:rPr>
  </w:style>
</w:styles>
</file>

<file path=word/webSettings.xml><?xml version="1.0" encoding="utf-8"?>
<w:webSettings xmlns:r="http://schemas.openxmlformats.org/officeDocument/2006/relationships" xmlns:w="http://schemas.openxmlformats.org/wordprocessingml/2006/main">
  <w:divs>
    <w:div w:id="415442298">
      <w:bodyDiv w:val="1"/>
      <w:marLeft w:val="0"/>
      <w:marRight w:val="0"/>
      <w:marTop w:val="0"/>
      <w:marBottom w:val="0"/>
      <w:divBdr>
        <w:top w:val="none" w:sz="0" w:space="0" w:color="auto"/>
        <w:left w:val="none" w:sz="0" w:space="0" w:color="auto"/>
        <w:bottom w:val="none" w:sz="0" w:space="0" w:color="auto"/>
        <w:right w:val="none" w:sz="0" w:space="0" w:color="auto"/>
      </w:divBdr>
    </w:div>
    <w:div w:id="421607553">
      <w:bodyDiv w:val="1"/>
      <w:marLeft w:val="0"/>
      <w:marRight w:val="0"/>
      <w:marTop w:val="0"/>
      <w:marBottom w:val="0"/>
      <w:divBdr>
        <w:top w:val="none" w:sz="0" w:space="0" w:color="auto"/>
        <w:left w:val="none" w:sz="0" w:space="0" w:color="auto"/>
        <w:bottom w:val="none" w:sz="0" w:space="0" w:color="auto"/>
        <w:right w:val="none" w:sz="0" w:space="0" w:color="auto"/>
      </w:divBdr>
    </w:div>
    <w:div w:id="428737557">
      <w:bodyDiv w:val="1"/>
      <w:marLeft w:val="0"/>
      <w:marRight w:val="0"/>
      <w:marTop w:val="0"/>
      <w:marBottom w:val="0"/>
      <w:divBdr>
        <w:top w:val="none" w:sz="0" w:space="0" w:color="auto"/>
        <w:left w:val="none" w:sz="0" w:space="0" w:color="auto"/>
        <w:bottom w:val="none" w:sz="0" w:space="0" w:color="auto"/>
        <w:right w:val="none" w:sz="0" w:space="0" w:color="auto"/>
      </w:divBdr>
    </w:div>
    <w:div w:id="718014632">
      <w:bodyDiv w:val="1"/>
      <w:marLeft w:val="0"/>
      <w:marRight w:val="0"/>
      <w:marTop w:val="0"/>
      <w:marBottom w:val="0"/>
      <w:divBdr>
        <w:top w:val="none" w:sz="0" w:space="0" w:color="auto"/>
        <w:left w:val="none" w:sz="0" w:space="0" w:color="auto"/>
        <w:bottom w:val="none" w:sz="0" w:space="0" w:color="auto"/>
        <w:right w:val="none" w:sz="0" w:space="0" w:color="auto"/>
      </w:divBdr>
    </w:div>
    <w:div w:id="1106466255">
      <w:bodyDiv w:val="1"/>
      <w:marLeft w:val="0"/>
      <w:marRight w:val="0"/>
      <w:marTop w:val="0"/>
      <w:marBottom w:val="0"/>
      <w:divBdr>
        <w:top w:val="none" w:sz="0" w:space="0" w:color="auto"/>
        <w:left w:val="none" w:sz="0" w:space="0" w:color="auto"/>
        <w:bottom w:val="none" w:sz="0" w:space="0" w:color="auto"/>
        <w:right w:val="none" w:sz="0" w:space="0" w:color="auto"/>
      </w:divBdr>
    </w:div>
    <w:div w:id="1534928033">
      <w:bodyDiv w:val="1"/>
      <w:marLeft w:val="0"/>
      <w:marRight w:val="0"/>
      <w:marTop w:val="0"/>
      <w:marBottom w:val="0"/>
      <w:divBdr>
        <w:top w:val="none" w:sz="0" w:space="0" w:color="auto"/>
        <w:left w:val="none" w:sz="0" w:space="0" w:color="auto"/>
        <w:bottom w:val="none" w:sz="0" w:space="0" w:color="auto"/>
        <w:right w:val="none" w:sz="0" w:space="0" w:color="auto"/>
      </w:divBdr>
    </w:div>
    <w:div w:id="1564831319">
      <w:bodyDiv w:val="1"/>
      <w:marLeft w:val="0"/>
      <w:marRight w:val="0"/>
      <w:marTop w:val="0"/>
      <w:marBottom w:val="0"/>
      <w:divBdr>
        <w:top w:val="none" w:sz="0" w:space="0" w:color="auto"/>
        <w:left w:val="none" w:sz="0" w:space="0" w:color="auto"/>
        <w:bottom w:val="none" w:sz="0" w:space="0" w:color="auto"/>
        <w:right w:val="none" w:sz="0" w:space="0" w:color="auto"/>
      </w:divBdr>
    </w:div>
    <w:div w:id="176056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B26F0-AAD7-46AF-A6EB-D5901EB2C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7121</Words>
  <Characters>40595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 Tung1</dc:creator>
  <cp:lastModifiedBy>Cao Ngoc Khanh My</cp:lastModifiedBy>
  <cp:revision>10</cp:revision>
  <cp:lastPrinted>2025-09-18T05:00:00Z</cp:lastPrinted>
  <dcterms:created xsi:type="dcterms:W3CDTF">2025-09-23T10:35:00Z</dcterms:created>
  <dcterms:modified xsi:type="dcterms:W3CDTF">2025-09-24T03:58:00Z</dcterms:modified>
</cp:coreProperties>
</file>