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786"/>
        <w:gridCol w:w="1952"/>
        <w:gridCol w:w="2502"/>
        <w:gridCol w:w="5706"/>
        <w:gridCol w:w="4669"/>
      </w:tblGrid>
      <w:tr w:rsidR="00B80B6F" w:rsidRPr="005A7769" w:rsidTr="00B80B6F">
        <w:trPr>
          <w:trHeight w:val="1182"/>
          <w:tblHeader/>
        </w:trPr>
        <w:tc>
          <w:tcPr>
            <w:tcW w:w="5000" w:type="pct"/>
            <w:gridSpan w:val="5"/>
            <w:tcBorders>
              <w:top w:val="nil"/>
              <w:left w:val="nil"/>
              <w:bottom w:val="single" w:sz="4" w:space="0" w:color="auto"/>
              <w:right w:val="nil"/>
            </w:tcBorders>
            <w:vAlign w:val="center"/>
            <w:hideMark/>
          </w:tcPr>
          <w:p w:rsidR="00B80B6F" w:rsidRPr="005A7769" w:rsidRDefault="00B80B6F" w:rsidP="005A7769">
            <w:pPr>
              <w:jc w:val="center"/>
              <w:rPr>
                <w:rFonts w:ascii="Times New Roman" w:hAnsi="Times New Roman" w:cs="Times New Roman"/>
                <w:b/>
                <w:bCs/>
                <w:sz w:val="28"/>
                <w:szCs w:val="28"/>
              </w:rPr>
            </w:pPr>
            <w:bookmarkStart w:id="0" w:name="RANGE!A1:E32"/>
            <w:r w:rsidRPr="005A7769">
              <w:rPr>
                <w:rFonts w:ascii="Times New Roman" w:hAnsi="Times New Roman" w:cs="Times New Roman"/>
                <w:b/>
                <w:bCs/>
                <w:sz w:val="28"/>
                <w:szCs w:val="28"/>
              </w:rPr>
              <w:t>BẢN TỔNG HỢP GIẢI TRÌNH, TIẾP THU Ý KIẾN THAM GIA CỦA CÁC BỘ NGÀNH, CƠ QUAN, TỔ CHỨC, CÁ NHÂN VỀ DỰ THẢO NGHỊ ĐỊNH</w:t>
            </w:r>
            <w:r w:rsidR="00F36F22" w:rsidRPr="005A7769">
              <w:rPr>
                <w:rFonts w:ascii="Times New Roman" w:hAnsi="Times New Roman" w:cs="Times New Roman"/>
                <w:b/>
                <w:bCs/>
                <w:sz w:val="28"/>
                <w:szCs w:val="28"/>
              </w:rPr>
              <w:t xml:space="preserve"> QUY ĐỊNH</w:t>
            </w:r>
            <w:r w:rsidRPr="005A7769">
              <w:rPr>
                <w:rFonts w:ascii="Times New Roman" w:hAnsi="Times New Roman" w:cs="Times New Roman"/>
                <w:b/>
                <w:bCs/>
                <w:sz w:val="28"/>
                <w:szCs w:val="28"/>
              </w:rPr>
              <w:t xml:space="preserve"> MỘT SỐ NỘI DUNG VỀ CƠ CHẾ QUẢN LÝ TÀI CHÍNH, ĐÁNH GIÁ XẾP LOẠI DOANH NGHIỆP ĐỐI VỚI SGDCKVN VÀ TCTLKBTCKVN</w:t>
            </w:r>
            <w:bookmarkEnd w:id="0"/>
          </w:p>
          <w:p w:rsidR="005A7769" w:rsidRPr="005A7769" w:rsidRDefault="005A7769" w:rsidP="00B80B6F">
            <w:pPr>
              <w:jc w:val="center"/>
              <w:rPr>
                <w:rFonts w:ascii="Times New Roman" w:hAnsi="Times New Roman" w:cs="Times New Roman"/>
                <w:bCs/>
                <w:i/>
                <w:sz w:val="28"/>
                <w:szCs w:val="28"/>
              </w:rPr>
            </w:pPr>
            <w:r w:rsidRPr="005A7769">
              <w:rPr>
                <w:rFonts w:ascii="Times New Roman" w:hAnsi="Times New Roman" w:cs="Times New Roman"/>
                <w:bCs/>
                <w:i/>
                <w:sz w:val="28"/>
                <w:szCs w:val="28"/>
              </w:rPr>
              <w:t>(Kèm theo Tờ</w:t>
            </w:r>
            <w:r w:rsidR="00AF2D93">
              <w:rPr>
                <w:rFonts w:ascii="Times New Roman" w:hAnsi="Times New Roman" w:cs="Times New Roman"/>
                <w:bCs/>
                <w:i/>
                <w:sz w:val="28"/>
                <w:szCs w:val="28"/>
              </w:rPr>
              <w:t xml:space="preserve"> trình </w:t>
            </w:r>
            <w:r w:rsidRPr="005A7769">
              <w:rPr>
                <w:rFonts w:ascii="Times New Roman" w:hAnsi="Times New Roman" w:cs="Times New Roman"/>
                <w:bCs/>
                <w:i/>
                <w:sz w:val="28"/>
                <w:szCs w:val="28"/>
              </w:rPr>
              <w:t>số 946/TTr-BTC ngày 12/12/2025 của Bộ Tài chính)</w:t>
            </w:r>
          </w:p>
        </w:tc>
      </w:tr>
      <w:tr w:rsidR="00B80B6F" w:rsidRPr="00B80B6F" w:rsidTr="00B80B6F">
        <w:trPr>
          <w:trHeight w:val="570"/>
          <w:tblHeader/>
        </w:trPr>
        <w:tc>
          <w:tcPr>
            <w:tcW w:w="252" w:type="pct"/>
            <w:tcBorders>
              <w:top w:val="single" w:sz="4" w:space="0" w:color="auto"/>
            </w:tcBorders>
            <w:vAlign w:val="center"/>
            <w:hideMark/>
          </w:tcPr>
          <w:p w:rsidR="00B80B6F" w:rsidRPr="00B80B6F" w:rsidRDefault="00B80B6F" w:rsidP="00B80B6F">
            <w:pPr>
              <w:jc w:val="center"/>
              <w:rPr>
                <w:rFonts w:ascii="Times New Roman" w:hAnsi="Times New Roman" w:cs="Times New Roman"/>
                <w:b/>
                <w:bCs/>
              </w:rPr>
            </w:pPr>
            <w:r w:rsidRPr="00B80B6F">
              <w:rPr>
                <w:rFonts w:ascii="Times New Roman" w:hAnsi="Times New Roman" w:cs="Times New Roman"/>
                <w:b/>
                <w:bCs/>
              </w:rPr>
              <w:t>STT</w:t>
            </w:r>
          </w:p>
        </w:tc>
        <w:tc>
          <w:tcPr>
            <w:tcW w:w="625" w:type="pct"/>
            <w:tcBorders>
              <w:top w:val="single" w:sz="4" w:space="0" w:color="auto"/>
            </w:tcBorders>
            <w:vAlign w:val="center"/>
            <w:hideMark/>
          </w:tcPr>
          <w:p w:rsidR="00B80B6F" w:rsidRPr="00B80B6F" w:rsidRDefault="00B80B6F" w:rsidP="00B80B6F">
            <w:pPr>
              <w:jc w:val="center"/>
              <w:rPr>
                <w:rFonts w:ascii="Times New Roman" w:hAnsi="Times New Roman" w:cs="Times New Roman"/>
                <w:b/>
                <w:bCs/>
              </w:rPr>
            </w:pPr>
            <w:r w:rsidRPr="00B80B6F">
              <w:rPr>
                <w:rFonts w:ascii="Times New Roman" w:hAnsi="Times New Roman" w:cs="Times New Roman"/>
                <w:b/>
                <w:bCs/>
              </w:rPr>
              <w:t>Điều, khoản, điểm</w:t>
            </w:r>
          </w:p>
        </w:tc>
        <w:tc>
          <w:tcPr>
            <w:tcW w:w="801" w:type="pct"/>
            <w:tcBorders>
              <w:top w:val="single" w:sz="4" w:space="0" w:color="auto"/>
            </w:tcBorders>
            <w:vAlign w:val="center"/>
            <w:hideMark/>
          </w:tcPr>
          <w:p w:rsidR="00B80B6F" w:rsidRPr="00B80B6F" w:rsidRDefault="00B80B6F" w:rsidP="00B80B6F">
            <w:pPr>
              <w:jc w:val="center"/>
              <w:rPr>
                <w:rFonts w:ascii="Times New Roman" w:hAnsi="Times New Roman" w:cs="Times New Roman"/>
                <w:b/>
                <w:bCs/>
              </w:rPr>
            </w:pPr>
            <w:r w:rsidRPr="00B80B6F">
              <w:rPr>
                <w:rFonts w:ascii="Times New Roman" w:hAnsi="Times New Roman" w:cs="Times New Roman"/>
                <w:b/>
                <w:bCs/>
              </w:rPr>
              <w:t>Đơn vị tham gia ý kiến</w:t>
            </w:r>
          </w:p>
        </w:tc>
        <w:tc>
          <w:tcPr>
            <w:tcW w:w="1827" w:type="pct"/>
            <w:tcBorders>
              <w:top w:val="single" w:sz="4" w:space="0" w:color="auto"/>
            </w:tcBorders>
            <w:vAlign w:val="center"/>
            <w:hideMark/>
          </w:tcPr>
          <w:p w:rsidR="00B80B6F" w:rsidRPr="00B80B6F" w:rsidRDefault="00B80B6F" w:rsidP="00B80B6F">
            <w:pPr>
              <w:jc w:val="center"/>
              <w:rPr>
                <w:rFonts w:ascii="Times New Roman" w:hAnsi="Times New Roman" w:cs="Times New Roman"/>
                <w:b/>
                <w:bCs/>
              </w:rPr>
            </w:pPr>
            <w:r w:rsidRPr="00B80B6F">
              <w:rPr>
                <w:rFonts w:ascii="Times New Roman" w:hAnsi="Times New Roman" w:cs="Times New Roman"/>
                <w:b/>
                <w:bCs/>
              </w:rPr>
              <w:t>Nội dung ý kiến tham gia</w:t>
            </w:r>
          </w:p>
        </w:tc>
        <w:tc>
          <w:tcPr>
            <w:tcW w:w="1495" w:type="pct"/>
            <w:tcBorders>
              <w:top w:val="single" w:sz="4" w:space="0" w:color="auto"/>
            </w:tcBorders>
            <w:vAlign w:val="center"/>
            <w:hideMark/>
          </w:tcPr>
          <w:p w:rsidR="00B80B6F" w:rsidRPr="00B80B6F" w:rsidRDefault="00B80B6F" w:rsidP="00B80B6F">
            <w:pPr>
              <w:jc w:val="center"/>
              <w:rPr>
                <w:rFonts w:ascii="Times New Roman" w:hAnsi="Times New Roman" w:cs="Times New Roman"/>
                <w:b/>
                <w:bCs/>
              </w:rPr>
            </w:pPr>
            <w:r w:rsidRPr="00B80B6F">
              <w:rPr>
                <w:rFonts w:ascii="Times New Roman" w:hAnsi="Times New Roman" w:cs="Times New Roman"/>
                <w:b/>
                <w:bCs/>
              </w:rPr>
              <w:t>Nội dung tiếp thu, giải trình</w:t>
            </w:r>
          </w:p>
        </w:tc>
      </w:tr>
      <w:tr w:rsidR="00B80B6F" w:rsidRPr="00B80B6F" w:rsidTr="00B80B6F">
        <w:trPr>
          <w:trHeight w:val="270"/>
        </w:trPr>
        <w:tc>
          <w:tcPr>
            <w:tcW w:w="252" w:type="pct"/>
            <w:hideMark/>
          </w:tcPr>
          <w:p w:rsidR="00B80B6F" w:rsidRPr="00B80B6F" w:rsidRDefault="00B80B6F">
            <w:pPr>
              <w:rPr>
                <w:rFonts w:ascii="Times New Roman" w:hAnsi="Times New Roman" w:cs="Times New Roman"/>
                <w:b/>
                <w:bCs/>
              </w:rPr>
            </w:pPr>
            <w:r w:rsidRPr="00B80B6F">
              <w:rPr>
                <w:rFonts w:ascii="Times New Roman" w:hAnsi="Times New Roman" w:cs="Times New Roman"/>
                <w:b/>
                <w:bCs/>
              </w:rPr>
              <w:t>I</w:t>
            </w:r>
          </w:p>
        </w:tc>
        <w:tc>
          <w:tcPr>
            <w:tcW w:w="4748" w:type="pct"/>
            <w:gridSpan w:val="4"/>
            <w:hideMark/>
          </w:tcPr>
          <w:p w:rsidR="00B80B6F" w:rsidRPr="00B80B6F" w:rsidRDefault="00B80B6F">
            <w:pPr>
              <w:rPr>
                <w:rFonts w:ascii="Times New Roman" w:hAnsi="Times New Roman" w:cs="Times New Roman"/>
                <w:b/>
                <w:bCs/>
              </w:rPr>
            </w:pPr>
            <w:r w:rsidRPr="00B80B6F">
              <w:rPr>
                <w:rFonts w:ascii="Times New Roman" w:hAnsi="Times New Roman" w:cs="Times New Roman"/>
                <w:b/>
                <w:bCs/>
              </w:rPr>
              <w:t>Ý kiến tham gia chung</w:t>
            </w:r>
          </w:p>
        </w:tc>
      </w:tr>
      <w:tr w:rsidR="00B80B6F" w:rsidRPr="00B80B6F" w:rsidTr="00B80B6F">
        <w:trPr>
          <w:trHeight w:val="285"/>
        </w:trPr>
        <w:tc>
          <w:tcPr>
            <w:tcW w:w="252" w:type="pct"/>
            <w:vMerge w:val="restar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t>1</w:t>
            </w:r>
          </w:p>
        </w:tc>
        <w:tc>
          <w:tcPr>
            <w:tcW w:w="62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Ý kiến thống nhất</w:t>
            </w: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Quốc phòng</w:t>
            </w:r>
          </w:p>
        </w:tc>
        <w:tc>
          <w:tcPr>
            <w:tcW w:w="1827" w:type="pct"/>
            <w:vMerge w:val="restar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Thống nhất với dự thảo Nghị định</w:t>
            </w:r>
          </w:p>
        </w:tc>
        <w:tc>
          <w:tcPr>
            <w:tcW w:w="1495" w:type="pct"/>
            <w:vMerge w:val="restar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t>Tiếp thu ý kiến của Bộ Quốc phòng và Bộ Ngoại giao</w:t>
            </w:r>
          </w:p>
        </w:tc>
      </w:tr>
      <w:tr w:rsidR="00B80B6F" w:rsidRPr="00B80B6F" w:rsidTr="00B80B6F">
        <w:trPr>
          <w:trHeight w:val="30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rsidP="00B80B6F">
            <w:pPr>
              <w:jc w:val="both"/>
              <w:rPr>
                <w:rFonts w:ascii="Times New Roman" w:hAnsi="Times New Roman" w:cs="Times New Roman"/>
              </w:rPr>
            </w:pPr>
          </w:p>
        </w:tc>
        <w:tc>
          <w:tcPr>
            <w:tcW w:w="801" w:type="pct"/>
            <w:hideMark/>
          </w:tcPr>
          <w:p w:rsidR="00B80B6F" w:rsidRPr="00B80B6F" w:rsidRDefault="00B80B6F">
            <w:pPr>
              <w:rPr>
                <w:rFonts w:ascii="Times New Roman" w:hAnsi="Times New Roman" w:cs="Times New Roman"/>
              </w:rPr>
            </w:pPr>
            <w:r w:rsidRPr="00B80B6F">
              <w:rPr>
                <w:rFonts w:ascii="Times New Roman" w:hAnsi="Times New Roman" w:cs="Times New Roman"/>
              </w:rPr>
              <w:t>Bộ Ngoại giao</w:t>
            </w:r>
          </w:p>
        </w:tc>
        <w:tc>
          <w:tcPr>
            <w:tcW w:w="1827" w:type="pct"/>
            <w:vMerge/>
            <w:hideMark/>
          </w:tcPr>
          <w:p w:rsidR="00B80B6F" w:rsidRPr="00B80B6F" w:rsidRDefault="00B80B6F">
            <w:pPr>
              <w:rPr>
                <w:rFonts w:ascii="Times New Roman" w:hAnsi="Times New Roman" w:cs="Times New Roman"/>
              </w:rPr>
            </w:pPr>
          </w:p>
        </w:tc>
        <w:tc>
          <w:tcPr>
            <w:tcW w:w="1495" w:type="pct"/>
            <w:vMerge/>
            <w:hideMark/>
          </w:tcPr>
          <w:p w:rsidR="00B80B6F" w:rsidRPr="00B80B6F" w:rsidRDefault="00B80B6F">
            <w:pPr>
              <w:rPr>
                <w:rFonts w:ascii="Times New Roman" w:hAnsi="Times New Roman" w:cs="Times New Roman"/>
                <w:b/>
                <w:bCs/>
              </w:rPr>
            </w:pPr>
          </w:p>
        </w:tc>
      </w:tr>
      <w:tr w:rsidR="00B80B6F" w:rsidRPr="00B80B6F" w:rsidTr="00B80B6F">
        <w:trPr>
          <w:trHeight w:val="2325"/>
        </w:trPr>
        <w:tc>
          <w:tcPr>
            <w:tcW w:w="252" w:type="pct"/>
            <w:vMerge w:val="restar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t>2</w:t>
            </w:r>
          </w:p>
        </w:tc>
        <w:tc>
          <w:tcPr>
            <w:tcW w:w="62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Sự phù hợp với quy định pháp luật hiện hành</w:t>
            </w: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Nội Vụ</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xml:space="preserve">Thống nhất Bộ Tài chính chủ trì, phối hợp với các cơ quan liên quan nghiên cứu, xây dựng, trình Chính phủ ban hành Nghị định thay thế Nghị định số 59/2021/NĐ-CP để thực hiện nhiệm vụ được giao tại Quyết định số 2136/QĐ-TTg ngày 26/9/2025 của Thủ tướng Chính phủ về ban hành Kế hoạch triển khai Luật Quản lý và đầu tư vốn nhà nước tại doanh nghiệp năm 2025 (Luật số 68/2025/QH15), bảo đảm thống nhất, đồng bộ với quy định của Luật Chứng khoán, Luật Quản lý, sử dụng tài sản công, các Luật có liên quan và các văn bản  hướng dẫn thi hành. </w:t>
            </w:r>
          </w:p>
        </w:tc>
        <w:tc>
          <w:tcPr>
            <w:tcW w:w="149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t>Tiếp thu ý kiến của Bộ Nội Vụ, Bộ Tư pháp và Bộ KHCN</w:t>
            </w:r>
            <w:r w:rsidRPr="00B80B6F">
              <w:rPr>
                <w:rFonts w:ascii="Times New Roman" w:hAnsi="Times New Roman" w:cs="Times New Roman"/>
              </w:rPr>
              <w:br/>
              <w:t>Về việc rà soát dự thảo Nghị định để đảm bảo yêu cầu đồng bộ, thống nhất với quy định tại Luật Quản lý và đầu tư vốn nhà nước tại doanh nghiệp (Luật số 68/2025/QH15) và các văn bản quy phạm pháp luật có liên quan, Bộ Tài chính đã rà soát, hoàn thiện quy định tại dự thảo Nghị định đảm bảo thống nhất với quy định tại Luật và các dự thảo Nghị định hướng dẫn thi hành Luật số 68/2025/QH15 (hiện đang trình Chính phủ ban hành).</w:t>
            </w:r>
          </w:p>
        </w:tc>
      </w:tr>
      <w:tr w:rsidR="00B80B6F" w:rsidRPr="00B80B6F" w:rsidTr="00B80B6F">
        <w:trPr>
          <w:trHeight w:val="171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Nội dung của dự thảo Nghị định cần được rà soát với Luật Quản lý và đầu tư vốn nhà nước tại doanh nghiệp (Luật số 68/2025/QH15) và các văn bản quy phạm pháp luật có liên quan để bảo đảm tính thống nhất của hệ thống pháp luật và tính khả thi của văn bản sau khi ban hành, công khai, minh bạch, tránh lạm dụng (nếu có) và phù hợp với thực tiễn.</w:t>
            </w:r>
          </w:p>
        </w:tc>
        <w:tc>
          <w:tcPr>
            <w:tcW w:w="1495" w:type="pct"/>
            <w:vMerge/>
            <w:hideMark/>
          </w:tcPr>
          <w:p w:rsidR="00B80B6F" w:rsidRPr="00B80B6F" w:rsidRDefault="00B80B6F">
            <w:pPr>
              <w:rPr>
                <w:rFonts w:ascii="Times New Roman" w:hAnsi="Times New Roman" w:cs="Times New Roman"/>
              </w:rPr>
            </w:pPr>
          </w:p>
        </w:tc>
      </w:tr>
      <w:tr w:rsidR="00B80B6F" w:rsidRPr="00B80B6F" w:rsidTr="00B80B6F">
        <w:trPr>
          <w:trHeight w:val="228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Khoa học và công nghệ</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Dự thảo Nghị định cần đảm bảo yêu cầu đồng bộ, thống nhất về chế độ tài chính và giám sát tài chính, đánh giá hiệu quả đầu tư vốn nhà nước giữa Sở Giao dịch Chứng khoán Việt Nam, Tổng công ty Lưu ký và Bù trừ chứng khoán Việt Nam với doanh nghiệp căn cứ theo Luật Quản lý và đầu tư vốn nhà nước tại doanh nghiệp ngày 14/6/2025 (thay thế Luật quản lý, sử dụng vốn nhà nước đầu tư vào sản xuất, kinh doanh tại doanh nghiệp ngày 26 tháng 11 năm 2014), phù hợp với nguyên tắc và quy định hiện hành của pháp luật về ban hành văn bản quy phạm pháp luật.</w:t>
            </w:r>
          </w:p>
        </w:tc>
        <w:tc>
          <w:tcPr>
            <w:tcW w:w="1495" w:type="pct"/>
            <w:vMerge/>
            <w:hideMark/>
          </w:tcPr>
          <w:p w:rsidR="00B80B6F" w:rsidRPr="00B80B6F" w:rsidRDefault="00B80B6F">
            <w:pPr>
              <w:rPr>
                <w:rFonts w:ascii="Times New Roman" w:hAnsi="Times New Roman" w:cs="Times New Roman"/>
              </w:rPr>
            </w:pPr>
          </w:p>
        </w:tc>
      </w:tr>
      <w:tr w:rsidR="00B80B6F" w:rsidRPr="00B80B6F" w:rsidTr="00B80B6F">
        <w:trPr>
          <w:trHeight w:val="1650"/>
        </w:trPr>
        <w:tc>
          <w:tcPr>
            <w:tcW w:w="252" w:type="pct"/>
            <w:vMerge w:val="restar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lastRenderedPageBreak/>
              <w:t>3</w:t>
            </w:r>
          </w:p>
        </w:tc>
        <w:tc>
          <w:tcPr>
            <w:tcW w:w="62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Nội dung chuyên ngành liên quan đến hoạt động doanh nghiệp và chứng khoán</w:t>
            </w: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Khoa học và công nghệ</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Về các nội dung chuyên ngành liên quan đến hoạt động doanh nghiệp và chứng khoán: Các nội dung của dự thảo Nghị định liên quan đến chính sách của pháp luật về tài chính doanh nghiệp; hoạt động chứng khoán không thuộc lĩnh vực quản lý nhà nước của Bộ Khoa học và Công nghệ. Do vậy, Bộ Khoa học và Công nghệ không có ý kiến bổ sung thêm đối với các nội dung này.</w:t>
            </w:r>
          </w:p>
        </w:tc>
        <w:tc>
          <w:tcPr>
            <w:tcW w:w="1495" w:type="pc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t>Tiếp thu ý kiến của Bộ KHCN</w:t>
            </w:r>
          </w:p>
        </w:tc>
      </w:tr>
      <w:tr w:rsidR="00B80B6F" w:rsidRPr="00B80B6F" w:rsidTr="00B80B6F">
        <w:trPr>
          <w:trHeight w:val="240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Dự thảo Nghị định cần được rà soát, nghiên cứu hoàn thiện quy định về cơ chế hậu kiểm hợp lý, khả thi, bảo đảm chặt chẽ.</w:t>
            </w:r>
          </w:p>
        </w:tc>
        <w:tc>
          <w:tcPr>
            <w:tcW w:w="1495"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t>Tiếp thu của Bộ Tư pháp</w:t>
            </w:r>
            <w:r w:rsidRPr="00B80B6F">
              <w:rPr>
                <w:rFonts w:ascii="Times New Roman" w:hAnsi="Times New Roman" w:cs="Times New Roman"/>
              </w:rPr>
              <w:br/>
              <w:t>Tại dự thảo Nghị định (khoản 2, khoản 3 Điều 7, khoản 1 Điều 8) đã quy định: (i) VNX, VSDC chịu sự thanh tra, kiểm tra, giám sát, của cơ quan nhà nước có thẩm quyền đối với công tác tài chính; (ii) VNX, VSDC có trách nhiệm giám sát, kiểm tra, quản lý vốn của doanh nghiệp mình đầu tư tại công ty con; thực hiện giám sát nội bộ theo định của pháp luật quản lý và đầu tư vốn nhà nước tại doanh nghiệp; (iii) Bộ Tài chính thực hiện quyền và trách nhiệm của cơ quan đại diện chủ sở hữu đối với VNX, VSDC theo quy định của Luật số 68 và các văn bản hướng dẫn, Nghị định này.</w:t>
            </w:r>
          </w:p>
        </w:tc>
      </w:tr>
      <w:tr w:rsidR="00B80B6F" w:rsidRPr="00B80B6F" w:rsidTr="00B80B6F">
        <w:trPr>
          <w:trHeight w:val="1995"/>
        </w:trPr>
        <w:tc>
          <w:tcPr>
            <w:tcW w:w="252" w:type="pc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t>4</w:t>
            </w:r>
          </w:p>
        </w:tc>
        <w:tc>
          <w:tcPr>
            <w:tcW w:w="625"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Sự cần thiết ban hành Nghị định</w:t>
            </w: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 xml:space="preserve">Trên cơ sở chính trị, pháp lý, thực tiễn nêu tại Mục I dự thảo Tờ trình (trang 1 - 5) kèm theo Công văn số 18208/BTC-ĐCTC, việc Bộ Tài chính xây dựng dự thảo Nghị định trên cơ sở kế thừa Nghị định số 59/2021/NĐ-CP ngày 18/6/2021 của Chính phủ quy định một số nội dung đặc thù về cơ chế quản lý tài chính, đánh giá hiệu quả hoạt động đối với Sở Giao dịch Chứng khoán Việt Nam, Tổng công ty Lưu ký và Bù trừ chứng khoán Việt Nam là </w:t>
            </w:r>
            <w:r w:rsidRPr="00B80B6F">
              <w:rPr>
                <w:rFonts w:ascii="Times New Roman" w:hAnsi="Times New Roman" w:cs="Times New Roman"/>
                <w:b/>
                <w:bCs/>
              </w:rPr>
              <w:t>cần thiết, đúng nhiệm vụ được giao.</w:t>
            </w:r>
          </w:p>
        </w:tc>
        <w:tc>
          <w:tcPr>
            <w:tcW w:w="1495" w:type="pc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t>Tiếp thu của Bộ Tư pháp</w:t>
            </w:r>
          </w:p>
        </w:tc>
      </w:tr>
      <w:tr w:rsidR="00B80B6F" w:rsidRPr="00B80B6F" w:rsidTr="00B80B6F">
        <w:trPr>
          <w:trHeight w:val="270"/>
        </w:trPr>
        <w:tc>
          <w:tcPr>
            <w:tcW w:w="252" w:type="pct"/>
            <w:hideMark/>
          </w:tcPr>
          <w:p w:rsidR="00B80B6F" w:rsidRPr="00B80B6F" w:rsidRDefault="00B80B6F">
            <w:pPr>
              <w:rPr>
                <w:rFonts w:ascii="Times New Roman" w:hAnsi="Times New Roman" w:cs="Times New Roman"/>
                <w:b/>
                <w:bCs/>
              </w:rPr>
            </w:pPr>
            <w:r w:rsidRPr="00B80B6F">
              <w:rPr>
                <w:rFonts w:ascii="Times New Roman" w:hAnsi="Times New Roman" w:cs="Times New Roman"/>
                <w:b/>
                <w:bCs/>
              </w:rPr>
              <w:t>II</w:t>
            </w:r>
          </w:p>
        </w:tc>
        <w:tc>
          <w:tcPr>
            <w:tcW w:w="4748" w:type="pct"/>
            <w:gridSpan w:val="4"/>
            <w:hideMark/>
          </w:tcPr>
          <w:p w:rsidR="00B80B6F" w:rsidRPr="00B80B6F" w:rsidRDefault="00B80B6F">
            <w:pPr>
              <w:rPr>
                <w:rFonts w:ascii="Times New Roman" w:hAnsi="Times New Roman" w:cs="Times New Roman"/>
                <w:b/>
                <w:bCs/>
              </w:rPr>
            </w:pPr>
            <w:r w:rsidRPr="00B80B6F">
              <w:rPr>
                <w:rFonts w:ascii="Times New Roman" w:hAnsi="Times New Roman" w:cs="Times New Roman"/>
                <w:b/>
                <w:bCs/>
              </w:rPr>
              <w:t>Ý kiến tham gia cụ thể</w:t>
            </w:r>
          </w:p>
        </w:tc>
      </w:tr>
      <w:tr w:rsidR="00B80B6F" w:rsidRPr="00B80B6F" w:rsidTr="00B80B6F">
        <w:trPr>
          <w:trHeight w:val="3300"/>
        </w:trPr>
        <w:tc>
          <w:tcPr>
            <w:tcW w:w="252" w:type="pct"/>
            <w:vMerge w:val="restar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lastRenderedPageBreak/>
              <w:t>1</w:t>
            </w:r>
          </w:p>
        </w:tc>
        <w:tc>
          <w:tcPr>
            <w:tcW w:w="625" w:type="pct"/>
            <w:vMerge w:val="restar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Điều 1. Phạm vi điều chỉnh</w:t>
            </w: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Nội Vụ</w:t>
            </w:r>
          </w:p>
        </w:tc>
        <w:tc>
          <w:tcPr>
            <w:tcW w:w="1827" w:type="pct"/>
            <w:vAlign w:val="center"/>
            <w:hideMark/>
          </w:tcPr>
          <w:p w:rsidR="00B80B6F" w:rsidRPr="00B80B6F" w:rsidRDefault="00B80B6F" w:rsidP="00B80B6F">
            <w:pPr>
              <w:jc w:val="both"/>
              <w:rPr>
                <w:rFonts w:ascii="Times New Roman" w:hAnsi="Times New Roman" w:cs="Times New Roman"/>
                <w:b/>
              </w:rPr>
            </w:pPr>
            <w:r w:rsidRPr="00B80B6F">
              <w:rPr>
                <w:rFonts w:ascii="Times New Roman" w:hAnsi="Times New Roman" w:cs="Times New Roman"/>
                <w:b/>
              </w:rPr>
              <w:t>Khoản 1 Điều 1</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br/>
              <w:t xml:space="preserve">Căn cứ phạm vi điều chỉnh quy định tại khoản 1 Điều 1 (dự thảo Nghị </w:t>
            </w:r>
            <w:r w:rsidRPr="00B80B6F">
              <w:rPr>
                <w:rFonts w:ascii="Times New Roman" w:hAnsi="Times New Roman" w:cs="Times New Roman"/>
              </w:rPr>
              <w:br/>
              <w:t>định quy định một số nội dung về cơ chế quản lý tài chính, xếp loại doanh nghiệp đối với VNX và VSDC), đề nghị rà soát, biên tập lại dự thảo Nghị định theo hướng chỉ quy định các nội dung về cơ chế quản lý tài chính, xếp loại doanh nghiệp áp dụng riêng đối với VNX và VSDC (không quy định những nội dung về cơ chế quản lý tài chính, xếp loại doanh nghiệp đã được quy định tại các Luật chuyên ngành và các văn bản hướng dẫn thi hành).</w:t>
            </w:r>
          </w:p>
        </w:tc>
        <w:tc>
          <w:tcPr>
            <w:tcW w:w="1495"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t>Không tiếp thu ý kiến Bộ Nội vụ</w:t>
            </w:r>
            <w:r w:rsidRPr="00B80B6F">
              <w:rPr>
                <w:rFonts w:ascii="Times New Roman" w:hAnsi="Times New Roman" w:cs="Times New Roman"/>
              </w:rPr>
              <w:br/>
              <w:t xml:space="preserve">Tại dự thảo Tờ trình Chính phủ (mục IV.4.1) đã báo cáo cụ thể: Căn cứ quy định về chức năng nhiệm vụ của VNX và VSDC tại Luật Chứng khoán, dự thảo Nghị định cơ bản kế thừa nguyên tắc quản lý doanh thu, chi phí và các quy định về doanh thu, chi phí đặc thù của VNX và VSDC tại Nghị định số 59. Theo đó, làm rõ một số nội dung doanh thu, chi phí có đặc thù như doanh thu của VSDC từ tiền lãi tiền gửi phát sinh từ hoạt động thanh toán hộ cổ tức, gốc, lãi công cụ nợ/trái phiếu; chi trích lập Quỹ phòng ngừa rủi ro nghiệp vụ; chi phí của VSDC chuyển công ty con của VNX đối với hoạt động giao dịch chuyển quyền sở hữu chứng khoán không qua hệ thống giao dịch chứng khoán. </w:t>
            </w:r>
            <w:r w:rsidRPr="00B80B6F">
              <w:rPr>
                <w:rFonts w:ascii="Times New Roman" w:hAnsi="Times New Roman" w:cs="Times New Roman"/>
              </w:rPr>
              <w:br/>
              <w:t>Như vậy, dự thảo Nghị định đã quy định một số nội dung đặc thù của cơ chế tài chính của VNX và VSDC</w:t>
            </w:r>
          </w:p>
        </w:tc>
      </w:tr>
      <w:tr w:rsidR="00B80B6F" w:rsidRPr="00B80B6F" w:rsidTr="00B80B6F">
        <w:trPr>
          <w:trHeight w:val="2625"/>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Khoản 2 Điều 1 dự thảo Nghị định chưa làm rõ nguyên tắc áp dụng pháp luật trong trường hợp Nghị định có quy định khác các Nghị định chung quy định chi tiết Luật số 68/2025/QH15, cần được nghiên cứu bổ sung, làm rõ.</w:t>
            </w:r>
          </w:p>
        </w:tc>
        <w:tc>
          <w:tcPr>
            <w:tcW w:w="1495" w:type="pct"/>
            <w:hideMark/>
          </w:tcPr>
          <w:p w:rsidR="00B80B6F" w:rsidRDefault="00B80B6F">
            <w:pPr>
              <w:rPr>
                <w:rFonts w:ascii="Times New Roman" w:hAnsi="Times New Roman" w:cs="Times New Roman"/>
              </w:rPr>
            </w:pPr>
            <w:r w:rsidRPr="00B80B6F">
              <w:rPr>
                <w:rFonts w:ascii="Times New Roman" w:hAnsi="Times New Roman" w:cs="Times New Roman"/>
                <w:b/>
                <w:bCs/>
              </w:rPr>
              <w:t>Tiếp thu ý kiến Bộ Tư pháp</w:t>
            </w:r>
            <w:r w:rsidRPr="00B80B6F">
              <w:rPr>
                <w:rFonts w:ascii="Times New Roman" w:hAnsi="Times New Roman" w:cs="Times New Roman"/>
              </w:rPr>
              <w:br w:type="page"/>
            </w:r>
          </w:p>
          <w:p w:rsidR="00B80B6F" w:rsidRPr="00B80B6F" w:rsidRDefault="00B80B6F">
            <w:pPr>
              <w:rPr>
                <w:rFonts w:ascii="Times New Roman" w:hAnsi="Times New Roman" w:cs="Times New Roman"/>
              </w:rPr>
            </w:pPr>
            <w:r w:rsidRPr="00B80B6F">
              <w:rPr>
                <w:rFonts w:ascii="Times New Roman" w:hAnsi="Times New Roman" w:cs="Times New Roman"/>
              </w:rPr>
              <w:t xml:space="preserve">Khoản 2 Điều 1 Dự thảo Nghị định được bổ sung theo hướng: Ngoài các quy định nêu tại Nghị định này, Sở Giao dịch Chứng khoán Việt Nam và Tổng công ty Lưu ký và Bù trừ chứng khoán Việt Nam thực hiện quản lý tài chính, đánh giá, xếp loại theo quy định tại Luật Quản lý và đầu tư vốn nhà nước tại doanh nghiệp và các văn bản hướng dẫn. Trường hợp có sự khác nhau giữa quy định của Nghị định này và quy định của Luật Quản lý và đầu tư vốn nhà nước tại doanh nghiệp và các văn bản hướng dẫn thì thực hiện theo quy định </w:t>
            </w:r>
            <w:r w:rsidRPr="00B80B6F">
              <w:rPr>
                <w:rFonts w:ascii="Times New Roman" w:hAnsi="Times New Roman" w:cs="Times New Roman"/>
              </w:rPr>
              <w:lastRenderedPageBreak/>
              <w:t>của Nghị định này.</w:t>
            </w:r>
          </w:p>
        </w:tc>
      </w:tr>
      <w:tr w:rsidR="00B80B6F" w:rsidRPr="00B80B6F" w:rsidTr="00B80B6F">
        <w:trPr>
          <w:trHeight w:val="5145"/>
        </w:trPr>
        <w:tc>
          <w:tcPr>
            <w:tcW w:w="252" w:type="pct"/>
            <w:vMerge w:val="restar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lastRenderedPageBreak/>
              <w:t>2</w:t>
            </w:r>
          </w:p>
        </w:tc>
        <w:tc>
          <w:tcPr>
            <w:tcW w:w="62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3. Hoạt động đầu tư của doanh nghiệp</w:t>
            </w: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Cổng thông tin điện tử Chính phủ</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-Vấn đề pháp lý: Dự thảo Nghị định đã bãi bỏ quy định hạn chế đầu tư ra ngoài doanh nghiệp (trước đây quy định tạ Điều 3 Nghị định số 59) để phù hợp với Luật số 68. Tuy nhiên, Tờ trình thừa nhận việc VNX và VSDC mua chứng khoán có thể phát sinh xung đột lợi ích do vai trò tổ chức, giám sát thị trường của các đơn vị này. Việc chỉ dựa trên cơ chế "tự chịu trách nhiệm" mà không có hành lang pháp lý chứng là chưa đủ để kiểm soát rủi ro đạo đức (Moral Hazard) và tính toàn vẹn của thị trườn (Market Integrity).</w:t>
            </w:r>
            <w:r w:rsidRPr="00B80B6F">
              <w:rPr>
                <w:rFonts w:ascii="Times New Roman" w:hAnsi="Times New Roman" w:cs="Times New Roman"/>
              </w:rPr>
              <w:br/>
              <w:t>- Kiến nghị: Bổ sung qu định nguyên tắc về kiểm soát xung đột lợi ích trong hoạt đồng đầu tư tài chính</w:t>
            </w:r>
            <w:r w:rsidRPr="00B80B6F">
              <w:rPr>
                <w:rFonts w:ascii="Times New Roman" w:hAnsi="Times New Roman" w:cs="Times New Roman"/>
              </w:rPr>
              <w:br/>
              <w:t>- Đề xuất soạn thảo (bổ sung vào Chương II): VNX và VSDC được quyền đầu tư vốn ra ngoài doanh nghiệp theo quy định của pháp luật quản lý và đầu tư vốn nhà nước tại doanh nghiệp. Để đảm bảo tính trung lập và tránh xung đột lợi ích trong hoạt động giám sát thị trường, doanh nghiệp không được trực tiếp đầu tư, mua bán các chứng khoán đang niêm yết, đăng ký giao dịch trên hệ thống giao dịch do mình hoặc công ty con tổ chức, trừ trường hợp mua lại cổ phiếu của chính mình hoặt thực hiện nhiệm cụ theo chỉ đạo của cơ quan đại diện chủ sở hữu.</w:t>
            </w:r>
          </w:p>
        </w:tc>
        <w:tc>
          <w:tcPr>
            <w:tcW w:w="1495" w:type="pct"/>
            <w:vMerge w:val="restar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Tiếp thu ý kiến cuả Bộ Nội vụ và CTTĐTCP</w:t>
            </w:r>
            <w:r w:rsidRPr="00B80B6F">
              <w:rPr>
                <w:rFonts w:ascii="Times New Roman" w:hAnsi="Times New Roman" w:cs="Times New Roman"/>
              </w:rPr>
              <w:br/>
              <w:t>- Để tập trung nguồn lực, tránh đầu tư dàn trải, Nghị định số 59 (khoản 1 Điều 3) quy định VNX và VSDC chỉ được đầu tư ra ngoài doanh nghiệp trong lĩnh vực chứng khoán và thị trường chứng khoán. Tuy nhiên, hiện nay bên cạnh các nhiệm vụ về tổ chức thị trường chứng khoán, các SGDCK và VSDC còn được phân công triển khai hoạt động tổ chức thị trường giao dịch hạn ngạch phát thải khí, tín chỉ carbon và đang tiếp tục nghiên cứu, triển khai các nhiệm vụ mới được cấp có thẩm quyền giao.</w:t>
            </w:r>
          </w:p>
          <w:p w:rsidR="00B80B6F" w:rsidRPr="00B80B6F" w:rsidRDefault="00B80B6F" w:rsidP="00B80B6F">
            <w:pPr>
              <w:jc w:val="both"/>
              <w:rPr>
                <w:rFonts w:ascii="Times New Roman" w:hAnsi="Times New Roman" w:cs="Times New Roman"/>
              </w:rPr>
            </w:pPr>
            <w:r>
              <w:rPr>
                <w:rFonts w:ascii="Times New Roman" w:hAnsi="Times New Roman" w:cs="Times New Roman"/>
              </w:rPr>
              <w:t xml:space="preserve"> </w:t>
            </w:r>
            <w:r w:rsidRPr="00B80B6F">
              <w:rPr>
                <w:rFonts w:ascii="Times New Roman" w:hAnsi="Times New Roman" w:cs="Times New Roman"/>
              </w:rPr>
              <w:t xml:space="preserve">- Theo quy định tại Luật số 68: (i) </w:t>
            </w:r>
            <w:r w:rsidRPr="00B80B6F">
              <w:rPr>
                <w:rFonts w:ascii="Times New Roman" w:hAnsi="Times New Roman" w:cs="Times New Roman"/>
                <w:i/>
                <w:iCs/>
              </w:rPr>
              <w:t>"Hoạt động đầu tư của doanh nghiệp được thực hiện theo các hình thức đầu tư quy định tại pháp luật về đầu tư và pháp luật khác có liên quan; mua chứng khoán theo quy định của pháp luật về chứng khoán”</w:t>
            </w:r>
            <w:r w:rsidRPr="00B80B6F">
              <w:rPr>
                <w:rFonts w:ascii="Times New Roman" w:hAnsi="Times New Roman" w:cs="Times New Roman"/>
              </w:rPr>
              <w:t xml:space="preserve"> (khoản 1 Điều 20). Theo đó, Luật số 68 không quy định việc hạn chế đầu tư của doanh nghiệp nhà nước; (ii) </w:t>
            </w:r>
            <w:r w:rsidRPr="00B80B6F">
              <w:rPr>
                <w:rFonts w:ascii="Times New Roman" w:hAnsi="Times New Roman" w:cs="Times New Roman"/>
                <w:i/>
                <w:iCs/>
              </w:rPr>
              <w:t xml:space="preserve">"Cơ quan đại diện chủ sở hữu, cơ quan quản lý nhà nước không can thiệp trực tiếp </w:t>
            </w:r>
            <w:r w:rsidRPr="00B80B6F">
              <w:rPr>
                <w:rFonts w:ascii="Times New Roman" w:hAnsi="Times New Roman" w:cs="Times New Roman"/>
                <w:i/>
                <w:iCs/>
              </w:rPr>
              <w:lastRenderedPageBreak/>
              <w:t>vào hoạt động sản xuất, kinh doanh, đầu tư của doanh nghiệp”</w:t>
            </w:r>
            <w:r w:rsidRPr="00B80B6F">
              <w:rPr>
                <w:rFonts w:ascii="Times New Roman" w:hAnsi="Times New Roman" w:cs="Times New Roman"/>
              </w:rPr>
              <w:t xml:space="preserve"> (khoản 2 Điều 5). </w:t>
            </w:r>
            <w:r w:rsidRPr="00B80B6F">
              <w:rPr>
                <w:rFonts w:ascii="Times New Roman" w:hAnsi="Times New Roman" w:cs="Times New Roman"/>
              </w:rPr>
              <w:br/>
              <w:t xml:space="preserve">- Thực tế triển khai, từ khi thành lập đến nay, các Sở GDCK và VSDC chưa thực hiện mua chứng khoán. Với đặc thù hoạt động các doanh nghiệp này là độc quyền cung cấp dịch vụ trong lĩnh vực chứng khoán, doanh thu luôn bù đắp đủ chi phí và luôn có lợi nhuận, tỷ suất lợi nhuận/vốn chủ sở hữu (ROE) ở mức cao, do đó hoạt động đầu tư mua chứng khoán để kiếm lợi nhuận không xảy ra. </w:t>
            </w:r>
            <w:r w:rsidRPr="00B80B6F">
              <w:rPr>
                <w:rFonts w:ascii="Times New Roman" w:hAnsi="Times New Roman" w:cs="Times New Roman"/>
              </w:rPr>
              <w:br/>
              <w:t xml:space="preserve">- Căn cứ quy định tại Luật số 68, dự thảo Nghị định không quy định hạn chế về lĩnh vực đầu tư ra ngoài doanh nghiệp của VNX và VSDC như đối với các DNNN khác (nội dung này trước đây được quy định tại Điều 3 Nghị định số 59). Các doanh nghiệp này thực hiện hoạt động đầu tư theo quy định của pháp luật quản lý và đầu tư vốn nhà nước tại doanh nghiệp và Điều lệ công ty, tự chịu trách nhiệm trong triển khai, thực hiện đầu tư. Theo đó, VNX và VSDC có thể mua chứng khoán theo quy định của Luật số 68 và pháp luật chứng khoán như các doanh nghiệp nhà nước khác. Việc VNX và VSDC mua chứng khoán trên thị trường chứng khoán có thể phát sinh xung đột lợi ích (các Sở GDCK có chức năng chấp thuận, thay đổi, hủy bỏ niêm yết, đăng ký giao dịch chứng khoán và giám sát việc duy trì điều kiện niêm yết chứng khoán của các tổ chức niêm yết; giám sát hoạt động giao dịch chứng khoán, hoạt động công bố thông tin của tổ chức niêm yết, tổ chức đăng ký </w:t>
            </w:r>
            <w:r w:rsidRPr="00B80B6F">
              <w:rPr>
                <w:rFonts w:ascii="Times New Roman" w:hAnsi="Times New Roman" w:cs="Times New Roman"/>
              </w:rPr>
              <w:lastRenderedPageBreak/>
              <w:t xml:space="preserve">giao dịch). </w:t>
            </w:r>
            <w:r w:rsidRPr="00B80B6F">
              <w:rPr>
                <w:rFonts w:ascii="Times New Roman" w:hAnsi="Times New Roman" w:cs="Times New Roman"/>
              </w:rPr>
              <w:br/>
              <w:t xml:space="preserve">- Với quan điểm nâng cao tính tự chủ, tự chịu trách nhiệm của doanh nghiệp Nhà nước, cơ quan quản lý không can thiệp trực tiếp vào hoạt động của doanh nghiệp, Bộ trình Chính phủ quy định không hạn chế về phạm vi và lĩnh vực đầu tư ra ngoài doanh nghiệp của VNX và VSDC, như các doanh nghiệp nhà nước khác. Để kiểm soát yếu tố xung đợt lợi ích khi VNX, VSDC thực hiện hoạt động đầu tư, dự thảo Nghị định quy định theo hướng: Ngoài việc tuân thủ quy định của pháp luật quản lý và đầu tư vốn nhà nước tại doanh nghiệp, VNX, </w:t>
            </w:r>
            <w:proofErr w:type="gramStart"/>
            <w:r w:rsidRPr="00B80B6F">
              <w:rPr>
                <w:rFonts w:ascii="Times New Roman" w:hAnsi="Times New Roman" w:cs="Times New Roman"/>
              </w:rPr>
              <w:t>VSDC  phải</w:t>
            </w:r>
            <w:proofErr w:type="gramEnd"/>
            <w:r w:rsidRPr="00B80B6F">
              <w:rPr>
                <w:rFonts w:ascii="Times New Roman" w:hAnsi="Times New Roman" w:cs="Times New Roman"/>
              </w:rPr>
              <w:t xml:space="preserve"> xác định rõ các xung đột lợi ích có thể phát sinh khi thực hiện đầu tư, biện pháp để kiểm soát xung đột lợi ích và báo cáo cấp có thẩm quyền quyết định đầu tư xem xét, quyết định. Theo đó, trường hợp VNX, VSDC thực hiện đầu tư ra ngoài doanh nghiệp thì phải tuân thủ quy định về thẩm quyền và có trách nhiệm bảo toàn, phát triển vốn nhà nước theo pháp luật quản lý và đầu tư vốn nhà nước tại doanh nghiệp. </w:t>
            </w:r>
            <w:r w:rsidRPr="00B80B6F">
              <w:rPr>
                <w:rFonts w:ascii="Times New Roman" w:hAnsi="Times New Roman" w:cs="Times New Roman"/>
              </w:rPr>
              <w:br/>
              <w:t>Như vậy, việc hoạt động đầu tư của doanh nghiệp được quy định tại Điều 3 dự thảo Nghị định.</w:t>
            </w:r>
          </w:p>
        </w:tc>
      </w:tr>
      <w:tr w:rsidR="00B80B6F" w:rsidRPr="00B80B6F" w:rsidTr="00B80B6F">
        <w:trPr>
          <w:trHeight w:val="6165"/>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Nội vụ</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Đề nghị nghiên cứu, rà soát, biên tập lại theo hướng xác định một số lĩnh vực mà VNX, VSDC được đầu tư (giao dịch hạn ngạch phát thải khí, tín chỉ carbon...), bảo đảm phù hợp với chức năng của VNX, VSDC theo quy định của Luật số 68/2025/QH15, Luật Chứng khoán và các văn bản hướng dẫn thi hành. Nội dung giải trình của Bộ Tài chính để bỏ quy định tại Điều 3 để cho phép VNX và VSDC được đầu tư mua chứng khoán như những doanh nghiệp khác là chưa phù hợp với quy định tại điểm a khoản 1 Điều 11 Luật Chứng khoán</w:t>
            </w:r>
          </w:p>
        </w:tc>
        <w:tc>
          <w:tcPr>
            <w:tcW w:w="1495" w:type="pct"/>
            <w:vMerge/>
            <w:vAlign w:val="center"/>
            <w:hideMark/>
          </w:tcPr>
          <w:p w:rsidR="00B80B6F" w:rsidRPr="00B80B6F" w:rsidRDefault="00B80B6F" w:rsidP="00B80B6F">
            <w:pPr>
              <w:jc w:val="both"/>
              <w:rPr>
                <w:rFonts w:ascii="Times New Roman" w:hAnsi="Times New Roman" w:cs="Times New Roman"/>
              </w:rPr>
            </w:pPr>
          </w:p>
        </w:tc>
      </w:tr>
      <w:tr w:rsidR="00B80B6F" w:rsidRPr="00B80B6F" w:rsidTr="00B80B6F">
        <w:trPr>
          <w:trHeight w:val="2520"/>
        </w:trPr>
        <w:tc>
          <w:tcPr>
            <w:tcW w:w="252" w:type="pc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lastRenderedPageBreak/>
              <w:t>3</w:t>
            </w:r>
          </w:p>
        </w:tc>
        <w:tc>
          <w:tcPr>
            <w:tcW w:w="625"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4. Doanh thu</w:t>
            </w: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3, Điều 4 dự thảo Nghị định quy định về doanh thu, chi phí của Sở Giao dịch Chứng khoán Việt Nam, Tổng công ty Lưu ký và Bù trừ chứng khoán Việt Nam. Tuy nhiên, cơ quan chủ trì soạn thảo chưa làm rõ nội dung đặc thù về doanh thu, chi phí so với quy định pháp luật hiện hành (trong đó có pháp luật về thuế thu nhập doanh nghiệp), chưa thể hiện rõ đặc thù về cơ chế quản lý tài chính của Sở Giao dịch Chứng khoán Việt Nam, Tổng công ty Lưu ký và Bù trừ chứng khoán Việt Nam. Do đó, đề nghị cơ quan chủ trì soạn thảo thuyết minh, giải trình rõ, bảo đảm đúng phạm vi được giao, đúng thẩm quyền của Chính phủ.</w:t>
            </w:r>
          </w:p>
        </w:tc>
        <w:tc>
          <w:tcPr>
            <w:tcW w:w="1495" w:type="pct"/>
            <w:vMerge w:val="restart"/>
            <w:vAlign w:val="center"/>
            <w:hideMark/>
          </w:tcPr>
          <w:p w:rsidR="00B80B6F" w:rsidRPr="00B80B6F" w:rsidRDefault="00B80B6F" w:rsidP="00B80B6F">
            <w:pPr>
              <w:spacing w:after="200"/>
              <w:jc w:val="both"/>
              <w:rPr>
                <w:rFonts w:ascii="Times New Roman" w:hAnsi="Times New Roman" w:cs="Times New Roman"/>
              </w:rPr>
            </w:pPr>
            <w:r w:rsidRPr="00B80B6F">
              <w:rPr>
                <w:rFonts w:ascii="Times New Roman" w:hAnsi="Times New Roman" w:cs="Times New Roman"/>
                <w:b/>
                <w:bCs/>
              </w:rPr>
              <w:t>Tiếp thu ý kiến của Bộ Tư pháp và Bộ Nội vụ</w:t>
            </w:r>
            <w:r w:rsidRPr="00B80B6F">
              <w:rPr>
                <w:rFonts w:ascii="Times New Roman" w:hAnsi="Times New Roman" w:cs="Times New Roman"/>
              </w:rPr>
              <w:br/>
              <w:t>Tại dự thảo Tờ trình Chính phủ (mục IV.4.1) đã báo cáo cụ thể</w:t>
            </w:r>
            <w:proofErr w:type="gramStart"/>
            <w:r w:rsidRPr="00B80B6F">
              <w:rPr>
                <w:rFonts w:ascii="Times New Roman" w:hAnsi="Times New Roman" w:cs="Times New Roman"/>
              </w:rPr>
              <w:t>:</w:t>
            </w:r>
            <w:proofErr w:type="gramEnd"/>
            <w:r w:rsidRPr="00B80B6F">
              <w:rPr>
                <w:rFonts w:ascii="Times New Roman" w:hAnsi="Times New Roman" w:cs="Times New Roman"/>
              </w:rPr>
              <w:br/>
              <w:t xml:space="preserve">- Căn cứ quy định về chức năng nhiệm vụ của VNX và VSDC tại Luật Chứng khoán, dự thảo Nghị định cơ bản kế thừa nguyên tắc quản lý doanh thu, chi phí và các quy định về doanh thu, chi phí đặc thù của VNX và VSDC tại Nghị định số 59. Theo đó, làm rõ một số nội dung doanh thu, chi phí có đặc thù như doanh thu của VSDC từ tiền lãi tiền gửi phát sinh từ hoạt động thanh toán hộ cổ tức, gốc, lãi công cụ nợ/trái phiếu; chi trích lập Quỹ phòng ngừa rủi ro nghiệp vụ; chi phí của VSDC chuyển công ty con của VNX đối với hoạt động giao dịch chuyển quyền sở hữu chứng khoán không qua hệ thống giao dịch chứng khoán. </w:t>
            </w:r>
            <w:r w:rsidRPr="00B80B6F">
              <w:rPr>
                <w:rFonts w:ascii="Times New Roman" w:hAnsi="Times New Roman" w:cs="Times New Roman"/>
              </w:rPr>
              <w:br/>
              <w:t>- Việc quản lý doanh thu, chi phí của VNX và VSDC không có nội dung khác so với quy định của pháp luật về thuế TNDN. Tại dự thảo Nghị định (khoản 1 Điều 5) đã quy định “VNX, VSDC quản lý chi phí theo quy định của pháp luật quản lý và đầu tư vốn nhà nước tại doanh nghiệp, pháp luật về thuế và quy định của pháp luật khác có liên quan”.</w:t>
            </w:r>
          </w:p>
        </w:tc>
      </w:tr>
      <w:tr w:rsidR="00B80B6F" w:rsidRPr="00B80B6F" w:rsidTr="00B80B6F">
        <w:trPr>
          <w:trHeight w:val="2955"/>
        </w:trPr>
        <w:tc>
          <w:tcPr>
            <w:tcW w:w="252" w:type="pct"/>
            <w:vAlign w:val="center"/>
            <w:hideMark/>
          </w:tcPr>
          <w:p w:rsidR="00B80B6F" w:rsidRPr="00B80B6F" w:rsidRDefault="00B80B6F" w:rsidP="00B80B6F">
            <w:pPr>
              <w:rPr>
                <w:rFonts w:ascii="Times New Roman" w:hAnsi="Times New Roman" w:cs="Times New Roman"/>
                <w:b/>
                <w:bCs/>
              </w:rPr>
            </w:pPr>
            <w:r w:rsidRPr="00B80B6F">
              <w:rPr>
                <w:rFonts w:ascii="Times New Roman" w:hAnsi="Times New Roman" w:cs="Times New Roman"/>
                <w:b/>
                <w:bCs/>
              </w:rPr>
              <w:t>4</w:t>
            </w:r>
          </w:p>
        </w:tc>
        <w:tc>
          <w:tcPr>
            <w:tcW w:w="625"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Điều 5. Chi phí</w:t>
            </w:r>
          </w:p>
        </w:tc>
        <w:tc>
          <w:tcPr>
            <w:tcW w:w="801"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Bộ Nội vụ</w:t>
            </w:r>
          </w:p>
        </w:tc>
        <w:tc>
          <w:tcPr>
            <w:tcW w:w="1827" w:type="pct"/>
            <w:vAlign w:val="center"/>
            <w:hideMark/>
          </w:tcPr>
          <w:p w:rsidR="00B80B6F" w:rsidRPr="00B80B6F" w:rsidRDefault="00B80B6F" w:rsidP="00B80B6F">
            <w:pPr>
              <w:rPr>
                <w:rFonts w:ascii="Times New Roman" w:hAnsi="Times New Roman" w:cs="Times New Roman"/>
              </w:rPr>
            </w:pPr>
            <w:r w:rsidRPr="00B80B6F">
              <w:rPr>
                <w:rFonts w:ascii="Times New Roman" w:hAnsi="Times New Roman" w:cs="Times New Roman"/>
              </w:rPr>
              <w:t>Đề nghị rà soát, không đưa các nội dung về doanh thu, chi phí đã được quy định tại Luật số 68/2025/QH15, Luật Chứng khoán, Luật Quản lý thuế và các văn bản hướng dẫn thi hành vào dự thảo Nghị định (chi phí lập Quỹ dự phòng rủi ro nghiệp vụ đã được quy định tại Nghị định quy định chi tiết thi hành một số điều của Luật Chứng khoán và các văn bản sửa đổi, bổ sung; chi phí chuyển lại cho công ty con của VNX và VSDC thì thực hiện theo hướng dẫn của Bộ trưởng Bộ Tài chính theo quy định của Luật Chứng khoán). Trường hợp cần thiết phải quy định các nội dung riêng về doanh thu, chi phí đối với VNX và VSDC, đề nghị giải trình, làm rõ căn cứ đề xuất</w:t>
            </w:r>
          </w:p>
        </w:tc>
        <w:tc>
          <w:tcPr>
            <w:tcW w:w="1495" w:type="pct"/>
            <w:vMerge/>
            <w:hideMark/>
          </w:tcPr>
          <w:p w:rsidR="00B80B6F" w:rsidRPr="00B80B6F" w:rsidRDefault="00B80B6F">
            <w:pPr>
              <w:rPr>
                <w:rFonts w:ascii="Times New Roman" w:hAnsi="Times New Roman" w:cs="Times New Roman"/>
              </w:rPr>
            </w:pPr>
          </w:p>
        </w:tc>
      </w:tr>
      <w:tr w:rsidR="00B80B6F" w:rsidRPr="00B80B6F" w:rsidTr="00B80B6F">
        <w:trPr>
          <w:trHeight w:val="2700"/>
        </w:trPr>
        <w:tc>
          <w:tcPr>
            <w:tcW w:w="252" w:type="pct"/>
            <w:vMerge w:val="restar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lastRenderedPageBreak/>
              <w:t>5</w:t>
            </w:r>
          </w:p>
        </w:tc>
        <w:tc>
          <w:tcPr>
            <w:tcW w:w="62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6. Đánh giá, xếp loại doanh nghiệp</w:t>
            </w: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Khoa học và công nghệ</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Đối với cơ chế quy định về đánh giá xếp loại doanh nghiệp tại Điều 5 dự thảo Nghị định chưa xác định rõ các tiêu chí, phương thức, chế độ báo cáo đánh giá xếp loại doanh nghiệp là cơ sở để quy định cụ thể cơ chế đánh giá xếp loại doanh nghiệp. Do đó, đề nghị cơ quan soạn thảo tiếp tục nghiên cứu, hoàn thiện theo đúng quy định tại khoản 3 Điều 51 Luật Quản lý và đầu tư vốn nhà nước tại doanh nghiệp ngày 14/06/2025.</w:t>
            </w:r>
          </w:p>
        </w:tc>
        <w:tc>
          <w:tcPr>
            <w:tcW w:w="1495"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t>Không tiếp thu ý kiến của Bộ KHCN</w:t>
            </w:r>
            <w:r w:rsidRPr="00B80B6F">
              <w:rPr>
                <w:rFonts w:ascii="Times New Roman" w:hAnsi="Times New Roman" w:cs="Times New Roman"/>
              </w:rPr>
              <w:br w:type="page"/>
              <w:t>Các nội dung về tiêu chí, phương thức, chế độ báo cáo đánh giá xếp loại doanh nghiệp đã được quy định tại Luật số 68 và dự thảo Nghị định về giám sát, kiểm tra, đánh giá, xếp loại, báo cáo và công khai thông tin trong quản lý và đầu tư vốn nhà nước tại doanh nghiệp (hiện đang tổng hợp, tiếp thu ý kiến Thành viên Chính phủ). Do đó, tại dự thảo Nghị định không quy định lại các nội dung này. VNX và VSDC thực hiện theo quy định như các doanh nghiệp nhà nước khác, không có đặc thù. Nguyên tắc này được kế thừa quy định tại Nghị định số 59 và trong quá trình triển khai, thực hiện không phát sinh vướng mắc.</w:t>
            </w:r>
            <w:r w:rsidRPr="00B80B6F">
              <w:rPr>
                <w:rFonts w:ascii="Times New Roman" w:hAnsi="Times New Roman" w:cs="Times New Roman"/>
              </w:rPr>
              <w:br w:type="page"/>
            </w:r>
          </w:p>
        </w:tc>
      </w:tr>
      <w:tr w:rsidR="00B80B6F" w:rsidRPr="00B80B6F" w:rsidTr="00B80B6F">
        <w:trPr>
          <w:trHeight w:val="278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VSDC</w:t>
            </w:r>
          </w:p>
        </w:tc>
        <w:tc>
          <w:tcPr>
            <w:tcW w:w="1827"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Khoản 2 Điều 5</w:t>
            </w:r>
          </w:p>
          <w:p w:rsidR="00B80B6F" w:rsidRDefault="00B80B6F" w:rsidP="00B80B6F">
            <w:pPr>
              <w:jc w:val="both"/>
              <w:rPr>
                <w:rFonts w:ascii="Times New Roman" w:hAnsi="Times New Roman" w:cs="Times New Roman"/>
              </w:rPr>
            </w:pPr>
            <w:r w:rsidRPr="00B80B6F">
              <w:rPr>
                <w:rFonts w:ascii="Times New Roman" w:hAnsi="Times New Roman" w:cs="Times New Roman"/>
                <w:b/>
                <w:i/>
              </w:rPr>
              <w:t>Điểm d Khoản 2 Điều 5</w:t>
            </w:r>
            <w:r w:rsidRPr="00B80B6F">
              <w:rPr>
                <w:rFonts w:ascii="Times New Roman" w:hAnsi="Times New Roman" w:cs="Times New Roman"/>
              </w:rPr>
              <w:t>: đề nghị bổ sung lại thành như sau:</w:t>
            </w:r>
            <w:r w:rsidRPr="00B80B6F">
              <w:rPr>
                <w:rFonts w:ascii="Times New Roman" w:hAnsi="Times New Roman" w:cs="Times New Roman"/>
              </w:rPr>
              <w:br/>
            </w:r>
            <w:r w:rsidRPr="00B80B6F">
              <w:rPr>
                <w:rFonts w:ascii="Times New Roman" w:hAnsi="Times New Roman" w:cs="Times New Roman"/>
                <w:i/>
                <w:iCs/>
              </w:rPr>
              <w:t xml:space="preserve">“d) Đối với Tổng công ty Lưu ký và Bù trừ chứng khoán Việt Nam, </w:t>
            </w:r>
            <w:r w:rsidRPr="00B80B6F">
              <w:rPr>
                <w:rFonts w:ascii="Times New Roman" w:hAnsi="Times New Roman" w:cs="Times New Roman"/>
                <w:i/>
                <w:iCs/>
                <w:u w:val="single"/>
              </w:rPr>
              <w:t>tình hình tài chính của Tổng công ty Lưu ký và Bù trừ chứng khoán Việt Nam biến động do phải sử dụng quỹ phòng ngừa rủi ro nghiệp vụ, nguồn vốn của Tổng công ty Lưu ký và Bù trừ chứng khoán Việt Nam để bảo đảm thanh toán giao dịch chứng khoán theo quy định của pháp luật chứng khoán</w:t>
            </w:r>
            <w:r w:rsidRPr="00B80B6F">
              <w:rPr>
                <w:rFonts w:ascii="Times New Roman" w:hAnsi="Times New Roman" w:cs="Times New Roman"/>
                <w:i/>
                <w:iCs/>
              </w:rPr>
              <w:t xml:space="preserve">; doanh thu từ hoạt động nghiệp vụ, </w:t>
            </w:r>
            <w:r w:rsidRPr="00B80B6F">
              <w:rPr>
                <w:rFonts w:ascii="Times New Roman" w:hAnsi="Times New Roman" w:cs="Times New Roman"/>
                <w:i/>
                <w:iCs/>
                <w:u w:val="single"/>
              </w:rPr>
              <w:t>doanh thu và thu nhập từ hoạt động đầu tư vốn vào công ty con</w:t>
            </w:r>
            <w:r w:rsidRPr="00B80B6F">
              <w:rPr>
                <w:rFonts w:ascii="Times New Roman" w:hAnsi="Times New Roman" w:cs="Times New Roman"/>
                <w:i/>
                <w:iCs/>
              </w:rPr>
              <w:t xml:space="preserve"> thay đổi do biến động các yếu tố: khối lượng chứng khoán lưu ký thực hiện trong năm; giá trị chứng khoán đăng ký (lần đầu) thực hiện trong năm và số lần đăng ký chứng khoán bổ sung; giá trị thanh toán gốc, lãi, tiền mua lại công cụ nợ của Chính phủ, trái phiếu được Chính phủ bảo lãnh, trái phiếu chính quyền địa phương; số lần thực hiện quyền và số lượng cổ đông tương ứng với mỗi lần thực hiện quyền; số lần và giá trị chuyển </w:t>
            </w:r>
            <w:r w:rsidRPr="00B80B6F">
              <w:rPr>
                <w:rFonts w:ascii="Times New Roman" w:hAnsi="Times New Roman" w:cs="Times New Roman"/>
                <w:i/>
                <w:iCs/>
              </w:rPr>
              <w:lastRenderedPageBreak/>
              <w:t xml:space="preserve">khoản chứng khoán; giá trị chuyển quyền sở hữu chứng khoán không qua hệ thống giao dịch chứng khoán; </w:t>
            </w:r>
            <w:r w:rsidRPr="00B80B6F">
              <w:rPr>
                <w:rFonts w:ascii="Times New Roman" w:hAnsi="Times New Roman" w:cs="Times New Roman"/>
                <w:i/>
                <w:iCs/>
                <w:u w:val="single"/>
              </w:rPr>
              <w:t>số lượng tổ chức đăng ký thành viê</w:t>
            </w:r>
            <w:r w:rsidRPr="00B80B6F">
              <w:rPr>
                <w:rFonts w:ascii="Times New Roman" w:hAnsi="Times New Roman" w:cs="Times New Roman"/>
                <w:i/>
                <w:iCs/>
              </w:rPr>
              <w:t>n; số lượng thành viên lưu ký, thành viên bù trừ; số lượng hợp đồng và giá trị vay và cho vay chứng khoán; số dư tài sản ký quỹ cuối ngày, giá trị giao dịch chứng khoán thế vị và khối lượng chứng khoán phái sinh thế vị; số lượng giao dịch xử lý lỗi sau giao dịch; số lượng hồ sơ đăng ký biện pháp bảo đảm; giá trị chứng khoán phong tỏa; khối lượng hạn ngạch phát thải khí nhà kính, tín chỉ các-bon lưu ký thực hiện trong năm; số lần và khối lượng chuyển khoản, giá trị thanh toán giao dịch hạn ngạch phát thải khí nhà kính, tín chỉ các-bon.”</w:t>
            </w:r>
          </w:p>
          <w:p w:rsidR="00B80B6F" w:rsidRDefault="00B80B6F" w:rsidP="00B80B6F">
            <w:pPr>
              <w:rPr>
                <w:rFonts w:ascii="Times New Roman" w:hAnsi="Times New Roman" w:cs="Times New Roman"/>
              </w:rPr>
            </w:pPr>
            <w:r w:rsidRPr="00B80B6F">
              <w:rPr>
                <w:rFonts w:ascii="Times New Roman" w:hAnsi="Times New Roman" w:cs="Times New Roman"/>
              </w:rPr>
              <w:t>Lý do:</w:t>
            </w:r>
            <w:r w:rsidRPr="00B80B6F">
              <w:rPr>
                <w:rFonts w:ascii="Times New Roman" w:hAnsi="Times New Roman" w:cs="Times New Roman"/>
                <w:u w:val="single"/>
              </w:rPr>
              <w:t xml:space="preserve"> </w:t>
            </w:r>
            <w:r w:rsidRPr="00B80B6F">
              <w:rPr>
                <w:rFonts w:ascii="Times New Roman" w:hAnsi="Times New Roman" w:cs="Times New Roman"/>
              </w:rPr>
              <w:t xml:space="preserve"> </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Hiện nay VSDC đang nghiên cứu triển khai mô hình bù trừ trung tâm (CCP) cho hoạt động bù trừ thanh toán giao dịch chứng khoán cơ sở theo yêu cầu của cơ quan quản lý, dự kiến đi vào hoạt động từ quý I/2027. Khi triển khai mô hình này, theo quy định về trình tự xử lý đảm bảo thanh toán trong trường hợp thành viên bù trừ, nhà đầu tư mất khả năng thanh toán tiền giao dịch chứng khoán, VSDC (hoặc công ty con của VSDC) với vai trò tổ chức thực hiện chức năng bù trừ trung tâm (CCP) có thể phải sử dụng quỹ phòng ngừa rủi ro nghiệp vụ, nguồn vốn của công ty để bảo đảm thanh toán giao dịch chứng khoán. Đây là yếu tố khách quan có ảnh hưởng đến dòng tiền, tình hình tài chính, ROE của công ty nên cần được loại trừ khi đánh giá xếp loại doanh nghiệp.</w:t>
            </w:r>
            <w:r w:rsidRPr="00B80B6F">
              <w:rPr>
                <w:rFonts w:ascii="Times New Roman" w:hAnsi="Times New Roman" w:cs="Times New Roman"/>
              </w:rPr>
              <w:br/>
              <w:t>- Để phù hợp và tương ứng với doanh thu đăng ký thành viên tại điểm a Khoản 2 Điều 3 dự thảo Nghị định và phương pháp tính giá dịch vụ đăng ký thành viên quy định tại Thông tư số 83/2024/TT-BTC do tại thời điểm đăng ký, tổ chức đăng ký chưa phải là thành viên lưu ký hoặc thành viên bù trừ.</w:t>
            </w:r>
          </w:p>
        </w:tc>
        <w:tc>
          <w:tcPr>
            <w:tcW w:w="149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lastRenderedPageBreak/>
              <w:t>Tiếp thu một phần ý kiến của VNX và VSDC</w:t>
            </w:r>
            <w:proofErr w:type="gramStart"/>
            <w:r w:rsidRPr="00B80B6F">
              <w:rPr>
                <w:rFonts w:ascii="Times New Roman" w:hAnsi="Times New Roman" w:cs="Times New Roman"/>
                <w:b/>
                <w:bCs/>
              </w:rPr>
              <w:t>,</w:t>
            </w:r>
            <w:proofErr w:type="gramEnd"/>
            <w:r w:rsidRPr="00B80B6F">
              <w:rPr>
                <w:rFonts w:ascii="Times New Roman" w:hAnsi="Times New Roman" w:cs="Times New Roman"/>
              </w:rPr>
              <w:br/>
              <w:t xml:space="preserve">Đối với kiến nghị Dự thảo Nghị định (điểm b, điểm c khoản 2 Điều 6) bổ sung quy định loại trừ yếu tố đối với </w:t>
            </w:r>
            <w:r w:rsidRPr="00B80B6F">
              <w:rPr>
                <w:rFonts w:ascii="Times New Roman" w:hAnsi="Times New Roman" w:cs="Times New Roman"/>
                <w:b/>
                <w:bCs/>
              </w:rPr>
              <w:t>(i)</w:t>
            </w:r>
            <w:r w:rsidRPr="00B80B6F">
              <w:rPr>
                <w:rFonts w:ascii="Times New Roman" w:hAnsi="Times New Roman" w:cs="Times New Roman"/>
              </w:rPr>
              <w:t xml:space="preserve"> số lượng tổ chức đăng ký thành viên đối với VSDC); </w:t>
            </w:r>
            <w:r w:rsidRPr="00B80B6F">
              <w:rPr>
                <w:rFonts w:ascii="Times New Roman" w:hAnsi="Times New Roman" w:cs="Times New Roman"/>
                <w:b/>
                <w:bCs/>
              </w:rPr>
              <w:t>(ii)</w:t>
            </w:r>
            <w:r w:rsidRPr="00B80B6F">
              <w:rPr>
                <w:rFonts w:ascii="Times New Roman" w:hAnsi="Times New Roman" w:cs="Times New Roman"/>
              </w:rPr>
              <w:t xml:space="preserve"> doanh thu từ hoạt động tổ chức các thị trường khác đối với VNX.</w:t>
            </w:r>
          </w:p>
        </w:tc>
      </w:tr>
      <w:tr w:rsidR="00B80B6F" w:rsidRPr="00B80B6F" w:rsidTr="00B80B6F">
        <w:trPr>
          <w:trHeight w:val="4485"/>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noWrap/>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VNX</w:t>
            </w:r>
          </w:p>
        </w:tc>
        <w:tc>
          <w:tcPr>
            <w:tcW w:w="1827" w:type="pct"/>
            <w:vAlign w:val="center"/>
            <w:hideMark/>
          </w:tcPr>
          <w:p w:rsidR="00B80B6F" w:rsidRDefault="00B80B6F" w:rsidP="00B80B6F">
            <w:pPr>
              <w:jc w:val="both"/>
              <w:rPr>
                <w:rFonts w:ascii="Times New Roman" w:hAnsi="Times New Roman" w:cs="Times New Roman"/>
                <w:b/>
                <w:bCs/>
              </w:rPr>
            </w:pPr>
            <w:r w:rsidRPr="00B80B6F">
              <w:rPr>
                <w:rFonts w:ascii="Times New Roman" w:hAnsi="Times New Roman" w:cs="Times New Roman"/>
                <w:b/>
                <w:bCs/>
              </w:rPr>
              <w:t>Khoản 2 Điều 5</w:t>
            </w:r>
          </w:p>
          <w:p w:rsidR="00B80B6F" w:rsidRDefault="00B80B6F" w:rsidP="00B80B6F">
            <w:pPr>
              <w:jc w:val="both"/>
              <w:rPr>
                <w:rFonts w:ascii="Times New Roman" w:hAnsi="Times New Roman" w:cs="Times New Roman"/>
              </w:rPr>
            </w:pPr>
            <w:r w:rsidRPr="00B80B6F">
              <w:rPr>
                <w:rFonts w:ascii="Times New Roman" w:hAnsi="Times New Roman" w:cs="Times New Roman"/>
                <w:b/>
                <w:bCs/>
                <w:i/>
                <w:iCs/>
              </w:rPr>
              <w:t>Điểm a Khoản 2 Điều 5</w:t>
            </w:r>
            <w:r w:rsidRPr="00B80B6F">
              <w:rPr>
                <w:rFonts w:ascii="Times New Roman" w:hAnsi="Times New Roman" w:cs="Times New Roman"/>
                <w:b/>
                <w:bCs/>
              </w:rPr>
              <w:t xml:space="preserve"> </w:t>
            </w:r>
            <w:r w:rsidRPr="00B80B6F">
              <w:rPr>
                <w:rFonts w:ascii="Times New Roman" w:hAnsi="Times New Roman" w:cs="Times New Roman"/>
              </w:rPr>
              <w:t xml:space="preserve">Đề nghị bổ sung yếu tố khách quan được loại trừ là </w:t>
            </w:r>
            <w:r w:rsidRPr="00B80B6F">
              <w:rPr>
                <w:rFonts w:ascii="Times New Roman" w:hAnsi="Times New Roman" w:cs="Times New Roman"/>
                <w:i/>
                <w:iCs/>
              </w:rPr>
              <w:t>“đầu tư mới, mở rộng sản xuất, kinh doanh”</w:t>
            </w:r>
            <w:r w:rsidRPr="00B80B6F">
              <w:rPr>
                <w:rFonts w:ascii="Times New Roman" w:hAnsi="Times New Roman" w:cs="Times New Roman"/>
              </w:rPr>
              <w:t xml:space="preserve"> tương tự như các yếu tố khách quan được loại trừ khi xác định mức tiền lương, thù lao tối đa của Thành viên hội đồng, Kiểm soát viên tại Nghị định số 248/2025/NĐ-CP ngày 15/9/2025 của Chính phủ. </w:t>
            </w:r>
          </w:p>
          <w:p w:rsidR="00B80B6F" w:rsidRDefault="00B80B6F" w:rsidP="00B80B6F">
            <w:pPr>
              <w:jc w:val="both"/>
              <w:rPr>
                <w:rFonts w:ascii="Times New Roman" w:hAnsi="Times New Roman" w:cs="Times New Roman"/>
              </w:rPr>
            </w:pPr>
            <w:r w:rsidRPr="00B80B6F">
              <w:rPr>
                <w:rFonts w:ascii="Times New Roman" w:hAnsi="Times New Roman" w:cs="Times New Roman"/>
                <w:b/>
                <w:bCs/>
                <w:i/>
                <w:iCs/>
              </w:rPr>
              <w:t xml:space="preserve">Điểm c Khoản 2 Điều 5 </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xml:space="preserve">Điểm a Khoản 1 Điều 3 dự thảo Nghị định quy định </w:t>
            </w:r>
            <w:r w:rsidRPr="00B80B6F">
              <w:rPr>
                <w:rFonts w:ascii="Times New Roman" w:hAnsi="Times New Roman" w:cs="Times New Roman"/>
                <w:i/>
                <w:iCs/>
              </w:rPr>
              <w:t xml:space="preserve">“doanh thu từ hoạt động tổ chức các thị trường khác” </w:t>
            </w:r>
            <w:r w:rsidRPr="00B80B6F">
              <w:rPr>
                <w:rFonts w:ascii="Times New Roman" w:hAnsi="Times New Roman" w:cs="Times New Roman"/>
              </w:rPr>
              <w:t xml:space="preserve">là </w:t>
            </w:r>
            <w:r w:rsidRPr="00B80B6F">
              <w:rPr>
                <w:rFonts w:ascii="Times New Roman" w:hAnsi="Times New Roman" w:cs="Times New Roman"/>
                <w:i/>
                <w:iCs/>
              </w:rPr>
              <w:t>“doanh thu từ hoạt động nghiệp vụ của Sở GDCK Việt Nam”</w:t>
            </w:r>
            <w:r w:rsidRPr="00B80B6F">
              <w:rPr>
                <w:rFonts w:ascii="Times New Roman" w:hAnsi="Times New Roman" w:cs="Times New Roman"/>
              </w:rPr>
              <w:t>. Hơn nữa, trong thời gian tới, các Sở GDCK có thể triển khai một số mảng thị trường mới như sàn giao dịch cho các doanh nghiệp khởi nghiệp sáng tạo (start up) hoặc sàn giao dịch hàng hóa, sàn giao dịch vàng (nếu có)... theo chỉ đạo của Bộ Tài chính.</w:t>
            </w:r>
            <w:r w:rsidRPr="00B80B6F">
              <w:rPr>
                <w:rFonts w:ascii="Times New Roman" w:hAnsi="Times New Roman" w:cs="Times New Roman"/>
              </w:rPr>
              <w:br/>
              <w:t xml:space="preserve">Do đó, đề nghị bổ sung yếu tố khách quan được loại trừ là </w:t>
            </w:r>
            <w:r w:rsidRPr="00B80B6F">
              <w:rPr>
                <w:rFonts w:ascii="Times New Roman" w:hAnsi="Times New Roman" w:cs="Times New Roman"/>
                <w:i/>
                <w:iCs/>
              </w:rPr>
              <w:t xml:space="preserve">“doanh thu từ hoạt động tổ chức các thị trường khác” </w:t>
            </w:r>
            <w:r w:rsidRPr="00B80B6F">
              <w:rPr>
                <w:rFonts w:ascii="Times New Roman" w:hAnsi="Times New Roman" w:cs="Times New Roman"/>
              </w:rPr>
              <w:t>tại Điểm c, Khoản 2 Điều 5 dự thảo Nghị định. Nội dung này đã được Sở GDCK Việt Nam kiến nghị tại Công văn số 1097/SGDVN-TCKT ngày 26/9/2025.</w:t>
            </w:r>
          </w:p>
        </w:tc>
        <w:tc>
          <w:tcPr>
            <w:tcW w:w="1495" w:type="pct"/>
            <w:vMerge/>
            <w:vAlign w:val="center"/>
            <w:hideMark/>
          </w:tcPr>
          <w:p w:rsidR="00B80B6F" w:rsidRPr="00B80B6F" w:rsidRDefault="00B80B6F" w:rsidP="00B80B6F">
            <w:pPr>
              <w:jc w:val="both"/>
              <w:rPr>
                <w:rFonts w:ascii="Times New Roman" w:hAnsi="Times New Roman" w:cs="Times New Roman"/>
              </w:rPr>
            </w:pPr>
          </w:p>
        </w:tc>
      </w:tr>
      <w:tr w:rsidR="00B80B6F" w:rsidRPr="00B80B6F" w:rsidTr="00B80B6F">
        <w:trPr>
          <w:trHeight w:val="168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Nội vụ</w:t>
            </w:r>
          </w:p>
        </w:tc>
        <w:tc>
          <w:tcPr>
            <w:tcW w:w="1827"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Khoản 2 Điều 5</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Đề nghị bỏ quy định tại điểm a, điểm d để thực hiện thống nhất về đánh giá, xếp loại doanh nghiệp của Chính phủ theo quy định tại Luật số 68/2025/QH15 và các văn bản hướng dẫn thi hành.</w:t>
            </w:r>
          </w:p>
        </w:tc>
        <w:tc>
          <w:tcPr>
            <w:tcW w:w="1495" w:type="pct"/>
            <w:vMerge w:val="restar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t>Tiếp thu của Bộ Tư pháp và Bộ Nội vụ</w:t>
            </w:r>
            <w:r w:rsidRPr="00B80B6F">
              <w:rPr>
                <w:rFonts w:ascii="Times New Roman" w:hAnsi="Times New Roman" w:cs="Times New Roman"/>
                <w:b/>
                <w:bCs/>
              </w:rPr>
              <w:br/>
            </w:r>
            <w:r w:rsidRPr="00B80B6F">
              <w:rPr>
                <w:rFonts w:ascii="Times New Roman" w:hAnsi="Times New Roman" w:cs="Times New Roman"/>
              </w:rPr>
              <w:t xml:space="preserve">Điểm a và đ Khoản 2 dự thảo Nghị định đã lược bỏ các nội dung không phải nội dung đặc thù đã được quy định chung cho các doanh nghiệp tại Luật số 68 và dự thảo Nghị định về giám sát, kiểm tra, đánh giá, xếp loại, báo cáo và công khai </w:t>
            </w:r>
            <w:r w:rsidRPr="00B80B6F">
              <w:rPr>
                <w:rFonts w:ascii="Times New Roman" w:hAnsi="Times New Roman" w:cs="Times New Roman"/>
              </w:rPr>
              <w:lastRenderedPageBreak/>
              <w:t xml:space="preserve">thông tin trong quản lý và đầu tư vốn nhà nước tại doanh nghiệp. </w:t>
            </w:r>
            <w:r w:rsidRPr="00B80B6F">
              <w:rPr>
                <w:rFonts w:ascii="Times New Roman" w:hAnsi="Times New Roman" w:cs="Times New Roman"/>
              </w:rPr>
              <w:br/>
              <w:t>Trên cơ sở đó, khoản 2 Điều 6 dự thảo Nghị định quy định theo hướng ngoài các yếu tố tác động được loại trừ theo quy định của pháp luật về đánh giá, xếp loại doanh nghiệp do Nhà nước nắm giữ 100% vốn điều lệ, VNX, VSDC được loại trừ tác động của các yếu tố quy định cụ thể tại Nghị định.</w:t>
            </w:r>
          </w:p>
        </w:tc>
      </w:tr>
      <w:tr w:rsidR="00B80B6F" w:rsidRPr="00B80B6F" w:rsidTr="00B80B6F">
        <w:trPr>
          <w:trHeight w:val="1695"/>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Khoản 2 Điều 5</w:t>
            </w:r>
          </w:p>
          <w:p w:rsidR="00B80B6F" w:rsidRPr="00B80B6F" w:rsidRDefault="00B80B6F" w:rsidP="00B80B6F">
            <w:pPr>
              <w:jc w:val="both"/>
              <w:rPr>
                <w:rFonts w:ascii="Times New Roman" w:hAnsi="Times New Roman" w:cs="Times New Roman"/>
                <w:b/>
                <w:bCs/>
                <w:i/>
                <w:iCs/>
              </w:rPr>
            </w:pPr>
            <w:r w:rsidRPr="00B80B6F">
              <w:rPr>
                <w:rFonts w:ascii="Times New Roman" w:hAnsi="Times New Roman" w:cs="Times New Roman"/>
                <w:b/>
                <w:bCs/>
                <w:i/>
                <w:iCs/>
              </w:rPr>
              <w:t xml:space="preserve">Điểm a khoản 2 </w:t>
            </w:r>
            <w:r w:rsidRPr="00B80B6F">
              <w:rPr>
                <w:rFonts w:ascii="Times New Roman" w:hAnsi="Times New Roman" w:cs="Times New Roman"/>
              </w:rPr>
              <w:t>không phải nội dung đặc thù và đã được quy định chung cho các doanh nghiệp tại Luật số 68/2025/Qh15 và dự thảo Nghị định về giám sát, kiểm tra, đánh giá, xếp loại, báo cáo và công khai thông tin trong quản lý và đầu tư vốn nhà nước tại doanh nghiệp, đề nghị cơ quan chủ trì soạn thảo cân nhắc lược bỏ.</w:t>
            </w:r>
          </w:p>
        </w:tc>
        <w:tc>
          <w:tcPr>
            <w:tcW w:w="1495" w:type="pct"/>
            <w:vMerge/>
            <w:hideMark/>
          </w:tcPr>
          <w:p w:rsidR="00B80B6F" w:rsidRPr="00B80B6F" w:rsidRDefault="00B80B6F">
            <w:pPr>
              <w:rPr>
                <w:rFonts w:ascii="Times New Roman" w:hAnsi="Times New Roman" w:cs="Times New Roman"/>
                <w:b/>
                <w:bCs/>
              </w:rPr>
            </w:pPr>
          </w:p>
        </w:tc>
      </w:tr>
      <w:tr w:rsidR="00B80B6F" w:rsidRPr="00B80B6F" w:rsidTr="00B80B6F">
        <w:trPr>
          <w:trHeight w:val="150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Merge/>
            <w:hideMark/>
          </w:tcPr>
          <w:p w:rsidR="00B80B6F" w:rsidRPr="00B80B6F" w:rsidRDefault="00B80B6F">
            <w:pPr>
              <w:rPr>
                <w:rFonts w:ascii="Times New Roman" w:hAnsi="Times New Roman" w:cs="Times New Roman"/>
              </w:rPr>
            </w:pP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i/>
                <w:iCs/>
              </w:rPr>
              <w:t xml:space="preserve">Điểm b khoản 2 </w:t>
            </w:r>
            <w:r w:rsidRPr="00B80B6F">
              <w:rPr>
                <w:rFonts w:ascii="Times New Roman" w:hAnsi="Times New Roman" w:cs="Times New Roman"/>
              </w:rPr>
              <w:t>cần được thuyết minh làm rõ chính sách của Nhà nước làm ảnh hưởng đến tình hình niêm yết, giao dịch chứng khoán và tình hình đăng ký, lưu ký, bù trừ và thanh toán giao dịch chứng khoán là như thế nào, bảo đảm rõ ràng, thuyết phục</w:t>
            </w:r>
          </w:p>
        </w:tc>
        <w:tc>
          <w:tcPr>
            <w:tcW w:w="1495"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Tiếp thu ý kiến Bộ Tư pháp</w:t>
            </w:r>
            <w:r w:rsidRPr="00B80B6F">
              <w:rPr>
                <w:rFonts w:ascii="Times New Roman" w:hAnsi="Times New Roman" w:cs="Times New Roman"/>
              </w:rPr>
              <w:br w:type="page"/>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Tài chính đã bổ sung tại Tờ trình Chính phù (mục IV.4.2). Theo đó, các chính sách này bao gồm văn bản quy phạm pháp luật về chứng khoán và giá dịch vụ trong lĩnh vực chứng khoán có nội dung tác động đến tình hình niêm yết, giao dịch chứng khoán và tình hình đăng ký, lưu ký, bù trừ và thanh toán giao dịch chứng khoán.</w:t>
            </w:r>
          </w:p>
        </w:tc>
      </w:tr>
      <w:tr w:rsidR="00B80B6F" w:rsidRPr="00B80B6F" w:rsidTr="00B80B6F">
        <w:trPr>
          <w:trHeight w:val="3015"/>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Merge/>
            <w:hideMark/>
          </w:tcPr>
          <w:p w:rsidR="00B80B6F" w:rsidRPr="00B80B6F" w:rsidRDefault="00B80B6F">
            <w:pPr>
              <w:rPr>
                <w:rFonts w:ascii="Times New Roman" w:hAnsi="Times New Roman" w:cs="Times New Roman"/>
              </w:rPr>
            </w:pP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i/>
                <w:iCs/>
              </w:rPr>
              <w:t>Điểm c, d khoản 2</w:t>
            </w:r>
            <w:r w:rsidRPr="00B80B6F">
              <w:rPr>
                <w:rFonts w:ascii="Times New Roman" w:hAnsi="Times New Roman" w:cs="Times New Roman"/>
              </w:rPr>
              <w:t xml:space="preserve"> bổ sung một số yếu tố loại trừ khi đánh giá, xếp loại đối với Sở Giao dịch Chứng khoán Việt Nam, Tổng công ty Lưu ký và Bù trừ chứng khoán Việt Nam như doanh thu từ hoạt động đấu giá, từ hoạt động tổ chức thị trường giao dịch hạn ngạch phát thải khí, tín chỉ carbon và số lượng hồ sơ đăng ký biện pháp bảo đảm… nhưng chưa được làm rõ cơ sở đề xuất, bảo đảm việc thay đổi doanh thu từ các hoạt động này có tính khách quan, không phụ thuộc vào kết quả điều hành hoạt động của 02 đơn vị này</w:t>
            </w:r>
          </w:p>
        </w:tc>
        <w:tc>
          <w:tcPr>
            <w:tcW w:w="1495" w:type="pct"/>
            <w:vAlign w:val="center"/>
            <w:hideMark/>
          </w:tcPr>
          <w:p w:rsidR="00B80B6F" w:rsidRDefault="00B80B6F" w:rsidP="00B80B6F">
            <w:pPr>
              <w:jc w:val="both"/>
              <w:rPr>
                <w:rFonts w:ascii="Times New Roman" w:hAnsi="Times New Roman" w:cs="Times New Roman"/>
                <w:b/>
                <w:bCs/>
              </w:rPr>
            </w:pPr>
            <w:r w:rsidRPr="00B80B6F">
              <w:rPr>
                <w:rFonts w:ascii="Times New Roman" w:hAnsi="Times New Roman" w:cs="Times New Roman"/>
                <w:b/>
                <w:bCs/>
              </w:rPr>
              <w:t>Tiếp thu ý kiến Bộ Tư pháp</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xml:space="preserve">Bộ Tài chính cũng đã bổ sung tại Tờ trình Chính phủ (mục IV.4.2). </w:t>
            </w:r>
            <w:r w:rsidRPr="00B80B6F">
              <w:rPr>
                <w:rFonts w:ascii="Times New Roman" w:hAnsi="Times New Roman" w:cs="Times New Roman"/>
              </w:rPr>
              <w:br/>
              <w:t xml:space="preserve">Đối với quy định bổ sung việc loại trừ yếu tố khách quan tác động đến doanh thu từ hoạt động đấu giá, doanh thu từ hoạt động tổ chức sàn giao dịch các-bon và số lượng hồ sơ đăng ký biện pháp bảo đảm, tương tự như các dịch vụ khác trên thị trường chứng khoán, các hoạt động này được thực hiện trên cơ sở nhu cầu của thị trường. VNX và VSDC có trách nhiệm đảm bảo việc cung cấp dịch vụ thông suốt theo quy định của pháp luật, không phụ thuộc vào tình hình nhu cầu thực tế sử dụng dịch vụ. Do đó, cần thiết cho phép VNX, VSDC được loại trừ yếu tố khách quan khi tổ </w:t>
            </w:r>
            <w:r w:rsidRPr="00B80B6F">
              <w:rPr>
                <w:rFonts w:ascii="Times New Roman" w:hAnsi="Times New Roman" w:cs="Times New Roman"/>
              </w:rPr>
              <w:lastRenderedPageBreak/>
              <w:t xml:space="preserve">chức các thị trường này theo quy định của pháp luật.  </w:t>
            </w:r>
          </w:p>
        </w:tc>
      </w:tr>
      <w:tr w:rsidR="00B80B6F" w:rsidRPr="00B80B6F" w:rsidTr="00B80B6F">
        <w:trPr>
          <w:trHeight w:val="120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Merge/>
            <w:hideMark/>
          </w:tcPr>
          <w:p w:rsidR="00B80B6F" w:rsidRPr="00B80B6F" w:rsidRDefault="00B80B6F">
            <w:pPr>
              <w:rPr>
                <w:rFonts w:ascii="Times New Roman" w:hAnsi="Times New Roman" w:cs="Times New Roman"/>
              </w:rPr>
            </w:pPr>
          </w:p>
        </w:tc>
        <w:tc>
          <w:tcPr>
            <w:tcW w:w="1827"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Khoản 3</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Bên cạnh đó, đề nghị lược bỏ quy định tại khoản 3 để thực hiện theo quy định của Nghị định chung về đánh giá, xếp loại doanh nghiệp (quy định chi tiết Luật số 68/2025/QH15).</w:t>
            </w:r>
          </w:p>
        </w:tc>
        <w:tc>
          <w:tcPr>
            <w:tcW w:w="1495"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Tiếp thu ý kiến Bộ Tư pháp</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xml:space="preserve">Khoản 3 Điều 6 đã lược bỏ các nội dung không phải nội dung đặc thù và đã được quy định chung cho các doanh nghiệp tại Luật số 68 và dự thảo Nghị định về giám sát, kiểm tra, đánh giá, xếp loại, báo cáo và công khai thông tin trong quản lý và đầu tư vốn nhà nước tại doanh nghiệp. </w:t>
            </w:r>
          </w:p>
        </w:tc>
      </w:tr>
      <w:tr w:rsidR="00B80B6F" w:rsidRPr="00B80B6F" w:rsidTr="00B80B6F">
        <w:trPr>
          <w:trHeight w:val="168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Cổng thông tin điện tử Chính phủ</w:t>
            </w:r>
          </w:p>
        </w:tc>
        <w:tc>
          <w:tcPr>
            <w:tcW w:w="1827"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Khoản 3</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Quy định này mang tính chất "tự đánh giá", thiếu cơ chế kiểm chứng độc lập. Trong bối cảnh thị trường biến động, ranh giới giữa "yếu tố khách quan" và hiệu quả quản trị kém" rất mong manh.</w:t>
            </w:r>
            <w:r w:rsidRPr="00B80B6F">
              <w:rPr>
                <w:rFonts w:ascii="Times New Roman" w:hAnsi="Times New Roman" w:cs="Times New Roman"/>
              </w:rPr>
              <w:br/>
              <w:t>- Kiến nghị: Cần quy định rõ cơ sở của việc "xem xét, quyết định" từ phía cơ quan đại diện chủ sở hữu để tránh cơ chế xin-cho</w:t>
            </w:r>
          </w:p>
        </w:tc>
        <w:tc>
          <w:tcPr>
            <w:tcW w:w="1495"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Tiếp thu</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Dự thảo Nghị định đã lược bỏ nội dung này để thực hiện thống nhất theo quy định tại Nghị định chung về đánh giá, xếp loại doanh nghiệp.</w:t>
            </w:r>
          </w:p>
        </w:tc>
      </w:tr>
      <w:tr w:rsidR="00B80B6F" w:rsidRPr="00B80B6F" w:rsidTr="00B80B6F">
        <w:trPr>
          <w:trHeight w:val="2445"/>
        </w:trPr>
        <w:tc>
          <w:tcPr>
            <w:tcW w:w="252" w:type="pct"/>
            <w:vMerge w:val="restar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lastRenderedPageBreak/>
              <w:t>6</w:t>
            </w:r>
          </w:p>
        </w:tc>
        <w:tc>
          <w:tcPr>
            <w:tcW w:w="62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7. Quản lý đối với công ty do Sở Giao dịch Chứng khoán Việt Nam và Tổng công ty Lưu ký và Bù trừ chứng khoán Việt Nam nắm giữ 100% vốn điều lệ</w:t>
            </w: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VNX</w:t>
            </w:r>
          </w:p>
        </w:tc>
        <w:tc>
          <w:tcPr>
            <w:tcW w:w="1827" w:type="pct"/>
            <w:vAlign w:val="center"/>
            <w:hideMark/>
          </w:tcPr>
          <w:p w:rsidR="00B80B6F" w:rsidRDefault="00B80B6F" w:rsidP="00B80B6F">
            <w:pPr>
              <w:jc w:val="both"/>
              <w:rPr>
                <w:rFonts w:ascii="Times New Roman" w:hAnsi="Times New Roman" w:cs="Times New Roman"/>
              </w:rPr>
            </w:pPr>
            <w:r w:rsidRPr="00B80B6F">
              <w:rPr>
                <w:rFonts w:ascii="Times New Roman" w:hAnsi="Times New Roman" w:cs="Times New Roman"/>
                <w:b/>
                <w:bCs/>
              </w:rPr>
              <w:t>Khoản 3 Điều 5 và Điều 6</w:t>
            </w:r>
          </w:p>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xml:space="preserve">Dự thảo Nghị định quy định Sở GDCK Việt Nam và công ty con được đề xuất tính toán, lượng hoá loại trừ tác động của các yếu tố khi đánh giá, </w:t>
            </w:r>
            <w:proofErr w:type="gramStart"/>
            <w:r w:rsidRPr="00B80B6F">
              <w:rPr>
                <w:rFonts w:ascii="Times New Roman" w:hAnsi="Times New Roman" w:cs="Times New Roman"/>
              </w:rPr>
              <w:t>xếp</w:t>
            </w:r>
            <w:proofErr w:type="gramEnd"/>
            <w:r w:rsidRPr="00B80B6F">
              <w:rPr>
                <w:rFonts w:ascii="Times New Roman" w:hAnsi="Times New Roman" w:cs="Times New Roman"/>
              </w:rPr>
              <w:t xml:space="preserve"> loại doanh nghiệp. Quy định này nhằm tạo sự linh hoạt, chủ động cho các đơn vị. Tuy nhiên, để thực hiện thống nhất, tránh sự thay đổi liên tục qua các năm, Sở GDCK Việt Nam đề xuất bổ sung quy định mang tính nguyên tắc chung về tính toán, lượng hoá loại trừ tác động của các yếu tố khi đánh giá, xếp loại doanh nghiệp trong dự thảo Nghị định.</w:t>
            </w:r>
          </w:p>
        </w:tc>
        <w:tc>
          <w:tcPr>
            <w:tcW w:w="1495" w:type="pct"/>
            <w:vAlign w:val="center"/>
            <w:hideMark/>
          </w:tcPr>
          <w:p w:rsidR="00B80B6F" w:rsidRDefault="00B80B6F" w:rsidP="00B80B6F">
            <w:pPr>
              <w:jc w:val="both"/>
              <w:rPr>
                <w:rFonts w:ascii="Times New Roman" w:hAnsi="Times New Roman" w:cs="Times New Roman"/>
                <w:b/>
                <w:bCs/>
              </w:rPr>
            </w:pPr>
            <w:r w:rsidRPr="00B80B6F">
              <w:rPr>
                <w:rFonts w:ascii="Times New Roman" w:hAnsi="Times New Roman" w:cs="Times New Roman"/>
                <w:b/>
                <w:bCs/>
              </w:rPr>
              <w:t>Tiếp thu ý kiến của VNX</w:t>
            </w:r>
          </w:p>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rPr>
              <w:t>Dự thảo Nghị định đã lược bỏ nội dung này để thực hiện thống nhất theo quy định tại Nghị định chung về đánh giá, xếp loại doanh nghiệp.</w:t>
            </w:r>
          </w:p>
        </w:tc>
      </w:tr>
      <w:tr w:rsidR="00B80B6F" w:rsidRPr="00B80B6F" w:rsidTr="00B80B6F">
        <w:trPr>
          <w:trHeight w:val="3608"/>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6 dự thảo Nghị định quy định việc quản lý đối với công ty con do Sở Giao dịch Chứng khoán Việt Nam, Tổng công ty Lưu ký và Bù trừ chứng khoán Việt Nam nắm giữ 100% vốn điều lệ. Đây là quyền, trách nhiệm của Sở Giao dịch Chứng khoán Việt Nam, Tổng công ty Lưu ký và Bù trừ chứng khoán Việt Nam đã được quy định trong Luật số 68/2025/QH15, pháp luật doanh nghiệp, pháp luật chứng khoán (theo hướng phân cấp mạnh), không thuộc thẩm quyền của Chính phủ, không phải nội dung đặc thù, cần được xem xét lược bỏ.</w:t>
            </w:r>
          </w:p>
        </w:tc>
        <w:tc>
          <w:tcPr>
            <w:tcW w:w="149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t>Không tiếp thu ý kiến Bộ Tư pháp và Bộ Nội vụ</w:t>
            </w:r>
            <w:r w:rsidRPr="00B80B6F">
              <w:rPr>
                <w:rFonts w:ascii="Times New Roman" w:hAnsi="Times New Roman" w:cs="Times New Roman"/>
              </w:rPr>
              <w:br/>
              <w:t xml:space="preserve">Bộ Tài chính xin báo cáo như sau: Quy định tại Điều 8 dự thảo Nghị định bao gồm: (i) Nội dung đặc thù trong quản lý doanh thu, chi phí của công ty con của VNX, VSDC. Theo đó, công ty con của VNX được hạch toán vào doanh thu hoạt động tài chính đối với lãi tiền gửi phát sinh liên quan đến hoạt động đấu giá chứng khoán; công ty con của VSDC được tính vào chi phí khi xác định thu nhập chịu thuế đối với chi trích lập Quỹ phòng ngừa rủi ro nghiệp vụ theo quy định của pháp luật chứng khoán; (ii) Nội dung đặc thù trong đánh giá, xếp loại doanh nghiệp của công ty </w:t>
            </w:r>
            <w:r w:rsidRPr="00B80B6F">
              <w:rPr>
                <w:rFonts w:ascii="Times New Roman" w:hAnsi="Times New Roman" w:cs="Times New Roman"/>
              </w:rPr>
              <w:lastRenderedPageBreak/>
              <w:t xml:space="preserve">con của VNX, VSDC là được loại trừ các yếu tố như đối với VNX, VSDC quy định tại Nghị định này; (iii) Trách nhiệm giám sát, kiểm tra, đánh giá hiệu quả hoạt động quản lý và đầu tư vốn tại công ty con theo quy định của pháp luật quản lý và đầu tư vốn nhà nước tại doanh nghiệp. </w:t>
            </w:r>
            <w:r w:rsidRPr="00B80B6F">
              <w:rPr>
                <w:rFonts w:ascii="Times New Roman" w:hAnsi="Times New Roman" w:cs="Times New Roman"/>
              </w:rPr>
              <w:br/>
              <w:t>Do đó, cần thiết quy định các nội dung này tại dự thảo Nghị định để đảm bảo pháp lý khi triển khai, thực hiện. Đây cũng là các nội dung được kế thừa quy định của Nghị định số 59 và phù hợp với thẩm quyền của Chính phủ trong việc quy định cơ chế hoạt động, cơ chế quản lý tài chính đối với doanh nghiệp trong một số lĩnh vực đặc thù (khoản 2 Điều 35 Luật số 68).</w:t>
            </w:r>
          </w:p>
        </w:tc>
      </w:tr>
      <w:tr w:rsidR="00B80B6F" w:rsidRPr="00B80B6F" w:rsidTr="00B80B6F">
        <w:trPr>
          <w:trHeight w:val="1920"/>
        </w:trPr>
        <w:tc>
          <w:tcPr>
            <w:tcW w:w="252" w:type="pct"/>
            <w:vMerge/>
            <w:hideMark/>
          </w:tcPr>
          <w:p w:rsidR="00B80B6F" w:rsidRPr="00B80B6F" w:rsidRDefault="00B80B6F">
            <w:pPr>
              <w:rPr>
                <w:rFonts w:ascii="Times New Roman" w:hAnsi="Times New Roman" w:cs="Times New Roman"/>
                <w:b/>
                <w:bCs/>
              </w:rPr>
            </w:pPr>
          </w:p>
        </w:tc>
        <w:tc>
          <w:tcPr>
            <w:tcW w:w="625" w:type="pct"/>
            <w:vMerge/>
            <w:hideMark/>
          </w:tcPr>
          <w:p w:rsidR="00B80B6F" w:rsidRPr="00B80B6F" w:rsidRDefault="00B80B6F">
            <w:pPr>
              <w:rPr>
                <w:rFonts w:ascii="Times New Roman" w:hAnsi="Times New Roman" w:cs="Times New Roman"/>
              </w:rPr>
            </w:pPr>
          </w:p>
        </w:tc>
        <w:tc>
          <w:tcPr>
            <w:tcW w:w="801"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Nội vụ</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 xml:space="preserve">Đề nghị bỏ quy định tại Điều 6 do việc quản lý giữa VNX và VSDC đối </w:t>
            </w:r>
            <w:r w:rsidRPr="00B80B6F">
              <w:rPr>
                <w:rFonts w:ascii="Times New Roman" w:hAnsi="Times New Roman" w:cs="Times New Roman"/>
              </w:rPr>
              <w:br/>
              <w:t xml:space="preserve">với các công ty con thực hiện theo quy định tại Điều lệ tổ chức và hoạt động của VNX, VSDC, Luật Chứng khoán, Luật số 68/2020/QH15 và pháp luật chuyên ngành có liên quan (không quy định tại Nghị định này). </w:t>
            </w:r>
          </w:p>
        </w:tc>
        <w:tc>
          <w:tcPr>
            <w:tcW w:w="1495" w:type="pct"/>
            <w:vMerge/>
            <w:vAlign w:val="center"/>
            <w:hideMark/>
          </w:tcPr>
          <w:p w:rsidR="00B80B6F" w:rsidRPr="00B80B6F" w:rsidRDefault="00B80B6F" w:rsidP="00B80B6F">
            <w:pPr>
              <w:jc w:val="both"/>
              <w:rPr>
                <w:rFonts w:ascii="Times New Roman" w:hAnsi="Times New Roman" w:cs="Times New Roman"/>
              </w:rPr>
            </w:pPr>
          </w:p>
        </w:tc>
      </w:tr>
      <w:tr w:rsidR="00B80B6F" w:rsidRPr="00B80B6F" w:rsidTr="0069293D">
        <w:trPr>
          <w:trHeight w:val="1880"/>
        </w:trPr>
        <w:tc>
          <w:tcPr>
            <w:tcW w:w="252" w:type="pc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lastRenderedPageBreak/>
              <w:t>7</w:t>
            </w:r>
          </w:p>
        </w:tc>
        <w:tc>
          <w:tcPr>
            <w:tcW w:w="625"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8. Trách nhiệm của Sở Giao dịch Chứng khoán Việt Nam và Tổng công ty lưu ký và bù trừ chứng khoán Việt Nam</w:t>
            </w:r>
          </w:p>
        </w:tc>
        <w:tc>
          <w:tcPr>
            <w:tcW w:w="801"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Bộ Tư pháp</w:t>
            </w: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Dự thảo Nghị định không có nội dung đặc thù, cần được xem xét lược bỏ điều này</w:t>
            </w:r>
          </w:p>
        </w:tc>
        <w:tc>
          <w:tcPr>
            <w:tcW w:w="1495" w:type="pct"/>
            <w:vMerge w:val="restar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b/>
                <w:bCs/>
              </w:rPr>
              <w:t>Không tiếp thu của Bộ Tư pháp</w:t>
            </w:r>
            <w:r w:rsidRPr="00B80B6F">
              <w:rPr>
                <w:rFonts w:ascii="Times New Roman" w:hAnsi="Times New Roman" w:cs="Times New Roman"/>
              </w:rPr>
              <w:br/>
              <w:t>Dự thảo Nghị định giữ các quy định này và hoàn thiện, bổ sung để đảm bảo cơ chế hậu kiểm hợp lý, khả thi, bảo đảm chặt chẽ.</w:t>
            </w:r>
          </w:p>
        </w:tc>
      </w:tr>
      <w:tr w:rsidR="00B80B6F" w:rsidRPr="00B80B6F" w:rsidTr="00B80B6F">
        <w:trPr>
          <w:trHeight w:val="900"/>
        </w:trPr>
        <w:tc>
          <w:tcPr>
            <w:tcW w:w="252" w:type="pct"/>
            <w:vAlign w:val="center"/>
            <w:hideMark/>
          </w:tcPr>
          <w:p w:rsidR="00B80B6F" w:rsidRPr="00B80B6F" w:rsidRDefault="00B80B6F" w:rsidP="00B80B6F">
            <w:pPr>
              <w:jc w:val="both"/>
              <w:rPr>
                <w:rFonts w:ascii="Times New Roman" w:hAnsi="Times New Roman" w:cs="Times New Roman"/>
                <w:b/>
                <w:bCs/>
              </w:rPr>
            </w:pPr>
            <w:r w:rsidRPr="00B80B6F">
              <w:rPr>
                <w:rFonts w:ascii="Times New Roman" w:hAnsi="Times New Roman" w:cs="Times New Roman"/>
                <w:b/>
                <w:bCs/>
              </w:rPr>
              <w:t>8</w:t>
            </w:r>
          </w:p>
        </w:tc>
        <w:tc>
          <w:tcPr>
            <w:tcW w:w="625"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Điều 9. Trách nhiệm của Bộ Tài chính</w:t>
            </w:r>
          </w:p>
        </w:tc>
        <w:tc>
          <w:tcPr>
            <w:tcW w:w="801" w:type="pct"/>
            <w:vMerge/>
            <w:vAlign w:val="center"/>
            <w:hideMark/>
          </w:tcPr>
          <w:p w:rsidR="00B80B6F" w:rsidRPr="00B80B6F" w:rsidRDefault="00B80B6F" w:rsidP="00B80B6F">
            <w:pPr>
              <w:jc w:val="both"/>
              <w:rPr>
                <w:rFonts w:ascii="Times New Roman" w:hAnsi="Times New Roman" w:cs="Times New Roman"/>
              </w:rPr>
            </w:pPr>
          </w:p>
        </w:tc>
        <w:tc>
          <w:tcPr>
            <w:tcW w:w="1827" w:type="pct"/>
            <w:vAlign w:val="center"/>
            <w:hideMark/>
          </w:tcPr>
          <w:p w:rsidR="00B80B6F" w:rsidRPr="00B80B6F" w:rsidRDefault="00B80B6F" w:rsidP="00B80B6F">
            <w:pPr>
              <w:jc w:val="both"/>
              <w:rPr>
                <w:rFonts w:ascii="Times New Roman" w:hAnsi="Times New Roman" w:cs="Times New Roman"/>
              </w:rPr>
            </w:pPr>
            <w:r w:rsidRPr="00B80B6F">
              <w:rPr>
                <w:rFonts w:ascii="Times New Roman" w:hAnsi="Times New Roman" w:cs="Times New Roman"/>
              </w:rPr>
              <w:t>Dự thảo Nghị định không có nội dung đặc thù, cần được xem xét lược bỏ điều này</w:t>
            </w:r>
          </w:p>
        </w:tc>
        <w:tc>
          <w:tcPr>
            <w:tcW w:w="1495" w:type="pct"/>
            <w:vMerge/>
            <w:hideMark/>
          </w:tcPr>
          <w:p w:rsidR="00B80B6F" w:rsidRPr="00B80B6F" w:rsidRDefault="00B80B6F">
            <w:pPr>
              <w:rPr>
                <w:rFonts w:ascii="Times New Roman" w:hAnsi="Times New Roman" w:cs="Times New Roman"/>
              </w:rPr>
            </w:pPr>
          </w:p>
        </w:tc>
      </w:tr>
      <w:tr w:rsidR="0069293D" w:rsidRPr="00B80B6F" w:rsidTr="0069293D">
        <w:trPr>
          <w:trHeight w:val="1835"/>
        </w:trPr>
        <w:tc>
          <w:tcPr>
            <w:tcW w:w="252" w:type="pct"/>
            <w:vAlign w:val="center"/>
            <w:hideMark/>
          </w:tcPr>
          <w:p w:rsidR="0069293D" w:rsidRPr="00B80B6F" w:rsidRDefault="0069293D" w:rsidP="00B80B6F">
            <w:pPr>
              <w:jc w:val="both"/>
              <w:rPr>
                <w:rFonts w:ascii="Times New Roman" w:hAnsi="Times New Roman" w:cs="Times New Roman"/>
                <w:b/>
                <w:bCs/>
              </w:rPr>
            </w:pPr>
            <w:r>
              <w:rPr>
                <w:rFonts w:ascii="Times New Roman" w:hAnsi="Times New Roman" w:cs="Times New Roman"/>
                <w:b/>
                <w:bCs/>
              </w:rPr>
              <w:lastRenderedPageBreak/>
              <w:t>9</w:t>
            </w:r>
          </w:p>
        </w:tc>
        <w:tc>
          <w:tcPr>
            <w:tcW w:w="625" w:type="pct"/>
            <w:vAlign w:val="center"/>
            <w:hideMark/>
          </w:tcPr>
          <w:p w:rsidR="0069293D" w:rsidRPr="00B80B6F" w:rsidRDefault="0069293D" w:rsidP="00B80B6F">
            <w:pPr>
              <w:jc w:val="both"/>
              <w:rPr>
                <w:rFonts w:ascii="Times New Roman" w:hAnsi="Times New Roman" w:cs="Times New Roman"/>
              </w:rPr>
            </w:pPr>
            <w:r w:rsidRPr="0069293D">
              <w:rPr>
                <w:rFonts w:ascii="Times New Roman" w:hAnsi="Times New Roman" w:cs="Times New Roman"/>
              </w:rPr>
              <w:t>Điều 10. Hiệu lực thi hành và tổ chức thực hiện</w:t>
            </w:r>
          </w:p>
        </w:tc>
        <w:tc>
          <w:tcPr>
            <w:tcW w:w="801" w:type="pct"/>
            <w:vAlign w:val="center"/>
            <w:hideMark/>
          </w:tcPr>
          <w:p w:rsidR="0069293D" w:rsidRPr="00B80B6F" w:rsidRDefault="0069293D" w:rsidP="00B80B6F">
            <w:pPr>
              <w:jc w:val="both"/>
              <w:rPr>
                <w:rFonts w:ascii="Times New Roman" w:hAnsi="Times New Roman" w:cs="Times New Roman"/>
              </w:rPr>
            </w:pPr>
            <w:r>
              <w:rPr>
                <w:rFonts w:ascii="Times New Roman" w:hAnsi="Times New Roman" w:cs="Times New Roman"/>
              </w:rPr>
              <w:t>VSDC</w:t>
            </w:r>
          </w:p>
        </w:tc>
        <w:tc>
          <w:tcPr>
            <w:tcW w:w="1827" w:type="pct"/>
            <w:vAlign w:val="center"/>
            <w:hideMark/>
          </w:tcPr>
          <w:p w:rsidR="0069293D" w:rsidRPr="0069293D" w:rsidRDefault="0069293D" w:rsidP="0069293D">
            <w:pPr>
              <w:jc w:val="both"/>
              <w:rPr>
                <w:rFonts w:ascii="Times New Roman" w:hAnsi="Times New Roman" w:cs="Times New Roman"/>
              </w:rPr>
            </w:pPr>
            <w:r w:rsidRPr="0069293D">
              <w:rPr>
                <w:rFonts w:ascii="Times New Roman" w:hAnsi="Times New Roman" w:cs="Times New Roman"/>
              </w:rPr>
              <w:t>Đề nghị bổ sung thêm nội dung như sau: “Kể từ ngày Nghị định này có hiệu lực thi hành, các dẫn chiếu đến điểm b, điểm c Khoản 2 Điều 6 Nghị định số 59/2021/NĐ-CP trong Nghị định số 248/2025/NĐ-CP được hiểu là dẫn chiếu đến điểm c, điểm d Khoản 2 Điều 5 Nghị định này”.</w:t>
            </w:r>
          </w:p>
          <w:p w:rsidR="0069293D" w:rsidRPr="00B80B6F" w:rsidRDefault="0069293D" w:rsidP="0069293D">
            <w:pPr>
              <w:jc w:val="both"/>
              <w:rPr>
                <w:rFonts w:ascii="Times New Roman" w:hAnsi="Times New Roman" w:cs="Times New Roman"/>
              </w:rPr>
            </w:pPr>
            <w:r w:rsidRPr="0069293D">
              <w:rPr>
                <w:rFonts w:ascii="Times New Roman" w:hAnsi="Times New Roman" w:cs="Times New Roman"/>
              </w:rPr>
              <w:t>Lý do: Tại Điều 12 Nghị định 248/2025/NĐ-CP có dẫn chiếu Nghị định số 59/2021/NĐ-CP để tiếp tục thực hiện nội dung này tại Nghị định 248/2025/NĐ-CP, cần thay thế cụm từ “Nghị định 59/2021/NĐ-CP” bằng Nghị định này.</w:t>
            </w:r>
          </w:p>
        </w:tc>
        <w:tc>
          <w:tcPr>
            <w:tcW w:w="1495" w:type="pct"/>
            <w:hideMark/>
          </w:tcPr>
          <w:p w:rsidR="0069293D" w:rsidRPr="0069293D" w:rsidRDefault="0069293D" w:rsidP="0069293D">
            <w:pPr>
              <w:jc w:val="both"/>
              <w:rPr>
                <w:rFonts w:ascii="Times New Roman" w:hAnsi="Times New Roman" w:cs="Times New Roman"/>
                <w:b/>
              </w:rPr>
            </w:pPr>
            <w:r w:rsidRPr="0069293D">
              <w:rPr>
                <w:rFonts w:ascii="Times New Roman" w:hAnsi="Times New Roman" w:cs="Times New Roman"/>
                <w:b/>
              </w:rPr>
              <w:t xml:space="preserve">Tiếp thu ý kiến của VSDC </w:t>
            </w:r>
          </w:p>
          <w:p w:rsidR="0069293D" w:rsidRPr="00B80B6F" w:rsidRDefault="0069293D" w:rsidP="0069293D">
            <w:pPr>
              <w:jc w:val="both"/>
              <w:rPr>
                <w:rFonts w:ascii="Times New Roman" w:hAnsi="Times New Roman" w:cs="Times New Roman"/>
              </w:rPr>
            </w:pPr>
            <w:r w:rsidRPr="0069293D">
              <w:rPr>
                <w:rFonts w:ascii="Times New Roman" w:hAnsi="Times New Roman" w:cs="Times New Roman"/>
              </w:rPr>
              <w:t>Tại dự thảo Nghị định (khoản 2 Điều 10) đã bổ sung quy định: Sửa đổi khoản 3 Điều 12 Nghị định số 248/2025/NĐ-CP ngày 25 tháng 7 năm 2025 của Chính phủ quy định chi tiết hoạt động đầu tư từ quỹ bảo hiểm xã hội, bảo hiểm y tế, bảo hiểm thất nghiệp như sau: “Sở giao dịch chứng khoán, Tổng công ty Lưu ký và Bù trừ chứng khoán Việt Nam khi xác định mức tiền lương, thù lao tối đa của Thành viên hội đồng, Kiểm soát viên, nếu có yếu tố khách quan quy định tại Phụ lục I ban hành kèm theo Nghị định này và điểm b, điểm c khoản 2 Điều 5 Nghị định này, làm biến động doanh thu tăng trên 7% hoặc giảm trên 3% thì loại trừ phần doanh thu tăng trên 7% (đối với trường hợp doanh thu tăng trên 7%) hoặc được tính phần doanh thu giảm trên 3% (đối với trường hợp doanh thu giảm trên 3%) vào doanh thu để xác định lợi nhuận làm căn cứ xác định mức tiền lương, thù lao tối đa của Thành viên hội đồng, Kiểm soát viên”.</w:t>
            </w:r>
          </w:p>
        </w:tc>
      </w:tr>
    </w:tbl>
    <w:p w:rsidR="008406E7" w:rsidRPr="00B80B6F" w:rsidRDefault="008406E7">
      <w:pPr>
        <w:rPr>
          <w:rFonts w:ascii="Times New Roman" w:hAnsi="Times New Roman" w:cs="Times New Roman"/>
        </w:rPr>
      </w:pPr>
    </w:p>
    <w:sectPr w:rsidR="008406E7" w:rsidRPr="00B80B6F" w:rsidSect="00B80B6F">
      <w:headerReference w:type="default" r:id="rId7"/>
      <w:pgSz w:w="16839" w:h="11907" w:orient="landscape"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D93" w:rsidRDefault="00AF2D93" w:rsidP="00F36F22">
      <w:pPr>
        <w:spacing w:after="0" w:line="240" w:lineRule="auto"/>
      </w:pPr>
      <w:r>
        <w:separator/>
      </w:r>
    </w:p>
  </w:endnote>
  <w:endnote w:type="continuationSeparator" w:id="0">
    <w:p w:rsidR="00AF2D93" w:rsidRDefault="00AF2D93" w:rsidP="00F36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D93" w:rsidRDefault="00AF2D93" w:rsidP="00F36F22">
      <w:pPr>
        <w:spacing w:after="0" w:line="240" w:lineRule="auto"/>
      </w:pPr>
      <w:r>
        <w:separator/>
      </w:r>
    </w:p>
  </w:footnote>
  <w:footnote w:type="continuationSeparator" w:id="0">
    <w:p w:rsidR="00AF2D93" w:rsidRDefault="00AF2D93" w:rsidP="00F36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552297"/>
      <w:docPartObj>
        <w:docPartGallery w:val="Page Numbers (Top of Page)"/>
        <w:docPartUnique/>
      </w:docPartObj>
    </w:sdtPr>
    <w:sdtContent>
      <w:p w:rsidR="00AF2D93" w:rsidRDefault="00AF2D93">
        <w:pPr>
          <w:pStyle w:val="Header"/>
          <w:jc w:val="center"/>
        </w:pPr>
        <w:fldSimple w:instr=" PAGE   \* MERGEFORMAT ">
          <w:r>
            <w:rPr>
              <w:noProof/>
            </w:rPr>
            <w:t>15</w:t>
          </w:r>
        </w:fldSimple>
      </w:p>
    </w:sdtContent>
  </w:sdt>
  <w:p w:rsidR="00AF2D93" w:rsidRDefault="00AF2D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80B6F"/>
    <w:rsid w:val="00470F40"/>
    <w:rsid w:val="005A7769"/>
    <w:rsid w:val="0069293D"/>
    <w:rsid w:val="008406E7"/>
    <w:rsid w:val="00894C2C"/>
    <w:rsid w:val="00AF2D93"/>
    <w:rsid w:val="00B80B6F"/>
    <w:rsid w:val="00F36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6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F22"/>
  </w:style>
  <w:style w:type="paragraph" w:styleId="Footer">
    <w:name w:val="footer"/>
    <w:basedOn w:val="Normal"/>
    <w:link w:val="FooterChar"/>
    <w:uiPriority w:val="99"/>
    <w:semiHidden/>
    <w:unhideWhenUsed/>
    <w:rsid w:val="00F36F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F22"/>
  </w:style>
</w:styles>
</file>

<file path=word/webSettings.xml><?xml version="1.0" encoding="utf-8"?>
<w:webSettings xmlns:r="http://schemas.openxmlformats.org/officeDocument/2006/relationships" xmlns:w="http://schemas.openxmlformats.org/wordprocessingml/2006/main">
  <w:divs>
    <w:div w:id="1241871453">
      <w:bodyDiv w:val="1"/>
      <w:marLeft w:val="0"/>
      <w:marRight w:val="0"/>
      <w:marTop w:val="0"/>
      <w:marBottom w:val="0"/>
      <w:divBdr>
        <w:top w:val="none" w:sz="0" w:space="0" w:color="auto"/>
        <w:left w:val="none" w:sz="0" w:space="0" w:color="auto"/>
        <w:bottom w:val="none" w:sz="0" w:space="0" w:color="auto"/>
        <w:right w:val="none" w:sz="0" w:space="0" w:color="auto"/>
      </w:divBdr>
    </w:div>
    <w:div w:id="1649938814">
      <w:bodyDiv w:val="1"/>
      <w:marLeft w:val="0"/>
      <w:marRight w:val="0"/>
      <w:marTop w:val="0"/>
      <w:marBottom w:val="0"/>
      <w:divBdr>
        <w:top w:val="none" w:sz="0" w:space="0" w:color="auto"/>
        <w:left w:val="none" w:sz="0" w:space="0" w:color="auto"/>
        <w:bottom w:val="none" w:sz="0" w:space="0" w:color="auto"/>
        <w:right w:val="none" w:sz="0" w:space="0" w:color="auto"/>
      </w:divBdr>
    </w:div>
    <w:div w:id="182480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83A8D-BF34-44F2-8164-F16B4852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4175</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Dong Phan My Linh</dc:creator>
  <cp:lastModifiedBy>Dong Phan My Linh</cp:lastModifiedBy>
  <cp:revision>4</cp:revision>
  <cp:lastPrinted>2025-12-12T08:50:00Z</cp:lastPrinted>
  <dcterms:created xsi:type="dcterms:W3CDTF">2025-12-12T05:21:00Z</dcterms:created>
  <dcterms:modified xsi:type="dcterms:W3CDTF">2025-12-12T09:11:00Z</dcterms:modified>
</cp:coreProperties>
</file>