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2" w:type="dxa"/>
        <w:jc w:val="center"/>
        <w:tblCellMar>
          <w:left w:w="0" w:type="dxa"/>
          <w:right w:w="0" w:type="dxa"/>
        </w:tblCellMar>
        <w:tblLook w:val="0000" w:firstRow="0" w:lastRow="0" w:firstColumn="0" w:lastColumn="0" w:noHBand="0" w:noVBand="0"/>
      </w:tblPr>
      <w:tblGrid>
        <w:gridCol w:w="3879"/>
        <w:gridCol w:w="5813"/>
      </w:tblGrid>
      <w:tr w:rsidR="00F66385" w:rsidRPr="00742FB3" w14:paraId="16304A71" w14:textId="77777777" w:rsidTr="007E5EB0">
        <w:trPr>
          <w:jc w:val="center"/>
        </w:trPr>
        <w:tc>
          <w:tcPr>
            <w:tcW w:w="3879" w:type="dxa"/>
            <w:tcMar>
              <w:top w:w="0" w:type="dxa"/>
              <w:left w:w="108" w:type="dxa"/>
              <w:bottom w:w="0" w:type="dxa"/>
              <w:right w:w="108" w:type="dxa"/>
            </w:tcMar>
          </w:tcPr>
          <w:bookmarkStart w:id="0" w:name="_GoBack"/>
          <w:bookmarkEnd w:id="0"/>
          <w:p w14:paraId="651EF801" w14:textId="4A5D1539" w:rsidR="00F66385" w:rsidRPr="00742FB3" w:rsidRDefault="00F66385" w:rsidP="007E5EB0">
            <w:pPr>
              <w:pStyle w:val="NoSpacing"/>
              <w:jc w:val="both"/>
              <w:rPr>
                <w:rFonts w:ascii="Times New Roman" w:hAnsi="Times New Roman"/>
                <w:b/>
                <w:sz w:val="26"/>
                <w:szCs w:val="26"/>
                <w:lang w:val="vi-VN"/>
              </w:rPr>
            </w:pPr>
            <w:r w:rsidRPr="00742FB3">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C2BE34B" wp14:editId="76F905B6">
                      <wp:simplePos x="0" y="0"/>
                      <wp:positionH relativeFrom="column">
                        <wp:posOffset>490855</wp:posOffset>
                      </wp:positionH>
                      <wp:positionV relativeFrom="paragraph">
                        <wp:posOffset>241299</wp:posOffset>
                      </wp:positionV>
                      <wp:extent cx="12598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92ED36" id="_x0000_t32" coordsize="21600,21600" o:spt="32" o:oned="t" path="m,l21600,21600e" filled="f">
                      <v:path arrowok="t" fillok="f" o:connecttype="none"/>
                      <o:lock v:ext="edit" shapetype="t"/>
                    </v:shapetype>
                    <v:shape id="Straight Arrow Connector 8" o:spid="_x0000_s1026" type="#_x0000_t32" style="position:absolute;margin-left:38.65pt;margin-top:19pt;width:9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"/>
                  </w:pict>
                </mc:Fallback>
              </mc:AlternateContent>
            </w:r>
            <w:r w:rsidRPr="00742FB3">
              <w:rPr>
                <w:rFonts w:ascii="Times New Roman" w:hAnsi="Times New Roman"/>
                <w:b/>
                <w:sz w:val="26"/>
                <w:szCs w:val="26"/>
                <w:lang w:val="vi-VN"/>
              </w:rPr>
              <w:t>BỘ GIÁO DỤC VÀ ĐÀO TẠO</w:t>
            </w:r>
          </w:p>
          <w:p w14:paraId="701D1EDE" w14:textId="77777777" w:rsidR="00F66385" w:rsidRPr="00742FB3" w:rsidRDefault="00F66385" w:rsidP="007E5EB0">
            <w:pPr>
              <w:pStyle w:val="NoSpacing"/>
              <w:jc w:val="center"/>
              <w:rPr>
                <w:rFonts w:ascii="Times New Roman" w:hAnsi="Times New Roman"/>
                <w:b/>
                <w:sz w:val="26"/>
                <w:szCs w:val="26"/>
                <w:lang w:val="vi-VN"/>
              </w:rPr>
            </w:pPr>
          </w:p>
          <w:p w14:paraId="2836290E" w14:textId="77777777" w:rsidR="00F66385" w:rsidRPr="00742FB3" w:rsidRDefault="00F66385" w:rsidP="007E5EB0">
            <w:pPr>
              <w:pStyle w:val="NoSpacing"/>
              <w:jc w:val="center"/>
              <w:rPr>
                <w:rFonts w:ascii="Times New Roman" w:hAnsi="Times New Roman"/>
                <w:b/>
                <w:sz w:val="28"/>
                <w:szCs w:val="28"/>
                <w:lang w:val="vi-VN"/>
              </w:rPr>
            </w:pPr>
          </w:p>
          <w:p w14:paraId="40D1C20C" w14:textId="77777777" w:rsidR="00F66385" w:rsidRPr="00742FB3" w:rsidRDefault="00F66385" w:rsidP="007E5EB0">
            <w:pPr>
              <w:pStyle w:val="NoSpacing"/>
              <w:jc w:val="center"/>
              <w:rPr>
                <w:rFonts w:ascii="Times New Roman" w:hAnsi="Times New Roman"/>
                <w:sz w:val="28"/>
                <w:szCs w:val="28"/>
                <w:lang w:val="vi-VN"/>
              </w:rPr>
            </w:pPr>
            <w:r w:rsidRPr="00742FB3">
              <w:rPr>
                <w:rFonts w:ascii="Times New Roman" w:hAnsi="Times New Roman"/>
                <w:sz w:val="28"/>
                <w:szCs w:val="28"/>
                <w:lang w:val="vi-VN"/>
              </w:rPr>
              <w:t>Số:           /BC-BGDĐT</w:t>
            </w:r>
          </w:p>
          <w:p w14:paraId="4A0E1688" w14:textId="77777777" w:rsidR="00F66385" w:rsidRPr="00742FB3" w:rsidRDefault="00F66385" w:rsidP="007E5EB0">
            <w:pPr>
              <w:pStyle w:val="NoSpacing"/>
              <w:jc w:val="center"/>
              <w:rPr>
                <w:rFonts w:ascii="Times New Roman" w:hAnsi="Times New Roman"/>
                <w:sz w:val="28"/>
                <w:szCs w:val="28"/>
                <w:lang w:val="vi-VN"/>
              </w:rPr>
            </w:pPr>
          </w:p>
        </w:tc>
        <w:tc>
          <w:tcPr>
            <w:tcW w:w="5813" w:type="dxa"/>
            <w:tcMar>
              <w:top w:w="0" w:type="dxa"/>
              <w:left w:w="108" w:type="dxa"/>
              <w:bottom w:w="0" w:type="dxa"/>
              <w:right w:w="108" w:type="dxa"/>
            </w:tcMar>
          </w:tcPr>
          <w:p w14:paraId="198346E3" w14:textId="674AD029" w:rsidR="00F66385" w:rsidRPr="00742FB3" w:rsidRDefault="00F66385" w:rsidP="007E5EB0">
            <w:pPr>
              <w:pStyle w:val="NoSpacing"/>
              <w:jc w:val="center"/>
              <w:rPr>
                <w:rFonts w:ascii="Times New Roman" w:hAnsi="Times New Roman"/>
                <w:b/>
                <w:sz w:val="28"/>
                <w:szCs w:val="28"/>
                <w:lang w:val="vi-VN"/>
              </w:rPr>
            </w:pPr>
            <w:r w:rsidRPr="00742FB3">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5ABB7907" wp14:editId="7C15B196">
                      <wp:simplePos x="0" y="0"/>
                      <wp:positionH relativeFrom="column">
                        <wp:posOffset>756920</wp:posOffset>
                      </wp:positionH>
                      <wp:positionV relativeFrom="paragraph">
                        <wp:posOffset>416559</wp:posOffset>
                      </wp:positionV>
                      <wp:extent cx="205168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FBD65" id="Straight Arrow Connector 10" o:spid="_x0000_s1026" type="#_x0000_t32" style="position:absolute;margin-left:59.6pt;margin-top:32.8pt;width:161.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"/>
                  </w:pict>
                </mc:Fallback>
              </mc:AlternateContent>
            </w:r>
            <w:r w:rsidRPr="00742FB3">
              <w:rPr>
                <w:rFonts w:ascii="Times New Roman" w:hAnsi="Times New Roman"/>
                <w:b/>
                <w:sz w:val="26"/>
                <w:szCs w:val="26"/>
                <w:lang w:val="vi-VN"/>
              </w:rPr>
              <w:t>CỘNG HÒA XÃ HỘI CHỦ NGHĨA VIỆT NAM</w:t>
            </w:r>
            <w:r w:rsidRPr="00742FB3">
              <w:rPr>
                <w:rFonts w:ascii="Times New Roman" w:hAnsi="Times New Roman"/>
                <w:b/>
                <w:sz w:val="28"/>
                <w:szCs w:val="28"/>
                <w:lang w:val="vi-VN"/>
              </w:rPr>
              <w:br/>
              <w:t>Độc lập - Tự do - Hạnh phúc</w:t>
            </w:r>
            <w:r w:rsidRPr="00742FB3">
              <w:rPr>
                <w:rFonts w:ascii="Times New Roman" w:hAnsi="Times New Roman"/>
                <w:b/>
                <w:sz w:val="28"/>
                <w:szCs w:val="28"/>
                <w:lang w:val="vi-VN"/>
              </w:rPr>
              <w:br/>
            </w:r>
          </w:p>
          <w:p w14:paraId="5C432005" w14:textId="3B1B6F0A" w:rsidR="00F66385" w:rsidRPr="00742FB3" w:rsidRDefault="00F66385" w:rsidP="007E5EB0">
            <w:pPr>
              <w:pStyle w:val="NoSpacing"/>
              <w:jc w:val="center"/>
              <w:rPr>
                <w:rFonts w:ascii="Times New Roman" w:hAnsi="Times New Roman"/>
                <w:i/>
                <w:sz w:val="28"/>
                <w:szCs w:val="28"/>
                <w:lang w:val="vi-VN"/>
              </w:rPr>
            </w:pPr>
            <w:r w:rsidRPr="00742FB3">
              <w:rPr>
                <w:rFonts w:ascii="Times New Roman" w:hAnsi="Times New Roman"/>
                <w:i/>
                <w:sz w:val="28"/>
                <w:szCs w:val="28"/>
                <w:lang w:val="vi-VN"/>
              </w:rPr>
              <w:t xml:space="preserve"> Hà Nội, ngày         tháng </w:t>
            </w:r>
            <w:r w:rsidR="00FE0EF3" w:rsidRPr="00742FB3">
              <w:rPr>
                <w:rFonts w:ascii="Times New Roman" w:hAnsi="Times New Roman"/>
                <w:i/>
                <w:sz w:val="28"/>
                <w:szCs w:val="28"/>
              </w:rPr>
              <w:t xml:space="preserve">   </w:t>
            </w:r>
            <w:r w:rsidRPr="00742FB3">
              <w:rPr>
                <w:rFonts w:ascii="Times New Roman" w:hAnsi="Times New Roman"/>
                <w:i/>
                <w:sz w:val="28"/>
                <w:szCs w:val="28"/>
                <w:lang w:val="vi-VN"/>
              </w:rPr>
              <w:t xml:space="preserve"> năm 2025</w:t>
            </w:r>
          </w:p>
        </w:tc>
      </w:tr>
    </w:tbl>
    <w:p w14:paraId="55A496BC" w14:textId="77777777" w:rsidR="00F66385" w:rsidRPr="00742FB3" w:rsidRDefault="00F66385" w:rsidP="00F66385">
      <w:pPr>
        <w:spacing w:after="0" w:line="240" w:lineRule="auto"/>
        <w:jc w:val="center"/>
        <w:rPr>
          <w:rFonts w:ascii="Times New Roman" w:hAnsi="Times New Roman" w:cs="Times New Roman"/>
          <w:b/>
          <w:spacing w:val="-2"/>
          <w:sz w:val="32"/>
          <w:szCs w:val="32"/>
        </w:rPr>
      </w:pPr>
    </w:p>
    <w:p w14:paraId="2637814A" w14:textId="77777777" w:rsidR="00F66385" w:rsidRPr="00742FB3" w:rsidRDefault="00F66385" w:rsidP="00F66385">
      <w:pPr>
        <w:spacing w:after="0" w:line="240" w:lineRule="auto"/>
        <w:jc w:val="center"/>
        <w:rPr>
          <w:rFonts w:ascii="Times New Roman" w:hAnsi="Times New Roman" w:cs="Times New Roman"/>
          <w:b/>
          <w:spacing w:val="-2"/>
          <w:sz w:val="28"/>
          <w:szCs w:val="28"/>
        </w:rPr>
      </w:pPr>
      <w:r w:rsidRPr="00742FB3">
        <w:rPr>
          <w:rFonts w:ascii="Times New Roman" w:hAnsi="Times New Roman" w:cs="Times New Roman"/>
          <w:b/>
          <w:spacing w:val="-2"/>
          <w:sz w:val="28"/>
          <w:szCs w:val="28"/>
        </w:rPr>
        <w:t>BÁO CÁO</w:t>
      </w:r>
    </w:p>
    <w:p w14:paraId="3A67C94D" w14:textId="0D42A2CA" w:rsidR="00F66385" w:rsidRPr="00742FB3" w:rsidRDefault="00F66385" w:rsidP="00F66385">
      <w:pPr>
        <w:spacing w:after="0" w:line="240" w:lineRule="auto"/>
        <w:jc w:val="center"/>
        <w:rPr>
          <w:rFonts w:ascii="Times New Roman" w:eastAsia="Times New Roman" w:hAnsi="Times New Roman" w:cs="Times New Roman"/>
          <w:b/>
          <w:spacing w:val="-2"/>
          <w:sz w:val="28"/>
          <w:szCs w:val="28"/>
        </w:rPr>
      </w:pPr>
      <w:r w:rsidRPr="00742FB3">
        <w:rPr>
          <w:rFonts w:ascii="Times New Roman" w:eastAsia="Times New Roman" w:hAnsi="Times New Roman" w:cs="Times New Roman"/>
          <w:b/>
          <w:spacing w:val="-2"/>
          <w:sz w:val="28"/>
          <w:szCs w:val="28"/>
        </w:rPr>
        <w:t xml:space="preserve">Tổng kết việc thi hành </w:t>
      </w:r>
      <w:bookmarkStart w:id="1" w:name="_Hlk209795315"/>
      <w:r w:rsidR="008806C8" w:rsidRPr="00742FB3">
        <w:rPr>
          <w:rFonts w:ascii="Times New Roman" w:eastAsia="Times New Roman" w:hAnsi="Times New Roman" w:cs="Times New Roman"/>
          <w:b/>
          <w:spacing w:val="-2"/>
          <w:sz w:val="28"/>
          <w:szCs w:val="28"/>
        </w:rPr>
        <w:t>Nghị định 124/2013/NĐ-CP về chính sách ưu đãi, hỗ trợ người đi đào tạo trong lĩnh vực năng lượng nguyên tử</w:t>
      </w:r>
      <w:bookmarkEnd w:id="1"/>
    </w:p>
    <w:p w14:paraId="506BE3CB" w14:textId="6EC1D140" w:rsidR="008806C8" w:rsidRPr="00742FB3" w:rsidRDefault="008806C8" w:rsidP="00F66385">
      <w:pPr>
        <w:spacing w:after="0" w:line="240" w:lineRule="auto"/>
        <w:jc w:val="center"/>
        <w:rPr>
          <w:rFonts w:ascii="Times New Roman" w:eastAsia="Times New Roman" w:hAnsi="Times New Roman" w:cs="Times New Roman"/>
          <w:spacing w:val="-2"/>
          <w:sz w:val="28"/>
          <w:szCs w:val="28"/>
        </w:rPr>
      </w:pPr>
    </w:p>
    <w:p w14:paraId="77670EF6" w14:textId="32973132" w:rsidR="00F66385" w:rsidRPr="00742FB3" w:rsidRDefault="00F66385" w:rsidP="00F66385">
      <w:pPr>
        <w:pStyle w:val="BodyText"/>
        <w:spacing w:before="120" w:after="0" w:line="264" w:lineRule="auto"/>
        <w:rPr>
          <w:szCs w:val="28"/>
        </w:rPr>
      </w:pPr>
      <w:r w:rsidRPr="00742FB3">
        <w:rPr>
          <w:szCs w:val="28"/>
        </w:rPr>
        <w:t xml:space="preserve">Thực hiện quy định của Luật Ban hành văn bản quy phạm pháp luật (Luật số 64/2025/QH15), Bộ Giáo dục và Đào tạo (GDĐT) đã tiến hành tổng kết thi hành </w:t>
      </w:r>
      <w:r w:rsidR="008806C8" w:rsidRPr="00742FB3">
        <w:rPr>
          <w:szCs w:val="28"/>
        </w:rPr>
        <w:t xml:space="preserve">Nghị định 124/2013/NĐ-CP </w:t>
      </w:r>
      <w:r w:rsidR="008806C8" w:rsidRPr="00742FB3">
        <w:rPr>
          <w:szCs w:val="28"/>
          <w:lang w:val="en-US"/>
        </w:rPr>
        <w:t>ngày 14/10/2013 của Chính phủ Quy định chính</w:t>
      </w:r>
      <w:r w:rsidR="008806C8" w:rsidRPr="00742FB3">
        <w:rPr>
          <w:szCs w:val="28"/>
        </w:rPr>
        <w:t xml:space="preserve"> sách ưu đãi, hỗ trợ người đi đào tạo trong lĩnh vực năng lượng nguyên tử</w:t>
      </w:r>
      <w:r w:rsidR="00B164E9" w:rsidRPr="00742FB3">
        <w:rPr>
          <w:szCs w:val="28"/>
          <w:lang w:val="en-US"/>
        </w:rPr>
        <w:t xml:space="preserve"> (sau đây gọi là Nghị định </w:t>
      </w:r>
      <w:r w:rsidR="00B164E9" w:rsidRPr="00742FB3">
        <w:rPr>
          <w:szCs w:val="28"/>
        </w:rPr>
        <w:t>124/2013/NĐ-CP</w:t>
      </w:r>
      <w:r w:rsidR="00B164E9" w:rsidRPr="00742FB3">
        <w:rPr>
          <w:szCs w:val="28"/>
          <w:lang w:val="en-US"/>
        </w:rPr>
        <w:t>)</w:t>
      </w:r>
      <w:r w:rsidRPr="00742FB3">
        <w:rPr>
          <w:szCs w:val="28"/>
        </w:rPr>
        <w:t>, có hiệu lực kể từ ngày 01/</w:t>
      </w:r>
      <w:r w:rsidR="008806C8" w:rsidRPr="00742FB3">
        <w:rPr>
          <w:szCs w:val="28"/>
          <w:lang w:val="en-US"/>
        </w:rPr>
        <w:t>12</w:t>
      </w:r>
      <w:r w:rsidRPr="00742FB3">
        <w:rPr>
          <w:szCs w:val="28"/>
        </w:rPr>
        <w:t>/2013. Trên cơ sở tổng kết 1</w:t>
      </w:r>
      <w:r w:rsidR="008806C8" w:rsidRPr="00742FB3">
        <w:rPr>
          <w:szCs w:val="28"/>
        </w:rPr>
        <w:t>2</w:t>
      </w:r>
      <w:r w:rsidRPr="00742FB3">
        <w:rPr>
          <w:szCs w:val="28"/>
        </w:rPr>
        <w:t xml:space="preserve"> năm thực hiện </w:t>
      </w:r>
      <w:r w:rsidR="008806C8" w:rsidRPr="00742FB3">
        <w:rPr>
          <w:szCs w:val="28"/>
        </w:rPr>
        <w:t>Nghị định 124/2013/NĐ-CP</w:t>
      </w:r>
      <w:r w:rsidRPr="00742FB3">
        <w:rPr>
          <w:szCs w:val="28"/>
        </w:rPr>
        <w:t>, Bộ GDĐT báo cáo kết quả như sau:</w:t>
      </w:r>
    </w:p>
    <w:p w14:paraId="6764013E" w14:textId="77777777" w:rsidR="008806C8" w:rsidRPr="00742FB3" w:rsidRDefault="008806C8" w:rsidP="008806C8">
      <w:pPr>
        <w:pStyle w:val="BodyText"/>
        <w:spacing w:before="120" w:after="0" w:line="264" w:lineRule="auto"/>
        <w:rPr>
          <w:b/>
          <w:szCs w:val="28"/>
        </w:rPr>
      </w:pPr>
      <w:bookmarkStart w:id="2" w:name="_Hlk198719312"/>
      <w:r w:rsidRPr="00742FB3">
        <w:rPr>
          <w:b/>
          <w:szCs w:val="28"/>
        </w:rPr>
        <w:t>I. BỐI CẢNH THỰC HIỆN TỔNG KẾT</w:t>
      </w:r>
    </w:p>
    <w:p w14:paraId="02908556" w14:textId="6BFF0C63" w:rsidR="008806C8" w:rsidRPr="00742FB3" w:rsidRDefault="008806C8" w:rsidP="008806C8">
      <w:pPr>
        <w:pStyle w:val="BodyText"/>
        <w:spacing w:before="120" w:after="0" w:line="264" w:lineRule="auto"/>
        <w:rPr>
          <w:b/>
          <w:szCs w:val="28"/>
        </w:rPr>
      </w:pPr>
      <w:r w:rsidRPr="00742FB3">
        <w:rPr>
          <w:b/>
          <w:szCs w:val="28"/>
        </w:rPr>
        <w:t>1. Bối cảnh trong nước và quốc tế liên quan đến Nghị định 124</w:t>
      </w:r>
    </w:p>
    <w:p w14:paraId="21994092" w14:textId="354ACE23" w:rsidR="008806C8" w:rsidRPr="00742FB3" w:rsidRDefault="008806C8" w:rsidP="008806C8">
      <w:pPr>
        <w:pStyle w:val="BodyText"/>
        <w:spacing w:before="120" w:after="0" w:line="264" w:lineRule="auto"/>
        <w:rPr>
          <w:szCs w:val="28"/>
          <w:lang w:val="en-US"/>
        </w:rPr>
      </w:pPr>
      <w:r w:rsidRPr="00742FB3">
        <w:rPr>
          <w:szCs w:val="28"/>
        </w:rPr>
        <w:t xml:space="preserve">Thế giới đang trong quá trình toàn cầu hóa và hội nhập quốc tế với nhiều chuyển biến phức tạp, vừa tạo ra cơ hội vừa đặt ra thách thức. Sự đa cực hóa về chính trị, đa dạng hóa về kinh tế - văn hóa, và số hóa trong đời sống xã hội đã làm tăng tính phụ thuộc và chuyển hóa lẫn nhau giữa các quốc gia, đồng thời phức tạp hóa các mối quan hệ hợp tác và đấu tranh. Cuộc Cách mạng công nghiệp lần thứ tư cùng tiến bộ khoa học - công nghệ đã </w:t>
      </w:r>
      <w:r w:rsidR="00E454AA" w:rsidRPr="00742FB3">
        <w:rPr>
          <w:szCs w:val="28"/>
          <w:lang w:val="en-US"/>
        </w:rPr>
        <w:t>dẫn tới s</w:t>
      </w:r>
      <w:r w:rsidRPr="00742FB3">
        <w:rPr>
          <w:szCs w:val="28"/>
        </w:rPr>
        <w:t>ự xuất hiện của các chủ thể mới như doanh nghiệp, tổ chức xã hội, và cá nhân trong không gian trực tuyến</w:t>
      </w:r>
      <w:r w:rsidR="00E454AA" w:rsidRPr="00742FB3">
        <w:rPr>
          <w:szCs w:val="28"/>
          <w:lang w:val="en-US"/>
        </w:rPr>
        <w:t>, điều này</w:t>
      </w:r>
      <w:r w:rsidRPr="00742FB3">
        <w:rPr>
          <w:szCs w:val="28"/>
        </w:rPr>
        <w:t xml:space="preserve"> đã thúc đẩy sự tương tác bình đẳng hơn giữa người dân và chính phủ, </w:t>
      </w:r>
      <w:r w:rsidR="00E454AA" w:rsidRPr="00742FB3">
        <w:rPr>
          <w:szCs w:val="28"/>
          <w:lang w:val="en-US"/>
        </w:rPr>
        <w:t>nhưng nó cũng làm</w:t>
      </w:r>
      <w:r w:rsidR="003C07A2" w:rsidRPr="00742FB3">
        <w:rPr>
          <w:szCs w:val="28"/>
          <w:lang w:val="en-US"/>
        </w:rPr>
        <w:t xml:space="preserve"> gia tăng </w:t>
      </w:r>
      <w:r w:rsidR="00761A95" w:rsidRPr="00742FB3">
        <w:rPr>
          <w:szCs w:val="28"/>
          <w:lang w:val="en-US"/>
        </w:rPr>
        <w:t xml:space="preserve">mạnh </w:t>
      </w:r>
      <w:r w:rsidR="003C07A2" w:rsidRPr="00742FB3">
        <w:rPr>
          <w:szCs w:val="28"/>
          <w:lang w:val="en-US"/>
        </w:rPr>
        <w:t xml:space="preserve">nhu cầu </w:t>
      </w:r>
      <w:r w:rsidR="00E454AA" w:rsidRPr="00742FB3">
        <w:rPr>
          <w:szCs w:val="28"/>
          <w:lang w:val="en-US"/>
        </w:rPr>
        <w:t xml:space="preserve">về </w:t>
      </w:r>
      <w:r w:rsidR="003C07A2" w:rsidRPr="00742FB3">
        <w:rPr>
          <w:szCs w:val="28"/>
          <w:lang w:val="en-US"/>
        </w:rPr>
        <w:t>năng lượng</w:t>
      </w:r>
      <w:r w:rsidR="00E454AA" w:rsidRPr="00742FB3">
        <w:rPr>
          <w:szCs w:val="28"/>
          <w:lang w:val="en-US"/>
        </w:rPr>
        <w:t xml:space="preserve">. Và </w:t>
      </w:r>
      <w:r w:rsidR="003C07A2" w:rsidRPr="00742FB3">
        <w:rPr>
          <w:szCs w:val="28"/>
          <w:lang w:val="en-US"/>
        </w:rPr>
        <w:t>vấn đề đảm bảo an ninh năng lượng, giảm sự phụ thuộc của nhiên liệu hóa thạch, giảm ô nhiễm môi trường</w:t>
      </w:r>
      <w:r w:rsidR="00E454AA" w:rsidRPr="00742FB3">
        <w:rPr>
          <w:szCs w:val="28"/>
          <w:lang w:val="en-US"/>
        </w:rPr>
        <w:t xml:space="preserve"> ngày càng đặt ra cấp bách hơn</w:t>
      </w:r>
      <w:r w:rsidR="003C07A2" w:rsidRPr="00742FB3">
        <w:rPr>
          <w:szCs w:val="28"/>
          <w:lang w:val="en-US"/>
        </w:rPr>
        <w:t xml:space="preserve">. Điều này đang đặt ra </w:t>
      </w:r>
      <w:r w:rsidR="003F066D" w:rsidRPr="00742FB3">
        <w:rPr>
          <w:szCs w:val="28"/>
          <w:lang w:val="en-US"/>
        </w:rPr>
        <w:t>cho mỗi quốc gia cần có sự lựa chọn phù hợp</w:t>
      </w:r>
      <w:r w:rsidR="00761A95" w:rsidRPr="00742FB3">
        <w:rPr>
          <w:szCs w:val="28"/>
          <w:lang w:val="en-US"/>
        </w:rPr>
        <w:t xml:space="preserve"> cho vấn đề đảm bảo năng lượng của quốc gia mình</w:t>
      </w:r>
      <w:r w:rsidR="003F066D" w:rsidRPr="00742FB3">
        <w:rPr>
          <w:szCs w:val="28"/>
          <w:lang w:val="en-US"/>
        </w:rPr>
        <w:t>.</w:t>
      </w:r>
      <w:r w:rsidR="00AD3110" w:rsidRPr="00742FB3">
        <w:rPr>
          <w:szCs w:val="28"/>
          <w:lang w:val="en-US"/>
        </w:rPr>
        <w:t xml:space="preserve"> </w:t>
      </w:r>
    </w:p>
    <w:p w14:paraId="0B61A360" w14:textId="77777777" w:rsidR="008E0420" w:rsidRPr="00742FB3" w:rsidRDefault="008E0420" w:rsidP="008E0420">
      <w:pPr>
        <w:pStyle w:val="BodyText"/>
        <w:spacing w:before="120" w:after="0" w:line="264" w:lineRule="auto"/>
        <w:rPr>
          <w:i/>
          <w:szCs w:val="28"/>
          <w:lang w:val="en-US"/>
        </w:rPr>
      </w:pPr>
      <w:r w:rsidRPr="00742FB3">
        <w:rPr>
          <w:i/>
          <w:szCs w:val="28"/>
          <w:lang w:val="en-US"/>
        </w:rPr>
        <w:t>1.1. Kinh tế thế giới và trong nước</w:t>
      </w:r>
    </w:p>
    <w:p w14:paraId="1BA3D237" w14:textId="77777777" w:rsidR="00AD3110" w:rsidRPr="00742FB3" w:rsidRDefault="008E0420" w:rsidP="008E0420">
      <w:pPr>
        <w:pStyle w:val="BodyText"/>
        <w:spacing w:before="120" w:after="0" w:line="264" w:lineRule="auto"/>
        <w:rPr>
          <w:szCs w:val="28"/>
          <w:lang w:val="en-US"/>
        </w:rPr>
      </w:pPr>
      <w:r w:rsidRPr="00742FB3">
        <w:rPr>
          <w:szCs w:val="28"/>
          <w:lang w:val="en-US"/>
        </w:rPr>
        <w:t xml:space="preserve">Toàn cầu hóa kinh tế đang trở thành xu thế tất yếu, đóng vai trò quan trọng trong phát triển kinh tế toàn cầu. Cách mạng công nghiệp lần thứ tư, với trọng tâm là chuyển đổi số và chuyển đổi xanh, đang định hình sự phát triển kinh tế thế giới. Các nước phát triển đã thiết lập nhiều tiêu chuẩn mới về kinh tế số, trí tuệ nhân tạo, kinh tế xanh, và giảm phát thải các-bon, đồng thời áp dụng các chính sách như thuế doanh nghiệp tối thiểu toàn cầu và thuế các-bon. Những quy định này tạo ra các nguyên tắc chưa có tiền lệ trong thương mại và đầu tư, vừa mang lại cơ hội nhưng cũng đặt ra thách thức lớn, đặc biệt là đối với các nước đang phát triển trong việc </w:t>
      </w:r>
      <w:r w:rsidRPr="00742FB3">
        <w:rPr>
          <w:szCs w:val="28"/>
          <w:lang w:val="en-US"/>
        </w:rPr>
        <w:lastRenderedPageBreak/>
        <w:t>thực thi và duy trì khả năng cạnh tranh.</w:t>
      </w:r>
      <w:r w:rsidR="00E454AA" w:rsidRPr="00742FB3">
        <w:rPr>
          <w:szCs w:val="28"/>
          <w:lang w:val="en-US"/>
        </w:rPr>
        <w:t xml:space="preserve"> Trong đó có vấn đề về hình thành, duy trì bà phát triển </w:t>
      </w:r>
      <w:r w:rsidR="005D68BF" w:rsidRPr="00742FB3">
        <w:rPr>
          <w:szCs w:val="28"/>
          <w:lang w:val="en-US"/>
        </w:rPr>
        <w:t>“</w:t>
      </w:r>
      <w:r w:rsidR="00E454AA" w:rsidRPr="00742FB3">
        <w:rPr>
          <w:szCs w:val="28"/>
          <w:lang w:val="en-US"/>
        </w:rPr>
        <w:t>năng lượng sạch</w:t>
      </w:r>
      <w:r w:rsidR="005D68BF" w:rsidRPr="00742FB3">
        <w:rPr>
          <w:szCs w:val="28"/>
          <w:lang w:val="en-US"/>
        </w:rPr>
        <w:t>”</w:t>
      </w:r>
      <w:r w:rsidR="00E454AA" w:rsidRPr="00742FB3">
        <w:rPr>
          <w:szCs w:val="28"/>
          <w:lang w:val="en-US"/>
        </w:rPr>
        <w:t>.</w:t>
      </w:r>
      <w:r w:rsidR="00AD3110" w:rsidRPr="00742FB3">
        <w:rPr>
          <w:szCs w:val="28"/>
          <w:lang w:val="en-US"/>
        </w:rPr>
        <w:t xml:space="preserve"> </w:t>
      </w:r>
    </w:p>
    <w:p w14:paraId="3BC559A4" w14:textId="78B034E8" w:rsidR="008E0420" w:rsidRPr="00742FB3" w:rsidRDefault="00AD3110" w:rsidP="008E0420">
      <w:pPr>
        <w:pStyle w:val="BodyText"/>
        <w:spacing w:before="120" w:after="0" w:line="264" w:lineRule="auto"/>
        <w:rPr>
          <w:szCs w:val="28"/>
          <w:lang w:val="en-US"/>
        </w:rPr>
      </w:pPr>
      <w:r w:rsidRPr="00742FB3">
        <w:rPr>
          <w:szCs w:val="28"/>
          <w:lang w:val="en-US"/>
        </w:rPr>
        <w:t xml:space="preserve">Đối với Việt Nam, </w:t>
      </w:r>
      <w:r w:rsidR="009C1B91" w:rsidRPr="00742FB3">
        <w:rPr>
          <w:szCs w:val="28"/>
          <w:lang w:val="en-US"/>
        </w:rPr>
        <w:t xml:space="preserve">cùng với sự phát triển nhanh chóng của nền kinh tế, sự hình thành và mở rộng của các khu công nghiệp, các trung tâm dữ liệu lớn diễn ra ngày càng mạnh mẽ. Song hành với quá trình này là sự gia tăng đột biến về nhu cầu năng lượng, đặc biệt là điện năng, nhằm đáp ứng cho sản xuất, kinh doanh và các dịch vụ hạ tầng số. </w:t>
      </w:r>
    </w:p>
    <w:p w14:paraId="1D0CB229" w14:textId="77777777" w:rsidR="008E0420" w:rsidRPr="00742FB3" w:rsidRDefault="008E0420" w:rsidP="008E0420">
      <w:pPr>
        <w:pStyle w:val="BodyText"/>
        <w:spacing w:before="120" w:after="0" w:line="264" w:lineRule="auto"/>
        <w:rPr>
          <w:i/>
          <w:szCs w:val="28"/>
          <w:lang w:val="en-US"/>
        </w:rPr>
      </w:pPr>
      <w:r w:rsidRPr="00742FB3">
        <w:rPr>
          <w:i/>
          <w:szCs w:val="28"/>
          <w:lang w:val="en-US"/>
        </w:rPr>
        <w:t>1.2. Khoa học, công nghệ và đổi mới sáng tạo</w:t>
      </w:r>
    </w:p>
    <w:p w14:paraId="0B1B909C" w14:textId="712A97A4" w:rsidR="008E0420" w:rsidRPr="00742FB3" w:rsidRDefault="008E0420" w:rsidP="00DC7F35">
      <w:pPr>
        <w:pStyle w:val="BodyText"/>
        <w:spacing w:before="120" w:after="0" w:line="276" w:lineRule="auto"/>
        <w:rPr>
          <w:szCs w:val="28"/>
          <w:lang w:val="en-US"/>
        </w:rPr>
      </w:pPr>
      <w:r w:rsidRPr="00742FB3">
        <w:rPr>
          <w:szCs w:val="28"/>
          <w:lang w:val="en-US"/>
        </w:rPr>
        <w:t>Thế giới đang trải qua những biến đổi lớn về chính trị và kinh tế, với sự thay đổi trong quan hệ quốc tế và vai trò của các nhà lãnh đạo. Tự chủ trong khoa học, công nghệ và đổi mới sáng tạo trở thành yếu tố then chốt giúp các quốc gia và tổ chức duy trì độc lập, kiểm soát các quyết định quan trọng, và phát triển công nghệ chiến lược. Trong bối cảnh công nghệ mới phát triển nhanh chóng và cạnh tranh ngày càng khốc liệt, tự chủ về nghiên cứu và phát triển giúp đảm bảo lợi thế cạnh tranh và giảm sự phụ thuộc vào nguồn công nghệ bên ngoài. Đồng thời, chuỗi cung ứng toàn cầu phức tạp khiến tự chủ trong khoa học, công nghệ và đổi mới sáng tạo trở nên cần thiết để kiểm soát sản xuất, cung ứng sản phẩm, và giảm thiểu rủi ro từ các gián đoạn chuỗi cung ứng.</w:t>
      </w:r>
      <w:r w:rsidR="005D68BF" w:rsidRPr="00742FB3">
        <w:rPr>
          <w:szCs w:val="28"/>
          <w:lang w:val="en-US"/>
        </w:rPr>
        <w:t xml:space="preserve"> </w:t>
      </w:r>
      <w:r w:rsidR="00644574" w:rsidRPr="00742FB3">
        <w:rPr>
          <w:szCs w:val="28"/>
          <w:lang w:val="en-US"/>
        </w:rPr>
        <w:t>Đ</w:t>
      </w:r>
      <w:r w:rsidR="00B213CD" w:rsidRPr="00742FB3">
        <w:rPr>
          <w:szCs w:val="28"/>
          <w:lang w:val="en-US"/>
        </w:rPr>
        <w:t xml:space="preserve">ối với lĩnh vực năng lượng, khoa học công nghệ đã thúc đẩy sự phát triển các nguồn năng lượng mới, năng lượng sạch, hiệu suất cao, ít phát thải; thúc đẩy các công nghệ lưu trữ, kích thước nhỏ, công xuất lớn; thúc đẩy các thiết bị sử dụng năng lượng tiết kiệm và tuần hoàn. </w:t>
      </w:r>
      <w:r w:rsidR="005D68BF" w:rsidRPr="00742FB3">
        <w:rPr>
          <w:szCs w:val="28"/>
          <w:lang w:val="en-US"/>
        </w:rPr>
        <w:t xml:space="preserve">Đối với năng lượng hạt nhân, các tiến bộ khoa học kỹ thuật đã giúp cải thiện hiệu </w:t>
      </w:r>
      <w:r w:rsidR="00B213CD" w:rsidRPr="00742FB3">
        <w:rPr>
          <w:szCs w:val="28"/>
          <w:lang w:val="en-US"/>
        </w:rPr>
        <w:t>s</w:t>
      </w:r>
      <w:r w:rsidR="005D68BF" w:rsidRPr="00742FB3">
        <w:rPr>
          <w:szCs w:val="28"/>
          <w:lang w:val="en-US"/>
        </w:rPr>
        <w:t>uất, gia tăng độ an toàn của các nhà máy điện hạt nhân nhưng nó cũng đòi hỏi nguồn nhân lực chất lượng cao cho việc nghiên cứu, xây dựng và vận hành.</w:t>
      </w:r>
    </w:p>
    <w:p w14:paraId="3B876F9D" w14:textId="41D6F8E1" w:rsidR="008E0420" w:rsidRPr="00742FB3" w:rsidRDefault="008E0420" w:rsidP="008E0420">
      <w:pPr>
        <w:pStyle w:val="BodyText"/>
        <w:spacing w:before="120" w:after="0" w:line="264" w:lineRule="auto"/>
        <w:rPr>
          <w:i/>
          <w:szCs w:val="28"/>
          <w:lang w:val="en-US"/>
        </w:rPr>
      </w:pPr>
      <w:r w:rsidRPr="00742FB3">
        <w:rPr>
          <w:i/>
          <w:szCs w:val="28"/>
          <w:lang w:val="en-US"/>
        </w:rPr>
        <w:t>1.3. Xu hướng phát triển và sử dụng năng lượng</w:t>
      </w:r>
    </w:p>
    <w:p w14:paraId="636A1704" w14:textId="0C277310" w:rsidR="00B865CD" w:rsidRPr="00742FB3" w:rsidRDefault="00B865CD" w:rsidP="008E0420">
      <w:pPr>
        <w:pStyle w:val="BodyText"/>
        <w:spacing w:before="120" w:after="0" w:line="264" w:lineRule="auto"/>
        <w:rPr>
          <w:szCs w:val="28"/>
          <w:lang w:val="en-US"/>
        </w:rPr>
      </w:pPr>
      <w:r w:rsidRPr="00742FB3">
        <w:rPr>
          <w:szCs w:val="28"/>
          <w:lang w:val="en-US"/>
        </w:rPr>
        <w:t>Thế giới đang chuyển dịch sang mô hình năng lượng sạch, tái tạo, tiết kiệm và thông minh hơn, nhằm giảm phát thải khí nhà kính, đảm bảo an ninh năng lượng và phát triển bền vững.</w:t>
      </w:r>
      <w:r w:rsidR="00B125D8" w:rsidRPr="00742FB3">
        <w:rPr>
          <w:szCs w:val="28"/>
          <w:lang w:val="en-US"/>
        </w:rPr>
        <w:t xml:space="preserve"> </w:t>
      </w:r>
      <w:r w:rsidR="005A3F66" w:rsidRPr="00742FB3">
        <w:rPr>
          <w:szCs w:val="28"/>
          <w:lang w:val="en-US"/>
        </w:rPr>
        <w:t>Trong đó có các xu thế chủ đạo</w:t>
      </w:r>
      <w:r w:rsidR="002D4D87" w:rsidRPr="00742FB3">
        <w:rPr>
          <w:szCs w:val="28"/>
          <w:lang w:val="en-US"/>
        </w:rPr>
        <w:t xml:space="preserve"> để phát triển và sử dụng năng lượng gồm</w:t>
      </w:r>
      <w:r w:rsidR="005A3F66" w:rsidRPr="00742FB3">
        <w:rPr>
          <w:szCs w:val="28"/>
          <w:lang w:val="en-US"/>
        </w:rPr>
        <w:t>:</w:t>
      </w:r>
    </w:p>
    <w:p w14:paraId="70AE0C64" w14:textId="2591C3E7" w:rsidR="005A3F66" w:rsidRPr="00742FB3" w:rsidRDefault="002D4D87" w:rsidP="002D4D87">
      <w:pPr>
        <w:pStyle w:val="BodyText"/>
        <w:spacing w:before="120" w:after="0" w:line="264" w:lineRule="auto"/>
        <w:rPr>
          <w:szCs w:val="28"/>
          <w:lang w:val="en-US"/>
        </w:rPr>
      </w:pPr>
      <w:r w:rsidRPr="00742FB3">
        <w:rPr>
          <w:szCs w:val="28"/>
          <w:lang w:val="en-US"/>
        </w:rPr>
        <w:t xml:space="preserve">- </w:t>
      </w:r>
      <w:r w:rsidR="005A3F66" w:rsidRPr="00742FB3">
        <w:rPr>
          <w:szCs w:val="28"/>
          <w:lang w:val="en-US"/>
        </w:rPr>
        <w:t>Gia tăng năng lượng tái tạo, giảm dần năng lượng hóa thạch: Điện mặt trời, điện gió, sinh khối phát triển mạnh với chi phí công nghệ giảm, hiệu suất tăng</w:t>
      </w:r>
      <w:r w:rsidRPr="00742FB3">
        <w:rPr>
          <w:szCs w:val="28"/>
          <w:lang w:val="en-US"/>
        </w:rPr>
        <w:t>; t</w:t>
      </w:r>
      <w:r w:rsidR="005A3F66" w:rsidRPr="00742FB3">
        <w:rPr>
          <w:szCs w:val="28"/>
          <w:lang w:val="en-US"/>
        </w:rPr>
        <w:t>han đá bị loại bỏ dần vì phát thải CO₂ cao</w:t>
      </w:r>
      <w:r w:rsidRPr="00742FB3">
        <w:rPr>
          <w:szCs w:val="28"/>
          <w:lang w:val="en-US"/>
        </w:rPr>
        <w:t xml:space="preserve">, dầu mỏ giảm vai trò trong giao thông do xe điện phát triển, khí tự nhiên giữ vai trò là “nhiên liệu chuyển tiếp”. </w:t>
      </w:r>
      <w:r w:rsidR="005A3F66" w:rsidRPr="00742FB3">
        <w:rPr>
          <w:szCs w:val="28"/>
          <w:lang w:val="en-US"/>
        </w:rPr>
        <w:t>Hiện nhiều quốc gia cam kết nâng tỷ trọng năng lượng tái tạo trong tổng cung năng lượng</w:t>
      </w:r>
      <w:r w:rsidRPr="00742FB3">
        <w:rPr>
          <w:szCs w:val="28"/>
          <w:lang w:val="en-US"/>
        </w:rPr>
        <w:t xml:space="preserve"> để đáp ứng các hiệp định khí hậu (COP, Net Zero 2050) và cơ chế thuế carbon, tín chỉ carbon.</w:t>
      </w:r>
    </w:p>
    <w:p w14:paraId="16A97350" w14:textId="51E1DC4E" w:rsidR="005A3F66" w:rsidRPr="00742FB3" w:rsidRDefault="002D4D87" w:rsidP="005A3F66">
      <w:pPr>
        <w:pStyle w:val="BodyText"/>
        <w:spacing w:before="120" w:after="0" w:line="264" w:lineRule="auto"/>
        <w:rPr>
          <w:szCs w:val="28"/>
          <w:lang w:val="en-US"/>
        </w:rPr>
      </w:pPr>
      <w:r w:rsidRPr="00742FB3">
        <w:rPr>
          <w:szCs w:val="28"/>
          <w:lang w:val="en-US"/>
        </w:rPr>
        <w:lastRenderedPageBreak/>
        <w:t xml:space="preserve">- </w:t>
      </w:r>
      <w:r w:rsidR="005A3F66" w:rsidRPr="00742FB3">
        <w:rPr>
          <w:szCs w:val="28"/>
          <w:lang w:val="en-US"/>
        </w:rPr>
        <w:t>Điện khí hóa và giao thông xanh</w:t>
      </w:r>
      <w:r w:rsidRPr="00742FB3">
        <w:rPr>
          <w:szCs w:val="28"/>
          <w:lang w:val="en-US"/>
        </w:rPr>
        <w:t xml:space="preserve">: </w:t>
      </w:r>
      <w:r w:rsidR="005A3F66" w:rsidRPr="00742FB3">
        <w:rPr>
          <w:szCs w:val="28"/>
          <w:lang w:val="en-US"/>
        </w:rPr>
        <w:t>Xe điện, xe hybrid, pin nhiên liệu hydro phát triển mạnh</w:t>
      </w:r>
      <w:r w:rsidRPr="00742FB3">
        <w:rPr>
          <w:szCs w:val="28"/>
          <w:lang w:val="en-US"/>
        </w:rPr>
        <w:t xml:space="preserve">; </w:t>
      </w:r>
      <w:r w:rsidR="005A3F66" w:rsidRPr="00742FB3">
        <w:rPr>
          <w:szCs w:val="28"/>
          <w:lang w:val="en-US"/>
        </w:rPr>
        <w:t>Điện khí hóa các ngành công nghiệp và sinh hoạt để giảm phụ thuộc nhiên liệu hóa thạch.</w:t>
      </w:r>
    </w:p>
    <w:p w14:paraId="2F243E55" w14:textId="417D98DA" w:rsidR="005A3F66" w:rsidRPr="00742FB3" w:rsidRDefault="002D4D87" w:rsidP="005A3F66">
      <w:pPr>
        <w:pStyle w:val="BodyText"/>
        <w:spacing w:before="120" w:after="0" w:line="264" w:lineRule="auto"/>
        <w:rPr>
          <w:szCs w:val="28"/>
          <w:lang w:val="en-US"/>
        </w:rPr>
      </w:pPr>
      <w:r w:rsidRPr="00742FB3">
        <w:rPr>
          <w:szCs w:val="28"/>
          <w:lang w:val="en-US"/>
        </w:rPr>
        <w:t xml:space="preserve">- </w:t>
      </w:r>
      <w:r w:rsidR="005A3F66" w:rsidRPr="00742FB3">
        <w:rPr>
          <w:szCs w:val="28"/>
          <w:lang w:val="en-US"/>
        </w:rPr>
        <w:t xml:space="preserve">Công nghệ lưu trữ </w:t>
      </w:r>
      <w:r w:rsidRPr="00742FB3">
        <w:rPr>
          <w:szCs w:val="28"/>
          <w:lang w:val="en-US"/>
        </w:rPr>
        <w:t>và</w:t>
      </w:r>
      <w:r w:rsidR="005A3F66" w:rsidRPr="00742FB3">
        <w:rPr>
          <w:szCs w:val="28"/>
          <w:lang w:val="en-US"/>
        </w:rPr>
        <w:t xml:space="preserve"> lưới điện thông minh</w:t>
      </w:r>
      <w:r w:rsidRPr="00742FB3">
        <w:rPr>
          <w:szCs w:val="28"/>
          <w:lang w:val="en-US"/>
        </w:rPr>
        <w:t xml:space="preserve">: </w:t>
      </w:r>
      <w:r w:rsidR="005A3F66" w:rsidRPr="00742FB3">
        <w:rPr>
          <w:szCs w:val="28"/>
          <w:lang w:val="en-US"/>
        </w:rPr>
        <w:t>Pin lưu trữ quy mô lớn để khắc phục tính không ổn định của điện gió, mặt trời</w:t>
      </w:r>
      <w:r w:rsidRPr="00742FB3">
        <w:rPr>
          <w:szCs w:val="28"/>
          <w:lang w:val="en-US"/>
        </w:rPr>
        <w:t xml:space="preserve">; </w:t>
      </w:r>
      <w:r w:rsidR="005A3F66" w:rsidRPr="00742FB3">
        <w:rPr>
          <w:szCs w:val="28"/>
          <w:lang w:val="en-US"/>
        </w:rPr>
        <w:t>Lưới điện thông minh giúp quản lý hiệu quả, tối ưu cung – cầu.</w:t>
      </w:r>
    </w:p>
    <w:p w14:paraId="145F64EC" w14:textId="77777777" w:rsidR="002D4D87" w:rsidRPr="00742FB3" w:rsidRDefault="002D4D87" w:rsidP="005A3F66">
      <w:pPr>
        <w:pStyle w:val="BodyText"/>
        <w:spacing w:before="120" w:after="0" w:line="264" w:lineRule="auto"/>
        <w:rPr>
          <w:szCs w:val="28"/>
          <w:lang w:val="en-US"/>
        </w:rPr>
      </w:pPr>
      <w:r w:rsidRPr="00742FB3">
        <w:rPr>
          <w:szCs w:val="28"/>
          <w:lang w:val="en-US"/>
        </w:rPr>
        <w:t xml:space="preserve">- </w:t>
      </w:r>
      <w:r w:rsidR="005A3F66" w:rsidRPr="00742FB3">
        <w:rPr>
          <w:szCs w:val="28"/>
          <w:lang w:val="en-US"/>
        </w:rPr>
        <w:t>Hydro và năng lượng mới nổi</w:t>
      </w:r>
      <w:r w:rsidRPr="00742FB3">
        <w:rPr>
          <w:szCs w:val="28"/>
          <w:lang w:val="en-US"/>
        </w:rPr>
        <w:t xml:space="preserve">: </w:t>
      </w:r>
      <w:r w:rsidR="005A3F66" w:rsidRPr="00742FB3">
        <w:rPr>
          <w:szCs w:val="28"/>
          <w:lang w:val="en-US"/>
        </w:rPr>
        <w:t>Hydro xanh được coi là năng lượng sạch tiềm năng cho công nghiệp nặng, vận tải biển, hàng không</w:t>
      </w:r>
      <w:r w:rsidRPr="00742FB3">
        <w:rPr>
          <w:szCs w:val="28"/>
          <w:lang w:val="en-US"/>
        </w:rPr>
        <w:t xml:space="preserve">; </w:t>
      </w:r>
      <w:r w:rsidR="005A3F66" w:rsidRPr="00742FB3">
        <w:rPr>
          <w:szCs w:val="28"/>
          <w:lang w:val="en-US"/>
        </w:rPr>
        <w:t>Nghiên cứu</w:t>
      </w:r>
      <w:r w:rsidRPr="00742FB3">
        <w:rPr>
          <w:szCs w:val="28"/>
          <w:lang w:val="en-US"/>
        </w:rPr>
        <w:t xml:space="preserve"> lò phản ứng</w:t>
      </w:r>
      <w:r w:rsidR="005A3F66" w:rsidRPr="00742FB3">
        <w:rPr>
          <w:szCs w:val="28"/>
          <w:lang w:val="en-US"/>
        </w:rPr>
        <w:t xml:space="preserve"> hạt nhân thế hệ mới (SMR, nhiệt hạch).</w:t>
      </w:r>
      <w:r w:rsidRPr="00742FB3">
        <w:rPr>
          <w:szCs w:val="28"/>
          <w:lang w:val="en-US"/>
        </w:rPr>
        <w:t xml:space="preserve"> </w:t>
      </w:r>
    </w:p>
    <w:p w14:paraId="3D8D8F9B" w14:textId="77777777" w:rsidR="00F21884" w:rsidRPr="00742FB3" w:rsidRDefault="002D4D87" w:rsidP="002D4D87">
      <w:pPr>
        <w:pStyle w:val="BodyText"/>
        <w:spacing w:before="120" w:after="0" w:line="264" w:lineRule="auto"/>
        <w:rPr>
          <w:szCs w:val="28"/>
          <w:lang w:val="en-US"/>
        </w:rPr>
      </w:pPr>
      <w:r w:rsidRPr="00742FB3">
        <w:rPr>
          <w:szCs w:val="28"/>
          <w:lang w:val="en-US"/>
        </w:rPr>
        <w:t xml:space="preserve">Trong nghiên cứu hạt nhân thế hệ mới hiện nay tập trung vào hai hướng chính: lò phản ứng hạt nhân mô-đun nhỏ (SMR) và nhiệt hạch hạt nhân. Đây đều được coi là giải pháp tiềm năng cho bài toán năng lượng sạch, bền vững và an toàn hơn so với công nghệ hạt nhân truyền thống. </w:t>
      </w:r>
    </w:p>
    <w:p w14:paraId="2ADAF691" w14:textId="0A3565C3" w:rsidR="002D4D87" w:rsidRPr="00742FB3" w:rsidRDefault="002D4D87" w:rsidP="002D4D87">
      <w:pPr>
        <w:pStyle w:val="BodyText"/>
        <w:spacing w:before="120" w:after="0" w:line="264" w:lineRule="auto"/>
        <w:rPr>
          <w:szCs w:val="28"/>
          <w:lang w:val="en-US"/>
        </w:rPr>
      </w:pPr>
      <w:r w:rsidRPr="00742FB3">
        <w:rPr>
          <w:szCs w:val="28"/>
          <w:lang w:val="en-US"/>
        </w:rPr>
        <w:t>Lò phản ứng hạt nhân mô-đun nhỏ (SMR – Small Modular Reactors): Thiết kế nhỏ gọn, linh hoạt công suất từ vài chục đến vài trăm MW, dễ dàng lắp đặt ở nhiều khu vực khác nhau, kể cả vùng xa trung tâm</w:t>
      </w:r>
      <w:r w:rsidR="00F21884" w:rsidRPr="00742FB3">
        <w:rPr>
          <w:szCs w:val="28"/>
          <w:lang w:val="en-US"/>
        </w:rPr>
        <w:t>; A</w:t>
      </w:r>
      <w:r w:rsidRPr="00742FB3">
        <w:rPr>
          <w:szCs w:val="28"/>
          <w:lang w:val="en-US"/>
        </w:rPr>
        <w:t>n toàn hơn</w:t>
      </w:r>
      <w:r w:rsidR="00F21884" w:rsidRPr="00742FB3">
        <w:rPr>
          <w:szCs w:val="28"/>
          <w:lang w:val="en-US"/>
        </w:rPr>
        <w:t>, các</w:t>
      </w:r>
      <w:r w:rsidRPr="00742FB3">
        <w:rPr>
          <w:szCs w:val="28"/>
          <w:lang w:val="en-US"/>
        </w:rPr>
        <w:t xml:space="preserve"> thiết kế SMR sử dụng cơ chế an toàn thụ động (không cần sự can thiệp của con người khi có sự cố)</w:t>
      </w:r>
      <w:r w:rsidR="00F21884" w:rsidRPr="00742FB3">
        <w:rPr>
          <w:szCs w:val="28"/>
          <w:lang w:val="en-US"/>
        </w:rPr>
        <w:t xml:space="preserve">; </w:t>
      </w:r>
      <w:r w:rsidRPr="00742FB3">
        <w:rPr>
          <w:szCs w:val="28"/>
          <w:lang w:val="en-US"/>
        </w:rPr>
        <w:t>Chi phí đầu tư và xây dựng thấp hơn</w:t>
      </w:r>
      <w:r w:rsidR="00F21884" w:rsidRPr="00742FB3">
        <w:rPr>
          <w:szCs w:val="28"/>
          <w:lang w:val="en-US"/>
        </w:rPr>
        <w:t>, d</w:t>
      </w:r>
      <w:r w:rsidRPr="00742FB3">
        <w:rPr>
          <w:szCs w:val="28"/>
          <w:lang w:val="en-US"/>
        </w:rPr>
        <w:t>o được chế tạo theo mô-đun, có thể sản xuất hàng loạt và rút ngắn thời gian lắp đặt</w:t>
      </w:r>
      <w:r w:rsidR="00F21884" w:rsidRPr="00742FB3">
        <w:rPr>
          <w:szCs w:val="28"/>
          <w:lang w:val="en-US"/>
        </w:rPr>
        <w:t xml:space="preserve">; </w:t>
      </w:r>
      <w:r w:rsidRPr="00742FB3">
        <w:rPr>
          <w:szCs w:val="28"/>
          <w:lang w:val="en-US"/>
        </w:rPr>
        <w:t>Ứng dụng đa dạng</w:t>
      </w:r>
      <w:r w:rsidR="00F21884" w:rsidRPr="00742FB3">
        <w:rPr>
          <w:szCs w:val="28"/>
          <w:lang w:val="en-US"/>
        </w:rPr>
        <w:t>,</w:t>
      </w:r>
      <w:r w:rsidRPr="00742FB3">
        <w:rPr>
          <w:szCs w:val="28"/>
          <w:lang w:val="en-US"/>
        </w:rPr>
        <w:t xml:space="preserve"> </w:t>
      </w:r>
      <w:r w:rsidR="00F21884" w:rsidRPr="00742FB3">
        <w:rPr>
          <w:szCs w:val="28"/>
          <w:lang w:val="en-US"/>
        </w:rPr>
        <w:t>n</w:t>
      </w:r>
      <w:r w:rsidRPr="00742FB3">
        <w:rPr>
          <w:szCs w:val="28"/>
          <w:lang w:val="en-US"/>
        </w:rPr>
        <w:t>goài sản xuất điện, SMR còn có thể sử dụng trong khử mặn, cấp nhiệt công nghiệp hoặc sản xuất hydro.</w:t>
      </w:r>
      <w:r w:rsidR="00F21884" w:rsidRPr="00742FB3">
        <w:rPr>
          <w:szCs w:val="28"/>
          <w:lang w:val="en-US"/>
        </w:rPr>
        <w:t xml:space="preserve"> </w:t>
      </w:r>
    </w:p>
    <w:p w14:paraId="23940EE8" w14:textId="4C73D8CA" w:rsidR="002D4D87" w:rsidRPr="00742FB3" w:rsidRDefault="002D4D87" w:rsidP="002D4D87">
      <w:pPr>
        <w:pStyle w:val="BodyText"/>
        <w:spacing w:before="120" w:after="0" w:line="264" w:lineRule="auto"/>
        <w:rPr>
          <w:szCs w:val="28"/>
          <w:lang w:val="en-US"/>
        </w:rPr>
      </w:pPr>
      <w:r w:rsidRPr="00742FB3">
        <w:rPr>
          <w:szCs w:val="28"/>
          <w:lang w:val="en-US"/>
        </w:rPr>
        <w:t>Nhiệt hạch hạt nhân (Nuclear Fusion):</w:t>
      </w:r>
      <w:r w:rsidR="00F21884" w:rsidRPr="00742FB3">
        <w:rPr>
          <w:szCs w:val="28"/>
          <w:lang w:val="en-US"/>
        </w:rPr>
        <w:t xml:space="preserve"> k</w:t>
      </w:r>
      <w:r w:rsidRPr="00742FB3">
        <w:rPr>
          <w:szCs w:val="28"/>
          <w:lang w:val="en-US"/>
        </w:rPr>
        <w:t>hác với phân hạch, nhiệt hạch tạo năng lượng bằng cách gắn kết các hạt nhân nhẹ (như deuterium và tritium) thành hạt nhân nặng hơn, giải phóng năng lượng khổng lồ.</w:t>
      </w:r>
      <w:r w:rsidR="00F21884" w:rsidRPr="00742FB3">
        <w:rPr>
          <w:szCs w:val="28"/>
          <w:lang w:val="en-US"/>
        </w:rPr>
        <w:t xml:space="preserve"> </w:t>
      </w:r>
      <w:r w:rsidRPr="00742FB3">
        <w:rPr>
          <w:szCs w:val="28"/>
          <w:lang w:val="en-US"/>
        </w:rPr>
        <w:t>Ưu điểm vượt trội</w:t>
      </w:r>
      <w:r w:rsidR="00F21884" w:rsidRPr="00742FB3">
        <w:rPr>
          <w:szCs w:val="28"/>
          <w:lang w:val="en-US"/>
        </w:rPr>
        <w:t xml:space="preserve"> là n</w:t>
      </w:r>
      <w:r w:rsidRPr="00742FB3">
        <w:rPr>
          <w:szCs w:val="28"/>
          <w:lang w:val="en-US"/>
        </w:rPr>
        <w:t>hiên liệu dồi dào (từ nước biển), không phát thải CO₂, hầu như không tạo chất thải phóng xạ lâu dài, và an toàn hơn vì phản ứng khó duy trì ngoài điều kiện kiểm soát.</w:t>
      </w:r>
    </w:p>
    <w:p w14:paraId="25ADDDC9" w14:textId="58B2936A" w:rsidR="005A3F66" w:rsidRPr="00742FB3" w:rsidRDefault="002D4D87" w:rsidP="00F21884">
      <w:pPr>
        <w:pStyle w:val="BodyText"/>
        <w:spacing w:before="120" w:after="0" w:line="264" w:lineRule="auto"/>
        <w:rPr>
          <w:szCs w:val="28"/>
          <w:lang w:val="en-US"/>
        </w:rPr>
      </w:pPr>
      <w:r w:rsidRPr="00742FB3">
        <w:rPr>
          <w:szCs w:val="28"/>
          <w:lang w:val="en-US"/>
        </w:rPr>
        <w:t>Điểm chung</w:t>
      </w:r>
      <w:r w:rsidR="00F21884" w:rsidRPr="00742FB3">
        <w:rPr>
          <w:szCs w:val="28"/>
          <w:lang w:val="en-US"/>
        </w:rPr>
        <w:t xml:space="preserve"> của</w:t>
      </w:r>
      <w:r w:rsidRPr="00742FB3">
        <w:rPr>
          <w:szCs w:val="28"/>
          <w:lang w:val="en-US"/>
        </w:rPr>
        <w:t xml:space="preserve"> cả SMR và nhiệt hạch đều hướng tới nguồn điện sạch, ổn định, ít phát thải và an toàn hơn, có thể đóng vai trò quan trọng trong việc thay thế dần năng lượng hóa thạch và đáp ứng nhu cầu năng lượng ngày càng tăng của thế giới.</w:t>
      </w:r>
      <w:r w:rsidR="00F21884" w:rsidRPr="00742FB3">
        <w:rPr>
          <w:szCs w:val="28"/>
          <w:lang w:val="en-US"/>
        </w:rPr>
        <w:t xml:space="preserve"> Nhưng nó cũng đòi hỏi nguồn nhân lực trình độ cao cho xây dựng, phát triển và vận hành.</w:t>
      </w:r>
    </w:p>
    <w:p w14:paraId="55CE34BB" w14:textId="5FA559BC" w:rsidR="004C5C13" w:rsidRPr="00742FB3" w:rsidRDefault="004C5C13" w:rsidP="00F21884">
      <w:pPr>
        <w:pStyle w:val="BodyText"/>
        <w:spacing w:before="120" w:after="0" w:line="264" w:lineRule="auto"/>
        <w:rPr>
          <w:szCs w:val="28"/>
          <w:lang w:val="en-US"/>
        </w:rPr>
      </w:pPr>
      <w:r w:rsidRPr="00742FB3">
        <w:rPr>
          <w:szCs w:val="28"/>
          <w:lang w:val="en-US"/>
        </w:rPr>
        <w:t xml:space="preserve">Ở Việt Nam, </w:t>
      </w:r>
      <w:r w:rsidR="0027259F" w:rsidRPr="00742FB3">
        <w:rPr>
          <w:szCs w:val="28"/>
          <w:lang w:val="en-US"/>
        </w:rPr>
        <w:t xml:space="preserve">Đảng, Quốc hội và </w:t>
      </w:r>
      <w:r w:rsidRPr="00742FB3">
        <w:rPr>
          <w:szCs w:val="28"/>
          <w:lang w:val="en-US"/>
        </w:rPr>
        <w:t>Chính phủ đã nhận th</w:t>
      </w:r>
      <w:r w:rsidR="002672AD" w:rsidRPr="00742FB3">
        <w:rPr>
          <w:szCs w:val="28"/>
          <w:lang w:val="en-US"/>
        </w:rPr>
        <w:t>ấ</w:t>
      </w:r>
      <w:r w:rsidRPr="00742FB3">
        <w:rPr>
          <w:szCs w:val="28"/>
          <w:lang w:val="en-US"/>
        </w:rPr>
        <w:t xml:space="preserve">y vai trò </w:t>
      </w:r>
      <w:r w:rsidR="002672AD" w:rsidRPr="00742FB3">
        <w:rPr>
          <w:szCs w:val="28"/>
          <w:lang w:val="en-US"/>
        </w:rPr>
        <w:t xml:space="preserve">quan trọng </w:t>
      </w:r>
      <w:r w:rsidRPr="00742FB3">
        <w:rPr>
          <w:szCs w:val="28"/>
          <w:lang w:val="en-US"/>
        </w:rPr>
        <w:t>của năng lượng hạt nhân, đặc biệt là điện hạt nhân đối với sự phát triển kinh tế</w:t>
      </w:r>
      <w:r w:rsidR="000D6941" w:rsidRPr="00742FB3">
        <w:rPr>
          <w:szCs w:val="28"/>
          <w:lang w:val="en-US"/>
        </w:rPr>
        <w:t>,</w:t>
      </w:r>
      <w:r w:rsidRPr="00742FB3">
        <w:rPr>
          <w:szCs w:val="28"/>
          <w:lang w:val="en-US"/>
        </w:rPr>
        <w:t xml:space="preserve"> xã hội, đảm bảo an ninh, quốc phòng của đất nước.</w:t>
      </w:r>
      <w:r w:rsidR="000D6941" w:rsidRPr="00742FB3">
        <w:rPr>
          <w:szCs w:val="28"/>
          <w:lang w:val="en-US"/>
        </w:rPr>
        <w:t xml:space="preserve"> Trong bối cảnh thế giới và và đất nước hiện nay</w:t>
      </w:r>
      <w:r w:rsidR="0027259F" w:rsidRPr="00742FB3">
        <w:rPr>
          <w:szCs w:val="28"/>
          <w:lang w:val="en-US"/>
        </w:rPr>
        <w:t xml:space="preserve">, </w:t>
      </w:r>
      <w:r w:rsidR="0027259F" w:rsidRPr="00742FB3">
        <w:rPr>
          <w:szCs w:val="28"/>
          <w:shd w:val="clear" w:color="auto" w:fill="FFFFFF"/>
          <w:lang w:val="vi"/>
        </w:rPr>
        <w:t>Trung ương Đảng đã họp và thống nhất chủ trương tái khởi động Dự án điện hạt nhân Ninh Thuận và tiếp tục nghiên cứu Chương trình điện hạt nhân tại Việt Nam</w:t>
      </w:r>
      <w:r w:rsidR="0027259F" w:rsidRPr="00742FB3">
        <w:rPr>
          <w:szCs w:val="28"/>
          <w:shd w:val="clear" w:color="auto" w:fill="FFFFFF"/>
          <w:lang w:val="en-US"/>
        </w:rPr>
        <w:t xml:space="preserve">, trên cở sở đó </w:t>
      </w:r>
      <w:r w:rsidR="0027259F" w:rsidRPr="00742FB3">
        <w:rPr>
          <w:szCs w:val="28"/>
          <w:lang w:val="vi"/>
        </w:rPr>
        <w:t xml:space="preserve">Quốc hội </w:t>
      </w:r>
      <w:r w:rsidR="0027259F" w:rsidRPr="00742FB3">
        <w:rPr>
          <w:szCs w:val="28"/>
        </w:rPr>
        <w:t xml:space="preserve">đã ban hành </w:t>
      </w:r>
      <w:r w:rsidR="0027259F" w:rsidRPr="00742FB3">
        <w:rPr>
          <w:szCs w:val="28"/>
          <w:lang w:val="vi"/>
        </w:rPr>
        <w:t>Nghị quyết số 174/2024/QH15 ngày 30</w:t>
      </w:r>
      <w:r w:rsidR="0027259F" w:rsidRPr="00742FB3">
        <w:rPr>
          <w:szCs w:val="28"/>
        </w:rPr>
        <w:t>/</w:t>
      </w:r>
      <w:r w:rsidR="0027259F" w:rsidRPr="00742FB3">
        <w:rPr>
          <w:szCs w:val="28"/>
          <w:lang w:val="vi"/>
        </w:rPr>
        <w:t>11</w:t>
      </w:r>
      <w:r w:rsidR="0027259F" w:rsidRPr="00742FB3">
        <w:rPr>
          <w:szCs w:val="28"/>
        </w:rPr>
        <w:t>/</w:t>
      </w:r>
      <w:r w:rsidR="0027259F" w:rsidRPr="00742FB3">
        <w:rPr>
          <w:szCs w:val="28"/>
          <w:lang w:val="vi"/>
        </w:rPr>
        <w:t>2024</w:t>
      </w:r>
      <w:r w:rsidR="002672AD" w:rsidRPr="00742FB3">
        <w:rPr>
          <w:szCs w:val="28"/>
          <w:lang w:val="en-US"/>
        </w:rPr>
        <w:t xml:space="preserve"> trong đó yêu cầu t</w:t>
      </w:r>
      <w:r w:rsidR="002672AD" w:rsidRPr="00742FB3">
        <w:rPr>
          <w:szCs w:val="28"/>
          <w:lang w:val="vi"/>
        </w:rPr>
        <w:t>iếp tục thực hiện chủ trương đầu tư Dự án điện hạt nhân Ninh Thuận</w:t>
      </w:r>
      <w:r w:rsidR="002672AD" w:rsidRPr="00742FB3">
        <w:rPr>
          <w:szCs w:val="28"/>
          <w:lang w:val="en-US"/>
        </w:rPr>
        <w:t xml:space="preserve"> </w:t>
      </w:r>
      <w:r w:rsidR="002672AD" w:rsidRPr="00742FB3">
        <w:rPr>
          <w:szCs w:val="28"/>
          <w:lang w:val="vi"/>
        </w:rPr>
        <w:t>và giao Chính phủ khẩn trương chỉ đạo bố trí nguồn lực thực hiện theo kết luận của cấp có thẩm quyền</w:t>
      </w:r>
      <w:r w:rsidR="002672AD" w:rsidRPr="00742FB3">
        <w:rPr>
          <w:szCs w:val="28"/>
          <w:lang w:val="en-US"/>
        </w:rPr>
        <w:t xml:space="preserve">. Để triển khai việc xây dựng nhà máy điện hạt nhân Ninh Thuận, ngày 19/2/2025 Quốc hội có Nghị quyết số 189/2025/QH15 về một số cơ chế, chính sách đặc biệt đầu tư xây dựng Dự án điện hạt nhân Ninh Thuận. Trên cơ sở Nghị quyết của Đảng và Quốc hội, </w:t>
      </w:r>
      <w:r w:rsidR="00BA16B3" w:rsidRPr="00742FB3">
        <w:rPr>
          <w:szCs w:val="28"/>
          <w:lang w:val="en-US"/>
        </w:rPr>
        <w:t xml:space="preserve">Chính phủ ban hành Nghị quyết số 249/NQ-CP ngày 22/8/2025 để triển khai </w:t>
      </w:r>
      <w:r w:rsidR="00BA16B3" w:rsidRPr="00742FB3">
        <w:rPr>
          <w:iCs/>
          <w:szCs w:val="28"/>
        </w:rPr>
        <w:t>đầu tư xây dựng dự án điện hạt nhân Ninh Thuận</w:t>
      </w:r>
      <w:r w:rsidR="00BA16B3" w:rsidRPr="00742FB3">
        <w:rPr>
          <w:iCs/>
          <w:szCs w:val="28"/>
          <w:lang w:val="en-US"/>
        </w:rPr>
        <w:t>.</w:t>
      </w:r>
    </w:p>
    <w:p w14:paraId="2C2F3A61" w14:textId="77777777" w:rsidR="004C5C13" w:rsidRPr="00742FB3" w:rsidRDefault="004C5C13" w:rsidP="00BA16B3">
      <w:pPr>
        <w:spacing w:before="120" w:after="120" w:line="288" w:lineRule="auto"/>
        <w:ind w:firstLine="720"/>
        <w:contextualSpacing/>
        <w:jc w:val="both"/>
        <w:rPr>
          <w:rFonts w:ascii="Times New Roman" w:hAnsi="Times New Roman" w:cs="Times New Roman"/>
          <w:b/>
          <w:sz w:val="28"/>
          <w:szCs w:val="28"/>
          <w:lang w:val="es-ES"/>
        </w:rPr>
      </w:pPr>
      <w:r w:rsidRPr="00742FB3">
        <w:rPr>
          <w:rFonts w:ascii="Times New Roman" w:hAnsi="Times New Roman" w:cs="Times New Roman"/>
          <w:b/>
          <w:sz w:val="28"/>
          <w:szCs w:val="28"/>
          <w:lang w:val="es-ES"/>
        </w:rPr>
        <w:t>2. Quá trình thực hiện tổng kết Nghị định 124</w:t>
      </w:r>
    </w:p>
    <w:p w14:paraId="2840FAA9" w14:textId="189A1124" w:rsidR="00E1078B" w:rsidRPr="00742FB3" w:rsidRDefault="00851F36" w:rsidP="00F5332F">
      <w:pPr>
        <w:spacing w:before="120" w:after="120" w:line="288" w:lineRule="auto"/>
        <w:contextualSpacing/>
        <w:jc w:val="both"/>
        <w:rPr>
          <w:rFonts w:ascii="Times New Roman" w:hAnsi="Times New Roman" w:cs="Times New Roman"/>
          <w:sz w:val="28"/>
          <w:szCs w:val="28"/>
        </w:rPr>
      </w:pPr>
      <w:r w:rsidRPr="00742FB3">
        <w:rPr>
          <w:rFonts w:ascii="Times New Roman" w:hAnsi="Times New Roman" w:cs="Times New Roman"/>
          <w:b/>
          <w:sz w:val="28"/>
          <w:szCs w:val="28"/>
          <w:lang w:val="es-ES"/>
        </w:rPr>
        <w:tab/>
      </w:r>
      <w:r w:rsidR="00424CDB" w:rsidRPr="00742FB3">
        <w:rPr>
          <w:rFonts w:ascii="Times New Roman" w:hAnsi="Times New Roman" w:cs="Times New Roman"/>
          <w:sz w:val="28"/>
          <w:szCs w:val="28"/>
          <w:lang w:val="vi"/>
        </w:rPr>
        <w:t>Thực hiện chủ trương của Ban Chấp hành Trung ương Đảng, Quốc hội nước Cộng hòa xã hội chủ nghĩa Việt Nam đã ban hành Nghị quyết số 41/2009/QH12 ngày 25</w:t>
      </w:r>
      <w:r w:rsidR="00E1078B" w:rsidRPr="00742FB3">
        <w:rPr>
          <w:rFonts w:ascii="Times New Roman" w:hAnsi="Times New Roman" w:cs="Times New Roman"/>
          <w:sz w:val="28"/>
          <w:szCs w:val="28"/>
        </w:rPr>
        <w:t>/1</w:t>
      </w:r>
      <w:r w:rsidR="00424CDB" w:rsidRPr="00742FB3">
        <w:rPr>
          <w:rFonts w:ascii="Times New Roman" w:hAnsi="Times New Roman" w:cs="Times New Roman"/>
          <w:sz w:val="28"/>
          <w:szCs w:val="28"/>
          <w:lang w:val="vi"/>
        </w:rPr>
        <w:t>1</w:t>
      </w:r>
      <w:r w:rsidR="00E1078B" w:rsidRPr="00742FB3">
        <w:rPr>
          <w:rFonts w:ascii="Times New Roman" w:hAnsi="Times New Roman" w:cs="Times New Roman"/>
          <w:sz w:val="28"/>
          <w:szCs w:val="28"/>
        </w:rPr>
        <w:t>/</w:t>
      </w:r>
      <w:r w:rsidR="00424CDB" w:rsidRPr="00742FB3">
        <w:rPr>
          <w:rFonts w:ascii="Times New Roman" w:hAnsi="Times New Roman" w:cs="Times New Roman"/>
          <w:sz w:val="28"/>
          <w:szCs w:val="28"/>
          <w:lang w:val="vi"/>
        </w:rPr>
        <w:t>2009 về chủ trương đầu tư Dự án điện hạt nhân Ninh Thuận, gồm 2 nhà máy, mỗi nhà máy có 2 tổ máy với công suất 4.000 MW để cung cấp điện cho hệ thống điện quốc gia, góp phần phát triển kinh tế - xã hội đất nước và tỉnh Ninh Thuận.</w:t>
      </w:r>
      <w:r w:rsidR="00E1078B" w:rsidRPr="00742FB3">
        <w:rPr>
          <w:rFonts w:ascii="Times New Roman" w:hAnsi="Times New Roman" w:cs="Times New Roman"/>
          <w:sz w:val="28"/>
          <w:szCs w:val="28"/>
        </w:rPr>
        <w:t xml:space="preserve"> </w:t>
      </w:r>
      <w:r w:rsidR="00E1078B" w:rsidRPr="00742FB3">
        <w:rPr>
          <w:rFonts w:ascii="Times New Roman" w:hAnsi="Times New Roman" w:cs="Times New Roman"/>
          <w:sz w:val="28"/>
          <w:szCs w:val="28"/>
          <w:lang w:val="vi"/>
        </w:rPr>
        <w:t>Tuy nhiên, ngày 22</w:t>
      </w:r>
      <w:r w:rsidR="00E1078B" w:rsidRPr="00742FB3">
        <w:rPr>
          <w:rFonts w:ascii="Times New Roman" w:hAnsi="Times New Roman" w:cs="Times New Roman"/>
          <w:sz w:val="28"/>
          <w:szCs w:val="28"/>
        </w:rPr>
        <w:t>/</w:t>
      </w:r>
      <w:r w:rsidR="00E1078B" w:rsidRPr="00742FB3">
        <w:rPr>
          <w:rFonts w:ascii="Times New Roman" w:hAnsi="Times New Roman" w:cs="Times New Roman"/>
          <w:sz w:val="28"/>
          <w:szCs w:val="28"/>
          <w:lang w:val="vi"/>
        </w:rPr>
        <w:t>11</w:t>
      </w:r>
      <w:r w:rsidR="00E1078B" w:rsidRPr="00742FB3">
        <w:rPr>
          <w:rFonts w:ascii="Times New Roman" w:hAnsi="Times New Roman" w:cs="Times New Roman"/>
          <w:sz w:val="28"/>
          <w:szCs w:val="28"/>
        </w:rPr>
        <w:t>/</w:t>
      </w:r>
      <w:r w:rsidR="00E1078B" w:rsidRPr="00742FB3">
        <w:rPr>
          <w:rFonts w:ascii="Times New Roman" w:hAnsi="Times New Roman" w:cs="Times New Roman"/>
          <w:sz w:val="28"/>
          <w:szCs w:val="28"/>
          <w:lang w:val="vi"/>
        </w:rPr>
        <w:t>2016, quốc hội đã có Nghị quyết 31/2016/QH14 dừng thực hiện chủ trương đầu tư dự án.</w:t>
      </w:r>
    </w:p>
    <w:p w14:paraId="37E5C443" w14:textId="58AC86DE" w:rsidR="00E1078B" w:rsidRPr="00742FB3" w:rsidRDefault="00E1078B" w:rsidP="00F5332F">
      <w:pPr>
        <w:spacing w:before="120" w:after="120" w:line="288" w:lineRule="auto"/>
        <w:ind w:firstLine="567"/>
        <w:jc w:val="both"/>
        <w:rPr>
          <w:rFonts w:ascii="Times New Roman" w:hAnsi="Times New Roman" w:cs="Times New Roman"/>
          <w:sz w:val="28"/>
          <w:szCs w:val="28"/>
        </w:rPr>
      </w:pPr>
      <w:r w:rsidRPr="00742FB3">
        <w:rPr>
          <w:rFonts w:ascii="Times New Roman" w:hAnsi="Times New Roman" w:cs="Times New Roman"/>
          <w:sz w:val="28"/>
          <w:szCs w:val="28"/>
          <w:lang w:val="vi"/>
        </w:rPr>
        <w:t>Trên cơ sở Nghị quyết của Quốc hội, Chính phủ đã chỉ đạo triển khai các bước chuẩn bị đầu tư xây dựng Dự án một cách toàn diện, chặt chẽ, đúng quy định</w:t>
      </w:r>
      <w:r w:rsidR="006756A4" w:rsidRPr="00742FB3">
        <w:rPr>
          <w:rFonts w:ascii="Times New Roman" w:hAnsi="Times New Roman" w:cs="Times New Roman"/>
          <w:sz w:val="28"/>
          <w:szCs w:val="28"/>
        </w:rPr>
        <w:t>, trong đó có việc chuẩn bị nguồn nhân lực</w:t>
      </w:r>
      <w:r w:rsidRPr="00742FB3">
        <w:rPr>
          <w:rFonts w:ascii="Times New Roman" w:hAnsi="Times New Roman" w:cs="Times New Roman"/>
          <w:sz w:val="28"/>
          <w:szCs w:val="28"/>
          <w:lang w:val="vi"/>
        </w:rPr>
        <w:t xml:space="preserve">. </w:t>
      </w:r>
      <w:r w:rsidR="006756A4" w:rsidRPr="00742FB3">
        <w:rPr>
          <w:rFonts w:ascii="Times New Roman" w:hAnsi="Times New Roman" w:cs="Times New Roman"/>
          <w:sz w:val="28"/>
          <w:szCs w:val="28"/>
        </w:rPr>
        <w:t>N</w:t>
      </w:r>
      <w:r w:rsidR="006756A4" w:rsidRPr="00742FB3">
        <w:rPr>
          <w:rFonts w:ascii="Times New Roman" w:hAnsi="Times New Roman" w:cs="Times New Roman"/>
          <w:sz w:val="28"/>
          <w:szCs w:val="28"/>
          <w:lang w:val="vi"/>
        </w:rPr>
        <w:t>gày 18</w:t>
      </w:r>
      <w:r w:rsidR="006756A4" w:rsidRPr="00742FB3">
        <w:rPr>
          <w:rFonts w:ascii="Times New Roman" w:hAnsi="Times New Roman" w:cs="Times New Roman"/>
          <w:sz w:val="28"/>
          <w:szCs w:val="28"/>
        </w:rPr>
        <w:t>/8/2010,</w:t>
      </w:r>
      <w:r w:rsidR="006756A4" w:rsidRPr="00742FB3">
        <w:rPr>
          <w:rFonts w:ascii="Times New Roman" w:hAnsi="Times New Roman" w:cs="Times New Roman"/>
          <w:sz w:val="28"/>
          <w:szCs w:val="28"/>
          <w:lang w:val="vi"/>
        </w:rPr>
        <w:t xml:space="preserve"> </w:t>
      </w:r>
      <w:r w:rsidRPr="00742FB3">
        <w:rPr>
          <w:rFonts w:ascii="Times New Roman" w:hAnsi="Times New Roman" w:cs="Times New Roman"/>
          <w:sz w:val="28"/>
          <w:szCs w:val="28"/>
          <w:lang w:val="vi"/>
        </w:rPr>
        <w:t>Thủ tướng Chính phủ đã ban hành Quyết định số</w:t>
      </w:r>
      <w:r w:rsidR="006756A4" w:rsidRPr="00742FB3">
        <w:rPr>
          <w:rFonts w:ascii="Times New Roman" w:hAnsi="Times New Roman" w:cs="Times New Roman"/>
          <w:sz w:val="28"/>
          <w:szCs w:val="28"/>
        </w:rPr>
        <w:t xml:space="preserve"> </w:t>
      </w:r>
      <w:r w:rsidRPr="00742FB3">
        <w:rPr>
          <w:rFonts w:ascii="Times New Roman" w:hAnsi="Times New Roman" w:cs="Times New Roman"/>
          <w:sz w:val="28"/>
          <w:szCs w:val="28"/>
          <w:lang w:val="vi"/>
        </w:rPr>
        <w:t xml:space="preserve">1558/QĐ-TTg phê duyệt </w:t>
      </w:r>
      <w:r w:rsidRPr="00742FB3">
        <w:rPr>
          <w:rFonts w:ascii="Times New Roman" w:hAnsi="Times New Roman" w:cs="Times New Roman"/>
          <w:bCs/>
          <w:sz w:val="28"/>
          <w:szCs w:val="28"/>
          <w:lang w:val="vi"/>
        </w:rPr>
        <w:t xml:space="preserve">Đề án "Đào tạo và phát triển nguồn nhân lực trong lĩnh vực năng lượng nguyên tử" </w:t>
      </w:r>
      <w:r w:rsidR="003F6AD0" w:rsidRPr="00742FB3">
        <w:rPr>
          <w:rFonts w:ascii="Times New Roman" w:hAnsi="Times New Roman" w:cs="Times New Roman"/>
          <w:bCs/>
          <w:sz w:val="28"/>
          <w:szCs w:val="28"/>
        </w:rPr>
        <w:t xml:space="preserve">(sau đây gọi là Đề án 1558) </w:t>
      </w:r>
      <w:r w:rsidRPr="00742FB3">
        <w:rPr>
          <w:rFonts w:ascii="Times New Roman" w:hAnsi="Times New Roman" w:cs="Times New Roman"/>
          <w:bCs/>
          <w:sz w:val="28"/>
          <w:szCs w:val="28"/>
          <w:lang w:val="vi"/>
        </w:rPr>
        <w:t>và Quyết định số 1756/QĐ-TTg ngày 15</w:t>
      </w:r>
      <w:r w:rsidR="003D5F95" w:rsidRPr="00742FB3">
        <w:rPr>
          <w:rFonts w:ascii="Times New Roman" w:hAnsi="Times New Roman" w:cs="Times New Roman"/>
          <w:bCs/>
          <w:sz w:val="28"/>
          <w:szCs w:val="28"/>
        </w:rPr>
        <w:t>/</w:t>
      </w:r>
      <w:r w:rsidRPr="00742FB3">
        <w:rPr>
          <w:rFonts w:ascii="Times New Roman" w:hAnsi="Times New Roman" w:cs="Times New Roman"/>
          <w:bCs/>
          <w:sz w:val="28"/>
          <w:szCs w:val="28"/>
          <w:lang w:val="vi"/>
        </w:rPr>
        <w:t>10</w:t>
      </w:r>
      <w:r w:rsidR="003D5F95" w:rsidRPr="00742FB3">
        <w:rPr>
          <w:rFonts w:ascii="Times New Roman" w:hAnsi="Times New Roman" w:cs="Times New Roman"/>
          <w:bCs/>
          <w:sz w:val="28"/>
          <w:szCs w:val="28"/>
        </w:rPr>
        <w:t>/</w:t>
      </w:r>
      <w:r w:rsidRPr="00742FB3">
        <w:rPr>
          <w:rFonts w:ascii="Times New Roman" w:hAnsi="Times New Roman" w:cs="Times New Roman"/>
          <w:bCs/>
          <w:sz w:val="28"/>
          <w:szCs w:val="28"/>
          <w:lang w:val="vi"/>
        </w:rPr>
        <w:t xml:space="preserve">2015 </w:t>
      </w:r>
      <w:r w:rsidRPr="00742FB3">
        <w:rPr>
          <w:rFonts w:ascii="Times New Roman" w:hAnsi="Times New Roman" w:cs="Times New Roman"/>
          <w:sz w:val="28"/>
          <w:szCs w:val="28"/>
          <w:lang w:val="vi"/>
        </w:rPr>
        <w:t>về việc phê duyệt Kế hoạch đào tạo, bồi dưỡng nhân lực quản lý nhà nước, nghiên cứu - triển khai và hỗ trợ kỹ thuật đến năm 2020 phục vụ phát triển điện hạt nhân.</w:t>
      </w:r>
      <w:r w:rsidRPr="00742FB3">
        <w:rPr>
          <w:rFonts w:ascii="Times New Roman" w:hAnsi="Times New Roman" w:cs="Times New Roman"/>
          <w:sz w:val="28"/>
          <w:szCs w:val="28"/>
        </w:rPr>
        <w:t xml:space="preserve"> Để triển khai Đề án, Chính phủ đã ban hành Nghị định số 124/2013/NĐ-CP ngày 14/10/2013 quy định chính sách ưu đãi người đi học trong lĩnh vực năng lượng nguyên tử. </w:t>
      </w:r>
    </w:p>
    <w:p w14:paraId="759C4C17" w14:textId="59302DC9" w:rsidR="007D5F7D" w:rsidRPr="00742FB3" w:rsidRDefault="00E1078B" w:rsidP="00F5332F">
      <w:pPr>
        <w:spacing w:before="120" w:after="120" w:line="288" w:lineRule="auto"/>
        <w:ind w:firstLine="567"/>
        <w:contextualSpacing/>
        <w:jc w:val="both"/>
        <w:rPr>
          <w:rFonts w:ascii="Times New Roman" w:hAnsi="Times New Roman" w:cs="Times New Roman"/>
          <w:sz w:val="28"/>
          <w:szCs w:val="28"/>
          <w:lang w:val="vi"/>
        </w:rPr>
      </w:pPr>
      <w:r w:rsidRPr="00742FB3">
        <w:rPr>
          <w:rFonts w:ascii="Times New Roman" w:hAnsi="Times New Roman" w:cs="Times New Roman"/>
          <w:bCs/>
          <w:iCs/>
          <w:sz w:val="28"/>
          <w:szCs w:val="28"/>
          <w:shd w:val="clear" w:color="auto" w:fill="FFFFFF"/>
          <w:lang w:val="vi"/>
        </w:rPr>
        <w:t>Ngày 25</w:t>
      </w:r>
      <w:r w:rsidR="003D5F95" w:rsidRPr="00742FB3">
        <w:rPr>
          <w:rFonts w:ascii="Times New Roman" w:hAnsi="Times New Roman" w:cs="Times New Roman"/>
          <w:bCs/>
          <w:iCs/>
          <w:sz w:val="28"/>
          <w:szCs w:val="28"/>
          <w:shd w:val="clear" w:color="auto" w:fill="FFFFFF"/>
        </w:rPr>
        <w:t>/</w:t>
      </w:r>
      <w:r w:rsidRPr="00742FB3">
        <w:rPr>
          <w:rFonts w:ascii="Times New Roman" w:hAnsi="Times New Roman" w:cs="Times New Roman"/>
          <w:bCs/>
          <w:iCs/>
          <w:sz w:val="28"/>
          <w:szCs w:val="28"/>
          <w:shd w:val="clear" w:color="auto" w:fill="FFFFFF"/>
          <w:lang w:val="vi"/>
        </w:rPr>
        <w:t>11</w:t>
      </w:r>
      <w:r w:rsidR="003D5F95" w:rsidRPr="00742FB3">
        <w:rPr>
          <w:rFonts w:ascii="Times New Roman" w:hAnsi="Times New Roman" w:cs="Times New Roman"/>
          <w:bCs/>
          <w:iCs/>
          <w:sz w:val="28"/>
          <w:szCs w:val="28"/>
          <w:shd w:val="clear" w:color="auto" w:fill="FFFFFF"/>
        </w:rPr>
        <w:t>/</w:t>
      </w:r>
      <w:r w:rsidRPr="00742FB3">
        <w:rPr>
          <w:rFonts w:ascii="Times New Roman" w:hAnsi="Times New Roman" w:cs="Times New Roman"/>
          <w:bCs/>
          <w:iCs/>
          <w:sz w:val="28"/>
          <w:szCs w:val="28"/>
          <w:shd w:val="clear" w:color="auto" w:fill="FFFFFF"/>
          <w:lang w:val="vi"/>
        </w:rPr>
        <w:t xml:space="preserve">2024, </w:t>
      </w:r>
      <w:r w:rsidRPr="00742FB3">
        <w:rPr>
          <w:rFonts w:ascii="Times New Roman" w:hAnsi="Times New Roman" w:cs="Times New Roman"/>
          <w:sz w:val="28"/>
          <w:szCs w:val="28"/>
          <w:shd w:val="clear" w:color="auto" w:fill="FFFFFF"/>
          <w:lang w:val="vi"/>
        </w:rPr>
        <w:t>Trung ương Đảng đã họp và thống nhất chủ trương tái khởi động Dự án điện hạt nhân Ninh Thuận và tiếp tục nghiên cứu Chương trình điện hạt nhân tại Việt Nam nhằm bảo đảm vững chắc an ninh năng lượng quốc gia, đáp ứng mục tiêu phát triển kinh tế - xã hội, tăng cường tiềm lực khoa học, công nghệ và phát triển bền vững đất nước.</w:t>
      </w:r>
      <w:r w:rsidRPr="00742FB3">
        <w:rPr>
          <w:rFonts w:ascii="Times New Roman" w:hAnsi="Times New Roman" w:cs="Times New Roman"/>
          <w:sz w:val="28"/>
          <w:szCs w:val="28"/>
          <w:shd w:val="clear" w:color="auto" w:fill="FFFFFF"/>
        </w:rPr>
        <w:t xml:space="preserve"> Trên cơ sở đó, </w:t>
      </w:r>
      <w:r w:rsidRPr="00742FB3">
        <w:rPr>
          <w:rFonts w:ascii="Times New Roman" w:hAnsi="Times New Roman" w:cs="Times New Roman"/>
          <w:sz w:val="28"/>
          <w:szCs w:val="28"/>
          <w:lang w:val="vi"/>
        </w:rPr>
        <w:t xml:space="preserve">Quốc hội </w:t>
      </w:r>
      <w:r w:rsidRPr="00742FB3">
        <w:rPr>
          <w:rFonts w:ascii="Times New Roman" w:hAnsi="Times New Roman" w:cs="Times New Roman"/>
          <w:sz w:val="28"/>
          <w:szCs w:val="28"/>
        </w:rPr>
        <w:t xml:space="preserve">đã ban hành </w:t>
      </w:r>
      <w:r w:rsidRPr="00742FB3">
        <w:rPr>
          <w:rFonts w:ascii="Times New Roman" w:hAnsi="Times New Roman" w:cs="Times New Roman"/>
          <w:sz w:val="28"/>
          <w:szCs w:val="28"/>
          <w:lang w:val="vi"/>
        </w:rPr>
        <w:t>Nghị quyết số 174/2024/QH15 ngày 30</w:t>
      </w:r>
      <w:r w:rsidR="003D5F95" w:rsidRPr="00742FB3">
        <w:rPr>
          <w:rFonts w:ascii="Times New Roman" w:hAnsi="Times New Roman" w:cs="Times New Roman"/>
          <w:sz w:val="28"/>
          <w:szCs w:val="28"/>
        </w:rPr>
        <w:t>/</w:t>
      </w:r>
      <w:r w:rsidRPr="00742FB3">
        <w:rPr>
          <w:rFonts w:ascii="Times New Roman" w:hAnsi="Times New Roman" w:cs="Times New Roman"/>
          <w:sz w:val="28"/>
          <w:szCs w:val="28"/>
          <w:lang w:val="vi"/>
        </w:rPr>
        <w:t>11</w:t>
      </w:r>
      <w:r w:rsidR="003D5F95" w:rsidRPr="00742FB3">
        <w:rPr>
          <w:rFonts w:ascii="Times New Roman" w:hAnsi="Times New Roman" w:cs="Times New Roman"/>
          <w:sz w:val="28"/>
          <w:szCs w:val="28"/>
        </w:rPr>
        <w:t>/</w:t>
      </w:r>
      <w:r w:rsidRPr="00742FB3">
        <w:rPr>
          <w:rFonts w:ascii="Times New Roman" w:hAnsi="Times New Roman" w:cs="Times New Roman"/>
          <w:sz w:val="28"/>
          <w:szCs w:val="28"/>
          <w:lang w:val="vi"/>
        </w:rPr>
        <w:t>2024 chỉ rõ: “Tiếp tục thực hiện chủ trương đầu tư Dự án điện hạt nhân Ninh Thuận và giao Chính phủ khẩn trương chỉ đạo bố trí nguồn lực thực hiện theo kết luận của cấp có thẩm quyền; nghiên cứu sửa đổi, bổ sung các luật có liên quan, trong đó có Luật Năng lượng nguyên tử”.</w:t>
      </w:r>
    </w:p>
    <w:p w14:paraId="28595143" w14:textId="1C149B09" w:rsidR="007A1485" w:rsidRPr="00742FB3" w:rsidRDefault="001971B4" w:rsidP="00F5332F">
      <w:pPr>
        <w:spacing w:before="120" w:after="120" w:line="288" w:lineRule="auto"/>
        <w:ind w:firstLine="567"/>
        <w:contextualSpacing/>
        <w:jc w:val="both"/>
        <w:rPr>
          <w:rFonts w:ascii="Times New Roman" w:hAnsi="Times New Roman" w:cs="Times New Roman"/>
          <w:sz w:val="28"/>
          <w:szCs w:val="28"/>
          <w:lang w:val="pt-BR"/>
        </w:rPr>
      </w:pPr>
      <w:r w:rsidRPr="00742FB3">
        <w:rPr>
          <w:rFonts w:ascii="Times New Roman" w:hAnsi="Times New Roman" w:cs="Times New Roman"/>
          <w:sz w:val="28"/>
          <w:szCs w:val="28"/>
        </w:rPr>
        <w:t>Để tiếp tục chuẩn bị nguồn nhân lực cho việc xây dựng và vận hành các nhà máy điện hạt nhân,</w:t>
      </w:r>
      <w:r w:rsidR="00134B10" w:rsidRPr="00742FB3">
        <w:rPr>
          <w:rFonts w:ascii="Times New Roman" w:hAnsi="Times New Roman" w:cs="Times New Roman"/>
          <w:sz w:val="28"/>
          <w:szCs w:val="28"/>
          <w:lang w:val="vi"/>
        </w:rPr>
        <w:t xml:space="preserve"> Thủ tướng Chính phủ đã ban hành Quyết định số 1</w:t>
      </w:r>
      <w:r w:rsidRPr="00742FB3">
        <w:rPr>
          <w:rFonts w:ascii="Times New Roman" w:hAnsi="Times New Roman" w:cs="Times New Roman"/>
          <w:sz w:val="28"/>
          <w:szCs w:val="28"/>
        </w:rPr>
        <w:t>012</w:t>
      </w:r>
      <w:r w:rsidR="00134B10" w:rsidRPr="00742FB3">
        <w:rPr>
          <w:rFonts w:ascii="Times New Roman" w:hAnsi="Times New Roman" w:cs="Times New Roman"/>
          <w:sz w:val="28"/>
          <w:szCs w:val="28"/>
          <w:lang w:val="vi"/>
        </w:rPr>
        <w:t xml:space="preserve">/QĐ-TTg ngày </w:t>
      </w:r>
      <w:r w:rsidRPr="00742FB3">
        <w:rPr>
          <w:rFonts w:ascii="Times New Roman" w:hAnsi="Times New Roman" w:cs="Times New Roman"/>
          <w:sz w:val="28"/>
          <w:szCs w:val="28"/>
        </w:rPr>
        <w:t>26/5/2025</w:t>
      </w:r>
      <w:r w:rsidR="00134B10" w:rsidRPr="00742FB3">
        <w:rPr>
          <w:rFonts w:ascii="Times New Roman" w:hAnsi="Times New Roman" w:cs="Times New Roman"/>
          <w:sz w:val="28"/>
          <w:szCs w:val="28"/>
          <w:lang w:val="vi"/>
        </w:rPr>
        <w:t xml:space="preserve"> phê duyệt </w:t>
      </w:r>
      <w:r w:rsidR="00134B10" w:rsidRPr="00742FB3">
        <w:rPr>
          <w:rFonts w:ascii="Times New Roman" w:hAnsi="Times New Roman" w:cs="Times New Roman"/>
          <w:bCs/>
          <w:sz w:val="28"/>
          <w:szCs w:val="28"/>
          <w:lang w:val="vi"/>
        </w:rPr>
        <w:t>Đề án "Đào tạo</w:t>
      </w:r>
      <w:r w:rsidRPr="00742FB3">
        <w:rPr>
          <w:rFonts w:ascii="Times New Roman" w:hAnsi="Times New Roman" w:cs="Times New Roman"/>
          <w:bCs/>
          <w:sz w:val="28"/>
          <w:szCs w:val="28"/>
        </w:rPr>
        <w:t>, bồi dưỡng</w:t>
      </w:r>
      <w:r w:rsidR="00134B10" w:rsidRPr="00742FB3">
        <w:rPr>
          <w:rFonts w:ascii="Times New Roman" w:hAnsi="Times New Roman" w:cs="Times New Roman"/>
          <w:bCs/>
          <w:sz w:val="28"/>
          <w:szCs w:val="28"/>
          <w:lang w:val="vi"/>
        </w:rPr>
        <w:t xml:space="preserve"> nguồn nhân </w:t>
      </w:r>
      <w:r w:rsidRPr="00742FB3">
        <w:rPr>
          <w:rFonts w:ascii="Times New Roman" w:hAnsi="Times New Roman" w:cs="Times New Roman"/>
          <w:bCs/>
          <w:sz w:val="28"/>
          <w:szCs w:val="28"/>
        </w:rPr>
        <w:t>phục vụ phát triển điện hạt nhân đến năm 2035</w:t>
      </w:r>
      <w:r w:rsidR="00134B10" w:rsidRPr="00742FB3">
        <w:rPr>
          <w:rFonts w:ascii="Times New Roman" w:hAnsi="Times New Roman" w:cs="Times New Roman"/>
          <w:bCs/>
          <w:sz w:val="28"/>
          <w:szCs w:val="28"/>
          <w:lang w:val="vi"/>
        </w:rPr>
        <w:t>"</w:t>
      </w:r>
      <w:r w:rsidR="00134B10" w:rsidRPr="00742FB3">
        <w:rPr>
          <w:rFonts w:ascii="Times New Roman" w:hAnsi="Times New Roman" w:cs="Times New Roman"/>
          <w:sz w:val="28"/>
          <w:szCs w:val="28"/>
          <w:lang w:val="vi"/>
        </w:rPr>
        <w:t>.</w:t>
      </w:r>
      <w:r w:rsidRPr="00742FB3">
        <w:rPr>
          <w:rFonts w:ascii="Times New Roman" w:hAnsi="Times New Roman" w:cs="Times New Roman"/>
          <w:sz w:val="28"/>
          <w:szCs w:val="28"/>
        </w:rPr>
        <w:t xml:space="preserve"> Để triển khai hiệu quả Đề án và bám sát với tình hình thực tiễn, Chính phủ đã giao Bộ Giáo dục và Đào tạo</w:t>
      </w:r>
      <w:r w:rsidR="004F1ABE" w:rsidRPr="00742FB3">
        <w:rPr>
          <w:rFonts w:ascii="Times New Roman" w:hAnsi="Times New Roman" w:cs="Times New Roman"/>
          <w:sz w:val="28"/>
          <w:szCs w:val="28"/>
        </w:rPr>
        <w:t xml:space="preserve"> (GDĐT)</w:t>
      </w:r>
      <w:r w:rsidRPr="00742FB3">
        <w:rPr>
          <w:rFonts w:ascii="Times New Roman" w:hAnsi="Times New Roman" w:cs="Times New Roman"/>
          <w:sz w:val="28"/>
          <w:szCs w:val="28"/>
        </w:rPr>
        <w:t xml:space="preserve"> xây dựng Nghị định </w:t>
      </w:r>
      <w:r w:rsidRPr="00742FB3">
        <w:rPr>
          <w:rFonts w:ascii="Times New Roman" w:hAnsi="Times New Roman" w:cs="Times New Roman"/>
          <w:sz w:val="28"/>
          <w:szCs w:val="28"/>
          <w:lang w:val="fr-FR"/>
        </w:rPr>
        <w:t xml:space="preserve">quy định chính sách ưu đãi đối với giảng viên, sinh viên, người học, </w:t>
      </w:r>
      <w:r w:rsidRPr="00742FB3">
        <w:rPr>
          <w:rFonts w:ascii="Times New Roman" w:hAnsi="Times New Roman" w:cs="Times New Roman"/>
          <w:sz w:val="28"/>
          <w:szCs w:val="28"/>
          <w:lang w:val="pt-BR"/>
        </w:rPr>
        <w:t xml:space="preserve">cán bộ quản lý tham gia đào tạo, bồi dưỡng nguồn nhân lực trong lĩnh vực điện hạt nhân (thay thế Nghị định số 124/2013/NĐ-CP). </w:t>
      </w:r>
    </w:p>
    <w:p w14:paraId="0BF8D8E7" w14:textId="452F7184" w:rsidR="00F611C9" w:rsidRPr="00742FB3" w:rsidRDefault="00F611C9" w:rsidP="00F5332F">
      <w:pPr>
        <w:spacing w:before="120" w:after="120" w:line="288" w:lineRule="auto"/>
        <w:ind w:firstLine="567"/>
        <w:contextualSpacing/>
        <w:jc w:val="both"/>
        <w:rPr>
          <w:rFonts w:ascii="Times New Roman" w:hAnsi="Times New Roman" w:cs="Times New Roman"/>
          <w:sz w:val="28"/>
          <w:szCs w:val="28"/>
        </w:rPr>
      </w:pPr>
      <w:r w:rsidRPr="00742FB3">
        <w:rPr>
          <w:rFonts w:ascii="Times New Roman" w:hAnsi="Times New Roman" w:cs="Times New Roman"/>
          <w:sz w:val="28"/>
          <w:szCs w:val="28"/>
        </w:rPr>
        <w:t xml:space="preserve">Để triển khai xây dựng Nghị định, </w:t>
      </w:r>
      <w:r w:rsidR="004F1ABE" w:rsidRPr="00742FB3">
        <w:rPr>
          <w:rFonts w:ascii="Times New Roman" w:hAnsi="Times New Roman" w:cs="Times New Roman"/>
          <w:sz w:val="28"/>
          <w:szCs w:val="28"/>
        </w:rPr>
        <w:t xml:space="preserve">Bộ GDĐT </w:t>
      </w:r>
      <w:r w:rsidR="009053DF" w:rsidRPr="00742FB3">
        <w:rPr>
          <w:rFonts w:ascii="Times New Roman" w:hAnsi="Times New Roman" w:cs="Times New Roman"/>
          <w:sz w:val="28"/>
          <w:szCs w:val="28"/>
        </w:rPr>
        <w:t>gửi</w:t>
      </w:r>
      <w:r w:rsidR="00F32BE5" w:rsidRPr="00742FB3">
        <w:rPr>
          <w:rFonts w:ascii="Times New Roman" w:hAnsi="Times New Roman" w:cs="Times New Roman"/>
          <w:sz w:val="28"/>
          <w:szCs w:val="28"/>
        </w:rPr>
        <w:t xml:space="preserve"> </w:t>
      </w:r>
      <w:r w:rsidR="009053DF" w:rsidRPr="00742FB3">
        <w:rPr>
          <w:rFonts w:ascii="Times New Roman" w:hAnsi="Times New Roman" w:cs="Times New Roman"/>
          <w:sz w:val="28"/>
          <w:szCs w:val="28"/>
        </w:rPr>
        <w:t>C</w:t>
      </w:r>
      <w:r w:rsidR="00F32BE5" w:rsidRPr="00742FB3">
        <w:rPr>
          <w:rFonts w:ascii="Times New Roman" w:hAnsi="Times New Roman" w:cs="Times New Roman"/>
          <w:sz w:val="28"/>
          <w:szCs w:val="28"/>
        </w:rPr>
        <w:t>ông vă</w:t>
      </w:r>
      <w:r w:rsidR="009053DF" w:rsidRPr="00742FB3">
        <w:rPr>
          <w:rFonts w:ascii="Times New Roman" w:hAnsi="Times New Roman" w:cs="Times New Roman"/>
          <w:sz w:val="28"/>
          <w:szCs w:val="28"/>
        </w:rPr>
        <w:t xml:space="preserve">n số </w:t>
      </w:r>
      <w:bookmarkStart w:id="3" w:name="_Hlk210056162"/>
      <w:r w:rsidR="009053DF" w:rsidRPr="00742FB3">
        <w:rPr>
          <w:rFonts w:ascii="Times New Roman" w:hAnsi="Times New Roman" w:cs="Times New Roman"/>
          <w:sz w:val="28"/>
          <w:szCs w:val="28"/>
        </w:rPr>
        <w:t>4803/BGDĐT-KHCNTT</w:t>
      </w:r>
      <w:bookmarkEnd w:id="3"/>
      <w:r w:rsidR="009053DF" w:rsidRPr="00742FB3">
        <w:rPr>
          <w:rFonts w:ascii="Times New Roman" w:hAnsi="Times New Roman" w:cs="Times New Roman"/>
          <w:sz w:val="28"/>
          <w:szCs w:val="28"/>
        </w:rPr>
        <w:t xml:space="preserve"> </w:t>
      </w:r>
      <w:bookmarkStart w:id="4" w:name="_Hlk210056131"/>
      <w:r w:rsidR="009053DF" w:rsidRPr="00742FB3">
        <w:rPr>
          <w:rFonts w:ascii="Times New Roman" w:hAnsi="Times New Roman" w:cs="Times New Roman"/>
          <w:sz w:val="28"/>
          <w:szCs w:val="28"/>
        </w:rPr>
        <w:t xml:space="preserve">ngày 15/8/2025 </w:t>
      </w:r>
      <w:bookmarkStart w:id="5" w:name="_Hlk210056179"/>
      <w:bookmarkEnd w:id="4"/>
      <w:r w:rsidR="00941216" w:rsidRPr="00742FB3">
        <w:rPr>
          <w:rFonts w:ascii="Times New Roman" w:hAnsi="Times New Roman" w:cs="Times New Roman"/>
          <w:sz w:val="28"/>
          <w:szCs w:val="28"/>
        </w:rPr>
        <w:t xml:space="preserve">về việc báo cáo 12 năm thực hiện Nghị định 124/2013/NĐ-CP </w:t>
      </w:r>
      <w:r w:rsidR="009053DF" w:rsidRPr="00742FB3">
        <w:rPr>
          <w:rFonts w:ascii="Times New Roman" w:hAnsi="Times New Roman" w:cs="Times New Roman"/>
          <w:sz w:val="28"/>
          <w:szCs w:val="28"/>
        </w:rPr>
        <w:t>gửi Bộ Khoa học và Công nghệ, Bộ Công thương, Bộ Tài chính</w:t>
      </w:r>
      <w:r w:rsidR="00941216" w:rsidRPr="00742FB3">
        <w:rPr>
          <w:rFonts w:ascii="Times New Roman" w:hAnsi="Times New Roman" w:cs="Times New Roman"/>
          <w:sz w:val="28"/>
          <w:szCs w:val="28"/>
        </w:rPr>
        <w:t>, Tập đoàn điện lực Việt Nam, Tập đoàn Công nghiệp – Năng lượng Quốc gia và 11 cở đào tạo</w:t>
      </w:r>
      <w:r w:rsidR="0084618A" w:rsidRPr="00742FB3">
        <w:rPr>
          <w:rStyle w:val="FootnoteReference"/>
          <w:rFonts w:ascii="Times New Roman" w:hAnsi="Times New Roman" w:cs="Times New Roman"/>
          <w:sz w:val="28"/>
          <w:szCs w:val="28"/>
        </w:rPr>
        <w:footnoteReference w:id="1"/>
      </w:r>
      <w:r w:rsidR="00941216" w:rsidRPr="00742FB3">
        <w:rPr>
          <w:rFonts w:ascii="Times New Roman" w:hAnsi="Times New Roman" w:cs="Times New Roman"/>
          <w:sz w:val="28"/>
          <w:szCs w:val="28"/>
        </w:rPr>
        <w:t xml:space="preserve"> được lựa chọn triển khai Đề án theo quyết định số</w:t>
      </w:r>
      <w:r w:rsidR="005B4041" w:rsidRPr="00742FB3">
        <w:rPr>
          <w:rFonts w:ascii="Times New Roman" w:hAnsi="Times New Roman" w:cs="Times New Roman"/>
          <w:sz w:val="28"/>
          <w:szCs w:val="28"/>
        </w:rPr>
        <w:t xml:space="preserve"> 1012</w:t>
      </w:r>
      <w:r w:rsidR="0084618A" w:rsidRPr="00742FB3">
        <w:rPr>
          <w:rFonts w:ascii="Times New Roman" w:hAnsi="Times New Roman" w:cs="Times New Roman"/>
          <w:sz w:val="28"/>
          <w:szCs w:val="28"/>
        </w:rPr>
        <w:t>/</w:t>
      </w:r>
      <w:r w:rsidR="00C77574" w:rsidRPr="00742FB3">
        <w:rPr>
          <w:rFonts w:ascii="Times New Roman" w:hAnsi="Times New Roman" w:cs="Times New Roman"/>
          <w:sz w:val="28"/>
          <w:szCs w:val="28"/>
        </w:rPr>
        <w:t>QĐ-TTg</w:t>
      </w:r>
      <w:r w:rsidR="0084618A" w:rsidRPr="00742FB3">
        <w:rPr>
          <w:rFonts w:ascii="Times New Roman" w:hAnsi="Times New Roman" w:cs="Times New Roman"/>
          <w:sz w:val="28"/>
          <w:szCs w:val="28"/>
        </w:rPr>
        <w:t xml:space="preserve"> ngày </w:t>
      </w:r>
      <w:r w:rsidR="005B4041" w:rsidRPr="00742FB3">
        <w:rPr>
          <w:rFonts w:ascii="Times New Roman" w:hAnsi="Times New Roman" w:cs="Times New Roman"/>
          <w:sz w:val="28"/>
          <w:szCs w:val="28"/>
        </w:rPr>
        <w:t>26/5</w:t>
      </w:r>
      <w:r w:rsidR="0084618A" w:rsidRPr="00742FB3">
        <w:rPr>
          <w:rFonts w:ascii="Times New Roman" w:hAnsi="Times New Roman" w:cs="Times New Roman"/>
          <w:sz w:val="28"/>
          <w:szCs w:val="28"/>
        </w:rPr>
        <w:t>/2025 của Thủ tướng Chính phủ</w:t>
      </w:r>
      <w:r w:rsidR="004F1ABE" w:rsidRPr="00742FB3">
        <w:rPr>
          <w:rFonts w:ascii="Times New Roman" w:hAnsi="Times New Roman" w:cs="Times New Roman"/>
          <w:sz w:val="28"/>
          <w:szCs w:val="28"/>
        </w:rPr>
        <w:t xml:space="preserve">. </w:t>
      </w:r>
      <w:bookmarkEnd w:id="5"/>
    </w:p>
    <w:p w14:paraId="3083F07F" w14:textId="7B631A6E" w:rsidR="00BA16B3" w:rsidRPr="00742FB3" w:rsidRDefault="00BA16B3" w:rsidP="00391007">
      <w:pPr>
        <w:pStyle w:val="Heading1"/>
        <w:ind w:firstLine="567"/>
        <w:rPr>
          <w:rFonts w:ascii="Times New Roman" w:hAnsi="Times New Roman" w:cs="Times New Roman"/>
          <w:b/>
          <w:color w:val="auto"/>
          <w:sz w:val="28"/>
          <w:szCs w:val="28"/>
        </w:rPr>
      </w:pPr>
      <w:r w:rsidRPr="00742FB3">
        <w:rPr>
          <w:rFonts w:ascii="Times New Roman" w:hAnsi="Times New Roman" w:cs="Times New Roman"/>
          <w:b/>
          <w:color w:val="auto"/>
          <w:sz w:val="28"/>
          <w:szCs w:val="28"/>
        </w:rPr>
        <w:t xml:space="preserve">II. </w:t>
      </w:r>
      <w:r w:rsidRPr="00742FB3">
        <w:rPr>
          <w:rFonts w:ascii="Times New Roman" w:hAnsi="Times New Roman" w:cs="Times New Roman"/>
          <w:b/>
          <w:color w:val="auto"/>
          <w:sz w:val="28"/>
          <w:szCs w:val="28"/>
          <w:lang w:val="pl-PL"/>
        </w:rPr>
        <w:t xml:space="preserve">KẾT QUẢ THỰC HIỆN </w:t>
      </w:r>
      <w:r w:rsidR="00B5627C" w:rsidRPr="00742FB3">
        <w:rPr>
          <w:rFonts w:ascii="Times New Roman" w:hAnsi="Times New Roman" w:cs="Times New Roman"/>
          <w:b/>
          <w:color w:val="auto"/>
          <w:sz w:val="28"/>
          <w:szCs w:val="28"/>
          <w:lang w:val="pl-PL"/>
        </w:rPr>
        <w:t>NGHỊ ĐỊNH 124/2013/NĐ-CP</w:t>
      </w:r>
    </w:p>
    <w:p w14:paraId="50ADFB46" w14:textId="77777777" w:rsidR="00BA16B3" w:rsidRPr="00742FB3" w:rsidRDefault="00BA16B3" w:rsidP="00391007">
      <w:pPr>
        <w:pStyle w:val="Heading2"/>
        <w:ind w:firstLine="567"/>
        <w:rPr>
          <w:rFonts w:ascii="Times New Roman" w:hAnsi="Times New Roman" w:cs="Times New Roman"/>
          <w:b/>
          <w:color w:val="auto"/>
          <w:sz w:val="28"/>
          <w:szCs w:val="28"/>
        </w:rPr>
      </w:pPr>
      <w:r w:rsidRPr="00742FB3">
        <w:rPr>
          <w:rFonts w:ascii="Times New Roman" w:hAnsi="Times New Roman" w:cs="Times New Roman"/>
          <w:b/>
          <w:color w:val="auto"/>
          <w:sz w:val="28"/>
          <w:szCs w:val="28"/>
        </w:rPr>
        <w:t>1. Việc tổ chức thi hành văn bản quy phạm pháp luật</w:t>
      </w:r>
    </w:p>
    <w:p w14:paraId="7E6D697F" w14:textId="52DE404E" w:rsidR="00B164E9" w:rsidRPr="00742FB3" w:rsidRDefault="00BA16B3" w:rsidP="009053DF">
      <w:pPr>
        <w:pStyle w:val="Heading3"/>
        <w:ind w:firstLine="567"/>
        <w:rPr>
          <w:rFonts w:ascii="Times New Roman" w:hAnsi="Times New Roman" w:cs="Times New Roman"/>
          <w:color w:val="auto"/>
        </w:rPr>
      </w:pPr>
      <w:r w:rsidRPr="00742FB3">
        <w:rPr>
          <w:rFonts w:ascii="Times New Roman" w:hAnsi="Times New Roman" w:cs="Times New Roman"/>
          <w:b/>
          <w:i/>
          <w:color w:val="auto"/>
        </w:rPr>
        <w:t xml:space="preserve">1.1. Công tác tuyên truyền, phổ biến </w:t>
      </w:r>
      <w:r w:rsidR="00B164E9" w:rsidRPr="00742FB3">
        <w:rPr>
          <w:rFonts w:ascii="Times New Roman" w:hAnsi="Times New Roman" w:cs="Times New Roman"/>
          <w:b/>
          <w:i/>
          <w:color w:val="auto"/>
        </w:rPr>
        <w:t>Nghị định</w:t>
      </w:r>
    </w:p>
    <w:p w14:paraId="5FC86D3D" w14:textId="77B08218" w:rsidR="009B30FA" w:rsidRPr="00742FB3" w:rsidRDefault="00B164E9" w:rsidP="00DC7F35">
      <w:pPr>
        <w:pStyle w:val="Heading3"/>
        <w:spacing w:line="253" w:lineRule="auto"/>
        <w:ind w:firstLine="567"/>
        <w:jc w:val="both"/>
        <w:rPr>
          <w:rFonts w:ascii="Times New Roman" w:hAnsi="Times New Roman" w:cs="Times New Roman"/>
          <w:color w:val="auto"/>
        </w:rPr>
      </w:pPr>
      <w:r w:rsidRPr="00742FB3">
        <w:rPr>
          <w:rFonts w:ascii="Times New Roman" w:hAnsi="Times New Roman" w:cs="Times New Roman"/>
          <w:color w:val="auto"/>
        </w:rPr>
        <w:t xml:space="preserve">Nghị định 124/2013/NĐ-CP </w:t>
      </w:r>
      <w:r w:rsidR="009B30FA" w:rsidRPr="00742FB3">
        <w:rPr>
          <w:rFonts w:ascii="Times New Roman" w:hAnsi="Times New Roman" w:cs="Times New Roman"/>
          <w:color w:val="auto"/>
        </w:rPr>
        <w:t xml:space="preserve">cùng các văn bản hướng dẫn thi hành đã được triển khai đồng bộ và nghiêm túc từ các cơ quan trung ương đến địa phương và các cơ sở </w:t>
      </w:r>
      <w:r w:rsidRPr="00742FB3">
        <w:rPr>
          <w:rFonts w:ascii="Times New Roman" w:hAnsi="Times New Roman" w:cs="Times New Roman"/>
          <w:color w:val="auto"/>
        </w:rPr>
        <w:t>giáo dục đại học (</w:t>
      </w:r>
      <w:r w:rsidR="009B30FA" w:rsidRPr="00742FB3">
        <w:rPr>
          <w:rFonts w:ascii="Times New Roman" w:hAnsi="Times New Roman" w:cs="Times New Roman"/>
          <w:color w:val="auto"/>
        </w:rPr>
        <w:t>GDĐH</w:t>
      </w:r>
      <w:r w:rsidRPr="00742FB3">
        <w:rPr>
          <w:rFonts w:ascii="Times New Roman" w:hAnsi="Times New Roman" w:cs="Times New Roman"/>
          <w:color w:val="auto"/>
        </w:rPr>
        <w:t>), cơ sở đào tạo</w:t>
      </w:r>
      <w:r w:rsidR="009B30FA" w:rsidRPr="00742FB3">
        <w:rPr>
          <w:rFonts w:ascii="Times New Roman" w:hAnsi="Times New Roman" w:cs="Times New Roman"/>
          <w:color w:val="auto"/>
        </w:rPr>
        <w:t xml:space="preserve">. Bộ GDĐT </w:t>
      </w:r>
      <w:r w:rsidR="000C7D79" w:rsidRPr="00742FB3">
        <w:rPr>
          <w:rFonts w:ascii="Times New Roman" w:hAnsi="Times New Roman" w:cs="Times New Roman"/>
          <w:color w:val="auto"/>
        </w:rPr>
        <w:t>đã</w:t>
      </w:r>
      <w:r w:rsidR="009B30FA" w:rsidRPr="00742FB3">
        <w:rPr>
          <w:rFonts w:ascii="Times New Roman" w:hAnsi="Times New Roman" w:cs="Times New Roman"/>
          <w:color w:val="auto"/>
        </w:rPr>
        <w:t xml:space="preserve"> tổ chức triển khai soạn thảo </w:t>
      </w:r>
      <w:r w:rsidR="000C7D79" w:rsidRPr="00742FB3">
        <w:rPr>
          <w:rFonts w:ascii="Times New Roman" w:hAnsi="Times New Roman" w:cs="Times New Roman"/>
          <w:color w:val="auto"/>
        </w:rPr>
        <w:t>văn bản</w:t>
      </w:r>
      <w:r w:rsidR="009B30FA" w:rsidRPr="00742FB3">
        <w:rPr>
          <w:rFonts w:ascii="Times New Roman" w:hAnsi="Times New Roman" w:cs="Times New Roman"/>
          <w:color w:val="auto"/>
        </w:rPr>
        <w:t xml:space="preserve"> hướng dẫn, tổ chức phổ biến nội dung luật trên các phương tiện truyền thông, hội nghị, tập huấn cho đội ngũ cán bộ quản lý, giảng viên và sinh viên của các cơ sở GDĐH. Các bộ, ngành, địa phương và cơ sở GDĐH cũng phối hợp triển khai thông qua công văn, hội nghị, và các kênh thông tin khác, đảm bảo nội dung của </w:t>
      </w:r>
      <w:r w:rsidR="000C7D79" w:rsidRPr="00742FB3">
        <w:rPr>
          <w:rFonts w:ascii="Times New Roman" w:hAnsi="Times New Roman" w:cs="Times New Roman"/>
          <w:color w:val="auto"/>
        </w:rPr>
        <w:t>Nghị định</w:t>
      </w:r>
      <w:r w:rsidR="009B30FA" w:rsidRPr="00742FB3">
        <w:rPr>
          <w:rFonts w:ascii="Times New Roman" w:hAnsi="Times New Roman" w:cs="Times New Roman"/>
          <w:color w:val="auto"/>
        </w:rPr>
        <w:t xml:space="preserve"> được truyền tải rộng rãi, kịp thời tới tất cả đối tượng áp dụng và các bên liên quan.</w:t>
      </w:r>
    </w:p>
    <w:p w14:paraId="271396B4" w14:textId="77777777" w:rsidR="009B30FA" w:rsidRPr="00742FB3" w:rsidRDefault="009B30FA" w:rsidP="00DC7F35">
      <w:pPr>
        <w:pStyle w:val="BodyText"/>
        <w:spacing w:before="120" w:after="0" w:line="253" w:lineRule="auto"/>
        <w:rPr>
          <w:szCs w:val="28"/>
        </w:rPr>
      </w:pPr>
      <w:r w:rsidRPr="00742FB3">
        <w:rPr>
          <w:szCs w:val="28"/>
        </w:rPr>
        <w:t>Ngoài việc lồng ghép trong các hoạt động thường niên như tuần sinh hoạt công dân, các cơ sở GDĐH còn tổ chức hội nghị tập huấn, cuộc thi tìm hiểu pháp luật, và cung cấp tài liệu trên các nền tảng trực tuyến. Những nỗ lực này giúp cá nhân và tổ chức hiểu rõ quyền tự chủ, thực hiện đúng các quy định pháp luật, đồng thời giảm thiểu vi phạm. Tuy nhiên, do một số yếu tố khách quan và chủ quan, chất lượng công tác quán triệt, tuyên truyền và tập huấn còn chưa đồng đều giữa các bộ, ngành, địa phương và cơ sở GDĐH.</w:t>
      </w:r>
    </w:p>
    <w:p w14:paraId="6DC9B460" w14:textId="786BA7BC" w:rsidR="009B30FA" w:rsidRPr="00742FB3" w:rsidRDefault="009B30FA" w:rsidP="009B30FA">
      <w:pPr>
        <w:pStyle w:val="Heading3"/>
        <w:ind w:firstLine="567"/>
        <w:rPr>
          <w:rFonts w:ascii="Times New Roman" w:hAnsi="Times New Roman" w:cs="Times New Roman"/>
          <w:b/>
          <w:i/>
          <w:color w:val="auto"/>
        </w:rPr>
      </w:pPr>
      <w:r w:rsidRPr="00742FB3">
        <w:rPr>
          <w:rFonts w:ascii="Times New Roman" w:hAnsi="Times New Roman" w:cs="Times New Roman"/>
          <w:b/>
          <w:i/>
          <w:color w:val="auto"/>
        </w:rPr>
        <w:t>1.2. Công tác xây dựng, ban hành các văn bản quy định chi tiết và hướng dẫn thi hành Nghị định</w:t>
      </w:r>
    </w:p>
    <w:p w14:paraId="5D1D9829" w14:textId="77777777" w:rsidR="00FF33B2" w:rsidRPr="00742FB3" w:rsidRDefault="0084043C" w:rsidP="000C7D79">
      <w:pPr>
        <w:spacing w:before="120" w:after="120" w:line="288" w:lineRule="auto"/>
        <w:ind w:firstLine="567"/>
        <w:contextualSpacing/>
        <w:jc w:val="both"/>
        <w:rPr>
          <w:rFonts w:ascii="Times New Roman" w:hAnsi="Times New Roman" w:cs="Times New Roman"/>
          <w:sz w:val="28"/>
          <w:szCs w:val="28"/>
        </w:rPr>
      </w:pPr>
      <w:r w:rsidRPr="00742FB3">
        <w:rPr>
          <w:rStyle w:val="Strong"/>
          <w:rFonts w:ascii="Times New Roman" w:hAnsi="Times New Roman" w:cs="Times New Roman"/>
          <w:b w:val="0"/>
          <w:sz w:val="28"/>
          <w:szCs w:val="28"/>
        </w:rPr>
        <w:t xml:space="preserve">Để triển khai thực hiện Nghị định </w:t>
      </w:r>
      <w:bookmarkStart w:id="6" w:name="_Hlk210037405"/>
      <w:r w:rsidRPr="00742FB3">
        <w:rPr>
          <w:rStyle w:val="Strong"/>
          <w:rFonts w:ascii="Times New Roman" w:hAnsi="Times New Roman" w:cs="Times New Roman"/>
          <w:b w:val="0"/>
          <w:sz w:val="28"/>
          <w:szCs w:val="28"/>
        </w:rPr>
        <w:t>Bộ GDĐT phối hợp với Bộ T</w:t>
      </w:r>
      <w:r w:rsidR="0012518E" w:rsidRPr="00742FB3">
        <w:rPr>
          <w:rStyle w:val="Strong"/>
          <w:rFonts w:ascii="Times New Roman" w:hAnsi="Times New Roman" w:cs="Times New Roman"/>
          <w:b w:val="0"/>
          <w:sz w:val="28"/>
          <w:szCs w:val="28"/>
        </w:rPr>
        <w:t>ài</w:t>
      </w:r>
      <w:r w:rsidRPr="00742FB3">
        <w:rPr>
          <w:rStyle w:val="Strong"/>
          <w:rFonts w:ascii="Times New Roman" w:hAnsi="Times New Roman" w:cs="Times New Roman"/>
          <w:b w:val="0"/>
          <w:sz w:val="28"/>
          <w:szCs w:val="28"/>
        </w:rPr>
        <w:t xml:space="preserve"> chính ban hành </w:t>
      </w:r>
      <w:r w:rsidR="009B30FA" w:rsidRPr="00742FB3">
        <w:rPr>
          <w:rStyle w:val="Strong"/>
          <w:rFonts w:ascii="Times New Roman" w:hAnsi="Times New Roman" w:cs="Times New Roman"/>
          <w:b w:val="0"/>
          <w:sz w:val="28"/>
          <w:szCs w:val="28"/>
        </w:rPr>
        <w:t>Thông tư liên tịch số 208/2014/TTLT-BTC-BGDĐT, ngày 26/12/2014</w:t>
      </w:r>
      <w:r w:rsidR="009B30FA" w:rsidRPr="00742FB3">
        <w:rPr>
          <w:rFonts w:ascii="Times New Roman" w:hAnsi="Times New Roman" w:cs="Times New Roman"/>
          <w:sz w:val="28"/>
          <w:szCs w:val="28"/>
        </w:rPr>
        <w:t xml:space="preserve">  hướng dẫn một số điều của Nghị định 124/2013</w:t>
      </w:r>
      <w:r w:rsidR="00B164E9" w:rsidRPr="00742FB3">
        <w:rPr>
          <w:rFonts w:ascii="Times New Roman" w:hAnsi="Times New Roman" w:cs="Times New Roman"/>
          <w:sz w:val="28"/>
          <w:szCs w:val="28"/>
        </w:rPr>
        <w:t>/NĐ-CP</w:t>
      </w:r>
      <w:r w:rsidR="009B30FA" w:rsidRPr="00742FB3">
        <w:rPr>
          <w:rFonts w:ascii="Times New Roman" w:hAnsi="Times New Roman" w:cs="Times New Roman"/>
          <w:sz w:val="28"/>
          <w:szCs w:val="28"/>
        </w:rPr>
        <w:t xml:space="preserve"> </w:t>
      </w:r>
      <w:r w:rsidR="0012518E" w:rsidRPr="00742FB3">
        <w:rPr>
          <w:rFonts w:ascii="Times New Roman" w:hAnsi="Times New Roman" w:cs="Times New Roman"/>
          <w:sz w:val="28"/>
          <w:szCs w:val="28"/>
        </w:rPr>
        <w:t xml:space="preserve">quy định chính sách ưu đãi, hỗ trợ người đi đào tạo trong lĩnh vực năng lượng nguyên tử  nhằm </w:t>
      </w:r>
      <w:r w:rsidR="009B30FA" w:rsidRPr="00742FB3">
        <w:rPr>
          <w:rFonts w:ascii="Times New Roman" w:hAnsi="Times New Roman" w:cs="Times New Roman"/>
          <w:sz w:val="28"/>
          <w:szCs w:val="28"/>
        </w:rPr>
        <w:t>quy định phạm vi áp dụng, đối tượng, chế độ miễn giảm học phí, hỗ trợ chi phí đào tạo, cơ chế lập và phê duyệt dự toán kinh phí thực hiện chính sách, thủ tục quản lý kinh phí</w:t>
      </w:r>
      <w:bookmarkEnd w:id="6"/>
    </w:p>
    <w:p w14:paraId="3DB81FFC" w14:textId="0CD4DC8C" w:rsidR="004C5C13" w:rsidRPr="00742FB3" w:rsidRDefault="009B30FA" w:rsidP="000C7D79">
      <w:pPr>
        <w:spacing w:before="120" w:after="120" w:line="288" w:lineRule="auto"/>
        <w:ind w:firstLine="567"/>
        <w:contextualSpacing/>
        <w:jc w:val="both"/>
        <w:rPr>
          <w:rFonts w:ascii="Times New Roman" w:hAnsi="Times New Roman" w:cs="Times New Roman"/>
          <w:sz w:val="28"/>
          <w:szCs w:val="28"/>
        </w:rPr>
      </w:pPr>
      <w:r w:rsidRPr="00742FB3">
        <w:rPr>
          <w:rFonts w:ascii="Times New Roman" w:hAnsi="Times New Roman" w:cs="Times New Roman"/>
          <w:sz w:val="28"/>
          <w:szCs w:val="28"/>
        </w:rPr>
        <w:t>, v.v.). Đây là văn bản hướng dẫn chuyên trách quan trọng nhất cho Nghị định.</w:t>
      </w:r>
      <w:r w:rsidR="0012518E" w:rsidRPr="00742FB3">
        <w:rPr>
          <w:rFonts w:ascii="Times New Roman" w:hAnsi="Times New Roman" w:cs="Times New Roman"/>
          <w:sz w:val="28"/>
          <w:szCs w:val="28"/>
        </w:rPr>
        <w:t xml:space="preserve"> Ngoài ra, Bộ GDĐT ban hành một số văn bản hướng dẫn công tác tuyển sinh, đào tạo liên quan tới của Nghị định 124/2013/NĐ-CP.</w:t>
      </w:r>
    </w:p>
    <w:p w14:paraId="7DDC49A4" w14:textId="5C4426A3" w:rsidR="004D4A2F" w:rsidRPr="00742FB3" w:rsidRDefault="004D4A2F" w:rsidP="003F33D0">
      <w:pPr>
        <w:spacing w:before="120" w:after="120" w:line="288" w:lineRule="auto"/>
        <w:ind w:firstLine="567"/>
        <w:contextualSpacing/>
        <w:jc w:val="both"/>
        <w:rPr>
          <w:rFonts w:ascii="Times New Roman" w:hAnsi="Times New Roman" w:cs="Times New Roman"/>
          <w:sz w:val="28"/>
          <w:szCs w:val="28"/>
        </w:rPr>
      </w:pPr>
      <w:r w:rsidRPr="00742FB3">
        <w:rPr>
          <w:rFonts w:ascii="Times New Roman" w:hAnsi="Times New Roman" w:cs="Times New Roman"/>
          <w:sz w:val="28"/>
          <w:szCs w:val="28"/>
        </w:rPr>
        <w:t xml:space="preserve">Ngoài ra, Bộ Công thương có </w:t>
      </w:r>
      <w:r w:rsidR="003F33D0" w:rsidRPr="00742FB3">
        <w:rPr>
          <w:rFonts w:ascii="Times New Roman" w:hAnsi="Times New Roman" w:cs="Times New Roman"/>
          <w:sz w:val="28"/>
          <w:szCs w:val="28"/>
        </w:rPr>
        <w:t xml:space="preserve">Thông tư số 23/2013/TT-BCT ngày 18/10/2013 Quy định nội dung, quy trình thẩm định và phê duyệt thiết kế công trình nhà máy điện hạt nhân, Thông tư số 24/2013/TT-BCT ngày 21/10/2013 Quy định danh mục, quản lý, sử dụng hồ sơ tài liệu liên quan đến nhà máy điện hạt nhân. </w:t>
      </w:r>
    </w:p>
    <w:p w14:paraId="24D8293B" w14:textId="4F55EDCA" w:rsidR="00117960" w:rsidRPr="00742FB3" w:rsidRDefault="009B30FA" w:rsidP="00DC7F35">
      <w:pPr>
        <w:spacing w:before="180" w:after="120" w:line="288" w:lineRule="auto"/>
        <w:ind w:firstLine="567"/>
        <w:jc w:val="both"/>
        <w:rPr>
          <w:rFonts w:ascii="Times New Roman" w:hAnsi="Times New Roman" w:cs="Times New Roman"/>
          <w:b/>
          <w:bCs/>
          <w:iCs/>
          <w:sz w:val="28"/>
          <w:szCs w:val="28"/>
          <w:lang w:val="vi-VN"/>
        </w:rPr>
      </w:pPr>
      <w:bookmarkStart w:id="7" w:name="_Hlk198643302"/>
      <w:bookmarkEnd w:id="2"/>
      <w:r w:rsidRPr="00742FB3">
        <w:rPr>
          <w:rFonts w:ascii="Times New Roman" w:hAnsi="Times New Roman" w:cs="Times New Roman"/>
          <w:b/>
          <w:bCs/>
          <w:iCs/>
          <w:sz w:val="28"/>
          <w:szCs w:val="28"/>
        </w:rPr>
        <w:t>2.</w:t>
      </w:r>
      <w:r w:rsidR="00E7177A" w:rsidRPr="00742FB3">
        <w:rPr>
          <w:rFonts w:ascii="Times New Roman" w:hAnsi="Times New Roman" w:cs="Times New Roman"/>
          <w:b/>
          <w:bCs/>
          <w:iCs/>
          <w:sz w:val="28"/>
          <w:szCs w:val="28"/>
          <w:lang w:val="vi-VN"/>
        </w:rPr>
        <w:t xml:space="preserve"> </w:t>
      </w:r>
      <w:bookmarkStart w:id="8" w:name="_Hlk210037487"/>
      <w:r w:rsidR="00117960" w:rsidRPr="00742FB3">
        <w:rPr>
          <w:rFonts w:ascii="Times New Roman" w:hAnsi="Times New Roman" w:cs="Times New Roman"/>
          <w:b/>
          <w:bCs/>
          <w:iCs/>
          <w:sz w:val="28"/>
          <w:szCs w:val="28"/>
          <w:lang w:val="it-IT"/>
        </w:rPr>
        <w:t xml:space="preserve">Kết quả </w:t>
      </w:r>
      <w:r w:rsidR="00FF7CF7" w:rsidRPr="00742FB3">
        <w:rPr>
          <w:rFonts w:ascii="Times New Roman" w:hAnsi="Times New Roman" w:cs="Times New Roman"/>
          <w:b/>
          <w:bCs/>
          <w:iCs/>
          <w:sz w:val="28"/>
          <w:szCs w:val="28"/>
          <w:lang w:val="vi-VN"/>
        </w:rPr>
        <w:t>thực hiện Nghị định 124/2013/NĐ-CP giai đoạn 2014-2025</w:t>
      </w:r>
      <w:r w:rsidR="00FF381A" w:rsidRPr="00742FB3">
        <w:rPr>
          <w:rFonts w:ascii="Times New Roman" w:hAnsi="Times New Roman" w:cs="Times New Roman"/>
          <w:b/>
          <w:bCs/>
          <w:iCs/>
          <w:sz w:val="28"/>
          <w:szCs w:val="28"/>
          <w:lang w:val="vi-VN"/>
        </w:rPr>
        <w:t xml:space="preserve"> </w:t>
      </w:r>
    </w:p>
    <w:p w14:paraId="68EBCFED" w14:textId="25CDC633" w:rsidR="004F1ABE" w:rsidRPr="00742FB3" w:rsidRDefault="004F1ABE" w:rsidP="00F5332F">
      <w:pPr>
        <w:pStyle w:val="NormalWeb"/>
        <w:shd w:val="clear" w:color="auto" w:fill="FFFFFF"/>
        <w:spacing w:before="120" w:beforeAutospacing="0" w:after="120" w:afterAutospacing="0" w:line="288" w:lineRule="auto"/>
        <w:ind w:firstLine="567"/>
        <w:jc w:val="both"/>
        <w:rPr>
          <w:bCs/>
          <w:sz w:val="28"/>
          <w:szCs w:val="28"/>
        </w:rPr>
      </w:pPr>
      <w:r w:rsidRPr="00742FB3">
        <w:rPr>
          <w:sz w:val="28"/>
          <w:szCs w:val="28"/>
          <w:lang w:val="vi"/>
        </w:rPr>
        <w:t xml:space="preserve">- Đào tạo kỹ sư điện hạt nhân tại Liên bang Nga theo chương trình của Bộ Giáo dục và Đào tạo: Thực hiện Quyết định số 1558/QĐ-TTg ngày 18 tháng 8 năm 2010 của Thủ tướng Chính phủ về việc phê duyệt </w:t>
      </w:r>
      <w:r w:rsidRPr="00742FB3">
        <w:rPr>
          <w:bCs/>
          <w:sz w:val="28"/>
          <w:szCs w:val="28"/>
          <w:lang w:val="vi"/>
        </w:rPr>
        <w:t xml:space="preserve">Đề án "Đào tạo và phát triển nguồn nhân lực trong lĩnh vực năng lượng nguyên tử", Bộ Giáo dục và Đào tạo đã </w:t>
      </w:r>
      <w:r w:rsidRPr="00742FB3">
        <w:rPr>
          <w:bCs/>
          <w:sz w:val="28"/>
          <w:szCs w:val="28"/>
        </w:rPr>
        <w:t>cử 473 người, trong đó có 436 người học đại học, 28 người học thạc sĩ và 9 người làm nghiên cứu tiến sĩ và đã có 403 người tốt nghiệp. Trong số này, có 16</w:t>
      </w:r>
      <w:r w:rsidR="003F6AD0" w:rsidRPr="00742FB3">
        <w:rPr>
          <w:bCs/>
          <w:sz w:val="28"/>
          <w:szCs w:val="28"/>
        </w:rPr>
        <w:t>3</w:t>
      </w:r>
      <w:r w:rsidRPr="00742FB3">
        <w:rPr>
          <w:bCs/>
          <w:sz w:val="28"/>
          <w:szCs w:val="28"/>
        </w:rPr>
        <w:t xml:space="preserve"> người đang làm việc tại EVN và các đơn vị thành viên, 01 người đang làm nghiên cứu sinh tại Liên bang Nga. Bộ Giáo dục và Đào tạo đã khảo sát nhanh, trong số 312 người đã tốt nghiệp hiện không làm việc tại EVN có 130 người sẵn sàng về làm việc cho nhà máy điện hạt nhân, tuy nhiên cần đào tạo lại để phù hợp với công nghệ hạt nhân được lựa chọn.</w:t>
      </w:r>
    </w:p>
    <w:p w14:paraId="623947BA" w14:textId="2C46D9C1" w:rsidR="003F6AD0" w:rsidRPr="00742FB3" w:rsidRDefault="003F6AD0" w:rsidP="00F5332F">
      <w:pPr>
        <w:pStyle w:val="NormalWeb"/>
        <w:shd w:val="clear" w:color="auto" w:fill="FFFFFF"/>
        <w:spacing w:before="120" w:beforeAutospacing="0" w:after="120" w:afterAutospacing="0" w:line="288" w:lineRule="auto"/>
        <w:ind w:firstLine="567"/>
        <w:jc w:val="both"/>
        <w:rPr>
          <w:bCs/>
          <w:sz w:val="28"/>
          <w:szCs w:val="28"/>
        </w:rPr>
      </w:pPr>
      <w:r w:rsidRPr="00742FB3">
        <w:rPr>
          <w:bCs/>
          <w:sz w:val="28"/>
          <w:szCs w:val="28"/>
        </w:rPr>
        <w:t>Trong giai đoạn 2014-2025 áp dụng chế độ học bổng theo Nghị định 124/2013/NĐ-CP, Bộ GDĐT đã cấp 193 suất học bổng (165 đào tạo đại học, 24 đào tạo thạc sĩ và 4 nghiên cứu sinh) với tổng kinh phí là 175 tỷ để thực hiện Đề án 1558.</w:t>
      </w:r>
    </w:p>
    <w:p w14:paraId="17464DCC" w14:textId="04C5F219" w:rsidR="004F1ABE" w:rsidRPr="00742FB3" w:rsidRDefault="004F1ABE" w:rsidP="00F5332F">
      <w:pPr>
        <w:pStyle w:val="NormalWeb"/>
        <w:shd w:val="clear" w:color="auto" w:fill="FFFFFF"/>
        <w:spacing w:before="120" w:beforeAutospacing="0" w:after="120" w:afterAutospacing="0" w:line="288" w:lineRule="auto"/>
        <w:ind w:firstLine="567"/>
        <w:jc w:val="both"/>
        <w:rPr>
          <w:bCs/>
          <w:sz w:val="28"/>
          <w:szCs w:val="28"/>
        </w:rPr>
      </w:pPr>
      <w:r w:rsidRPr="00742FB3">
        <w:rPr>
          <w:bCs/>
          <w:sz w:val="28"/>
          <w:szCs w:val="28"/>
        </w:rPr>
        <w:t xml:space="preserve">- Trong giai đoạn 2010-2015, theo báo cáo của các trường đại học ngày 19 tháng 3 năm 2025, số lượng nhân lực có trình độ đại học phục vụ điện hạt nhân do 5 trường đại học được giao theo </w:t>
      </w:r>
      <w:r w:rsidRPr="00742FB3">
        <w:rPr>
          <w:sz w:val="28"/>
          <w:szCs w:val="28"/>
          <w:lang w:val="vi"/>
        </w:rPr>
        <w:t>Quyết định số 1558/QĐ-TTg ngày 18 tháng 8 năm 2010 của Thủ tướng Chính phủ</w:t>
      </w:r>
      <w:r w:rsidRPr="00742FB3">
        <w:rPr>
          <w:bCs/>
          <w:sz w:val="28"/>
          <w:szCs w:val="28"/>
        </w:rPr>
        <w:t xml:space="preserve"> là 375 kỹ sư và 539 cử nhân các chuyên ngành kỹ thuật hạt nhân, vật lý hạt nhân, công nghệ kỹ thuật hạt nhân, vật lý kỹ thuật. Trong đó, có 375 kỹ sư (Đai học bách khoa Hà Nội), 186 cử nhân (trường Đại học KHTN – ĐHQG Hà Nội), 313 cử nhân (trường Đại học KHTN – ĐHQG Tp Hồ Chí Minh) và 40 cử nhân</w:t>
      </w:r>
      <w:r w:rsidRPr="00742FB3">
        <w:rPr>
          <w:bCs/>
          <w:sz w:val="28"/>
          <w:szCs w:val="28"/>
          <w:lang w:val="vi"/>
        </w:rPr>
        <w:t xml:space="preserve"> </w:t>
      </w:r>
      <w:r w:rsidRPr="00742FB3">
        <w:rPr>
          <w:bCs/>
          <w:sz w:val="28"/>
          <w:szCs w:val="28"/>
        </w:rPr>
        <w:t>(trường Đại học Đà Lạt).</w:t>
      </w:r>
      <w:r w:rsidR="00E16FE2" w:rsidRPr="00742FB3">
        <w:rPr>
          <w:bCs/>
          <w:sz w:val="28"/>
          <w:szCs w:val="28"/>
        </w:rPr>
        <w:t xml:space="preserve"> Kết quả chi tiết trong Bảng 1.</w:t>
      </w:r>
    </w:p>
    <w:p w14:paraId="747D260A" w14:textId="77777777" w:rsidR="004F1ABE" w:rsidRPr="00742FB3" w:rsidRDefault="004F1ABE" w:rsidP="00F5332F">
      <w:pPr>
        <w:pStyle w:val="NormalWeb"/>
        <w:shd w:val="clear" w:color="auto" w:fill="FFFFFF"/>
        <w:spacing w:before="120" w:beforeAutospacing="0" w:after="120" w:afterAutospacing="0" w:line="288" w:lineRule="auto"/>
        <w:ind w:firstLine="567"/>
        <w:jc w:val="both"/>
        <w:rPr>
          <w:sz w:val="28"/>
          <w:szCs w:val="28"/>
          <w:lang w:val="vi"/>
        </w:rPr>
      </w:pPr>
      <w:r w:rsidRPr="00742FB3">
        <w:rPr>
          <w:bCs/>
          <w:i/>
          <w:iCs/>
          <w:sz w:val="28"/>
          <w:szCs w:val="28"/>
          <w:lang w:val="vi-VN"/>
        </w:rPr>
        <w:tab/>
      </w:r>
      <w:r w:rsidRPr="00742FB3">
        <w:rPr>
          <w:sz w:val="28"/>
          <w:szCs w:val="28"/>
          <w:lang w:val="vi"/>
        </w:rPr>
        <w:t>- Đào tạo kỹ sư điện hạt nhân theo học bổng của EVN: Giai đoạn 2005-2010, EVN đã cử 29 sinh viên đi đào tạo tại Liên bang Nga và 01 sinh viên đi đào tạo tại Cộng hòa Pháp, toàn bộ chi phí do EVN chi trả. Sau khi tốt nghiệp về nước, đến nay có 27/30 kỹ sư điện hạt nhân hiện đang làm việc tại EVN và các đơn vị thành viên.</w:t>
      </w:r>
    </w:p>
    <w:p w14:paraId="6E7F6EBB" w14:textId="3029E355" w:rsidR="004F1ABE" w:rsidRPr="00742FB3" w:rsidRDefault="004F1ABE" w:rsidP="00F5332F">
      <w:pPr>
        <w:pStyle w:val="NormalWeb"/>
        <w:shd w:val="clear" w:color="auto" w:fill="FFFFFF"/>
        <w:spacing w:before="120" w:beforeAutospacing="0" w:after="120" w:afterAutospacing="0" w:line="288" w:lineRule="auto"/>
        <w:ind w:firstLine="567"/>
        <w:jc w:val="both"/>
        <w:rPr>
          <w:bCs/>
          <w:sz w:val="28"/>
          <w:szCs w:val="28"/>
          <w:lang w:val="vi"/>
        </w:rPr>
      </w:pPr>
      <w:r w:rsidRPr="00742FB3">
        <w:rPr>
          <w:bCs/>
          <w:sz w:val="28"/>
          <w:szCs w:val="28"/>
          <w:lang w:val="vi"/>
        </w:rPr>
        <w:t>- Đào tạo kỹ sư điện hạt nhân tại Nhật Bản: Trong giai đoạn 2012-2016, EVN và công ty phát triển điện hạt nhân Nhật Bản đã ký các Biên bản ghi nhớ về việc đào tạo cán bộ nòng cốt cho dự án. Theo đó, EVN đã cử 32 người tham gia 3 lớp đào tạo này tại Nhật Bản, đến nay có 30 người đang làm việc tại các Ban chức năng và đơn vị thuộc EVN.</w:t>
      </w:r>
    </w:p>
    <w:bookmarkEnd w:id="8"/>
    <w:p w14:paraId="7C08DBD0" w14:textId="6A0468A8" w:rsidR="004F1ABE" w:rsidRPr="00742FB3" w:rsidRDefault="00030834" w:rsidP="004F1ABE">
      <w:pPr>
        <w:pStyle w:val="NormalWeb"/>
        <w:shd w:val="clear" w:color="auto" w:fill="FFFFFF"/>
        <w:spacing w:before="120" w:beforeAutospacing="0" w:after="0" w:afterAutospacing="0" w:line="271" w:lineRule="auto"/>
        <w:ind w:firstLine="567"/>
        <w:jc w:val="both"/>
        <w:rPr>
          <w:bCs/>
          <w:i/>
          <w:iCs/>
          <w:sz w:val="28"/>
          <w:szCs w:val="28"/>
        </w:rPr>
      </w:pPr>
      <w:r w:rsidRPr="00742FB3">
        <w:rPr>
          <w:bCs/>
          <w:i/>
          <w:sz w:val="28"/>
          <w:szCs w:val="28"/>
        </w:rPr>
        <w:t xml:space="preserve">Bảng 1. </w:t>
      </w:r>
      <w:r w:rsidRPr="00742FB3">
        <w:rPr>
          <w:bCs/>
          <w:i/>
          <w:iCs/>
          <w:sz w:val="28"/>
          <w:szCs w:val="28"/>
          <w:lang w:val="it-IT"/>
        </w:rPr>
        <w:t xml:space="preserve">Kết quả đào tạo, bồi dưỡng </w:t>
      </w:r>
      <w:r w:rsidRPr="00742FB3">
        <w:rPr>
          <w:bCs/>
          <w:i/>
          <w:iCs/>
          <w:sz w:val="28"/>
          <w:szCs w:val="28"/>
          <w:lang w:val="vi-VN"/>
        </w:rPr>
        <w:t>thực hiện Nghị định 124/2013/NĐ-CP giai đoạn 2014-2025</w:t>
      </w:r>
      <w:r w:rsidR="00E16FE2" w:rsidRPr="00742FB3">
        <w:rPr>
          <w:bCs/>
          <w:i/>
          <w:iCs/>
          <w:sz w:val="28"/>
          <w:szCs w:val="28"/>
        </w:rPr>
        <w:t xml:space="preserve"> của 6 cơ sở đào tạo</w:t>
      </w:r>
      <w:r w:rsidR="00AE44BC" w:rsidRPr="00742FB3">
        <w:rPr>
          <w:rStyle w:val="FootnoteReference"/>
          <w:bCs/>
          <w:i/>
          <w:iCs/>
          <w:sz w:val="28"/>
          <w:szCs w:val="28"/>
        </w:rPr>
        <w:footnoteReference w:id="2"/>
      </w:r>
      <w:r w:rsidR="00E16FE2" w:rsidRPr="00742FB3">
        <w:rPr>
          <w:bCs/>
          <w:i/>
          <w:iCs/>
          <w:sz w:val="28"/>
          <w:szCs w:val="28"/>
        </w:rPr>
        <w:t xml:space="preserve"> được lựa chọn tham gi</w:t>
      </w:r>
      <w:r w:rsidR="00AE44BC" w:rsidRPr="00742FB3">
        <w:rPr>
          <w:bCs/>
          <w:i/>
          <w:iCs/>
          <w:sz w:val="28"/>
          <w:szCs w:val="28"/>
        </w:rPr>
        <w:t xml:space="preserve">a </w:t>
      </w:r>
      <w:bookmarkStart w:id="9" w:name="_Hlk210037879"/>
      <w:r w:rsidR="00AE44BC" w:rsidRPr="00742FB3">
        <w:rPr>
          <w:bCs/>
          <w:i/>
          <w:iCs/>
          <w:sz w:val="28"/>
          <w:szCs w:val="28"/>
        </w:rPr>
        <w:t xml:space="preserve">Đề án "Đào tạo và phát triển nguồn nhân lực trong lĩnh vực năng lượng nguyên tử" </w:t>
      </w:r>
      <w:bookmarkEnd w:id="9"/>
    </w:p>
    <w:tbl>
      <w:tblPr>
        <w:tblStyle w:val="TableGrid"/>
        <w:tblW w:w="0" w:type="auto"/>
        <w:jc w:val="center"/>
        <w:tblLook w:val="04A0" w:firstRow="1" w:lastRow="0" w:firstColumn="1" w:lastColumn="0" w:noHBand="0" w:noVBand="1"/>
      </w:tblPr>
      <w:tblGrid>
        <w:gridCol w:w="536"/>
        <w:gridCol w:w="636"/>
        <w:gridCol w:w="2212"/>
        <w:gridCol w:w="871"/>
        <w:gridCol w:w="867"/>
        <w:gridCol w:w="896"/>
        <w:gridCol w:w="1004"/>
        <w:gridCol w:w="1004"/>
        <w:gridCol w:w="1431"/>
      </w:tblGrid>
      <w:tr w:rsidR="00742FB3" w:rsidRPr="00742FB3" w14:paraId="31F618D7" w14:textId="77777777" w:rsidTr="0089120D">
        <w:trPr>
          <w:trHeight w:val="408"/>
          <w:jc w:val="center"/>
        </w:trPr>
        <w:tc>
          <w:tcPr>
            <w:tcW w:w="536" w:type="dxa"/>
            <w:vMerge w:val="restart"/>
            <w:vAlign w:val="center"/>
          </w:tcPr>
          <w:p w14:paraId="77DAF0B2" w14:textId="08D6C9BF" w:rsidR="00E7177A" w:rsidRPr="00742FB3" w:rsidRDefault="00E7177A" w:rsidP="000209C2">
            <w:pPr>
              <w:spacing w:before="40" w:after="40"/>
              <w:ind w:left="-57" w:right="-57"/>
              <w:jc w:val="center"/>
              <w:rPr>
                <w:b/>
                <w:iCs/>
                <w:sz w:val="26"/>
                <w:szCs w:val="26"/>
                <w:lang w:val="vi-VN"/>
              </w:rPr>
            </w:pPr>
            <w:r w:rsidRPr="00742FB3">
              <w:rPr>
                <w:b/>
                <w:iCs/>
                <w:sz w:val="26"/>
                <w:szCs w:val="26"/>
                <w:lang w:val="vi-VN"/>
              </w:rPr>
              <w:t>TT</w:t>
            </w:r>
          </w:p>
        </w:tc>
        <w:tc>
          <w:tcPr>
            <w:tcW w:w="2848" w:type="dxa"/>
            <w:gridSpan w:val="2"/>
            <w:vMerge w:val="restart"/>
            <w:vAlign w:val="center"/>
          </w:tcPr>
          <w:p w14:paraId="2550C497" w14:textId="544C4AE0" w:rsidR="00E7177A" w:rsidRPr="00742FB3" w:rsidRDefault="00E7177A" w:rsidP="000209C2">
            <w:pPr>
              <w:spacing w:before="40" w:after="40"/>
              <w:ind w:left="-57" w:right="-57"/>
              <w:jc w:val="center"/>
              <w:rPr>
                <w:b/>
                <w:iCs/>
                <w:sz w:val="26"/>
                <w:szCs w:val="26"/>
                <w:lang w:val="vi-VN"/>
              </w:rPr>
            </w:pPr>
            <w:r w:rsidRPr="00742FB3">
              <w:rPr>
                <w:b/>
                <w:iCs/>
                <w:sz w:val="26"/>
                <w:szCs w:val="26"/>
                <w:lang w:val="vi-VN"/>
              </w:rPr>
              <w:t>Đối tượng</w:t>
            </w:r>
          </w:p>
        </w:tc>
        <w:tc>
          <w:tcPr>
            <w:tcW w:w="871" w:type="dxa"/>
            <w:vMerge w:val="restart"/>
            <w:vAlign w:val="center"/>
          </w:tcPr>
          <w:p w14:paraId="2692AC4C" w14:textId="0D32FCEC" w:rsidR="00E7177A" w:rsidRPr="00742FB3" w:rsidRDefault="00E7177A" w:rsidP="000209C2">
            <w:pPr>
              <w:spacing w:before="40" w:after="40"/>
              <w:ind w:left="-57" w:right="-57"/>
              <w:jc w:val="center"/>
              <w:rPr>
                <w:b/>
                <w:iCs/>
                <w:sz w:val="26"/>
                <w:szCs w:val="26"/>
                <w:lang w:val="vi-VN"/>
              </w:rPr>
            </w:pPr>
            <w:r w:rsidRPr="00742FB3">
              <w:rPr>
                <w:b/>
                <w:iCs/>
                <w:sz w:val="26"/>
                <w:szCs w:val="26"/>
                <w:lang w:val="vi-VN"/>
              </w:rPr>
              <w:t>Số lượng, người</w:t>
            </w:r>
          </w:p>
        </w:tc>
        <w:tc>
          <w:tcPr>
            <w:tcW w:w="1763" w:type="dxa"/>
            <w:gridSpan w:val="2"/>
            <w:vAlign w:val="center"/>
          </w:tcPr>
          <w:p w14:paraId="63E8B879" w14:textId="6ABF65D3" w:rsidR="00E7177A" w:rsidRPr="00742FB3" w:rsidRDefault="00E7177A" w:rsidP="000209C2">
            <w:pPr>
              <w:spacing w:before="40" w:after="40"/>
              <w:ind w:left="-57" w:right="-57"/>
              <w:jc w:val="center"/>
              <w:rPr>
                <w:b/>
                <w:iCs/>
                <w:sz w:val="26"/>
                <w:szCs w:val="26"/>
                <w:lang w:val="vi-VN"/>
              </w:rPr>
            </w:pPr>
            <w:r w:rsidRPr="00742FB3">
              <w:rPr>
                <w:b/>
                <w:iCs/>
                <w:sz w:val="26"/>
                <w:szCs w:val="26"/>
                <w:lang w:val="vi-VN"/>
              </w:rPr>
              <w:t>Kinh phí, trđ</w:t>
            </w:r>
          </w:p>
        </w:tc>
        <w:tc>
          <w:tcPr>
            <w:tcW w:w="1004" w:type="dxa"/>
            <w:vMerge w:val="restart"/>
            <w:vAlign w:val="center"/>
          </w:tcPr>
          <w:p w14:paraId="71F9E421" w14:textId="46477FA0" w:rsidR="00E7177A" w:rsidRPr="00742FB3" w:rsidRDefault="00E7177A" w:rsidP="000209C2">
            <w:pPr>
              <w:spacing w:before="40" w:after="40"/>
              <w:ind w:left="-57" w:right="-57"/>
              <w:jc w:val="center"/>
              <w:rPr>
                <w:b/>
                <w:iCs/>
                <w:sz w:val="26"/>
                <w:szCs w:val="26"/>
                <w:lang w:val="vi-VN"/>
              </w:rPr>
            </w:pPr>
            <w:r w:rsidRPr="00742FB3">
              <w:rPr>
                <w:b/>
                <w:iCs/>
                <w:sz w:val="26"/>
                <w:szCs w:val="26"/>
                <w:lang w:val="vi-VN"/>
              </w:rPr>
              <w:t>Số lượng người được chọn (*)</w:t>
            </w:r>
          </w:p>
        </w:tc>
        <w:tc>
          <w:tcPr>
            <w:tcW w:w="1004" w:type="dxa"/>
            <w:vMerge w:val="restart"/>
            <w:vAlign w:val="center"/>
          </w:tcPr>
          <w:p w14:paraId="1AB1AE97" w14:textId="03CECD2C" w:rsidR="00E7177A" w:rsidRPr="00742FB3" w:rsidRDefault="00E7177A" w:rsidP="000209C2">
            <w:pPr>
              <w:spacing w:before="40" w:after="40"/>
              <w:ind w:left="-57" w:right="-57"/>
              <w:jc w:val="center"/>
              <w:rPr>
                <w:b/>
                <w:iCs/>
                <w:sz w:val="26"/>
                <w:szCs w:val="26"/>
                <w:lang w:val="es-ES"/>
              </w:rPr>
            </w:pPr>
            <w:r w:rsidRPr="00742FB3">
              <w:rPr>
                <w:b/>
                <w:iCs/>
                <w:sz w:val="26"/>
                <w:szCs w:val="26"/>
                <w:lang w:val="vi-VN"/>
              </w:rPr>
              <w:t>Số lượng người làm việc tại EVN (**)</w:t>
            </w:r>
          </w:p>
        </w:tc>
        <w:tc>
          <w:tcPr>
            <w:tcW w:w="1431" w:type="dxa"/>
            <w:vMerge w:val="restart"/>
            <w:vAlign w:val="center"/>
          </w:tcPr>
          <w:p w14:paraId="2D83A036" w14:textId="2003380B" w:rsidR="00135A1C" w:rsidRPr="00742FB3" w:rsidRDefault="00E7177A" w:rsidP="0089120D">
            <w:pPr>
              <w:spacing w:before="40" w:after="40"/>
              <w:ind w:left="-57" w:right="-57"/>
              <w:jc w:val="center"/>
              <w:rPr>
                <w:b/>
                <w:iCs/>
                <w:sz w:val="26"/>
                <w:szCs w:val="26"/>
                <w:lang w:val="vi-VN"/>
              </w:rPr>
            </w:pPr>
            <w:r w:rsidRPr="00742FB3">
              <w:rPr>
                <w:b/>
                <w:iCs/>
                <w:sz w:val="26"/>
                <w:szCs w:val="26"/>
                <w:lang w:val="vi-VN"/>
              </w:rPr>
              <w:t>Ghi chú</w:t>
            </w:r>
          </w:p>
        </w:tc>
      </w:tr>
      <w:tr w:rsidR="00742FB3" w:rsidRPr="00742FB3" w14:paraId="651481D2" w14:textId="77777777" w:rsidTr="0089120D">
        <w:trPr>
          <w:trHeight w:val="593"/>
          <w:jc w:val="center"/>
        </w:trPr>
        <w:tc>
          <w:tcPr>
            <w:tcW w:w="536" w:type="dxa"/>
            <w:vMerge/>
            <w:vAlign w:val="center"/>
          </w:tcPr>
          <w:p w14:paraId="7B9B8AC1" w14:textId="77777777" w:rsidR="00E7177A" w:rsidRPr="00742FB3" w:rsidRDefault="00E7177A" w:rsidP="000209C2">
            <w:pPr>
              <w:spacing w:before="40" w:after="40"/>
              <w:ind w:left="-57" w:right="-57"/>
              <w:jc w:val="center"/>
              <w:rPr>
                <w:i/>
                <w:iCs/>
                <w:sz w:val="26"/>
                <w:szCs w:val="26"/>
                <w:lang w:val="vi-VN"/>
              </w:rPr>
            </w:pPr>
          </w:p>
        </w:tc>
        <w:tc>
          <w:tcPr>
            <w:tcW w:w="2848" w:type="dxa"/>
            <w:gridSpan w:val="2"/>
            <w:vMerge/>
            <w:vAlign w:val="center"/>
          </w:tcPr>
          <w:p w14:paraId="19270387" w14:textId="77777777" w:rsidR="00E7177A" w:rsidRPr="00742FB3" w:rsidRDefault="00E7177A" w:rsidP="000209C2">
            <w:pPr>
              <w:spacing w:before="40" w:after="40"/>
              <w:ind w:left="-57" w:right="-57"/>
              <w:jc w:val="center"/>
              <w:rPr>
                <w:i/>
                <w:iCs/>
                <w:sz w:val="26"/>
                <w:szCs w:val="26"/>
                <w:lang w:val="vi-VN"/>
              </w:rPr>
            </w:pPr>
          </w:p>
        </w:tc>
        <w:tc>
          <w:tcPr>
            <w:tcW w:w="871" w:type="dxa"/>
            <w:vMerge/>
            <w:vAlign w:val="center"/>
          </w:tcPr>
          <w:p w14:paraId="08BF1DCD" w14:textId="77777777" w:rsidR="00E7177A" w:rsidRPr="00742FB3" w:rsidRDefault="00E7177A" w:rsidP="000209C2">
            <w:pPr>
              <w:spacing w:before="40" w:after="40"/>
              <w:ind w:left="-57" w:right="-57"/>
              <w:jc w:val="center"/>
              <w:rPr>
                <w:i/>
                <w:iCs/>
                <w:sz w:val="26"/>
                <w:szCs w:val="26"/>
                <w:lang w:val="vi-VN"/>
              </w:rPr>
            </w:pPr>
          </w:p>
        </w:tc>
        <w:tc>
          <w:tcPr>
            <w:tcW w:w="867" w:type="dxa"/>
            <w:vAlign w:val="center"/>
          </w:tcPr>
          <w:p w14:paraId="26E6E717" w14:textId="2FA72EBB" w:rsidR="00E7177A" w:rsidRPr="00742FB3" w:rsidRDefault="00E7177A" w:rsidP="000209C2">
            <w:pPr>
              <w:spacing w:before="40" w:after="40"/>
              <w:ind w:left="-57" w:right="-57"/>
              <w:jc w:val="center"/>
              <w:rPr>
                <w:b/>
                <w:i/>
                <w:iCs/>
                <w:sz w:val="26"/>
                <w:szCs w:val="26"/>
                <w:lang w:val="vi-VN"/>
              </w:rPr>
            </w:pPr>
            <w:r w:rsidRPr="00742FB3">
              <w:rPr>
                <w:b/>
                <w:i/>
                <w:iCs/>
                <w:sz w:val="26"/>
                <w:szCs w:val="26"/>
                <w:lang w:val="vi-VN"/>
              </w:rPr>
              <w:t>NSNN</w:t>
            </w:r>
          </w:p>
        </w:tc>
        <w:tc>
          <w:tcPr>
            <w:tcW w:w="896" w:type="dxa"/>
            <w:vAlign w:val="center"/>
          </w:tcPr>
          <w:p w14:paraId="5C628FCC" w14:textId="05393A5B" w:rsidR="00E7177A" w:rsidRPr="00742FB3" w:rsidRDefault="00E7177A" w:rsidP="000209C2">
            <w:pPr>
              <w:spacing w:before="40" w:after="40"/>
              <w:ind w:left="-57" w:right="-57"/>
              <w:jc w:val="center"/>
              <w:rPr>
                <w:b/>
                <w:i/>
                <w:iCs/>
                <w:sz w:val="26"/>
                <w:szCs w:val="26"/>
                <w:lang w:val="vi-VN"/>
              </w:rPr>
            </w:pPr>
            <w:r w:rsidRPr="00742FB3">
              <w:rPr>
                <w:b/>
                <w:i/>
                <w:iCs/>
                <w:sz w:val="26"/>
                <w:szCs w:val="26"/>
                <w:lang w:val="vi-VN"/>
              </w:rPr>
              <w:t>Nguồn khác</w:t>
            </w:r>
          </w:p>
        </w:tc>
        <w:tc>
          <w:tcPr>
            <w:tcW w:w="1004" w:type="dxa"/>
            <w:vMerge/>
            <w:vAlign w:val="center"/>
          </w:tcPr>
          <w:p w14:paraId="033C17E1" w14:textId="03833A5C" w:rsidR="00E7177A" w:rsidRPr="00742FB3" w:rsidRDefault="00E7177A" w:rsidP="000209C2">
            <w:pPr>
              <w:spacing w:before="40" w:after="40"/>
              <w:ind w:left="-57" w:right="-57"/>
              <w:jc w:val="center"/>
              <w:rPr>
                <w:i/>
                <w:iCs/>
                <w:sz w:val="26"/>
                <w:szCs w:val="26"/>
                <w:lang w:val="vi-VN"/>
              </w:rPr>
            </w:pPr>
          </w:p>
        </w:tc>
        <w:tc>
          <w:tcPr>
            <w:tcW w:w="1004" w:type="dxa"/>
            <w:vMerge/>
            <w:vAlign w:val="center"/>
          </w:tcPr>
          <w:p w14:paraId="336CC0E5" w14:textId="77777777" w:rsidR="00E7177A" w:rsidRPr="00742FB3" w:rsidRDefault="00E7177A" w:rsidP="000209C2">
            <w:pPr>
              <w:spacing w:before="40" w:after="40"/>
              <w:ind w:left="-57" w:right="-57"/>
              <w:jc w:val="center"/>
              <w:rPr>
                <w:i/>
                <w:iCs/>
                <w:sz w:val="26"/>
                <w:szCs w:val="26"/>
                <w:lang w:val="vi-VN"/>
              </w:rPr>
            </w:pPr>
          </w:p>
        </w:tc>
        <w:tc>
          <w:tcPr>
            <w:tcW w:w="1431" w:type="dxa"/>
            <w:vMerge/>
            <w:vAlign w:val="center"/>
          </w:tcPr>
          <w:p w14:paraId="6E30E6D6" w14:textId="77777777" w:rsidR="00E7177A" w:rsidRPr="00742FB3" w:rsidRDefault="00E7177A" w:rsidP="000209C2">
            <w:pPr>
              <w:spacing w:before="40" w:after="40"/>
              <w:ind w:left="-57" w:right="-57"/>
              <w:jc w:val="center"/>
              <w:rPr>
                <w:i/>
                <w:iCs/>
                <w:sz w:val="26"/>
                <w:szCs w:val="26"/>
                <w:lang w:val="vi-VN"/>
              </w:rPr>
            </w:pPr>
          </w:p>
        </w:tc>
      </w:tr>
      <w:tr w:rsidR="00742FB3" w:rsidRPr="00742FB3" w14:paraId="436FCE78" w14:textId="30AA4AD0" w:rsidTr="0089120D">
        <w:trPr>
          <w:jc w:val="center"/>
        </w:trPr>
        <w:tc>
          <w:tcPr>
            <w:tcW w:w="5122" w:type="dxa"/>
            <w:gridSpan w:val="5"/>
            <w:shd w:val="clear" w:color="auto" w:fill="DAE9F7" w:themeFill="text2" w:themeFillTint="1A"/>
            <w:vAlign w:val="center"/>
          </w:tcPr>
          <w:p w14:paraId="17F09148" w14:textId="7E30FAFA" w:rsidR="00E7177A" w:rsidRPr="00742FB3" w:rsidRDefault="00E7177A" w:rsidP="000209C2">
            <w:pPr>
              <w:spacing w:before="40" w:after="40"/>
              <w:ind w:left="-57" w:right="-57"/>
              <w:jc w:val="both"/>
              <w:rPr>
                <w:i/>
                <w:iCs/>
                <w:sz w:val="26"/>
                <w:szCs w:val="26"/>
                <w:lang w:val="vi-VN"/>
              </w:rPr>
            </w:pPr>
            <w:r w:rsidRPr="00742FB3">
              <w:rPr>
                <w:i/>
                <w:iCs/>
                <w:sz w:val="26"/>
                <w:szCs w:val="26"/>
                <w:lang w:val="vi-VN"/>
              </w:rPr>
              <w:t>A. Đào tạo ở trong nước</w:t>
            </w:r>
          </w:p>
        </w:tc>
        <w:tc>
          <w:tcPr>
            <w:tcW w:w="4335" w:type="dxa"/>
            <w:gridSpan w:val="4"/>
            <w:shd w:val="clear" w:color="auto" w:fill="DAE9F7" w:themeFill="text2" w:themeFillTint="1A"/>
            <w:vAlign w:val="center"/>
          </w:tcPr>
          <w:p w14:paraId="1004DE90" w14:textId="77777777" w:rsidR="00E7177A" w:rsidRPr="00742FB3" w:rsidRDefault="00E7177A" w:rsidP="000209C2">
            <w:pPr>
              <w:spacing w:before="40" w:after="40"/>
              <w:ind w:right="-57"/>
              <w:jc w:val="both"/>
              <w:rPr>
                <w:i/>
                <w:iCs/>
                <w:sz w:val="26"/>
                <w:szCs w:val="26"/>
                <w:lang w:val="vi-VN"/>
              </w:rPr>
            </w:pPr>
          </w:p>
        </w:tc>
      </w:tr>
      <w:tr w:rsidR="00742FB3" w:rsidRPr="00742FB3" w14:paraId="7A4B7683" w14:textId="77777777" w:rsidTr="0089120D">
        <w:trPr>
          <w:jc w:val="center"/>
        </w:trPr>
        <w:tc>
          <w:tcPr>
            <w:tcW w:w="536" w:type="dxa"/>
            <w:vAlign w:val="center"/>
          </w:tcPr>
          <w:p w14:paraId="3350A099" w14:textId="1553EBAD" w:rsidR="00E7177A" w:rsidRPr="00742FB3" w:rsidRDefault="00E7177A" w:rsidP="000209C2">
            <w:pPr>
              <w:spacing w:before="40" w:after="40"/>
              <w:ind w:left="-57" w:right="-57"/>
              <w:jc w:val="center"/>
              <w:rPr>
                <w:iCs/>
                <w:sz w:val="26"/>
                <w:szCs w:val="26"/>
                <w:lang w:val="vi-VN"/>
              </w:rPr>
            </w:pPr>
            <w:r w:rsidRPr="00742FB3">
              <w:rPr>
                <w:iCs/>
                <w:sz w:val="26"/>
                <w:szCs w:val="26"/>
                <w:lang w:val="vi-VN"/>
              </w:rPr>
              <w:t>1</w:t>
            </w:r>
          </w:p>
        </w:tc>
        <w:tc>
          <w:tcPr>
            <w:tcW w:w="2848" w:type="dxa"/>
            <w:gridSpan w:val="2"/>
            <w:vAlign w:val="center"/>
          </w:tcPr>
          <w:p w14:paraId="372DD9B6" w14:textId="7C3C7073" w:rsidR="00E7177A" w:rsidRPr="00742FB3" w:rsidRDefault="00E7177A" w:rsidP="000209C2">
            <w:pPr>
              <w:spacing w:before="40" w:after="40"/>
              <w:ind w:left="-57" w:right="-57"/>
              <w:rPr>
                <w:iCs/>
                <w:sz w:val="26"/>
                <w:szCs w:val="26"/>
                <w:lang w:val="vi-VN"/>
              </w:rPr>
            </w:pPr>
            <w:r w:rsidRPr="00742FB3">
              <w:rPr>
                <w:iCs/>
                <w:sz w:val="26"/>
                <w:szCs w:val="26"/>
                <w:lang w:val="vi-VN"/>
              </w:rPr>
              <w:t>Sinh viên cao đẳng</w:t>
            </w:r>
          </w:p>
        </w:tc>
        <w:tc>
          <w:tcPr>
            <w:tcW w:w="871" w:type="dxa"/>
            <w:tcBorders>
              <w:bottom w:val="single" w:sz="4" w:space="0" w:color="auto"/>
            </w:tcBorders>
            <w:vAlign w:val="center"/>
          </w:tcPr>
          <w:p w14:paraId="7505E392" w14:textId="77777777" w:rsidR="00E7177A" w:rsidRPr="00742FB3" w:rsidRDefault="00E7177A" w:rsidP="000209C2">
            <w:pPr>
              <w:spacing w:before="40" w:after="40"/>
              <w:ind w:left="-57" w:right="-57"/>
              <w:jc w:val="center"/>
              <w:rPr>
                <w:iCs/>
                <w:sz w:val="26"/>
                <w:szCs w:val="26"/>
                <w:lang w:val="es-ES"/>
              </w:rPr>
            </w:pPr>
          </w:p>
        </w:tc>
        <w:tc>
          <w:tcPr>
            <w:tcW w:w="867" w:type="dxa"/>
            <w:vAlign w:val="center"/>
          </w:tcPr>
          <w:p w14:paraId="7DF84AAD" w14:textId="77777777" w:rsidR="00E7177A" w:rsidRPr="00742FB3" w:rsidRDefault="00E7177A" w:rsidP="000209C2">
            <w:pPr>
              <w:spacing w:before="40" w:after="40"/>
              <w:ind w:left="-57" w:right="-57"/>
              <w:jc w:val="center"/>
              <w:rPr>
                <w:iCs/>
                <w:sz w:val="26"/>
                <w:szCs w:val="26"/>
                <w:lang w:val="es-ES"/>
              </w:rPr>
            </w:pPr>
          </w:p>
        </w:tc>
        <w:tc>
          <w:tcPr>
            <w:tcW w:w="896" w:type="dxa"/>
            <w:vAlign w:val="center"/>
          </w:tcPr>
          <w:p w14:paraId="4943BF14" w14:textId="77777777" w:rsidR="00E7177A" w:rsidRPr="00742FB3" w:rsidRDefault="00E7177A" w:rsidP="000209C2">
            <w:pPr>
              <w:spacing w:before="40" w:after="40"/>
              <w:ind w:left="-57" w:right="-57"/>
              <w:jc w:val="center"/>
              <w:rPr>
                <w:iCs/>
                <w:sz w:val="26"/>
                <w:szCs w:val="26"/>
                <w:lang w:val="es-ES"/>
              </w:rPr>
            </w:pPr>
          </w:p>
        </w:tc>
        <w:tc>
          <w:tcPr>
            <w:tcW w:w="1004" w:type="dxa"/>
            <w:vAlign w:val="center"/>
          </w:tcPr>
          <w:p w14:paraId="3955CBC1" w14:textId="5BB4FC66" w:rsidR="00E7177A" w:rsidRPr="00742FB3" w:rsidRDefault="00E7177A" w:rsidP="000209C2">
            <w:pPr>
              <w:spacing w:before="40" w:after="40"/>
              <w:ind w:left="-57" w:right="-57"/>
              <w:jc w:val="center"/>
              <w:rPr>
                <w:iCs/>
                <w:sz w:val="26"/>
                <w:szCs w:val="26"/>
                <w:lang w:val="es-ES"/>
              </w:rPr>
            </w:pPr>
          </w:p>
        </w:tc>
        <w:tc>
          <w:tcPr>
            <w:tcW w:w="1004" w:type="dxa"/>
            <w:vAlign w:val="center"/>
          </w:tcPr>
          <w:p w14:paraId="2B767D29" w14:textId="77777777" w:rsidR="00E7177A" w:rsidRPr="00742FB3" w:rsidRDefault="00E7177A" w:rsidP="000209C2">
            <w:pPr>
              <w:spacing w:before="40" w:after="40"/>
              <w:ind w:left="-57" w:right="-57"/>
              <w:jc w:val="center"/>
              <w:rPr>
                <w:iCs/>
                <w:sz w:val="26"/>
                <w:szCs w:val="26"/>
                <w:lang w:val="es-ES"/>
              </w:rPr>
            </w:pPr>
          </w:p>
        </w:tc>
        <w:tc>
          <w:tcPr>
            <w:tcW w:w="1431" w:type="dxa"/>
            <w:vAlign w:val="center"/>
          </w:tcPr>
          <w:p w14:paraId="7BAC63C2" w14:textId="77777777" w:rsidR="00E7177A" w:rsidRPr="00742FB3" w:rsidRDefault="00E7177A" w:rsidP="000209C2">
            <w:pPr>
              <w:spacing w:before="40" w:after="40"/>
              <w:ind w:left="-57" w:right="-57"/>
              <w:jc w:val="center"/>
              <w:rPr>
                <w:iCs/>
                <w:sz w:val="26"/>
                <w:szCs w:val="26"/>
                <w:lang w:val="es-ES"/>
              </w:rPr>
            </w:pPr>
          </w:p>
        </w:tc>
      </w:tr>
      <w:tr w:rsidR="00742FB3" w:rsidRPr="00742FB3" w14:paraId="0B102271" w14:textId="77777777" w:rsidTr="0089120D">
        <w:trPr>
          <w:trHeight w:val="309"/>
          <w:jc w:val="center"/>
        </w:trPr>
        <w:tc>
          <w:tcPr>
            <w:tcW w:w="536" w:type="dxa"/>
            <w:vMerge w:val="restart"/>
            <w:vAlign w:val="center"/>
          </w:tcPr>
          <w:p w14:paraId="3C0E8437" w14:textId="4F8513B4" w:rsidR="00E16FE2" w:rsidRPr="00742FB3" w:rsidRDefault="00E16FE2" w:rsidP="00E16FE2">
            <w:pPr>
              <w:spacing w:before="40" w:after="40"/>
              <w:ind w:left="-57" w:right="-57"/>
              <w:jc w:val="center"/>
              <w:rPr>
                <w:iCs/>
                <w:sz w:val="26"/>
                <w:szCs w:val="26"/>
                <w:lang w:val="vi-VN"/>
              </w:rPr>
            </w:pPr>
            <w:r w:rsidRPr="00742FB3">
              <w:rPr>
                <w:iCs/>
                <w:sz w:val="26"/>
                <w:szCs w:val="26"/>
                <w:lang w:val="vi-VN"/>
              </w:rPr>
              <w:t>2</w:t>
            </w:r>
          </w:p>
        </w:tc>
        <w:tc>
          <w:tcPr>
            <w:tcW w:w="636" w:type="dxa"/>
            <w:vMerge w:val="restart"/>
            <w:vAlign w:val="center"/>
          </w:tcPr>
          <w:p w14:paraId="13F2F8F1" w14:textId="7E9A640B" w:rsidR="00E16FE2" w:rsidRPr="00742FB3" w:rsidRDefault="00E16FE2" w:rsidP="00E16FE2">
            <w:pPr>
              <w:spacing w:before="40" w:after="40"/>
              <w:ind w:left="-57" w:right="-57"/>
              <w:rPr>
                <w:iCs/>
                <w:sz w:val="26"/>
                <w:szCs w:val="26"/>
                <w:lang w:val="vi-VN"/>
              </w:rPr>
            </w:pPr>
            <w:r w:rsidRPr="00742FB3">
              <w:rPr>
                <w:iCs/>
                <w:sz w:val="26"/>
                <w:szCs w:val="26"/>
                <w:lang w:val="vi-VN"/>
              </w:rPr>
              <w:t>Sinh viên đại học</w:t>
            </w:r>
          </w:p>
        </w:tc>
        <w:tc>
          <w:tcPr>
            <w:tcW w:w="2212" w:type="dxa"/>
            <w:vAlign w:val="center"/>
          </w:tcPr>
          <w:p w14:paraId="2E9C21AD" w14:textId="1DB0A9D3" w:rsidR="00E16FE2" w:rsidRPr="00742FB3" w:rsidRDefault="00E16FE2" w:rsidP="00E16FE2">
            <w:pPr>
              <w:spacing w:before="40" w:after="40"/>
              <w:rPr>
                <w:iCs/>
                <w:sz w:val="26"/>
                <w:szCs w:val="26"/>
                <w:lang w:val="vi-VN"/>
              </w:rPr>
            </w:pPr>
            <w:r w:rsidRPr="00742FB3">
              <w:rPr>
                <w:iCs/>
                <w:sz w:val="26"/>
                <w:szCs w:val="26"/>
                <w:lang w:val="vi-VN"/>
              </w:rPr>
              <w:t>Học trong nước</w:t>
            </w:r>
          </w:p>
        </w:tc>
        <w:tc>
          <w:tcPr>
            <w:tcW w:w="871" w:type="dxa"/>
            <w:tcBorders>
              <w:top w:val="single" w:sz="4" w:space="0" w:color="auto"/>
              <w:left w:val="nil"/>
              <w:bottom w:val="single" w:sz="4" w:space="0" w:color="auto"/>
              <w:right w:val="nil"/>
            </w:tcBorders>
            <w:shd w:val="clear" w:color="auto" w:fill="auto"/>
            <w:vAlign w:val="center"/>
          </w:tcPr>
          <w:p w14:paraId="6B44E98C" w14:textId="6920025F" w:rsidR="00E16FE2" w:rsidRPr="00742FB3" w:rsidRDefault="0089120D" w:rsidP="00E16FE2">
            <w:pPr>
              <w:spacing w:before="40" w:after="40"/>
              <w:ind w:left="-57" w:right="-57"/>
              <w:jc w:val="center"/>
              <w:rPr>
                <w:iCs/>
                <w:sz w:val="26"/>
                <w:szCs w:val="26"/>
                <w:lang w:val="es-ES"/>
              </w:rPr>
            </w:pPr>
            <w:r w:rsidRPr="00742FB3">
              <w:t>1574</w:t>
            </w:r>
          </w:p>
        </w:tc>
        <w:tc>
          <w:tcPr>
            <w:tcW w:w="867" w:type="dxa"/>
            <w:vAlign w:val="center"/>
          </w:tcPr>
          <w:p w14:paraId="4DC0A24F" w14:textId="793F1152"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04044DFA" w14:textId="03885F18"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721F93AD" w14:textId="7DABD15F" w:rsidR="00E16FE2" w:rsidRPr="00742FB3" w:rsidRDefault="00135A1C" w:rsidP="00E16FE2">
            <w:pPr>
              <w:spacing w:before="40" w:after="40"/>
              <w:ind w:left="-57" w:right="-57"/>
              <w:jc w:val="center"/>
              <w:rPr>
                <w:iCs/>
                <w:sz w:val="26"/>
                <w:szCs w:val="26"/>
                <w:lang w:val="es-ES"/>
              </w:rPr>
            </w:pPr>
            <w:r w:rsidRPr="00742FB3">
              <w:rPr>
                <w:iCs/>
                <w:sz w:val="26"/>
                <w:szCs w:val="26"/>
                <w:lang w:val="es-ES"/>
              </w:rPr>
              <w:t>175</w:t>
            </w:r>
          </w:p>
        </w:tc>
        <w:tc>
          <w:tcPr>
            <w:tcW w:w="1004" w:type="dxa"/>
            <w:vAlign w:val="center"/>
          </w:tcPr>
          <w:p w14:paraId="40715207" w14:textId="1F8981A3" w:rsidR="00E16FE2" w:rsidRPr="00742FB3" w:rsidRDefault="0089120D" w:rsidP="00E16FE2">
            <w:pPr>
              <w:spacing w:before="40" w:after="40"/>
              <w:ind w:left="-57" w:right="-57"/>
              <w:jc w:val="center"/>
              <w:rPr>
                <w:iCs/>
                <w:sz w:val="26"/>
                <w:szCs w:val="26"/>
                <w:lang w:val="es-ES"/>
              </w:rPr>
            </w:pPr>
            <w:r w:rsidRPr="00742FB3">
              <w:rPr>
                <w:iCs/>
                <w:sz w:val="26"/>
                <w:szCs w:val="26"/>
                <w:lang w:val="es-ES"/>
              </w:rPr>
              <w:t>4</w:t>
            </w:r>
            <w:r w:rsidR="00135A1C" w:rsidRPr="00742FB3">
              <w:rPr>
                <w:iCs/>
                <w:sz w:val="26"/>
                <w:szCs w:val="26"/>
                <w:lang w:val="es-ES"/>
              </w:rPr>
              <w:t>1</w:t>
            </w:r>
            <w:r w:rsidRPr="00742FB3">
              <w:rPr>
                <w:iCs/>
                <w:sz w:val="26"/>
                <w:szCs w:val="26"/>
                <w:lang w:val="es-ES"/>
              </w:rPr>
              <w:t>9</w:t>
            </w:r>
          </w:p>
        </w:tc>
        <w:tc>
          <w:tcPr>
            <w:tcW w:w="1431" w:type="dxa"/>
            <w:vAlign w:val="center"/>
          </w:tcPr>
          <w:p w14:paraId="5664ABE3" w14:textId="77777777" w:rsidR="00E16FE2" w:rsidRPr="00742FB3" w:rsidRDefault="00E16FE2" w:rsidP="00E16FE2">
            <w:pPr>
              <w:spacing w:before="40" w:after="40"/>
              <w:ind w:left="-57" w:right="-57"/>
              <w:jc w:val="center"/>
              <w:rPr>
                <w:iCs/>
                <w:sz w:val="26"/>
                <w:szCs w:val="26"/>
                <w:lang w:val="es-ES"/>
              </w:rPr>
            </w:pPr>
          </w:p>
        </w:tc>
      </w:tr>
      <w:tr w:rsidR="00742FB3" w:rsidRPr="00742FB3" w14:paraId="1481B91D" w14:textId="77777777" w:rsidTr="0089120D">
        <w:trPr>
          <w:trHeight w:val="256"/>
          <w:jc w:val="center"/>
        </w:trPr>
        <w:tc>
          <w:tcPr>
            <w:tcW w:w="536" w:type="dxa"/>
            <w:vMerge/>
            <w:vAlign w:val="center"/>
          </w:tcPr>
          <w:p w14:paraId="4F21DA86" w14:textId="77777777" w:rsidR="00E16FE2" w:rsidRPr="00742FB3" w:rsidRDefault="00E16FE2" w:rsidP="00E16FE2">
            <w:pPr>
              <w:spacing w:before="40" w:after="40"/>
              <w:ind w:left="-57" w:right="-57"/>
              <w:jc w:val="center"/>
              <w:rPr>
                <w:iCs/>
                <w:sz w:val="26"/>
                <w:szCs w:val="26"/>
                <w:lang w:val="vi-VN"/>
              </w:rPr>
            </w:pPr>
          </w:p>
        </w:tc>
        <w:tc>
          <w:tcPr>
            <w:tcW w:w="636" w:type="dxa"/>
            <w:vMerge/>
            <w:vAlign w:val="center"/>
          </w:tcPr>
          <w:p w14:paraId="60C93546" w14:textId="77777777" w:rsidR="00E16FE2" w:rsidRPr="00742FB3" w:rsidRDefault="00E16FE2" w:rsidP="00E16FE2">
            <w:pPr>
              <w:spacing w:before="40" w:after="40"/>
              <w:ind w:left="-57" w:right="-57"/>
              <w:rPr>
                <w:iCs/>
                <w:sz w:val="26"/>
                <w:szCs w:val="26"/>
                <w:lang w:val="vi-VN"/>
              </w:rPr>
            </w:pPr>
          </w:p>
        </w:tc>
        <w:tc>
          <w:tcPr>
            <w:tcW w:w="2212" w:type="dxa"/>
            <w:vAlign w:val="center"/>
          </w:tcPr>
          <w:p w14:paraId="220D9C2B" w14:textId="2E4175E5" w:rsidR="00E16FE2" w:rsidRPr="00742FB3" w:rsidRDefault="00E16FE2" w:rsidP="00E16FE2">
            <w:pPr>
              <w:spacing w:before="40" w:after="40"/>
              <w:rPr>
                <w:iCs/>
                <w:sz w:val="26"/>
                <w:szCs w:val="26"/>
                <w:lang w:val="vi-VN"/>
              </w:rPr>
            </w:pPr>
            <w:r w:rsidRPr="00742FB3">
              <w:rPr>
                <w:iCs/>
                <w:sz w:val="26"/>
                <w:szCs w:val="26"/>
                <w:lang w:val="vi-VN"/>
              </w:rPr>
              <w:t>Học ở nước ngoài sau năm thứ nhất</w:t>
            </w:r>
          </w:p>
        </w:tc>
        <w:tc>
          <w:tcPr>
            <w:tcW w:w="871" w:type="dxa"/>
            <w:tcBorders>
              <w:top w:val="single" w:sz="4" w:space="0" w:color="auto"/>
              <w:left w:val="nil"/>
              <w:bottom w:val="single" w:sz="4" w:space="0" w:color="auto"/>
              <w:right w:val="nil"/>
            </w:tcBorders>
            <w:shd w:val="clear" w:color="auto" w:fill="auto"/>
            <w:vAlign w:val="center"/>
          </w:tcPr>
          <w:p w14:paraId="7F2CDA03" w14:textId="6B45CF26" w:rsidR="00E16FE2" w:rsidRPr="00742FB3" w:rsidRDefault="00E16FE2" w:rsidP="00E16FE2">
            <w:pPr>
              <w:spacing w:before="40" w:after="40"/>
              <w:ind w:left="-57" w:right="-57"/>
              <w:jc w:val="center"/>
              <w:rPr>
                <w:iCs/>
                <w:sz w:val="26"/>
                <w:szCs w:val="26"/>
                <w:lang w:val="es-ES"/>
              </w:rPr>
            </w:pPr>
            <w:r w:rsidRPr="00742FB3">
              <w:t>11</w:t>
            </w:r>
          </w:p>
        </w:tc>
        <w:tc>
          <w:tcPr>
            <w:tcW w:w="867" w:type="dxa"/>
            <w:vAlign w:val="center"/>
          </w:tcPr>
          <w:p w14:paraId="76B48E5C" w14:textId="2F978D2F"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5F8FAC3B" w14:textId="21B4C934"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07C66792" w14:textId="33CE4139"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61800129" w14:textId="0AA8F3C3"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06B979C9" w14:textId="77777777" w:rsidR="00E16FE2" w:rsidRPr="00742FB3" w:rsidRDefault="00E16FE2" w:rsidP="00E16FE2">
            <w:pPr>
              <w:spacing w:before="40" w:after="40"/>
              <w:ind w:left="-57" w:right="-57"/>
              <w:jc w:val="center"/>
              <w:rPr>
                <w:iCs/>
                <w:sz w:val="26"/>
                <w:szCs w:val="26"/>
                <w:lang w:val="es-ES"/>
              </w:rPr>
            </w:pPr>
          </w:p>
        </w:tc>
      </w:tr>
      <w:tr w:rsidR="00742FB3" w:rsidRPr="00742FB3" w14:paraId="577BE10A" w14:textId="77777777" w:rsidTr="0089120D">
        <w:trPr>
          <w:trHeight w:val="523"/>
          <w:jc w:val="center"/>
        </w:trPr>
        <w:tc>
          <w:tcPr>
            <w:tcW w:w="536" w:type="dxa"/>
            <w:vMerge/>
            <w:vAlign w:val="center"/>
          </w:tcPr>
          <w:p w14:paraId="6988F1B0" w14:textId="77777777" w:rsidR="00E16FE2" w:rsidRPr="00742FB3" w:rsidRDefault="00E16FE2" w:rsidP="00E16FE2">
            <w:pPr>
              <w:spacing w:before="40" w:after="40"/>
              <w:ind w:left="-57" w:right="-57"/>
              <w:jc w:val="center"/>
              <w:rPr>
                <w:iCs/>
                <w:sz w:val="26"/>
                <w:szCs w:val="26"/>
                <w:lang w:val="vi-VN"/>
              </w:rPr>
            </w:pPr>
          </w:p>
        </w:tc>
        <w:tc>
          <w:tcPr>
            <w:tcW w:w="636" w:type="dxa"/>
            <w:vMerge/>
            <w:vAlign w:val="center"/>
          </w:tcPr>
          <w:p w14:paraId="45ACCC52" w14:textId="77777777" w:rsidR="00E16FE2" w:rsidRPr="00742FB3" w:rsidRDefault="00E16FE2" w:rsidP="00E16FE2">
            <w:pPr>
              <w:spacing w:before="40" w:after="40"/>
              <w:ind w:left="-57" w:right="-57"/>
              <w:rPr>
                <w:iCs/>
                <w:sz w:val="26"/>
                <w:szCs w:val="26"/>
                <w:lang w:val="vi-VN"/>
              </w:rPr>
            </w:pPr>
          </w:p>
        </w:tc>
        <w:tc>
          <w:tcPr>
            <w:tcW w:w="2212" w:type="dxa"/>
            <w:vAlign w:val="center"/>
          </w:tcPr>
          <w:p w14:paraId="11274866" w14:textId="3B5516A6" w:rsidR="00E16FE2" w:rsidRPr="00742FB3" w:rsidRDefault="00E16FE2" w:rsidP="00E16FE2">
            <w:pPr>
              <w:spacing w:before="40" w:after="40"/>
              <w:rPr>
                <w:iCs/>
                <w:sz w:val="26"/>
                <w:szCs w:val="26"/>
                <w:lang w:val="vi-VN"/>
              </w:rPr>
            </w:pPr>
            <w:r w:rsidRPr="00742FB3">
              <w:rPr>
                <w:iCs/>
                <w:sz w:val="26"/>
                <w:szCs w:val="26"/>
                <w:lang w:val="vi-VN"/>
              </w:rPr>
              <w:t>Được chuyển tiếp học cao học, nghiên cứu sinh</w:t>
            </w:r>
          </w:p>
        </w:tc>
        <w:tc>
          <w:tcPr>
            <w:tcW w:w="871" w:type="dxa"/>
            <w:tcBorders>
              <w:top w:val="single" w:sz="4" w:space="0" w:color="auto"/>
              <w:left w:val="nil"/>
              <w:bottom w:val="single" w:sz="4" w:space="0" w:color="auto"/>
              <w:right w:val="nil"/>
            </w:tcBorders>
            <w:shd w:val="clear" w:color="auto" w:fill="auto"/>
            <w:vAlign w:val="center"/>
          </w:tcPr>
          <w:p w14:paraId="2B112608" w14:textId="7AA4D820" w:rsidR="00E16FE2" w:rsidRPr="00742FB3" w:rsidRDefault="00E16FE2" w:rsidP="00E16FE2">
            <w:pPr>
              <w:spacing w:before="40" w:after="40"/>
              <w:ind w:left="-57" w:right="-57"/>
              <w:jc w:val="center"/>
              <w:rPr>
                <w:iCs/>
                <w:sz w:val="26"/>
                <w:szCs w:val="26"/>
                <w:lang w:val="es-ES"/>
              </w:rPr>
            </w:pPr>
            <w:r w:rsidRPr="00742FB3">
              <w:t>1</w:t>
            </w:r>
            <w:r w:rsidR="0089120D" w:rsidRPr="00742FB3">
              <w:t>31</w:t>
            </w:r>
          </w:p>
        </w:tc>
        <w:tc>
          <w:tcPr>
            <w:tcW w:w="867" w:type="dxa"/>
            <w:vAlign w:val="center"/>
          </w:tcPr>
          <w:p w14:paraId="4BECC47E" w14:textId="64100DE0"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006368C2" w14:textId="56F1475B"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553AE978" w14:textId="27D31A1A"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501B7650" w14:textId="0C39FE07" w:rsidR="00E16FE2" w:rsidRPr="00742FB3" w:rsidRDefault="0089120D" w:rsidP="00E16FE2">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4896AD1C" w14:textId="77777777" w:rsidR="00E16FE2" w:rsidRPr="00742FB3" w:rsidRDefault="00E16FE2" w:rsidP="00E16FE2">
            <w:pPr>
              <w:spacing w:before="40" w:after="40"/>
              <w:ind w:left="-57" w:right="-57"/>
              <w:jc w:val="center"/>
              <w:rPr>
                <w:iCs/>
                <w:sz w:val="26"/>
                <w:szCs w:val="26"/>
                <w:lang w:val="es-ES"/>
              </w:rPr>
            </w:pPr>
          </w:p>
        </w:tc>
      </w:tr>
      <w:tr w:rsidR="00742FB3" w:rsidRPr="00742FB3" w14:paraId="577B296D" w14:textId="77777777" w:rsidTr="0089120D">
        <w:trPr>
          <w:jc w:val="center"/>
        </w:trPr>
        <w:tc>
          <w:tcPr>
            <w:tcW w:w="536" w:type="dxa"/>
            <w:vAlign w:val="center"/>
          </w:tcPr>
          <w:p w14:paraId="0505F33D" w14:textId="3F51C1A6" w:rsidR="0089120D" w:rsidRPr="00742FB3" w:rsidRDefault="0089120D" w:rsidP="0089120D">
            <w:pPr>
              <w:spacing w:before="40" w:after="40"/>
              <w:ind w:left="-57" w:right="-57"/>
              <w:jc w:val="center"/>
              <w:rPr>
                <w:iCs/>
                <w:sz w:val="26"/>
                <w:szCs w:val="26"/>
                <w:lang w:val="vi-VN"/>
              </w:rPr>
            </w:pPr>
            <w:r w:rsidRPr="00742FB3">
              <w:rPr>
                <w:iCs/>
                <w:sz w:val="26"/>
                <w:szCs w:val="26"/>
                <w:lang w:val="vi-VN"/>
              </w:rPr>
              <w:t>3</w:t>
            </w:r>
          </w:p>
        </w:tc>
        <w:tc>
          <w:tcPr>
            <w:tcW w:w="2848" w:type="dxa"/>
            <w:gridSpan w:val="2"/>
            <w:vAlign w:val="center"/>
          </w:tcPr>
          <w:p w14:paraId="505128C0" w14:textId="533F7F99" w:rsidR="0089120D" w:rsidRPr="00742FB3" w:rsidRDefault="0089120D" w:rsidP="0089120D">
            <w:pPr>
              <w:spacing w:before="40" w:after="40"/>
              <w:ind w:left="-57" w:right="-57"/>
              <w:rPr>
                <w:iCs/>
                <w:sz w:val="26"/>
                <w:szCs w:val="26"/>
                <w:lang w:val="vi-VN"/>
              </w:rPr>
            </w:pPr>
            <w:r w:rsidRPr="00742FB3">
              <w:rPr>
                <w:iCs/>
                <w:sz w:val="26"/>
                <w:szCs w:val="26"/>
                <w:lang w:val="vi-VN"/>
              </w:rPr>
              <w:t>Học viên cao học</w:t>
            </w:r>
            <w:r w:rsidRPr="00742FB3">
              <w:rPr>
                <w:iCs/>
                <w:sz w:val="26"/>
                <w:szCs w:val="26"/>
                <w:vertAlign w:val="superscript"/>
                <w:lang w:val="vi-VN"/>
              </w:rPr>
              <w:t>(a)</w:t>
            </w:r>
          </w:p>
        </w:tc>
        <w:tc>
          <w:tcPr>
            <w:tcW w:w="871" w:type="dxa"/>
            <w:tcBorders>
              <w:top w:val="single" w:sz="4" w:space="0" w:color="auto"/>
              <w:left w:val="nil"/>
              <w:bottom w:val="single" w:sz="4" w:space="0" w:color="auto"/>
              <w:right w:val="nil"/>
            </w:tcBorders>
            <w:shd w:val="clear" w:color="auto" w:fill="auto"/>
            <w:vAlign w:val="center"/>
          </w:tcPr>
          <w:p w14:paraId="5495336D" w14:textId="58CC4C87" w:rsidR="0089120D" w:rsidRPr="00742FB3" w:rsidRDefault="0089120D" w:rsidP="0089120D">
            <w:pPr>
              <w:spacing w:before="40" w:after="40"/>
              <w:ind w:left="-57" w:right="-57"/>
              <w:jc w:val="center"/>
              <w:rPr>
                <w:iCs/>
                <w:sz w:val="26"/>
                <w:szCs w:val="26"/>
                <w:lang w:val="es-ES"/>
              </w:rPr>
            </w:pPr>
            <w:r w:rsidRPr="00742FB3">
              <w:t>486</w:t>
            </w:r>
          </w:p>
        </w:tc>
        <w:tc>
          <w:tcPr>
            <w:tcW w:w="867" w:type="dxa"/>
            <w:vAlign w:val="center"/>
          </w:tcPr>
          <w:p w14:paraId="7AE2C917" w14:textId="1D0C41E9"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14E32957" w14:textId="7A494755"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69497828" w14:textId="1F7AE21B" w:rsidR="0089120D" w:rsidRPr="00742FB3" w:rsidRDefault="0089120D" w:rsidP="0089120D">
            <w:pPr>
              <w:spacing w:before="40" w:after="40"/>
              <w:ind w:left="-57" w:right="-57"/>
              <w:jc w:val="center"/>
              <w:rPr>
                <w:iCs/>
                <w:sz w:val="26"/>
                <w:szCs w:val="26"/>
                <w:lang w:val="es-ES"/>
              </w:rPr>
            </w:pPr>
            <w:r w:rsidRPr="00742FB3">
              <w:rPr>
                <w:iCs/>
                <w:sz w:val="26"/>
                <w:szCs w:val="26"/>
                <w:lang w:val="es-ES"/>
              </w:rPr>
              <w:t>7</w:t>
            </w:r>
          </w:p>
        </w:tc>
        <w:tc>
          <w:tcPr>
            <w:tcW w:w="1004" w:type="dxa"/>
            <w:vAlign w:val="center"/>
          </w:tcPr>
          <w:p w14:paraId="429379A9" w14:textId="0BE21249" w:rsidR="0089120D" w:rsidRPr="00742FB3" w:rsidRDefault="0089120D" w:rsidP="0089120D">
            <w:pPr>
              <w:spacing w:before="40" w:after="40"/>
              <w:ind w:left="-57" w:right="-57"/>
              <w:jc w:val="center"/>
              <w:rPr>
                <w:iCs/>
                <w:sz w:val="26"/>
                <w:szCs w:val="26"/>
                <w:lang w:val="es-ES"/>
              </w:rPr>
            </w:pPr>
            <w:r w:rsidRPr="00742FB3">
              <w:rPr>
                <w:iCs/>
                <w:sz w:val="26"/>
                <w:szCs w:val="26"/>
                <w:lang w:val="es-ES"/>
              </w:rPr>
              <w:t>2</w:t>
            </w:r>
          </w:p>
        </w:tc>
        <w:tc>
          <w:tcPr>
            <w:tcW w:w="1431" w:type="dxa"/>
            <w:vAlign w:val="center"/>
          </w:tcPr>
          <w:p w14:paraId="2EAF2E26" w14:textId="77777777" w:rsidR="0089120D" w:rsidRPr="00742FB3" w:rsidRDefault="0089120D" w:rsidP="0089120D">
            <w:pPr>
              <w:spacing w:before="40" w:after="40"/>
              <w:ind w:left="-57" w:right="-57"/>
              <w:jc w:val="center"/>
              <w:rPr>
                <w:iCs/>
                <w:sz w:val="26"/>
                <w:szCs w:val="26"/>
                <w:lang w:val="es-ES"/>
              </w:rPr>
            </w:pPr>
          </w:p>
        </w:tc>
      </w:tr>
      <w:tr w:rsidR="00742FB3" w:rsidRPr="00742FB3" w14:paraId="3BF6F885" w14:textId="77777777" w:rsidTr="0089120D">
        <w:trPr>
          <w:jc w:val="center"/>
        </w:trPr>
        <w:tc>
          <w:tcPr>
            <w:tcW w:w="536" w:type="dxa"/>
            <w:vAlign w:val="center"/>
          </w:tcPr>
          <w:p w14:paraId="2AF1248C" w14:textId="3E7ECE4D" w:rsidR="0089120D" w:rsidRPr="00742FB3" w:rsidRDefault="0089120D" w:rsidP="0089120D">
            <w:pPr>
              <w:spacing w:before="40" w:after="40"/>
              <w:ind w:left="-57" w:right="-57"/>
              <w:jc w:val="center"/>
              <w:rPr>
                <w:iCs/>
                <w:sz w:val="26"/>
                <w:szCs w:val="26"/>
                <w:lang w:val="vi-VN"/>
              </w:rPr>
            </w:pPr>
            <w:r w:rsidRPr="00742FB3">
              <w:rPr>
                <w:iCs/>
                <w:sz w:val="26"/>
                <w:szCs w:val="26"/>
                <w:lang w:val="vi-VN"/>
              </w:rPr>
              <w:t>4</w:t>
            </w:r>
          </w:p>
        </w:tc>
        <w:tc>
          <w:tcPr>
            <w:tcW w:w="2848" w:type="dxa"/>
            <w:gridSpan w:val="2"/>
            <w:vAlign w:val="center"/>
          </w:tcPr>
          <w:p w14:paraId="0013E28F" w14:textId="3572EEE6" w:rsidR="0089120D" w:rsidRPr="00742FB3" w:rsidRDefault="0089120D" w:rsidP="0089120D">
            <w:pPr>
              <w:spacing w:before="40" w:after="40"/>
              <w:ind w:left="-57" w:right="-57"/>
              <w:rPr>
                <w:iCs/>
                <w:sz w:val="26"/>
                <w:szCs w:val="26"/>
                <w:lang w:val="vi-VN"/>
              </w:rPr>
            </w:pPr>
            <w:r w:rsidRPr="00742FB3">
              <w:rPr>
                <w:iCs/>
                <w:sz w:val="26"/>
                <w:szCs w:val="26"/>
                <w:lang w:val="vi-VN"/>
              </w:rPr>
              <w:t>Nghiên cứu sinh</w:t>
            </w:r>
            <w:r w:rsidRPr="00742FB3">
              <w:rPr>
                <w:iCs/>
                <w:sz w:val="26"/>
                <w:szCs w:val="26"/>
                <w:vertAlign w:val="superscript"/>
                <w:lang w:val="vi-VN"/>
              </w:rPr>
              <w:t>(b)</w:t>
            </w:r>
          </w:p>
        </w:tc>
        <w:tc>
          <w:tcPr>
            <w:tcW w:w="871" w:type="dxa"/>
            <w:tcBorders>
              <w:top w:val="single" w:sz="4" w:space="0" w:color="auto"/>
              <w:left w:val="nil"/>
              <w:bottom w:val="single" w:sz="4" w:space="0" w:color="auto"/>
              <w:right w:val="nil"/>
            </w:tcBorders>
            <w:shd w:val="clear" w:color="auto" w:fill="auto"/>
            <w:vAlign w:val="center"/>
          </w:tcPr>
          <w:p w14:paraId="15E7374F" w14:textId="7A699C5C" w:rsidR="0089120D" w:rsidRPr="00742FB3" w:rsidRDefault="0089120D" w:rsidP="0089120D">
            <w:pPr>
              <w:spacing w:before="40" w:after="40"/>
              <w:ind w:left="-57" w:right="-57"/>
              <w:jc w:val="center"/>
              <w:rPr>
                <w:iCs/>
                <w:sz w:val="26"/>
                <w:szCs w:val="26"/>
                <w:lang w:val="es-ES"/>
              </w:rPr>
            </w:pPr>
            <w:r w:rsidRPr="00742FB3">
              <w:t>35</w:t>
            </w:r>
          </w:p>
        </w:tc>
        <w:tc>
          <w:tcPr>
            <w:tcW w:w="867" w:type="dxa"/>
            <w:vAlign w:val="center"/>
          </w:tcPr>
          <w:p w14:paraId="62417D62" w14:textId="050D5EA9"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635F70B4" w14:textId="6CF52EF7"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0573FC21" w14:textId="6870F9FD" w:rsidR="0089120D" w:rsidRPr="00742FB3" w:rsidRDefault="0089120D" w:rsidP="0089120D">
            <w:pPr>
              <w:spacing w:before="40" w:after="40"/>
              <w:ind w:left="-57" w:right="-57"/>
              <w:jc w:val="center"/>
              <w:rPr>
                <w:iCs/>
                <w:sz w:val="26"/>
                <w:szCs w:val="26"/>
                <w:lang w:val="es-ES"/>
              </w:rPr>
            </w:pPr>
            <w:r w:rsidRPr="00742FB3">
              <w:rPr>
                <w:iCs/>
                <w:sz w:val="26"/>
                <w:szCs w:val="26"/>
                <w:lang w:val="es-ES"/>
              </w:rPr>
              <w:t>8</w:t>
            </w:r>
          </w:p>
        </w:tc>
        <w:tc>
          <w:tcPr>
            <w:tcW w:w="1004" w:type="dxa"/>
            <w:vAlign w:val="center"/>
          </w:tcPr>
          <w:p w14:paraId="4D9C31FD" w14:textId="73A6A4EE" w:rsidR="0089120D" w:rsidRPr="00742FB3" w:rsidRDefault="0089120D" w:rsidP="0089120D">
            <w:pPr>
              <w:spacing w:before="40" w:after="40"/>
              <w:ind w:left="-57" w:right="-57"/>
              <w:jc w:val="center"/>
              <w:rPr>
                <w:iCs/>
                <w:sz w:val="26"/>
                <w:szCs w:val="26"/>
                <w:lang w:val="es-ES"/>
              </w:rPr>
            </w:pPr>
            <w:r w:rsidRPr="00742FB3">
              <w:rPr>
                <w:iCs/>
                <w:sz w:val="26"/>
                <w:szCs w:val="26"/>
                <w:lang w:val="es-ES"/>
              </w:rPr>
              <w:t>0</w:t>
            </w:r>
          </w:p>
        </w:tc>
        <w:tc>
          <w:tcPr>
            <w:tcW w:w="1431" w:type="dxa"/>
            <w:vAlign w:val="center"/>
          </w:tcPr>
          <w:p w14:paraId="7C3692FE" w14:textId="77777777" w:rsidR="0089120D" w:rsidRPr="00742FB3" w:rsidRDefault="0089120D" w:rsidP="0089120D">
            <w:pPr>
              <w:spacing w:before="40" w:after="40"/>
              <w:ind w:left="-57" w:right="-57"/>
              <w:jc w:val="center"/>
              <w:rPr>
                <w:iCs/>
                <w:sz w:val="26"/>
                <w:szCs w:val="26"/>
                <w:lang w:val="es-ES"/>
              </w:rPr>
            </w:pPr>
          </w:p>
        </w:tc>
      </w:tr>
      <w:tr w:rsidR="00742FB3" w:rsidRPr="00742FB3" w14:paraId="5B508E1E" w14:textId="7E0FCE62" w:rsidTr="0089120D">
        <w:trPr>
          <w:jc w:val="center"/>
        </w:trPr>
        <w:tc>
          <w:tcPr>
            <w:tcW w:w="5122" w:type="dxa"/>
            <w:gridSpan w:val="5"/>
            <w:shd w:val="clear" w:color="auto" w:fill="DAE9F7" w:themeFill="text2" w:themeFillTint="1A"/>
            <w:vAlign w:val="center"/>
          </w:tcPr>
          <w:p w14:paraId="1E8706B2" w14:textId="53A1478E" w:rsidR="0089120D" w:rsidRPr="00742FB3" w:rsidRDefault="0089120D" w:rsidP="0089120D">
            <w:pPr>
              <w:spacing w:before="40" w:after="40"/>
              <w:ind w:left="-57" w:right="-57"/>
              <w:rPr>
                <w:i/>
                <w:iCs/>
                <w:sz w:val="26"/>
                <w:szCs w:val="26"/>
                <w:lang w:val="vi-VN"/>
              </w:rPr>
            </w:pPr>
            <w:r w:rsidRPr="00742FB3">
              <w:rPr>
                <w:i/>
                <w:iCs/>
                <w:sz w:val="26"/>
                <w:szCs w:val="26"/>
                <w:lang w:val="vi-VN"/>
              </w:rPr>
              <w:t>B. Đào tạo ở nước ngoài</w:t>
            </w:r>
          </w:p>
        </w:tc>
        <w:tc>
          <w:tcPr>
            <w:tcW w:w="4335" w:type="dxa"/>
            <w:gridSpan w:val="4"/>
            <w:shd w:val="clear" w:color="auto" w:fill="DAE9F7" w:themeFill="text2" w:themeFillTint="1A"/>
            <w:vAlign w:val="center"/>
          </w:tcPr>
          <w:p w14:paraId="3F6D8EA5" w14:textId="77777777" w:rsidR="0089120D" w:rsidRPr="00742FB3" w:rsidRDefault="0089120D" w:rsidP="0089120D">
            <w:pPr>
              <w:spacing w:before="40" w:after="40"/>
              <w:ind w:right="-57"/>
              <w:rPr>
                <w:i/>
                <w:iCs/>
                <w:sz w:val="26"/>
                <w:szCs w:val="26"/>
                <w:lang w:val="vi-VN"/>
              </w:rPr>
            </w:pPr>
          </w:p>
        </w:tc>
      </w:tr>
      <w:tr w:rsidR="00742FB3" w:rsidRPr="00742FB3" w14:paraId="542944C4" w14:textId="77777777" w:rsidTr="0089120D">
        <w:trPr>
          <w:jc w:val="center"/>
        </w:trPr>
        <w:tc>
          <w:tcPr>
            <w:tcW w:w="536" w:type="dxa"/>
            <w:vAlign w:val="center"/>
          </w:tcPr>
          <w:p w14:paraId="3C6903F1" w14:textId="3C667FED" w:rsidR="0089120D" w:rsidRPr="00742FB3" w:rsidRDefault="0089120D" w:rsidP="0089120D">
            <w:pPr>
              <w:spacing w:before="40" w:after="40"/>
              <w:ind w:left="-57" w:right="-57"/>
              <w:jc w:val="center"/>
              <w:rPr>
                <w:iCs/>
                <w:sz w:val="26"/>
                <w:szCs w:val="26"/>
                <w:lang w:val="vi-VN"/>
              </w:rPr>
            </w:pPr>
            <w:r w:rsidRPr="00742FB3">
              <w:rPr>
                <w:iCs/>
                <w:sz w:val="26"/>
                <w:szCs w:val="26"/>
                <w:lang w:val="vi-VN"/>
              </w:rPr>
              <w:t>5</w:t>
            </w:r>
          </w:p>
        </w:tc>
        <w:tc>
          <w:tcPr>
            <w:tcW w:w="2848" w:type="dxa"/>
            <w:gridSpan w:val="2"/>
            <w:vAlign w:val="center"/>
          </w:tcPr>
          <w:p w14:paraId="23C915BC" w14:textId="3C2EEAAE" w:rsidR="0089120D" w:rsidRPr="00742FB3" w:rsidRDefault="0089120D" w:rsidP="0089120D">
            <w:pPr>
              <w:spacing w:before="40" w:after="40"/>
              <w:ind w:left="-57" w:right="-57"/>
              <w:rPr>
                <w:iCs/>
                <w:sz w:val="26"/>
                <w:szCs w:val="26"/>
                <w:lang w:val="es-ES"/>
              </w:rPr>
            </w:pPr>
            <w:r w:rsidRPr="00742FB3">
              <w:rPr>
                <w:iCs/>
                <w:sz w:val="26"/>
                <w:szCs w:val="26"/>
                <w:lang w:val="vi-VN"/>
              </w:rPr>
              <w:t>Sinh viên đại học</w:t>
            </w:r>
          </w:p>
        </w:tc>
        <w:tc>
          <w:tcPr>
            <w:tcW w:w="871" w:type="dxa"/>
            <w:tcBorders>
              <w:top w:val="single" w:sz="4" w:space="0" w:color="auto"/>
              <w:left w:val="nil"/>
              <w:bottom w:val="single" w:sz="4" w:space="0" w:color="auto"/>
              <w:right w:val="nil"/>
            </w:tcBorders>
            <w:shd w:val="clear" w:color="auto" w:fill="auto"/>
            <w:vAlign w:val="center"/>
          </w:tcPr>
          <w:p w14:paraId="74539753" w14:textId="0CD2EAAE" w:rsidR="0089120D" w:rsidRPr="00742FB3" w:rsidRDefault="0089120D" w:rsidP="0089120D">
            <w:pPr>
              <w:spacing w:before="40" w:after="40"/>
              <w:ind w:left="-57" w:right="-57"/>
              <w:jc w:val="center"/>
              <w:rPr>
                <w:iCs/>
                <w:sz w:val="26"/>
                <w:szCs w:val="26"/>
                <w:lang w:val="es-ES"/>
              </w:rPr>
            </w:pPr>
            <w:r w:rsidRPr="00742FB3">
              <w:t>1</w:t>
            </w:r>
          </w:p>
        </w:tc>
        <w:tc>
          <w:tcPr>
            <w:tcW w:w="867" w:type="dxa"/>
            <w:vAlign w:val="center"/>
          </w:tcPr>
          <w:p w14:paraId="45E136AD" w14:textId="59A4353D"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0A394E93" w14:textId="0B9B4D17"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6BFB577F" w14:textId="51334B68"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24589C5F" w14:textId="37E0AF38"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7673BE74" w14:textId="77777777" w:rsidR="0089120D" w:rsidRPr="00742FB3" w:rsidRDefault="0089120D" w:rsidP="0089120D">
            <w:pPr>
              <w:spacing w:before="40" w:after="40"/>
              <w:ind w:left="-57" w:right="-57"/>
              <w:jc w:val="center"/>
              <w:rPr>
                <w:iCs/>
                <w:sz w:val="26"/>
                <w:szCs w:val="26"/>
                <w:lang w:val="es-ES"/>
              </w:rPr>
            </w:pPr>
          </w:p>
        </w:tc>
      </w:tr>
      <w:tr w:rsidR="00742FB3" w:rsidRPr="00742FB3" w14:paraId="38FA4FAF" w14:textId="77777777" w:rsidTr="0089120D">
        <w:trPr>
          <w:jc w:val="center"/>
        </w:trPr>
        <w:tc>
          <w:tcPr>
            <w:tcW w:w="536" w:type="dxa"/>
            <w:vAlign w:val="center"/>
          </w:tcPr>
          <w:p w14:paraId="1962469F" w14:textId="4346753F" w:rsidR="0089120D" w:rsidRPr="00742FB3" w:rsidRDefault="0089120D" w:rsidP="0089120D">
            <w:pPr>
              <w:spacing w:before="40" w:after="40"/>
              <w:ind w:left="-57" w:right="-57"/>
              <w:jc w:val="center"/>
              <w:rPr>
                <w:iCs/>
                <w:sz w:val="26"/>
                <w:szCs w:val="26"/>
                <w:lang w:val="vi-VN"/>
              </w:rPr>
            </w:pPr>
            <w:r w:rsidRPr="00742FB3">
              <w:rPr>
                <w:iCs/>
                <w:sz w:val="26"/>
                <w:szCs w:val="26"/>
                <w:lang w:val="vi-VN"/>
              </w:rPr>
              <w:t>6</w:t>
            </w:r>
          </w:p>
        </w:tc>
        <w:tc>
          <w:tcPr>
            <w:tcW w:w="2848" w:type="dxa"/>
            <w:gridSpan w:val="2"/>
            <w:vAlign w:val="center"/>
          </w:tcPr>
          <w:p w14:paraId="6A3BF768" w14:textId="6EEDF1D2" w:rsidR="0089120D" w:rsidRPr="00742FB3" w:rsidRDefault="0089120D" w:rsidP="0089120D">
            <w:pPr>
              <w:spacing w:before="40" w:after="40"/>
              <w:ind w:left="-57" w:right="-57"/>
              <w:rPr>
                <w:iCs/>
                <w:sz w:val="26"/>
                <w:szCs w:val="26"/>
                <w:lang w:val="es-ES"/>
              </w:rPr>
            </w:pPr>
            <w:r w:rsidRPr="00742FB3">
              <w:rPr>
                <w:iCs/>
                <w:sz w:val="26"/>
                <w:szCs w:val="26"/>
                <w:lang w:val="vi-VN"/>
              </w:rPr>
              <w:t>Học viên cao học</w:t>
            </w:r>
          </w:p>
        </w:tc>
        <w:tc>
          <w:tcPr>
            <w:tcW w:w="871" w:type="dxa"/>
            <w:tcBorders>
              <w:top w:val="single" w:sz="4" w:space="0" w:color="auto"/>
              <w:left w:val="nil"/>
              <w:bottom w:val="single" w:sz="4" w:space="0" w:color="auto"/>
              <w:right w:val="nil"/>
            </w:tcBorders>
            <w:shd w:val="clear" w:color="auto" w:fill="auto"/>
            <w:vAlign w:val="center"/>
          </w:tcPr>
          <w:p w14:paraId="198F5316" w14:textId="1281CBC3" w:rsidR="0089120D" w:rsidRPr="00742FB3" w:rsidRDefault="0089120D" w:rsidP="0089120D">
            <w:pPr>
              <w:spacing w:before="40" w:after="40"/>
              <w:ind w:left="-57" w:right="-57"/>
              <w:jc w:val="center"/>
              <w:rPr>
                <w:iCs/>
                <w:sz w:val="26"/>
                <w:szCs w:val="26"/>
                <w:lang w:val="es-ES"/>
              </w:rPr>
            </w:pPr>
            <w:r w:rsidRPr="00742FB3">
              <w:t>36</w:t>
            </w:r>
          </w:p>
        </w:tc>
        <w:tc>
          <w:tcPr>
            <w:tcW w:w="867" w:type="dxa"/>
            <w:vAlign w:val="center"/>
          </w:tcPr>
          <w:p w14:paraId="2A732199" w14:textId="1B726A6B"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52ABAB94" w14:textId="0F694C49"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1DDCC3AD" w14:textId="665F6D0D" w:rsidR="0089120D" w:rsidRPr="00742FB3" w:rsidRDefault="0089120D" w:rsidP="0089120D">
            <w:pPr>
              <w:spacing w:before="40" w:after="40"/>
              <w:ind w:left="-57" w:right="-57"/>
              <w:jc w:val="center"/>
              <w:rPr>
                <w:iCs/>
                <w:sz w:val="26"/>
                <w:szCs w:val="26"/>
                <w:lang w:val="es-ES"/>
              </w:rPr>
            </w:pPr>
            <w:r w:rsidRPr="00742FB3">
              <w:rPr>
                <w:iCs/>
                <w:sz w:val="26"/>
                <w:szCs w:val="26"/>
                <w:lang w:val="es-ES"/>
              </w:rPr>
              <w:t>3</w:t>
            </w:r>
          </w:p>
        </w:tc>
        <w:tc>
          <w:tcPr>
            <w:tcW w:w="1004" w:type="dxa"/>
            <w:vAlign w:val="center"/>
          </w:tcPr>
          <w:p w14:paraId="394B7633" w14:textId="75E77C43" w:rsidR="0089120D" w:rsidRPr="00742FB3" w:rsidRDefault="0089120D" w:rsidP="0089120D">
            <w:pPr>
              <w:spacing w:before="40" w:after="40"/>
              <w:ind w:left="-57" w:right="-57"/>
              <w:jc w:val="center"/>
              <w:rPr>
                <w:iCs/>
                <w:sz w:val="26"/>
                <w:szCs w:val="26"/>
                <w:lang w:val="es-ES"/>
              </w:rPr>
            </w:pPr>
            <w:r w:rsidRPr="00742FB3">
              <w:rPr>
                <w:iCs/>
                <w:sz w:val="26"/>
                <w:szCs w:val="26"/>
                <w:lang w:val="es-ES"/>
              </w:rPr>
              <w:t>0</w:t>
            </w:r>
          </w:p>
        </w:tc>
        <w:tc>
          <w:tcPr>
            <w:tcW w:w="1431" w:type="dxa"/>
            <w:vAlign w:val="center"/>
          </w:tcPr>
          <w:p w14:paraId="1F025EC4" w14:textId="77777777" w:rsidR="0089120D" w:rsidRPr="00742FB3" w:rsidRDefault="0089120D" w:rsidP="0089120D">
            <w:pPr>
              <w:spacing w:before="40" w:after="40"/>
              <w:ind w:left="-57" w:right="-57"/>
              <w:jc w:val="center"/>
              <w:rPr>
                <w:iCs/>
                <w:sz w:val="26"/>
                <w:szCs w:val="26"/>
                <w:lang w:val="es-ES"/>
              </w:rPr>
            </w:pPr>
          </w:p>
        </w:tc>
      </w:tr>
      <w:tr w:rsidR="00742FB3" w:rsidRPr="00742FB3" w14:paraId="328042A0" w14:textId="77777777" w:rsidTr="0089120D">
        <w:trPr>
          <w:jc w:val="center"/>
        </w:trPr>
        <w:tc>
          <w:tcPr>
            <w:tcW w:w="536" w:type="dxa"/>
            <w:vAlign w:val="center"/>
          </w:tcPr>
          <w:p w14:paraId="2354266A" w14:textId="010CDD0A" w:rsidR="0089120D" w:rsidRPr="00742FB3" w:rsidRDefault="0089120D" w:rsidP="0089120D">
            <w:pPr>
              <w:spacing w:before="40" w:after="40"/>
              <w:ind w:left="-57" w:right="-57"/>
              <w:jc w:val="center"/>
              <w:rPr>
                <w:iCs/>
                <w:sz w:val="26"/>
                <w:szCs w:val="26"/>
                <w:lang w:val="vi-VN"/>
              </w:rPr>
            </w:pPr>
            <w:r w:rsidRPr="00742FB3">
              <w:rPr>
                <w:iCs/>
                <w:sz w:val="26"/>
                <w:szCs w:val="26"/>
                <w:lang w:val="vi-VN"/>
              </w:rPr>
              <w:t>7</w:t>
            </w:r>
          </w:p>
        </w:tc>
        <w:tc>
          <w:tcPr>
            <w:tcW w:w="2848" w:type="dxa"/>
            <w:gridSpan w:val="2"/>
            <w:vAlign w:val="center"/>
          </w:tcPr>
          <w:p w14:paraId="6E5267E1" w14:textId="3962F29C" w:rsidR="0089120D" w:rsidRPr="00742FB3" w:rsidRDefault="0089120D" w:rsidP="0089120D">
            <w:pPr>
              <w:spacing w:before="40" w:after="40"/>
              <w:ind w:left="-57" w:right="-57"/>
              <w:rPr>
                <w:iCs/>
                <w:sz w:val="26"/>
                <w:szCs w:val="26"/>
                <w:lang w:val="es-ES"/>
              </w:rPr>
            </w:pPr>
            <w:r w:rsidRPr="00742FB3">
              <w:rPr>
                <w:iCs/>
                <w:sz w:val="26"/>
                <w:szCs w:val="26"/>
                <w:lang w:val="vi-VN"/>
              </w:rPr>
              <w:t>Nghiên cứu sinh</w:t>
            </w:r>
          </w:p>
        </w:tc>
        <w:tc>
          <w:tcPr>
            <w:tcW w:w="871" w:type="dxa"/>
            <w:tcBorders>
              <w:top w:val="single" w:sz="4" w:space="0" w:color="auto"/>
              <w:left w:val="nil"/>
              <w:bottom w:val="single" w:sz="4" w:space="0" w:color="auto"/>
              <w:right w:val="nil"/>
            </w:tcBorders>
            <w:shd w:val="clear" w:color="auto" w:fill="auto"/>
            <w:vAlign w:val="center"/>
          </w:tcPr>
          <w:p w14:paraId="6A68057E" w14:textId="1872B44F" w:rsidR="0089120D" w:rsidRPr="00742FB3" w:rsidRDefault="0089120D" w:rsidP="0089120D">
            <w:pPr>
              <w:spacing w:before="40" w:after="40"/>
              <w:ind w:left="-57" w:right="-57"/>
              <w:jc w:val="center"/>
              <w:rPr>
                <w:iCs/>
                <w:sz w:val="26"/>
                <w:szCs w:val="26"/>
                <w:lang w:val="es-ES"/>
              </w:rPr>
            </w:pPr>
            <w:r w:rsidRPr="00742FB3">
              <w:t>28</w:t>
            </w:r>
          </w:p>
        </w:tc>
        <w:tc>
          <w:tcPr>
            <w:tcW w:w="867" w:type="dxa"/>
            <w:vAlign w:val="center"/>
          </w:tcPr>
          <w:p w14:paraId="33A79C33" w14:textId="55A055F3"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5A7F08C4" w14:textId="030E256C"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402019CF" w14:textId="4C970FCC" w:rsidR="0089120D" w:rsidRPr="00742FB3" w:rsidRDefault="0089120D" w:rsidP="0089120D">
            <w:pPr>
              <w:spacing w:before="40" w:after="40"/>
              <w:ind w:left="-57" w:right="-57"/>
              <w:jc w:val="center"/>
              <w:rPr>
                <w:iCs/>
                <w:sz w:val="26"/>
                <w:szCs w:val="26"/>
                <w:lang w:val="es-ES"/>
              </w:rPr>
            </w:pPr>
            <w:r w:rsidRPr="00742FB3">
              <w:rPr>
                <w:iCs/>
                <w:sz w:val="26"/>
                <w:szCs w:val="26"/>
                <w:lang w:val="es-ES"/>
              </w:rPr>
              <w:t>1</w:t>
            </w:r>
          </w:p>
        </w:tc>
        <w:tc>
          <w:tcPr>
            <w:tcW w:w="1004" w:type="dxa"/>
            <w:vAlign w:val="center"/>
          </w:tcPr>
          <w:p w14:paraId="2A8AE667" w14:textId="4B56BFDC"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2DB5CCD8" w14:textId="77777777" w:rsidR="0089120D" w:rsidRPr="00742FB3" w:rsidRDefault="0089120D" w:rsidP="0089120D">
            <w:pPr>
              <w:spacing w:before="40" w:after="40"/>
              <w:ind w:left="-57" w:right="-57"/>
              <w:jc w:val="center"/>
              <w:rPr>
                <w:iCs/>
                <w:sz w:val="26"/>
                <w:szCs w:val="26"/>
                <w:lang w:val="es-ES"/>
              </w:rPr>
            </w:pPr>
          </w:p>
        </w:tc>
      </w:tr>
      <w:tr w:rsidR="00742FB3" w:rsidRPr="00742FB3" w14:paraId="58247BDC" w14:textId="20CFBDFB" w:rsidTr="0089120D">
        <w:trPr>
          <w:jc w:val="center"/>
        </w:trPr>
        <w:tc>
          <w:tcPr>
            <w:tcW w:w="5122" w:type="dxa"/>
            <w:gridSpan w:val="5"/>
            <w:shd w:val="clear" w:color="auto" w:fill="DAE9F7" w:themeFill="text2" w:themeFillTint="1A"/>
            <w:vAlign w:val="center"/>
          </w:tcPr>
          <w:p w14:paraId="4E5CC5FE" w14:textId="310BBCF5" w:rsidR="0089120D" w:rsidRPr="00742FB3" w:rsidRDefault="0089120D" w:rsidP="0089120D">
            <w:pPr>
              <w:spacing w:before="40" w:after="40"/>
              <w:ind w:left="-57" w:right="-57"/>
              <w:rPr>
                <w:i/>
                <w:iCs/>
                <w:sz w:val="26"/>
                <w:szCs w:val="26"/>
                <w:lang w:val="vi-VN"/>
              </w:rPr>
            </w:pPr>
            <w:r w:rsidRPr="00742FB3">
              <w:rPr>
                <w:i/>
                <w:iCs/>
                <w:sz w:val="26"/>
                <w:szCs w:val="26"/>
                <w:lang w:val="vi-VN"/>
              </w:rPr>
              <w:t>C. Bồi dưỡng ngắn hạn ở nước ngoài</w:t>
            </w:r>
          </w:p>
        </w:tc>
        <w:tc>
          <w:tcPr>
            <w:tcW w:w="4335" w:type="dxa"/>
            <w:gridSpan w:val="4"/>
            <w:shd w:val="clear" w:color="auto" w:fill="DAE9F7" w:themeFill="text2" w:themeFillTint="1A"/>
            <w:vAlign w:val="center"/>
          </w:tcPr>
          <w:p w14:paraId="5CB808B8" w14:textId="77777777" w:rsidR="0089120D" w:rsidRPr="00742FB3" w:rsidRDefault="0089120D" w:rsidP="0089120D">
            <w:pPr>
              <w:spacing w:before="40" w:after="40"/>
              <w:ind w:right="-57"/>
              <w:rPr>
                <w:i/>
                <w:iCs/>
                <w:sz w:val="26"/>
                <w:szCs w:val="26"/>
                <w:lang w:val="vi-VN"/>
              </w:rPr>
            </w:pPr>
          </w:p>
        </w:tc>
      </w:tr>
      <w:tr w:rsidR="00742FB3" w:rsidRPr="00742FB3" w14:paraId="33D5E35B" w14:textId="77777777" w:rsidTr="0089120D">
        <w:trPr>
          <w:jc w:val="center"/>
        </w:trPr>
        <w:tc>
          <w:tcPr>
            <w:tcW w:w="536" w:type="dxa"/>
            <w:vAlign w:val="center"/>
          </w:tcPr>
          <w:p w14:paraId="51C93CAF" w14:textId="2A5CD3EE" w:rsidR="0089120D" w:rsidRPr="00742FB3" w:rsidRDefault="0089120D" w:rsidP="0089120D">
            <w:pPr>
              <w:spacing w:before="40" w:after="40"/>
              <w:ind w:left="-57" w:right="-57"/>
              <w:jc w:val="center"/>
              <w:rPr>
                <w:iCs/>
                <w:sz w:val="26"/>
                <w:szCs w:val="26"/>
                <w:lang w:val="vi-VN"/>
              </w:rPr>
            </w:pPr>
            <w:r w:rsidRPr="00742FB3">
              <w:rPr>
                <w:iCs/>
                <w:sz w:val="26"/>
                <w:szCs w:val="26"/>
                <w:lang w:val="vi-VN"/>
              </w:rPr>
              <w:t>8</w:t>
            </w:r>
          </w:p>
        </w:tc>
        <w:tc>
          <w:tcPr>
            <w:tcW w:w="2848" w:type="dxa"/>
            <w:gridSpan w:val="2"/>
            <w:vAlign w:val="center"/>
          </w:tcPr>
          <w:p w14:paraId="3029D4A0" w14:textId="6A29DBA3" w:rsidR="0089120D" w:rsidRPr="00742FB3" w:rsidRDefault="0089120D" w:rsidP="0089120D">
            <w:pPr>
              <w:spacing w:before="40" w:after="40"/>
              <w:ind w:left="-57" w:right="-57"/>
              <w:rPr>
                <w:iCs/>
                <w:sz w:val="26"/>
                <w:szCs w:val="26"/>
                <w:lang w:val="vi-VN"/>
              </w:rPr>
            </w:pPr>
            <w:r w:rsidRPr="00742FB3">
              <w:rPr>
                <w:iCs/>
                <w:sz w:val="26"/>
                <w:szCs w:val="26"/>
                <w:lang w:val="vi-VN"/>
              </w:rPr>
              <w:t>Giảng viên tại các đơn vị sự nghiệp</w:t>
            </w:r>
          </w:p>
        </w:tc>
        <w:tc>
          <w:tcPr>
            <w:tcW w:w="871" w:type="dxa"/>
            <w:tcBorders>
              <w:top w:val="single" w:sz="4" w:space="0" w:color="auto"/>
              <w:left w:val="nil"/>
              <w:bottom w:val="single" w:sz="4" w:space="0" w:color="auto"/>
              <w:right w:val="nil"/>
            </w:tcBorders>
            <w:shd w:val="clear" w:color="auto" w:fill="auto"/>
            <w:vAlign w:val="center"/>
          </w:tcPr>
          <w:p w14:paraId="4FCEC9CD" w14:textId="656B9275" w:rsidR="0089120D" w:rsidRPr="00742FB3" w:rsidRDefault="0089120D" w:rsidP="0089120D">
            <w:pPr>
              <w:spacing w:before="40" w:after="40"/>
              <w:ind w:left="-57" w:right="-57"/>
              <w:jc w:val="center"/>
              <w:rPr>
                <w:iCs/>
                <w:sz w:val="26"/>
                <w:szCs w:val="26"/>
                <w:lang w:val="es-ES"/>
              </w:rPr>
            </w:pPr>
            <w:r w:rsidRPr="00742FB3">
              <w:t>71</w:t>
            </w:r>
          </w:p>
        </w:tc>
        <w:tc>
          <w:tcPr>
            <w:tcW w:w="867" w:type="dxa"/>
            <w:vAlign w:val="center"/>
          </w:tcPr>
          <w:p w14:paraId="4B20A8D8" w14:textId="528562E0" w:rsidR="0089120D" w:rsidRPr="00742FB3" w:rsidRDefault="0089120D" w:rsidP="0089120D">
            <w:pPr>
              <w:spacing w:before="40" w:after="40"/>
              <w:ind w:left="-57" w:right="-57"/>
              <w:jc w:val="center"/>
              <w:rPr>
                <w:iCs/>
                <w:sz w:val="26"/>
                <w:szCs w:val="26"/>
                <w:lang w:val="es-ES"/>
              </w:rPr>
            </w:pPr>
            <w:r w:rsidRPr="00742FB3">
              <w:rPr>
                <w:iCs/>
                <w:sz w:val="26"/>
                <w:szCs w:val="26"/>
                <w:lang w:val="es-ES"/>
              </w:rPr>
              <w:t>10</w:t>
            </w:r>
          </w:p>
        </w:tc>
        <w:tc>
          <w:tcPr>
            <w:tcW w:w="896" w:type="dxa"/>
            <w:vAlign w:val="center"/>
          </w:tcPr>
          <w:p w14:paraId="38BB98DF" w14:textId="3FA5EF23" w:rsidR="0089120D" w:rsidRPr="00742FB3" w:rsidRDefault="0089120D" w:rsidP="0089120D">
            <w:pPr>
              <w:spacing w:before="40" w:after="40"/>
              <w:ind w:left="-57" w:right="-57"/>
              <w:jc w:val="center"/>
              <w:rPr>
                <w:iCs/>
                <w:sz w:val="26"/>
                <w:szCs w:val="26"/>
                <w:lang w:val="es-ES"/>
              </w:rPr>
            </w:pPr>
            <w:r w:rsidRPr="00742FB3">
              <w:rPr>
                <w:iCs/>
                <w:sz w:val="26"/>
                <w:szCs w:val="26"/>
                <w:lang w:val="es-ES"/>
              </w:rPr>
              <w:t>2</w:t>
            </w:r>
          </w:p>
        </w:tc>
        <w:tc>
          <w:tcPr>
            <w:tcW w:w="1004" w:type="dxa"/>
            <w:vAlign w:val="center"/>
          </w:tcPr>
          <w:p w14:paraId="3EFA4B79" w14:textId="37D27846" w:rsidR="0089120D" w:rsidRPr="00742FB3" w:rsidRDefault="0089120D" w:rsidP="0089120D">
            <w:pPr>
              <w:spacing w:before="40" w:after="40"/>
              <w:ind w:left="-57" w:right="-57"/>
              <w:jc w:val="center"/>
              <w:rPr>
                <w:iCs/>
                <w:sz w:val="26"/>
                <w:szCs w:val="26"/>
                <w:lang w:val="es-ES"/>
              </w:rPr>
            </w:pPr>
            <w:r w:rsidRPr="00742FB3">
              <w:rPr>
                <w:iCs/>
                <w:sz w:val="26"/>
                <w:szCs w:val="26"/>
                <w:lang w:val="es-ES"/>
              </w:rPr>
              <w:t>16</w:t>
            </w:r>
          </w:p>
        </w:tc>
        <w:tc>
          <w:tcPr>
            <w:tcW w:w="1004" w:type="dxa"/>
            <w:vAlign w:val="center"/>
          </w:tcPr>
          <w:p w14:paraId="232E351B" w14:textId="1A26534F"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3EB7FF9C" w14:textId="77777777" w:rsidR="0089120D" w:rsidRPr="00742FB3" w:rsidRDefault="0089120D" w:rsidP="0089120D">
            <w:pPr>
              <w:spacing w:before="40" w:after="40"/>
              <w:ind w:left="-57" w:right="-57"/>
              <w:jc w:val="center"/>
              <w:rPr>
                <w:iCs/>
                <w:sz w:val="26"/>
                <w:szCs w:val="26"/>
                <w:lang w:val="es-ES"/>
              </w:rPr>
            </w:pPr>
          </w:p>
        </w:tc>
      </w:tr>
      <w:tr w:rsidR="00742FB3" w:rsidRPr="00742FB3" w14:paraId="0AF8885C" w14:textId="77777777" w:rsidTr="0089120D">
        <w:trPr>
          <w:jc w:val="center"/>
        </w:trPr>
        <w:tc>
          <w:tcPr>
            <w:tcW w:w="536" w:type="dxa"/>
            <w:vAlign w:val="center"/>
          </w:tcPr>
          <w:p w14:paraId="0DD36BD6" w14:textId="463B0B88" w:rsidR="0089120D" w:rsidRPr="00742FB3" w:rsidRDefault="0089120D" w:rsidP="0089120D">
            <w:pPr>
              <w:spacing w:before="40" w:after="40"/>
              <w:ind w:left="-57" w:right="-57"/>
              <w:jc w:val="center"/>
              <w:rPr>
                <w:iCs/>
                <w:sz w:val="26"/>
                <w:szCs w:val="26"/>
                <w:lang w:val="vi-VN"/>
              </w:rPr>
            </w:pPr>
            <w:r w:rsidRPr="00742FB3">
              <w:rPr>
                <w:iCs/>
                <w:sz w:val="26"/>
                <w:szCs w:val="26"/>
                <w:lang w:val="vi-VN"/>
              </w:rPr>
              <w:t>9</w:t>
            </w:r>
          </w:p>
        </w:tc>
        <w:tc>
          <w:tcPr>
            <w:tcW w:w="2848" w:type="dxa"/>
            <w:gridSpan w:val="2"/>
            <w:vAlign w:val="center"/>
          </w:tcPr>
          <w:p w14:paraId="02DCA86B" w14:textId="42BC2D93" w:rsidR="0089120D" w:rsidRPr="00742FB3" w:rsidRDefault="0089120D" w:rsidP="0089120D">
            <w:pPr>
              <w:spacing w:before="40" w:after="40"/>
              <w:ind w:left="-57" w:right="-57"/>
              <w:rPr>
                <w:iCs/>
                <w:sz w:val="26"/>
                <w:szCs w:val="26"/>
                <w:lang w:val="vi-VN"/>
              </w:rPr>
            </w:pPr>
            <w:r w:rsidRPr="00742FB3">
              <w:rPr>
                <w:iCs/>
                <w:sz w:val="26"/>
                <w:szCs w:val="26"/>
                <w:lang w:val="vi-VN"/>
              </w:rPr>
              <w:t>Cán bộ quản lý, KHKT tại các đơn vị sự nghiệp, doanh nghiệp</w:t>
            </w:r>
          </w:p>
        </w:tc>
        <w:tc>
          <w:tcPr>
            <w:tcW w:w="871" w:type="dxa"/>
            <w:tcBorders>
              <w:top w:val="single" w:sz="4" w:space="0" w:color="auto"/>
              <w:left w:val="nil"/>
              <w:bottom w:val="single" w:sz="4" w:space="0" w:color="auto"/>
              <w:right w:val="nil"/>
            </w:tcBorders>
            <w:shd w:val="clear" w:color="auto" w:fill="auto"/>
            <w:vAlign w:val="center"/>
          </w:tcPr>
          <w:p w14:paraId="6635C2C5" w14:textId="270F0B90" w:rsidR="0089120D" w:rsidRPr="00742FB3" w:rsidRDefault="0089120D" w:rsidP="0089120D">
            <w:pPr>
              <w:spacing w:before="40" w:after="40"/>
              <w:ind w:left="-57" w:right="-57"/>
              <w:jc w:val="center"/>
              <w:rPr>
                <w:iCs/>
                <w:sz w:val="26"/>
                <w:szCs w:val="26"/>
                <w:lang w:val="es-ES"/>
              </w:rPr>
            </w:pPr>
            <w:r w:rsidRPr="00742FB3">
              <w:t>5</w:t>
            </w:r>
          </w:p>
        </w:tc>
        <w:tc>
          <w:tcPr>
            <w:tcW w:w="867" w:type="dxa"/>
            <w:vAlign w:val="center"/>
          </w:tcPr>
          <w:p w14:paraId="377DFEB9" w14:textId="503E287E"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423805E5" w14:textId="7BA44A0E"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77A1D30C" w14:textId="5CCC069B"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162A7D61" w14:textId="5A0B43AC"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7718BC31" w14:textId="77777777" w:rsidR="0089120D" w:rsidRPr="00742FB3" w:rsidRDefault="0089120D" w:rsidP="0089120D">
            <w:pPr>
              <w:spacing w:before="40" w:after="40"/>
              <w:ind w:left="-57" w:right="-57"/>
              <w:jc w:val="center"/>
              <w:rPr>
                <w:iCs/>
                <w:sz w:val="26"/>
                <w:szCs w:val="26"/>
                <w:lang w:val="es-ES"/>
              </w:rPr>
            </w:pPr>
          </w:p>
        </w:tc>
      </w:tr>
      <w:tr w:rsidR="00742FB3" w:rsidRPr="00742FB3" w14:paraId="00D69458" w14:textId="77777777" w:rsidTr="0089120D">
        <w:trPr>
          <w:jc w:val="center"/>
        </w:trPr>
        <w:tc>
          <w:tcPr>
            <w:tcW w:w="536" w:type="dxa"/>
            <w:vAlign w:val="center"/>
          </w:tcPr>
          <w:p w14:paraId="6892A3A4" w14:textId="541503B0" w:rsidR="0089120D" w:rsidRPr="00742FB3" w:rsidRDefault="0089120D" w:rsidP="0089120D">
            <w:pPr>
              <w:spacing w:before="40" w:after="40"/>
              <w:ind w:left="-57" w:right="-57"/>
              <w:jc w:val="center"/>
              <w:rPr>
                <w:iCs/>
                <w:sz w:val="26"/>
                <w:szCs w:val="26"/>
                <w:lang w:val="vi-VN"/>
              </w:rPr>
            </w:pPr>
            <w:r w:rsidRPr="00742FB3">
              <w:rPr>
                <w:iCs/>
                <w:sz w:val="26"/>
                <w:szCs w:val="26"/>
                <w:lang w:val="vi-VN"/>
              </w:rPr>
              <w:t>10</w:t>
            </w:r>
          </w:p>
        </w:tc>
        <w:tc>
          <w:tcPr>
            <w:tcW w:w="2848" w:type="dxa"/>
            <w:gridSpan w:val="2"/>
            <w:vAlign w:val="center"/>
          </w:tcPr>
          <w:p w14:paraId="5C9CA6AA" w14:textId="4DC0EB30" w:rsidR="0089120D" w:rsidRPr="00742FB3" w:rsidRDefault="0089120D" w:rsidP="0089120D">
            <w:pPr>
              <w:spacing w:before="40" w:after="40"/>
              <w:ind w:left="-57" w:right="-57"/>
              <w:rPr>
                <w:iCs/>
                <w:sz w:val="26"/>
                <w:szCs w:val="26"/>
                <w:lang w:val="vi-VN"/>
              </w:rPr>
            </w:pPr>
            <w:r w:rsidRPr="00742FB3">
              <w:rPr>
                <w:iCs/>
                <w:sz w:val="26"/>
                <w:szCs w:val="26"/>
                <w:lang w:val="vi-VN"/>
              </w:rPr>
              <w:t>Công chức tại các bộ ngành quản lý nhà nước</w:t>
            </w:r>
          </w:p>
        </w:tc>
        <w:tc>
          <w:tcPr>
            <w:tcW w:w="871" w:type="dxa"/>
            <w:tcBorders>
              <w:top w:val="single" w:sz="4" w:space="0" w:color="auto"/>
              <w:left w:val="nil"/>
              <w:bottom w:val="single" w:sz="4" w:space="0" w:color="auto"/>
              <w:right w:val="nil"/>
            </w:tcBorders>
            <w:shd w:val="clear" w:color="auto" w:fill="auto"/>
            <w:vAlign w:val="center"/>
          </w:tcPr>
          <w:p w14:paraId="00B2AAAB" w14:textId="073B545B" w:rsidR="0089120D" w:rsidRPr="00742FB3" w:rsidRDefault="0089120D" w:rsidP="0089120D">
            <w:pPr>
              <w:spacing w:before="40" w:after="40"/>
              <w:ind w:left="-57" w:right="-57"/>
              <w:jc w:val="center"/>
              <w:rPr>
                <w:iCs/>
                <w:sz w:val="26"/>
                <w:szCs w:val="26"/>
                <w:lang w:val="es-ES"/>
              </w:rPr>
            </w:pPr>
            <w:r w:rsidRPr="00742FB3">
              <w:t>0</w:t>
            </w:r>
          </w:p>
        </w:tc>
        <w:tc>
          <w:tcPr>
            <w:tcW w:w="867" w:type="dxa"/>
            <w:vAlign w:val="center"/>
          </w:tcPr>
          <w:p w14:paraId="614A0C9B" w14:textId="68B9E495"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896" w:type="dxa"/>
            <w:vAlign w:val="center"/>
          </w:tcPr>
          <w:p w14:paraId="65443A33" w14:textId="3E831EBE"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70D26FC6" w14:textId="473F271B"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004" w:type="dxa"/>
            <w:vAlign w:val="center"/>
          </w:tcPr>
          <w:p w14:paraId="5416DF96" w14:textId="7D2FF4C6" w:rsidR="0089120D" w:rsidRPr="00742FB3" w:rsidRDefault="0089120D" w:rsidP="0089120D">
            <w:pPr>
              <w:spacing w:before="40" w:after="40"/>
              <w:ind w:left="-57" w:right="-57"/>
              <w:jc w:val="center"/>
              <w:rPr>
                <w:iCs/>
                <w:sz w:val="26"/>
                <w:szCs w:val="26"/>
                <w:lang w:val="es-ES"/>
              </w:rPr>
            </w:pPr>
            <w:r w:rsidRPr="00742FB3">
              <w:rPr>
                <w:iCs/>
                <w:sz w:val="26"/>
                <w:szCs w:val="26"/>
                <w:lang w:val="es-ES"/>
              </w:rPr>
              <w:t>-</w:t>
            </w:r>
          </w:p>
        </w:tc>
        <w:tc>
          <w:tcPr>
            <w:tcW w:w="1431" w:type="dxa"/>
            <w:vAlign w:val="center"/>
          </w:tcPr>
          <w:p w14:paraId="0C8C639F" w14:textId="77777777" w:rsidR="0089120D" w:rsidRPr="00742FB3" w:rsidRDefault="0089120D" w:rsidP="0089120D">
            <w:pPr>
              <w:spacing w:before="40" w:after="40"/>
              <w:ind w:left="-57" w:right="-57"/>
              <w:jc w:val="center"/>
              <w:rPr>
                <w:iCs/>
                <w:sz w:val="26"/>
                <w:szCs w:val="26"/>
                <w:lang w:val="es-ES"/>
              </w:rPr>
            </w:pPr>
          </w:p>
        </w:tc>
      </w:tr>
    </w:tbl>
    <w:p w14:paraId="74C42745" w14:textId="61C226CC" w:rsidR="00BC00B8" w:rsidRPr="00742FB3" w:rsidRDefault="00BC00B8" w:rsidP="00F5332F">
      <w:pPr>
        <w:spacing w:before="120" w:after="120" w:line="288" w:lineRule="auto"/>
        <w:jc w:val="both"/>
        <w:rPr>
          <w:rFonts w:ascii="Times New Roman" w:hAnsi="Times New Roman" w:cs="Times New Roman"/>
          <w:i/>
          <w:iCs/>
          <w:sz w:val="28"/>
          <w:szCs w:val="28"/>
          <w:lang w:val="es-ES"/>
        </w:rPr>
      </w:pPr>
      <w:r w:rsidRPr="00742FB3">
        <w:rPr>
          <w:rFonts w:ascii="Times New Roman" w:hAnsi="Times New Roman" w:cs="Times New Roman"/>
          <w:i/>
          <w:iCs/>
          <w:sz w:val="28"/>
          <w:szCs w:val="28"/>
          <w:lang w:val="vi-VN"/>
        </w:rPr>
        <w:t xml:space="preserve">(*) Số lượng người được chọn vào làm việc tại cơ quan, tổ chức </w:t>
      </w:r>
    </w:p>
    <w:p w14:paraId="66CFFF26" w14:textId="1118EA2E" w:rsidR="00BC00B8" w:rsidRPr="00742FB3" w:rsidRDefault="00BC00B8" w:rsidP="00F5332F">
      <w:pPr>
        <w:spacing w:before="120" w:after="120" w:line="288" w:lineRule="auto"/>
        <w:jc w:val="both"/>
        <w:rPr>
          <w:rFonts w:ascii="Times New Roman" w:hAnsi="Times New Roman" w:cs="Times New Roman"/>
          <w:i/>
          <w:iCs/>
          <w:sz w:val="28"/>
          <w:szCs w:val="28"/>
          <w:lang w:val="vi-VN"/>
        </w:rPr>
      </w:pPr>
      <w:r w:rsidRPr="00742FB3">
        <w:rPr>
          <w:rFonts w:ascii="Times New Roman" w:hAnsi="Times New Roman" w:cs="Times New Roman"/>
          <w:i/>
          <w:iCs/>
          <w:sz w:val="28"/>
          <w:szCs w:val="28"/>
          <w:lang w:val="vi-VN"/>
        </w:rPr>
        <w:t>(**) Số lượng người về làm việc tại các đơn vị thuộc và trực thuộc EVN.</w:t>
      </w:r>
    </w:p>
    <w:p w14:paraId="03DCA940" w14:textId="463AFEF9" w:rsidR="00953605" w:rsidRPr="00742FB3" w:rsidRDefault="00E7177A" w:rsidP="00F5332F">
      <w:pPr>
        <w:spacing w:before="120" w:after="120" w:line="288" w:lineRule="auto"/>
        <w:jc w:val="both"/>
        <w:rPr>
          <w:rFonts w:ascii="Times New Roman" w:hAnsi="Times New Roman" w:cs="Times New Roman"/>
          <w:iCs/>
          <w:sz w:val="28"/>
          <w:szCs w:val="28"/>
          <w:lang w:val="vi-VN"/>
        </w:rPr>
      </w:pPr>
      <w:r w:rsidRPr="00742FB3">
        <w:rPr>
          <w:rFonts w:ascii="Times New Roman" w:hAnsi="Times New Roman" w:cs="Times New Roman"/>
          <w:i/>
          <w:iCs/>
          <w:sz w:val="28"/>
          <w:szCs w:val="28"/>
          <w:vertAlign w:val="superscript"/>
          <w:lang w:val="vi-VN"/>
        </w:rPr>
        <w:t xml:space="preserve">(a, b) </w:t>
      </w:r>
      <w:r w:rsidR="00953605" w:rsidRPr="00742FB3">
        <w:rPr>
          <w:rFonts w:ascii="Times New Roman" w:hAnsi="Times New Roman" w:cs="Times New Roman"/>
          <w:i/>
          <w:iCs/>
          <w:sz w:val="28"/>
          <w:szCs w:val="28"/>
          <w:lang w:val="vi-VN"/>
        </w:rPr>
        <w:t>Đối với đối tượng là học viên cao học và nghiên cứu sinh ở trong nước</w:t>
      </w:r>
      <w:r w:rsidRPr="00742FB3">
        <w:rPr>
          <w:rFonts w:ascii="Times New Roman" w:hAnsi="Times New Roman" w:cs="Times New Roman"/>
          <w:i/>
          <w:iCs/>
          <w:sz w:val="28"/>
          <w:szCs w:val="28"/>
          <w:lang w:val="vi-VN"/>
        </w:rPr>
        <w:t>:</w:t>
      </w:r>
    </w:p>
    <w:p w14:paraId="72E97A1E" w14:textId="71254E20" w:rsidR="00E7177A" w:rsidRPr="00742FB3" w:rsidRDefault="00135A1C" w:rsidP="00F5332F">
      <w:pPr>
        <w:spacing w:before="120" w:after="120" w:line="288" w:lineRule="auto"/>
        <w:ind w:firstLine="567"/>
        <w:jc w:val="both"/>
        <w:rPr>
          <w:rFonts w:ascii="Times New Roman" w:hAnsi="Times New Roman" w:cs="Times New Roman"/>
          <w:i/>
          <w:iCs/>
          <w:sz w:val="28"/>
          <w:szCs w:val="28"/>
        </w:rPr>
      </w:pPr>
      <w:r w:rsidRPr="00742FB3">
        <w:rPr>
          <w:rFonts w:ascii="Times New Roman" w:hAnsi="Times New Roman" w:cs="Times New Roman"/>
          <w:i/>
          <w:iCs/>
          <w:sz w:val="28"/>
          <w:szCs w:val="28"/>
        </w:rPr>
        <w:t>+</w:t>
      </w:r>
      <w:r w:rsidR="00E7177A" w:rsidRPr="00742FB3">
        <w:rPr>
          <w:rFonts w:ascii="Times New Roman" w:hAnsi="Times New Roman" w:cs="Times New Roman"/>
          <w:i/>
          <w:iCs/>
          <w:sz w:val="28"/>
          <w:szCs w:val="28"/>
          <w:lang w:val="vi-VN"/>
        </w:rPr>
        <w:t xml:space="preserve"> Số đề tài NCKH các cấp được giao chủ trì trong thời gian học</w:t>
      </w:r>
      <w:r w:rsidR="006864C0" w:rsidRPr="00742FB3">
        <w:rPr>
          <w:rFonts w:ascii="Times New Roman" w:hAnsi="Times New Roman" w:cs="Times New Roman"/>
          <w:i/>
          <w:iCs/>
          <w:sz w:val="28"/>
          <w:szCs w:val="28"/>
        </w:rPr>
        <w:t xml:space="preserve">: </w:t>
      </w:r>
      <w:r w:rsidRPr="00742FB3">
        <w:rPr>
          <w:rFonts w:ascii="Times New Roman" w:hAnsi="Times New Roman" w:cs="Times New Roman"/>
          <w:i/>
          <w:iCs/>
          <w:sz w:val="28"/>
          <w:szCs w:val="28"/>
        </w:rPr>
        <w:t>12.</w:t>
      </w:r>
    </w:p>
    <w:p w14:paraId="1CE93620" w14:textId="251BF0FE" w:rsidR="00E7177A" w:rsidRPr="00742FB3" w:rsidRDefault="00135A1C" w:rsidP="00F5332F">
      <w:pPr>
        <w:spacing w:before="120" w:after="120" w:line="288" w:lineRule="auto"/>
        <w:ind w:firstLine="567"/>
        <w:jc w:val="both"/>
        <w:rPr>
          <w:rFonts w:ascii="Times New Roman" w:hAnsi="Times New Roman" w:cs="Times New Roman"/>
          <w:i/>
          <w:iCs/>
          <w:sz w:val="28"/>
          <w:szCs w:val="28"/>
        </w:rPr>
      </w:pPr>
      <w:r w:rsidRPr="00742FB3">
        <w:rPr>
          <w:rFonts w:ascii="Times New Roman" w:hAnsi="Times New Roman" w:cs="Times New Roman"/>
          <w:i/>
          <w:iCs/>
          <w:sz w:val="28"/>
          <w:szCs w:val="28"/>
        </w:rPr>
        <w:t>+</w:t>
      </w:r>
      <w:r w:rsidR="00E7177A" w:rsidRPr="00742FB3">
        <w:rPr>
          <w:rFonts w:ascii="Times New Roman" w:hAnsi="Times New Roman" w:cs="Times New Roman"/>
          <w:i/>
          <w:iCs/>
          <w:sz w:val="28"/>
          <w:szCs w:val="28"/>
          <w:lang w:val="vi-VN"/>
        </w:rPr>
        <w:t xml:space="preserve"> Số lượng hội nghị, hội thảo khoa học ở nước ngoài tham gia trong thời gian học</w:t>
      </w:r>
      <w:r w:rsidR="006864C0" w:rsidRPr="00742FB3">
        <w:rPr>
          <w:rFonts w:ascii="Times New Roman" w:hAnsi="Times New Roman" w:cs="Times New Roman"/>
          <w:i/>
          <w:iCs/>
          <w:sz w:val="28"/>
          <w:szCs w:val="28"/>
        </w:rPr>
        <w:t>:</w:t>
      </w:r>
      <w:r w:rsidRPr="00742FB3">
        <w:rPr>
          <w:rFonts w:ascii="Times New Roman" w:hAnsi="Times New Roman" w:cs="Times New Roman"/>
          <w:i/>
          <w:iCs/>
          <w:sz w:val="28"/>
          <w:szCs w:val="28"/>
        </w:rPr>
        <w:t>8</w:t>
      </w:r>
      <w:r w:rsidR="00E16FE2" w:rsidRPr="00742FB3">
        <w:rPr>
          <w:rFonts w:ascii="Times New Roman" w:hAnsi="Times New Roman" w:cs="Times New Roman"/>
          <w:i/>
          <w:iCs/>
          <w:sz w:val="28"/>
          <w:szCs w:val="28"/>
        </w:rPr>
        <w:t>0</w:t>
      </w:r>
      <w:r w:rsidRPr="00742FB3">
        <w:rPr>
          <w:rFonts w:ascii="Times New Roman" w:hAnsi="Times New Roman" w:cs="Times New Roman"/>
          <w:i/>
          <w:iCs/>
          <w:sz w:val="28"/>
          <w:szCs w:val="28"/>
        </w:rPr>
        <w:t>.</w:t>
      </w:r>
    </w:p>
    <w:p w14:paraId="088B9477" w14:textId="2C5A3A80" w:rsidR="00E16FE2" w:rsidRPr="00742FB3" w:rsidRDefault="00135A1C" w:rsidP="00F5332F">
      <w:pPr>
        <w:spacing w:before="120" w:after="120" w:line="288" w:lineRule="auto"/>
        <w:ind w:firstLine="567"/>
        <w:jc w:val="both"/>
        <w:rPr>
          <w:rFonts w:ascii="Times New Roman" w:hAnsi="Times New Roman" w:cs="Times New Roman"/>
          <w:i/>
          <w:iCs/>
          <w:sz w:val="28"/>
          <w:szCs w:val="28"/>
        </w:rPr>
      </w:pPr>
      <w:r w:rsidRPr="00742FB3">
        <w:rPr>
          <w:rFonts w:ascii="Times New Roman" w:hAnsi="Times New Roman" w:cs="Times New Roman"/>
          <w:i/>
          <w:iCs/>
          <w:sz w:val="28"/>
          <w:szCs w:val="28"/>
        </w:rPr>
        <w:t>+ Trong thời gian học tại các đơn vị đào tạo, người học đã công bố trên 50 bài báo trên các tạp chí thuộc danh mục WoS, Scopus; được cấp 01 sáng chế và 02 gải pháp hữu ích.</w:t>
      </w:r>
    </w:p>
    <w:p w14:paraId="4FDE6CD1" w14:textId="77777777" w:rsidR="00030834" w:rsidRPr="00742FB3" w:rsidRDefault="00030834" w:rsidP="00DC7F35">
      <w:pPr>
        <w:pStyle w:val="NormalWeb"/>
        <w:shd w:val="clear" w:color="auto" w:fill="FFFFFF"/>
        <w:spacing w:before="120" w:beforeAutospacing="0" w:after="120" w:afterAutospacing="0" w:line="276" w:lineRule="auto"/>
        <w:ind w:firstLine="567"/>
        <w:jc w:val="both"/>
        <w:rPr>
          <w:bCs/>
          <w:sz w:val="28"/>
          <w:szCs w:val="28"/>
        </w:rPr>
      </w:pPr>
      <w:r w:rsidRPr="00742FB3">
        <w:rPr>
          <w:bCs/>
          <w:sz w:val="28"/>
          <w:szCs w:val="28"/>
        </w:rPr>
        <w:t>- Trong giai đoạn 2016-2024, số lượng nhân lực đào tạo các chuyên ngành thuộc lĩnh vực điện hạt nhân giảm mạnh, chủ yếu là đào tạo các chuyên ngành vật lý y khoa và vật lý kỹ thuật. Chỉ có trường Đại học Điện lực đào tạo được 7 khóa kỹ sư điện hạt nhân với 188 kỹ sư (bắt đầu tuyển sinh năm 2013, đến năm 2024 có 7 khoá đã tốt nghiệp).</w:t>
      </w:r>
    </w:p>
    <w:p w14:paraId="7E4C4ACC" w14:textId="2423CE7C" w:rsidR="00030834" w:rsidRPr="00742FB3" w:rsidRDefault="00030834" w:rsidP="00DC7F35">
      <w:pPr>
        <w:spacing w:before="120" w:after="120" w:line="276" w:lineRule="auto"/>
        <w:ind w:firstLine="567"/>
        <w:jc w:val="both"/>
        <w:rPr>
          <w:rFonts w:ascii="Times New Roman" w:hAnsi="Times New Roman" w:cs="Times New Roman"/>
          <w:iCs/>
          <w:sz w:val="28"/>
          <w:szCs w:val="28"/>
          <w:lang w:val="vi-VN"/>
        </w:rPr>
      </w:pPr>
      <w:r w:rsidRPr="00742FB3">
        <w:rPr>
          <w:rFonts w:ascii="Times New Roman" w:hAnsi="Times New Roman" w:cs="Times New Roman"/>
          <w:bCs/>
          <w:sz w:val="28"/>
          <w:szCs w:val="28"/>
        </w:rPr>
        <w:t xml:space="preserve">Các nhân sự đã đào tạo trong nước ở các giai đoạn </w:t>
      </w:r>
      <w:r w:rsidR="006864C0" w:rsidRPr="00742FB3">
        <w:rPr>
          <w:rFonts w:ascii="Times New Roman" w:hAnsi="Times New Roman" w:cs="Times New Roman"/>
          <w:bCs/>
          <w:sz w:val="28"/>
          <w:szCs w:val="28"/>
        </w:rPr>
        <w:t>trên</w:t>
      </w:r>
      <w:r w:rsidRPr="00742FB3">
        <w:rPr>
          <w:rFonts w:ascii="Times New Roman" w:hAnsi="Times New Roman" w:cs="Times New Roman"/>
          <w:bCs/>
          <w:sz w:val="28"/>
          <w:szCs w:val="28"/>
        </w:rPr>
        <w:t xml:space="preserve"> hầu hết đang làm việc trong các cơ sở đào tạo, cơ sở y tế, môi trường và các tổ chức, doanh nghiệp có liên quan đến lĩnh vực năng lượng nguyên tử ở Việt Nam.</w:t>
      </w:r>
    </w:p>
    <w:p w14:paraId="3938C403" w14:textId="7CE993B2" w:rsidR="00BC00B8" w:rsidRPr="00742FB3" w:rsidRDefault="00870831" w:rsidP="00DC7F35">
      <w:pPr>
        <w:spacing w:before="120" w:after="120" w:line="276" w:lineRule="auto"/>
        <w:ind w:firstLine="567"/>
        <w:jc w:val="both"/>
        <w:rPr>
          <w:rFonts w:ascii="Times New Roman" w:hAnsi="Times New Roman" w:cs="Times New Roman"/>
          <w:b/>
          <w:iCs/>
          <w:sz w:val="28"/>
          <w:szCs w:val="28"/>
        </w:rPr>
      </w:pPr>
      <w:r w:rsidRPr="00742FB3">
        <w:rPr>
          <w:rFonts w:ascii="Times New Roman" w:hAnsi="Times New Roman" w:cs="Times New Roman"/>
          <w:b/>
          <w:iCs/>
          <w:sz w:val="28"/>
          <w:szCs w:val="28"/>
        </w:rPr>
        <w:t>3</w:t>
      </w:r>
      <w:r w:rsidR="00E7177A" w:rsidRPr="00742FB3">
        <w:rPr>
          <w:rFonts w:ascii="Times New Roman" w:hAnsi="Times New Roman" w:cs="Times New Roman"/>
          <w:b/>
          <w:iCs/>
          <w:sz w:val="28"/>
          <w:szCs w:val="28"/>
          <w:lang w:val="vi-VN"/>
        </w:rPr>
        <w:t xml:space="preserve">. Những khó khăn, vướng mắc </w:t>
      </w:r>
      <w:r w:rsidRPr="00742FB3">
        <w:rPr>
          <w:rFonts w:ascii="Times New Roman" w:hAnsi="Times New Roman" w:cs="Times New Roman"/>
          <w:b/>
          <w:iCs/>
          <w:sz w:val="28"/>
          <w:szCs w:val="28"/>
        </w:rPr>
        <w:t>và nguyên nhân</w:t>
      </w:r>
    </w:p>
    <w:p w14:paraId="01020E35" w14:textId="562106A5" w:rsidR="00A8515F" w:rsidRPr="00742FB3" w:rsidRDefault="00E7177A" w:rsidP="00DC7F35">
      <w:pPr>
        <w:spacing w:before="120" w:after="120" w:line="276"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lang w:val="vi-VN"/>
        </w:rPr>
        <w:t>- Về chính sách</w:t>
      </w:r>
      <w:r w:rsidR="00687AB0" w:rsidRPr="00742FB3">
        <w:rPr>
          <w:rFonts w:ascii="Times New Roman" w:hAnsi="Times New Roman" w:cs="Times New Roman"/>
          <w:iCs/>
          <w:sz w:val="28"/>
          <w:szCs w:val="28"/>
        </w:rPr>
        <w:t xml:space="preserve">: </w:t>
      </w:r>
      <w:bookmarkStart w:id="10" w:name="_Hlk210038325"/>
      <w:r w:rsidR="00322EC6" w:rsidRPr="00742FB3">
        <w:rPr>
          <w:rFonts w:ascii="Times New Roman" w:hAnsi="Times New Roman" w:cs="Times New Roman"/>
          <w:iCs/>
          <w:sz w:val="28"/>
          <w:szCs w:val="28"/>
        </w:rPr>
        <w:t>Nghị định 124/2013/NĐ-CP về chính sách ưu đãi, hỗ trợ người đi đào tạo trong lĩnh vực năng lượng nguyên tử về cơ bản là một chính sách đúng đắn của Đảng và Nhà nước, tuy nhiên quá trình triển khai không đồng bộ, đặc biệt là nguồn kinh phí cấp cho các sinh viên theo học không liên tục. Các chính sách ưu đãi theo Nghị định chưa đủ toàn diện, chưa bao phủ hết các đối tượng cần được ưu tiên trong lĩnh vực điện hạt nhân</w:t>
      </w:r>
      <w:bookmarkEnd w:id="10"/>
      <w:r w:rsidR="00322EC6" w:rsidRPr="00742FB3">
        <w:rPr>
          <w:rFonts w:ascii="Times New Roman" w:hAnsi="Times New Roman" w:cs="Times New Roman"/>
          <w:iCs/>
          <w:sz w:val="28"/>
          <w:szCs w:val="28"/>
        </w:rPr>
        <w:t xml:space="preserve">. </w:t>
      </w:r>
      <w:r w:rsidR="00687AB0" w:rsidRPr="00742FB3">
        <w:rPr>
          <w:rFonts w:ascii="Times New Roman" w:hAnsi="Times New Roman" w:cs="Times New Roman"/>
          <w:iCs/>
          <w:sz w:val="28"/>
          <w:szCs w:val="28"/>
        </w:rPr>
        <w:t xml:space="preserve">Cụ thể: </w:t>
      </w:r>
    </w:p>
    <w:p w14:paraId="79884580" w14:textId="35FB81E6" w:rsidR="00A8515F" w:rsidRPr="00742FB3" w:rsidRDefault="00A8515F" w:rsidP="00DC7F35">
      <w:pPr>
        <w:spacing w:before="120" w:after="120" w:line="276"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 xml:space="preserve">+ </w:t>
      </w:r>
      <w:r w:rsidR="00687AB0" w:rsidRPr="00742FB3">
        <w:rPr>
          <w:rFonts w:ascii="Times New Roman" w:hAnsi="Times New Roman" w:cs="Times New Roman"/>
          <w:iCs/>
          <w:sz w:val="28"/>
          <w:szCs w:val="28"/>
        </w:rPr>
        <w:t>Nghị định được thiết kế chủ yếu nhằm ưu đãi, hỗ trợ trực tiếp cho 06  cơ sở có đào tạo ngành, chuyên ngành năng lượng hạt nhân trong khi các đơn vị đóng vai trò cung cấp nguồn nhân lực nền tảng về xây dựng, kết cấu, vật liệu, kinh tế, quản trị, môi trường,…</w:t>
      </w:r>
      <w:r w:rsidR="005828CF" w:rsidRPr="00742FB3">
        <w:rPr>
          <w:rFonts w:ascii="Times New Roman" w:hAnsi="Times New Roman" w:cs="Times New Roman"/>
          <w:iCs/>
          <w:sz w:val="28"/>
          <w:szCs w:val="28"/>
        </w:rPr>
        <w:t xml:space="preserve"> </w:t>
      </w:r>
      <w:r w:rsidR="00687AB0" w:rsidRPr="00742FB3">
        <w:rPr>
          <w:rFonts w:ascii="Times New Roman" w:hAnsi="Times New Roman" w:cs="Times New Roman"/>
          <w:iCs/>
          <w:sz w:val="28"/>
          <w:szCs w:val="28"/>
        </w:rPr>
        <w:t>cho việc xây dựng và vận hành nhà máy điện hạt nhân thì chưa được quan tâm.</w:t>
      </w:r>
      <w:r w:rsidR="00B24956" w:rsidRPr="00742FB3">
        <w:rPr>
          <w:rFonts w:ascii="Times New Roman" w:hAnsi="Times New Roman" w:cs="Times New Roman"/>
          <w:iCs/>
          <w:sz w:val="28"/>
          <w:szCs w:val="28"/>
        </w:rPr>
        <w:t xml:space="preserve"> </w:t>
      </w:r>
    </w:p>
    <w:p w14:paraId="4A52C9CE" w14:textId="0E6E49F1" w:rsidR="00687AB0" w:rsidRPr="00742FB3" w:rsidRDefault="00A8515F" w:rsidP="00DC7F35">
      <w:pPr>
        <w:spacing w:before="120" w:after="120" w:line="276"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 Các chính sách hỗ trợ</w:t>
      </w:r>
      <w:r w:rsidR="00B24956" w:rsidRPr="00742FB3">
        <w:rPr>
          <w:rFonts w:ascii="Times New Roman" w:hAnsi="Times New Roman" w:cs="Times New Roman"/>
          <w:iCs/>
          <w:sz w:val="28"/>
          <w:szCs w:val="28"/>
        </w:rPr>
        <w:t xml:space="preserve"> người học đào tạo trong nước </w:t>
      </w:r>
      <w:r w:rsidRPr="00742FB3">
        <w:rPr>
          <w:rFonts w:ascii="Times New Roman" w:hAnsi="Times New Roman" w:cs="Times New Roman"/>
          <w:iCs/>
          <w:sz w:val="28"/>
          <w:szCs w:val="28"/>
        </w:rPr>
        <w:t xml:space="preserve">chưa được triển khai đầy đủ. Ví dụ: tại Trường Đại học Đà Lạt, </w:t>
      </w:r>
      <w:r w:rsidRPr="00742FB3">
        <w:rPr>
          <w:rFonts w:ascii="Times New Roman" w:hAnsi="Times New Roman" w:cs="Times New Roman"/>
          <w:sz w:val="28"/>
          <w:szCs w:val="28"/>
        </w:rPr>
        <w:t>Sinh viên, học viên cao học, NCS chưa nhận được chính sách hỗ trợ học tập từ ngân sách nhà nước trong nước như quy định tại Nghị định 124/2013/NĐ-CP mà do Trường chủ động miễn học phí và chi phí ký túc xá cho sinh viên trong thời gian đầu. Người học cũng chưa được hưởng trợ cấp sinh hoạt phí hằng tháng theo quy định của Nghị định. Đến năm 2016 khi Quốc hội dừng dự án nhà máy điện hạt nhân thì Trường cũng dừng việc hỗ trợ học phí và phí ký túc xá; tại Trường Đại học Điện Lực, sinh viên được nhận trợ cấp giai đaonj 2014, 2015 sau đó thì không được cấp nữa.</w:t>
      </w:r>
    </w:p>
    <w:p w14:paraId="03528219" w14:textId="3D43F696" w:rsidR="00E7177A" w:rsidRPr="00742FB3" w:rsidRDefault="00687AB0" w:rsidP="00687AB0">
      <w:pPr>
        <w:spacing w:before="120" w:after="120" w:line="288"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 Có thể có sự chồng chéo, chưa đồng bộ giữa các văn bản pháp luật khác nhau, gây khó khăn trong việc áp dụng</w:t>
      </w:r>
      <w:r w:rsidR="00A8515F" w:rsidRPr="00742FB3">
        <w:rPr>
          <w:rFonts w:ascii="Times New Roman" w:hAnsi="Times New Roman" w:cs="Times New Roman"/>
          <w:iCs/>
          <w:sz w:val="28"/>
          <w:szCs w:val="28"/>
        </w:rPr>
        <w:t xml:space="preserve">. </w:t>
      </w:r>
    </w:p>
    <w:p w14:paraId="7597FB38" w14:textId="6739C72C" w:rsidR="00E7177A" w:rsidRPr="00742FB3" w:rsidRDefault="00E7177A"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lang w:val="vi-VN"/>
        </w:rPr>
        <w:t>- Về nguồn tuyển sinh đầu vào</w:t>
      </w:r>
      <w:r w:rsidR="000C533C" w:rsidRPr="00742FB3">
        <w:rPr>
          <w:rFonts w:ascii="Times New Roman" w:hAnsi="Times New Roman" w:cs="Times New Roman"/>
          <w:iCs/>
          <w:sz w:val="28"/>
          <w:szCs w:val="28"/>
        </w:rPr>
        <w:t xml:space="preserve">: </w:t>
      </w:r>
      <w:r w:rsidR="00614BA3" w:rsidRPr="00742FB3">
        <w:rPr>
          <w:rFonts w:ascii="Times New Roman" w:hAnsi="Times New Roman" w:cs="Times New Roman"/>
          <w:iCs/>
          <w:sz w:val="28"/>
          <w:szCs w:val="28"/>
        </w:rPr>
        <w:t xml:space="preserve">Trong giai đoạn đầu, chất lượng sinh viên đầu vào khá cao. </w:t>
      </w:r>
      <w:r w:rsidR="00614BA3" w:rsidRPr="00742FB3">
        <w:rPr>
          <w:rFonts w:ascii="Times New Roman" w:hAnsi="Times New Roman" w:cs="Times New Roman"/>
          <w:sz w:val="28"/>
          <w:szCs w:val="28"/>
          <w:lang w:val="vi"/>
        </w:rPr>
        <w:t>Tuy nhiên, việc tuyển sinh còn gặp nhiều bất cập,</w:t>
      </w:r>
      <w:r w:rsidR="00614BA3" w:rsidRPr="00742FB3">
        <w:rPr>
          <w:rFonts w:ascii="Times New Roman" w:hAnsi="Times New Roman" w:cs="Times New Roman"/>
          <w:sz w:val="28"/>
          <w:szCs w:val="28"/>
        </w:rPr>
        <w:t xml:space="preserve"> nhất là trong giai đoạn từ 2017 đến nay,</w:t>
      </w:r>
      <w:r w:rsidR="00614BA3" w:rsidRPr="00742FB3">
        <w:rPr>
          <w:rFonts w:ascii="Times New Roman" w:hAnsi="Times New Roman" w:cs="Times New Roman"/>
          <w:sz w:val="28"/>
          <w:szCs w:val="28"/>
          <w:lang w:val="vi"/>
        </w:rPr>
        <w:t xml:space="preserve"> chất lượng tuyển sinh đầu vào còn thấp, học sinh vùng nông thôn chiếm đa số, ngoại ngữ chưa tốt nên tỷ lệ đầu ra chỉ khoảng 65-70% tỷ lệ đầu vào. Việc áp dụng chính sách đặc thù cho sinh viên và người học, cũng như việc bảo đảm đầu ra cho người học sau khi tốt nghiệp thuộc lĩnh vực điện hạt nhân chưa đủ sức thu hút sinh viên giỏi và gắn bó với nghề nghiệp đã đào tạo (</w:t>
      </w:r>
      <w:r w:rsidR="00614BA3" w:rsidRPr="00742FB3">
        <w:rPr>
          <w:rFonts w:ascii="Times New Roman" w:hAnsi="Times New Roman" w:cs="Times New Roman"/>
          <w:i/>
          <w:sz w:val="28"/>
          <w:szCs w:val="28"/>
          <w:lang w:val="vi"/>
        </w:rPr>
        <w:t xml:space="preserve">Thực tế, thời điểm 2010 – 2011, điểm chuẩn trúng tuyển vào ngành Kỹ thuật hạt nhân thuộc nhóm cao nhất trong các ngành, sinh viên trúng tuyển đa số từ trường chuyên của tỉnh, chất lượng </w:t>
      </w:r>
      <w:r w:rsidR="00614BA3" w:rsidRPr="00742FB3">
        <w:rPr>
          <w:rFonts w:ascii="Times New Roman" w:hAnsi="Times New Roman" w:cs="Times New Roman"/>
          <w:i/>
          <w:sz w:val="28"/>
          <w:szCs w:val="28"/>
        </w:rPr>
        <w:t xml:space="preserve">và số lượng </w:t>
      </w:r>
      <w:r w:rsidR="00614BA3" w:rsidRPr="00742FB3">
        <w:rPr>
          <w:rFonts w:ascii="Times New Roman" w:hAnsi="Times New Roman" w:cs="Times New Roman"/>
          <w:i/>
          <w:sz w:val="28"/>
          <w:szCs w:val="28"/>
          <w:lang w:val="vi"/>
        </w:rPr>
        <w:t xml:space="preserve">tuyển sinh đầu vào </w:t>
      </w:r>
      <w:r w:rsidR="00614BA3" w:rsidRPr="00742FB3">
        <w:rPr>
          <w:rFonts w:ascii="Times New Roman" w:hAnsi="Times New Roman" w:cs="Times New Roman"/>
          <w:i/>
          <w:sz w:val="28"/>
          <w:szCs w:val="28"/>
        </w:rPr>
        <w:t>đã</w:t>
      </w:r>
      <w:r w:rsidR="00614BA3" w:rsidRPr="00742FB3">
        <w:rPr>
          <w:rFonts w:ascii="Times New Roman" w:hAnsi="Times New Roman" w:cs="Times New Roman"/>
          <w:i/>
          <w:sz w:val="28"/>
          <w:szCs w:val="28"/>
          <w:lang w:val="vi"/>
        </w:rPr>
        <w:t xml:space="preserve"> bị suy giảm </w:t>
      </w:r>
      <w:r w:rsidR="00614BA3" w:rsidRPr="00742FB3">
        <w:rPr>
          <w:rFonts w:ascii="Times New Roman" w:hAnsi="Times New Roman" w:cs="Times New Roman"/>
          <w:i/>
          <w:sz w:val="28"/>
          <w:szCs w:val="28"/>
        </w:rPr>
        <w:t>đáng kể từ khi dừn</w:t>
      </w:r>
      <w:r w:rsidR="00614BA3" w:rsidRPr="00742FB3">
        <w:rPr>
          <w:rFonts w:ascii="Times New Roman" w:hAnsi="Times New Roman" w:cs="Times New Roman"/>
          <w:i/>
          <w:sz w:val="28"/>
          <w:szCs w:val="28"/>
          <w:lang w:val="vi"/>
        </w:rPr>
        <w:t xml:space="preserve">g dự án nhà máy điện </w:t>
      </w:r>
      <w:r w:rsidR="00614BA3" w:rsidRPr="00742FB3">
        <w:rPr>
          <w:rFonts w:ascii="Times New Roman" w:hAnsi="Times New Roman" w:cs="Times New Roman"/>
          <w:i/>
          <w:sz w:val="28"/>
          <w:szCs w:val="28"/>
        </w:rPr>
        <w:t>hạt nhân vào năm 2016</w:t>
      </w:r>
      <w:r w:rsidR="00614BA3" w:rsidRPr="00742FB3">
        <w:rPr>
          <w:rFonts w:ascii="Times New Roman" w:hAnsi="Times New Roman" w:cs="Times New Roman"/>
          <w:sz w:val="28"/>
          <w:szCs w:val="28"/>
          <w:lang w:val="vi"/>
        </w:rPr>
        <w:t>).</w:t>
      </w:r>
    </w:p>
    <w:p w14:paraId="55139B48" w14:textId="561B4A78" w:rsidR="00E7177A" w:rsidRPr="00742FB3" w:rsidRDefault="00E7177A"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lang w:val="vi-VN"/>
        </w:rPr>
        <w:t>- Về tình hình việc làm của các đối tượng sâu khi được đào tạo</w:t>
      </w:r>
      <w:r w:rsidR="00894E1C" w:rsidRPr="00742FB3">
        <w:rPr>
          <w:rFonts w:ascii="Times New Roman" w:hAnsi="Times New Roman" w:cs="Times New Roman"/>
          <w:iCs/>
          <w:sz w:val="28"/>
          <w:szCs w:val="28"/>
        </w:rPr>
        <w:t xml:space="preserve">: Phần lớn sinh viên ra trường đều có việc làm tại các cơ quan, tổ chức, doanh nghiệp </w:t>
      </w:r>
      <w:r w:rsidR="00894E1C" w:rsidRPr="00742FB3">
        <w:rPr>
          <w:rFonts w:ascii="Times New Roman" w:hAnsi="Times New Roman" w:cs="Times New Roman"/>
          <w:bCs/>
          <w:sz w:val="28"/>
          <w:szCs w:val="28"/>
        </w:rPr>
        <w:t>có liên quan đến lĩnh vực điện lực, năng lượng nguyên tử ở Việt Nam</w:t>
      </w:r>
      <w:r w:rsidR="00894E1C" w:rsidRPr="00742FB3">
        <w:rPr>
          <w:rFonts w:ascii="Times New Roman" w:hAnsi="Times New Roman" w:cs="Times New Roman"/>
          <w:iCs/>
          <w:sz w:val="28"/>
          <w:szCs w:val="28"/>
        </w:rPr>
        <w:t>. Tuy nhiên, gần như không có sinh viên nào ra trường làm đúng lĩnh vực về điện hạt nhân.</w:t>
      </w:r>
    </w:p>
    <w:p w14:paraId="0C4522CD" w14:textId="77777777" w:rsidR="00C2754F" w:rsidRPr="00742FB3" w:rsidRDefault="00E7177A" w:rsidP="00DC7F35">
      <w:pPr>
        <w:spacing w:before="60" w:after="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lang w:val="vi-VN"/>
        </w:rPr>
        <w:t xml:space="preserve">- </w:t>
      </w:r>
      <w:r w:rsidR="00E11E60" w:rsidRPr="00742FB3">
        <w:rPr>
          <w:rFonts w:ascii="Times New Roman" w:hAnsi="Times New Roman" w:cs="Times New Roman"/>
          <w:iCs/>
          <w:sz w:val="28"/>
          <w:szCs w:val="28"/>
          <w:lang w:val="vi-VN"/>
        </w:rPr>
        <w:t>C</w:t>
      </w:r>
      <w:r w:rsidRPr="00742FB3">
        <w:rPr>
          <w:rFonts w:ascii="Times New Roman" w:hAnsi="Times New Roman" w:cs="Times New Roman"/>
          <w:iCs/>
          <w:sz w:val="28"/>
          <w:szCs w:val="28"/>
          <w:lang w:val="vi-VN"/>
        </w:rPr>
        <w:t>ác khó khăn, bất cập khác</w:t>
      </w:r>
      <w:r w:rsidR="00F12EFE" w:rsidRPr="00742FB3">
        <w:rPr>
          <w:rFonts w:ascii="Times New Roman" w:hAnsi="Times New Roman" w:cs="Times New Roman"/>
          <w:iCs/>
          <w:sz w:val="28"/>
          <w:szCs w:val="28"/>
        </w:rPr>
        <w:t xml:space="preserve">: </w:t>
      </w:r>
    </w:p>
    <w:p w14:paraId="6CAF61A0" w14:textId="015859F1" w:rsidR="00F12EFE" w:rsidRPr="00742FB3" w:rsidRDefault="00F12EFE" w:rsidP="00DC7F35">
      <w:pPr>
        <w:spacing w:before="60" w:after="0" w:line="281" w:lineRule="auto"/>
        <w:ind w:firstLine="567"/>
        <w:jc w:val="both"/>
        <w:rPr>
          <w:rFonts w:ascii="Times New Roman" w:hAnsi="Times New Roman" w:cs="Times New Roman"/>
          <w:sz w:val="28"/>
          <w:szCs w:val="28"/>
        </w:rPr>
      </w:pPr>
      <w:r w:rsidRPr="00742FB3">
        <w:rPr>
          <w:rFonts w:ascii="Times New Roman" w:hAnsi="Times New Roman" w:cs="Times New Roman"/>
          <w:sz w:val="28"/>
          <w:szCs w:val="28"/>
        </w:rPr>
        <w:t>Hiện nay, các</w:t>
      </w:r>
      <w:r w:rsidRPr="00742FB3">
        <w:rPr>
          <w:rFonts w:ascii="Times New Roman" w:hAnsi="Times New Roman" w:cs="Times New Roman"/>
          <w:sz w:val="28"/>
          <w:szCs w:val="28"/>
          <w:lang w:val="vi"/>
        </w:rPr>
        <w:t xml:space="preserve"> trường </w:t>
      </w:r>
      <w:r w:rsidRPr="00742FB3">
        <w:rPr>
          <w:rFonts w:ascii="Times New Roman" w:hAnsi="Times New Roman" w:cs="Times New Roman"/>
          <w:sz w:val="28"/>
          <w:szCs w:val="28"/>
        </w:rPr>
        <w:t xml:space="preserve">được lựa chọn </w:t>
      </w:r>
      <w:r w:rsidRPr="00742FB3">
        <w:rPr>
          <w:rFonts w:ascii="Times New Roman" w:hAnsi="Times New Roman" w:cs="Times New Roman"/>
          <w:sz w:val="28"/>
          <w:szCs w:val="28"/>
          <w:lang w:val="vi"/>
        </w:rPr>
        <w:t xml:space="preserve">này vẫn duy trì đào tạo một số chuyên ngành thuộc lĩnh vực năng lượng nguyên tử như kỹ thuật hạt nhân, điện hạt nhân, vật lý nguyên tử và hạt nhân, vật lý kỹ thuật và vật lý y khoa. </w:t>
      </w:r>
      <w:r w:rsidRPr="00742FB3">
        <w:rPr>
          <w:rFonts w:ascii="Times New Roman" w:hAnsi="Times New Roman" w:cs="Times New Roman"/>
          <w:sz w:val="28"/>
          <w:szCs w:val="28"/>
        </w:rPr>
        <w:t xml:space="preserve">Hiện tại 5 trường này có đội ngũ cán bộ cơ hữu đào tạo các chuyên ngành điện hạt nhân là 134 người, trong đó có 3 giáo sư, 27 phó giáo sư, 72 tiến sĩ, 26 thạc sĩ và 3 cử nhân. Tập trung nhiều nhất tại Đại học Bách khoa Hà Nội (2 giáo sư, 19 phó giáo sư, 50 tiến sĩ và 7 thạc sĩ). Tuy nhiên, đội ngũ giảng viên còn thiếu, nhất là các chuyên ngành lieen quan trực tiếp tới vận hành nhà máy điện hạt nhân; cơ sở hạ tầng, phòng thí nghiệm, trang thiết chưa đáp ứng </w:t>
      </w:r>
      <w:r w:rsidR="00C2754F" w:rsidRPr="00742FB3">
        <w:rPr>
          <w:rFonts w:ascii="Times New Roman" w:hAnsi="Times New Roman" w:cs="Times New Roman"/>
          <w:sz w:val="28"/>
          <w:szCs w:val="28"/>
        </w:rPr>
        <w:t xml:space="preserve">tốt cho </w:t>
      </w:r>
      <w:r w:rsidRPr="00742FB3">
        <w:rPr>
          <w:rFonts w:ascii="Times New Roman" w:hAnsi="Times New Roman" w:cs="Times New Roman"/>
          <w:sz w:val="28"/>
          <w:szCs w:val="28"/>
        </w:rPr>
        <w:t>giảng dạy, nghiên cứu</w:t>
      </w:r>
      <w:r w:rsidR="00C2754F" w:rsidRPr="00742FB3">
        <w:rPr>
          <w:rFonts w:ascii="Times New Roman" w:hAnsi="Times New Roman" w:cs="Times New Roman"/>
          <w:sz w:val="28"/>
          <w:szCs w:val="28"/>
        </w:rPr>
        <w:t xml:space="preserve"> về nhà máy điện hạt nhân</w:t>
      </w:r>
      <w:r w:rsidRPr="00742FB3">
        <w:rPr>
          <w:rFonts w:ascii="Times New Roman" w:hAnsi="Times New Roman" w:cs="Times New Roman"/>
          <w:sz w:val="28"/>
          <w:szCs w:val="28"/>
        </w:rPr>
        <w:t>.</w:t>
      </w:r>
    </w:p>
    <w:p w14:paraId="7CC2E453" w14:textId="3AC48271" w:rsidR="00E7177A" w:rsidRPr="00742FB3" w:rsidRDefault="00C2754F"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Ngoài ra, quy trình xét duyệt, cấp phát các khoản ưu đãi có thể phức tạp, mất nhiều thời gian, gây khó khăn cho cả người hưởng ưu đãi và các đơn vị quản lý; việc giải ngân kinh phí có thể chưa kịp thời, ảnh hưởng đến việc thực hiện các dự án, hoạt động đào tạo; nguồn kinh phí để thực hiện các chính sách ưu đãi có thể không ổn định, không đáp ứng đủ nhu cầu thực tế; một số quy định về định mức, tiêu chuẩn ưu đãi có thể chưa phù hợp với thực tiễn, chưa đủ sức hấp dẫn để thu hút, giữ chân nhân tài; việc xác định đối tượng được hưởng ưu đãi có thể gặp khó khăn do các tiêu chí chưa rõ ràng, chưa có hướng dẫn chi tiết; Công tác quản lý, giám sát việc sử dụng các khoản ưu đãi có thể chưa chặt chẽ, dẫn đến việc sử dụng không hiệu quả hoặc sai mục đích</w:t>
      </w:r>
      <w:r w:rsidR="001B37BD" w:rsidRPr="00742FB3">
        <w:rPr>
          <w:rFonts w:ascii="Times New Roman" w:hAnsi="Times New Roman" w:cs="Times New Roman"/>
          <w:iCs/>
          <w:sz w:val="28"/>
          <w:szCs w:val="28"/>
        </w:rPr>
        <w:t>;…</w:t>
      </w:r>
    </w:p>
    <w:p w14:paraId="13FDD8A5" w14:textId="5DE5B480" w:rsidR="00870831" w:rsidRPr="00742FB3" w:rsidRDefault="00870831" w:rsidP="00DC7F35">
      <w:pPr>
        <w:pStyle w:val="BodyText"/>
        <w:spacing w:before="120" w:after="0" w:line="240" w:lineRule="auto"/>
        <w:rPr>
          <w:szCs w:val="28"/>
        </w:rPr>
      </w:pPr>
      <w:r w:rsidRPr="00742FB3">
        <w:rPr>
          <w:szCs w:val="28"/>
        </w:rPr>
        <w:t xml:space="preserve">Những khó khăn, vướng mắc trong quá trình triển khai thực </w:t>
      </w:r>
      <w:r w:rsidRPr="00742FB3">
        <w:rPr>
          <w:szCs w:val="28"/>
          <w:lang w:val="en-US"/>
        </w:rPr>
        <w:t xml:space="preserve">thi Nghị định </w:t>
      </w:r>
      <w:r w:rsidRPr="00742FB3">
        <w:rPr>
          <w:szCs w:val="28"/>
        </w:rPr>
        <w:t>trong giai đoạn 201</w:t>
      </w:r>
      <w:r w:rsidRPr="00742FB3">
        <w:rPr>
          <w:szCs w:val="28"/>
          <w:lang w:val="en-US"/>
        </w:rPr>
        <w:t>3</w:t>
      </w:r>
      <w:r w:rsidRPr="00742FB3">
        <w:rPr>
          <w:szCs w:val="28"/>
        </w:rPr>
        <w:t>-202</w:t>
      </w:r>
      <w:r w:rsidRPr="00742FB3">
        <w:rPr>
          <w:szCs w:val="28"/>
          <w:lang w:val="en-US"/>
        </w:rPr>
        <w:t>5</w:t>
      </w:r>
      <w:r w:rsidRPr="00742FB3">
        <w:rPr>
          <w:szCs w:val="28"/>
        </w:rPr>
        <w:t xml:space="preserve"> vừa qua thuộc về những nguyên nhân chính như sau:</w:t>
      </w:r>
    </w:p>
    <w:p w14:paraId="0C6CF2C2" w14:textId="36832F27" w:rsidR="00870831" w:rsidRPr="00742FB3" w:rsidRDefault="00870831" w:rsidP="00DC7F35">
      <w:pPr>
        <w:pStyle w:val="BodyText"/>
        <w:spacing w:before="120" w:after="0" w:line="240" w:lineRule="auto"/>
        <w:rPr>
          <w:i/>
          <w:iCs/>
          <w:szCs w:val="28"/>
        </w:rPr>
      </w:pPr>
      <w:r w:rsidRPr="00742FB3">
        <w:rPr>
          <w:szCs w:val="28"/>
        </w:rPr>
        <w:t xml:space="preserve">a) Một số nội dung quy định của </w:t>
      </w:r>
      <w:r w:rsidRPr="00742FB3">
        <w:rPr>
          <w:szCs w:val="28"/>
          <w:lang w:val="en-US"/>
        </w:rPr>
        <w:t>Nghị định</w:t>
      </w:r>
      <w:r w:rsidRPr="00742FB3">
        <w:rPr>
          <w:szCs w:val="28"/>
        </w:rPr>
        <w:t xml:space="preserve"> chưa thật rõ gây ra những cách hiểu khác nhau, hoặc quy định quá chi tiết không phù hợp với thực tiễn đa dạng</w:t>
      </w:r>
      <w:r w:rsidRPr="00742FB3">
        <w:rPr>
          <w:i/>
          <w:iCs/>
          <w:szCs w:val="28"/>
        </w:rPr>
        <w:t>.</w:t>
      </w:r>
    </w:p>
    <w:p w14:paraId="4AA9B486" w14:textId="101D2D3E" w:rsidR="00870831" w:rsidRPr="00742FB3" w:rsidRDefault="00870831" w:rsidP="00DC7F35">
      <w:pPr>
        <w:pStyle w:val="BodyText"/>
        <w:spacing w:before="120" w:after="0" w:line="240" w:lineRule="auto"/>
        <w:rPr>
          <w:i/>
          <w:iCs/>
          <w:szCs w:val="28"/>
          <w:lang w:val="en-US"/>
        </w:rPr>
      </w:pPr>
      <w:r w:rsidRPr="00742FB3">
        <w:rPr>
          <w:szCs w:val="28"/>
        </w:rPr>
        <w:t xml:space="preserve">b) </w:t>
      </w:r>
      <w:r w:rsidRPr="00742FB3">
        <w:rPr>
          <w:szCs w:val="28"/>
          <w:lang w:val="en-US"/>
        </w:rPr>
        <w:t>Nghị định</w:t>
      </w:r>
      <w:r w:rsidRPr="00742FB3">
        <w:rPr>
          <w:szCs w:val="28"/>
        </w:rPr>
        <w:t xml:space="preserve"> và các văn bản pháp luật khác chưa được hoàn thiện đồng bộ và thống nhất, dẫn tới hạn chế quyền tự chủ </w:t>
      </w:r>
      <w:r w:rsidRPr="00742FB3">
        <w:rPr>
          <w:szCs w:val="28"/>
          <w:lang w:val="en-US"/>
        </w:rPr>
        <w:t xml:space="preserve">trong đào tạo </w:t>
      </w:r>
      <w:r w:rsidRPr="00742FB3">
        <w:rPr>
          <w:szCs w:val="28"/>
        </w:rPr>
        <w:t>của các cơ sở GDĐH</w:t>
      </w:r>
      <w:r w:rsidRPr="00742FB3">
        <w:rPr>
          <w:szCs w:val="28"/>
          <w:lang w:val="en-US"/>
        </w:rPr>
        <w:t>.</w:t>
      </w:r>
      <w:r w:rsidRPr="00742FB3">
        <w:rPr>
          <w:i/>
          <w:iCs/>
          <w:szCs w:val="28"/>
          <w:lang w:val="en-US"/>
        </w:rPr>
        <w:t xml:space="preserve"> </w:t>
      </w:r>
    </w:p>
    <w:p w14:paraId="6B7F4D6C" w14:textId="1C270692" w:rsidR="00870831" w:rsidRPr="00742FB3" w:rsidRDefault="00870831" w:rsidP="00DC7F35">
      <w:pPr>
        <w:pStyle w:val="BodyText"/>
        <w:spacing w:before="120" w:after="0" w:line="240" w:lineRule="auto"/>
        <w:rPr>
          <w:szCs w:val="28"/>
        </w:rPr>
      </w:pPr>
      <w:r w:rsidRPr="00742FB3">
        <w:rPr>
          <w:szCs w:val="28"/>
        </w:rPr>
        <w:t xml:space="preserve">c) Nhận thức, hiểu biết và năng lực thực thi của một bộ phận cán bộ quản lý cơ sở GDĐH còn hạn chế; các cơ quan lãnh đạo, quản lý liên quan thiếu quan tâm sâu sát, phối hợp chặt chẽ trong lãnh đạo, chỉ đạo quá trình </w:t>
      </w:r>
      <w:r w:rsidR="007E5EB0" w:rsidRPr="00742FB3">
        <w:rPr>
          <w:szCs w:val="28"/>
          <w:lang w:val="en-US"/>
        </w:rPr>
        <w:t>thực hiện</w:t>
      </w:r>
      <w:r w:rsidRPr="00742FB3">
        <w:rPr>
          <w:szCs w:val="28"/>
        </w:rPr>
        <w:t>.</w:t>
      </w:r>
    </w:p>
    <w:p w14:paraId="1FCCEF1C" w14:textId="5C3D9761" w:rsidR="00870831" w:rsidRPr="00742FB3" w:rsidRDefault="00870831" w:rsidP="00DC7F35">
      <w:pPr>
        <w:spacing w:before="120" w:after="120" w:line="240" w:lineRule="auto"/>
        <w:ind w:firstLine="567"/>
        <w:jc w:val="both"/>
        <w:rPr>
          <w:rFonts w:ascii="Times New Roman" w:hAnsi="Times New Roman" w:cs="Times New Roman"/>
          <w:iCs/>
          <w:sz w:val="28"/>
          <w:szCs w:val="28"/>
        </w:rPr>
      </w:pPr>
      <w:r w:rsidRPr="00742FB3">
        <w:rPr>
          <w:rFonts w:ascii="Times New Roman" w:hAnsi="Times New Roman" w:cs="Times New Roman"/>
          <w:sz w:val="28"/>
          <w:szCs w:val="28"/>
        </w:rPr>
        <w:t xml:space="preserve">d) Nguồn lực đầu tư, hỗ trợ từ ngân sách nhà nước và cộng đồng xã hội, doanh nghiệp cho phát triển </w:t>
      </w:r>
      <w:r w:rsidR="007E5EB0" w:rsidRPr="00742FB3">
        <w:rPr>
          <w:rFonts w:ascii="Times New Roman" w:hAnsi="Times New Roman" w:cs="Times New Roman"/>
          <w:sz w:val="28"/>
          <w:szCs w:val="28"/>
        </w:rPr>
        <w:t>cơ sở hạ tầng phục vụ đào tạo</w:t>
      </w:r>
      <w:r w:rsidRPr="00742FB3">
        <w:rPr>
          <w:rFonts w:ascii="Times New Roman" w:hAnsi="Times New Roman" w:cs="Times New Roman"/>
          <w:sz w:val="28"/>
          <w:szCs w:val="28"/>
        </w:rPr>
        <w:t xml:space="preserve"> còn rất hạn hẹp, chưa tương xứng với yêu cầu và kỳ vọng về phát triển quy mô cũng như nâng cao chất lượng đào tạo nguồn nhân lực, nhất là nguồn nhân lực chất lượng cao </w:t>
      </w:r>
      <w:r w:rsidR="007E5EB0" w:rsidRPr="00742FB3">
        <w:rPr>
          <w:rFonts w:ascii="Times New Roman" w:hAnsi="Times New Roman" w:cs="Times New Roman"/>
          <w:sz w:val="28"/>
          <w:szCs w:val="28"/>
        </w:rPr>
        <w:t>phục vụ cho việc xây dựng và vận hành nhà máy điện hạt nhân</w:t>
      </w:r>
      <w:r w:rsidRPr="00742FB3">
        <w:rPr>
          <w:rFonts w:ascii="Times New Roman" w:hAnsi="Times New Roman" w:cs="Times New Roman"/>
          <w:sz w:val="28"/>
          <w:szCs w:val="28"/>
        </w:rPr>
        <w:t>.</w:t>
      </w:r>
    </w:p>
    <w:p w14:paraId="2BFD845C" w14:textId="7451AB14" w:rsidR="00870831" w:rsidRPr="00742FB3" w:rsidRDefault="00870831" w:rsidP="00DC7F35">
      <w:pPr>
        <w:spacing w:before="120" w:after="120" w:line="240" w:lineRule="auto"/>
        <w:ind w:firstLine="567"/>
        <w:jc w:val="both"/>
        <w:rPr>
          <w:rFonts w:ascii="Times New Roman" w:hAnsi="Times New Roman" w:cs="Times New Roman"/>
          <w:b/>
          <w:sz w:val="28"/>
          <w:szCs w:val="28"/>
        </w:rPr>
      </w:pPr>
      <w:r w:rsidRPr="00742FB3">
        <w:rPr>
          <w:rFonts w:ascii="Times New Roman" w:hAnsi="Times New Roman" w:cs="Times New Roman"/>
          <w:b/>
          <w:sz w:val="28"/>
          <w:szCs w:val="28"/>
        </w:rPr>
        <w:t>4. Những vấn đề mới phát sinh trong thực tiễn</w:t>
      </w:r>
    </w:p>
    <w:p w14:paraId="648D0714" w14:textId="06AFDEB2" w:rsidR="007E5EB0" w:rsidRPr="00742FB3" w:rsidRDefault="007E5EB0" w:rsidP="00DC7F35">
      <w:pPr>
        <w:spacing w:before="120" w:after="120" w:line="240"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Thiếu hụt nguồn nhân lực giảng viên chuyên môn sâu, nhất là chuyên môn về vận hành và an toàn điện hạt nhân. Do đó, trước mắt cần có chương trình tuyển chọn, ưu tiên gửi đi đào tạo thực hành tại nước có lò đang vận hành (Hàn Quốc, Pháp, Nhật, Nga). Về trung hạn, cần có sự hợp tác với nhà cung cấp lò phản ứng để đưa chuyên gia nước ngoài vào đào tạo “on-the-job” kèm chuyển giao năng lực. Về dài hạn, cần phát triển chương trình thạc sĩ, tiến sĩ chuyên sâu trong nước, thiết lập “school of nuclear” với các phòng thí nghiệm và mô phỏng hiện đại.</w:t>
      </w:r>
    </w:p>
    <w:p w14:paraId="001CAF00" w14:textId="1DB63C57" w:rsidR="007E5EB0" w:rsidRPr="00742FB3" w:rsidRDefault="007E5EB0" w:rsidP="00DC7F35">
      <w:pPr>
        <w:spacing w:before="120" w:after="120" w:line="240"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Thiếu cơ sở vật chất thực hành — mô phỏng và phòng thí nghiệm chuyên dụng. Không có lò thực hành, mô phỏng vận hành đầy đủ (full-scope simulator) và phòng thí nghiệm bức xạ, điều khiển cần thiết cho đào tạo thực tế. Dẫn đến sinh viên chỉ nắm lý thuyết, thiếu kinh nghiệm thao tác trong điều kiện gần thực tế. Do đó cần đầu tư/thuê mô phỏng (full-scope &amp; part-task), xây dựng trung tâm thí nghiệm bức xạ và phòng mô phỏng ảo; hợp tác sử dụng cơ sở ở nước ngoài tạm thời.</w:t>
      </w:r>
    </w:p>
    <w:p w14:paraId="06E39661" w14:textId="3074CFC1" w:rsidR="007E5EB0" w:rsidRPr="00742FB3" w:rsidRDefault="007E5EB0" w:rsidP="007E5EB0">
      <w:pPr>
        <w:spacing w:before="120" w:after="120" w:line="288"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 xml:space="preserve"> Khoảng cách chương trình đào tạo so với yêu cầu thực tế ngành (curriculum gap)</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chương trình đại học/thạc sĩ hiện tại thiên về lý thuyết, thiếu module về quy trình vận hành, quản lý an toàn, human factors, tổ chức khẩn cấp, và compliance theo tiêu chuẩn quốc tế (IAEA).</w:t>
      </w:r>
      <w:r w:rsidR="00350631" w:rsidRPr="00742FB3">
        <w:rPr>
          <w:rFonts w:ascii="Times New Roman" w:hAnsi="Times New Roman" w:cs="Times New Roman"/>
          <w:iCs/>
          <w:sz w:val="28"/>
          <w:szCs w:val="28"/>
        </w:rPr>
        <w:t xml:space="preserve"> G</w:t>
      </w:r>
      <w:r w:rsidRPr="00742FB3">
        <w:rPr>
          <w:rFonts w:ascii="Times New Roman" w:hAnsi="Times New Roman" w:cs="Times New Roman"/>
          <w:iCs/>
          <w:sz w:val="28"/>
          <w:szCs w:val="28"/>
        </w:rPr>
        <w:t>ải pháp</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thiết kế khung năng lực (competency framework) theo tiêu chuẩn IAEA / nhà cung cấp lò; cập nhật chương trình, tích hợp mô-đun mô phỏng, thực hành tại doanh nghiệp.</w:t>
      </w:r>
    </w:p>
    <w:p w14:paraId="1704D5D2" w14:textId="087A2521" w:rsidR="007E5EB0" w:rsidRPr="00742FB3" w:rsidRDefault="007E5EB0" w:rsidP="007E5EB0">
      <w:pPr>
        <w:spacing w:before="120" w:after="120" w:line="288"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Thiếu nhân lực cho cơ quan quản lý và giám sát an toàn hạt nhân</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Cơ quan điều tiết (ví dụ VAEA/đơn vị quản lý nhà nước) cần đội ngũ chuyên gia thực nghiệm để thẩm định hồ sơ, cấp phép, giám sát và thanh tra.</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Giải pháp</w:t>
      </w:r>
      <w:r w:rsidR="00350631" w:rsidRPr="00742FB3">
        <w:rPr>
          <w:rFonts w:ascii="Times New Roman" w:hAnsi="Times New Roman" w:cs="Times New Roman"/>
          <w:iCs/>
          <w:sz w:val="28"/>
          <w:szCs w:val="28"/>
        </w:rPr>
        <w:t>,</w:t>
      </w:r>
      <w:r w:rsidRPr="00742FB3">
        <w:rPr>
          <w:rFonts w:ascii="Times New Roman" w:hAnsi="Times New Roman" w:cs="Times New Roman"/>
          <w:iCs/>
          <w:sz w:val="28"/>
          <w:szCs w:val="28"/>
        </w:rPr>
        <w:t xml:space="preserve"> </w:t>
      </w:r>
      <w:r w:rsidR="00350631" w:rsidRPr="00742FB3">
        <w:rPr>
          <w:rFonts w:ascii="Times New Roman" w:hAnsi="Times New Roman" w:cs="Times New Roman"/>
          <w:iCs/>
          <w:sz w:val="28"/>
          <w:szCs w:val="28"/>
        </w:rPr>
        <w:t xml:space="preserve">cần có </w:t>
      </w:r>
      <w:r w:rsidRPr="00742FB3">
        <w:rPr>
          <w:rFonts w:ascii="Times New Roman" w:hAnsi="Times New Roman" w:cs="Times New Roman"/>
          <w:iCs/>
          <w:sz w:val="28"/>
          <w:szCs w:val="28"/>
        </w:rPr>
        <w:t>chương trình trao đổi chuyên gia với cơ quan điều tiết của nước có lò; đào tạo chuyên sâu về licensing, regulatory oversight, inspection techniques.</w:t>
      </w:r>
    </w:p>
    <w:p w14:paraId="64B82865" w14:textId="5A2DFC33"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Chuyển giao công nghệ phụ thuộc nhiều vào nhà cung cấp nước ngoài — rủi ro “dependency” về đào tạo</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nhiều khóa đào tạo và chuyên gia chủ chốt do nhà cung cấp (vendor) đảm nhiệm; khả năng tự chủ lâu dài thấp.</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Giải pháp</w:t>
      </w:r>
      <w:r w:rsidR="00350631" w:rsidRPr="00742FB3">
        <w:rPr>
          <w:rFonts w:ascii="Times New Roman" w:hAnsi="Times New Roman" w:cs="Times New Roman"/>
          <w:iCs/>
          <w:sz w:val="28"/>
          <w:szCs w:val="28"/>
        </w:rPr>
        <w:t xml:space="preserve"> là:</w:t>
      </w:r>
      <w:r w:rsidRPr="00742FB3">
        <w:rPr>
          <w:rFonts w:ascii="Times New Roman" w:hAnsi="Times New Roman" w:cs="Times New Roman"/>
          <w:iCs/>
          <w:sz w:val="28"/>
          <w:szCs w:val="28"/>
        </w:rPr>
        <w:t xml:space="preserve"> bắt buộc điều khoản chuyển giao năng lực trong hợp đồng mua lò; đào tạo “train-the-trainer” để nhân lực nội địa dần làm chủ chương trình đào tạo.</w:t>
      </w:r>
    </w:p>
    <w:p w14:paraId="24A50568" w14:textId="28017E03"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Vấn đề ngôn ngữ và chuẩn hóa thuật ngữ kỹ thuật</w:t>
      </w:r>
      <w:r w:rsidR="00350631" w:rsidRPr="00742FB3">
        <w:rPr>
          <w:rFonts w:ascii="Times New Roman" w:hAnsi="Times New Roman" w:cs="Times New Roman"/>
          <w:iCs/>
          <w:sz w:val="28"/>
          <w:szCs w:val="28"/>
        </w:rPr>
        <w:t xml:space="preserve">: </w:t>
      </w:r>
      <w:r w:rsidRPr="00742FB3">
        <w:rPr>
          <w:rFonts w:ascii="Times New Roman" w:hAnsi="Times New Roman" w:cs="Times New Roman"/>
          <w:iCs/>
          <w:sz w:val="28"/>
          <w:szCs w:val="28"/>
        </w:rPr>
        <w:t>tài liệu kỹ thuật, phần mềm mô phỏng, hướng dẫn vận hành thường bằng tiếng nước ngoài (Anh, Nga, Hàn, Pháp); thiếu tài liệu tiếng Việt chính thống.</w:t>
      </w:r>
      <w:r w:rsidR="00350631" w:rsidRPr="00742FB3">
        <w:rPr>
          <w:rFonts w:ascii="Times New Roman" w:hAnsi="Times New Roman" w:cs="Times New Roman"/>
          <w:iCs/>
          <w:sz w:val="28"/>
          <w:szCs w:val="28"/>
        </w:rPr>
        <w:t xml:space="preserve"> Do đó, cần</w:t>
      </w:r>
      <w:r w:rsidRPr="00742FB3">
        <w:rPr>
          <w:rFonts w:ascii="Times New Roman" w:hAnsi="Times New Roman" w:cs="Times New Roman"/>
          <w:iCs/>
          <w:sz w:val="28"/>
          <w:szCs w:val="28"/>
        </w:rPr>
        <w:t xml:space="preserve"> biên dịch chính thức, chuẩn hóa thuật ngữ, đào tạo tiếng chuyên ngành (EN/RU/KO/FR) cho nhân lực cốt lõi.</w:t>
      </w:r>
    </w:p>
    <w:p w14:paraId="25E4E831" w14:textId="44B92FAD"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Khung pháp lý, quy định, tiêu chuẩn tuyển dụng và bằng cấp chưa đầy đủ/sửa đổi theo thực tiễn mới</w:t>
      </w:r>
      <w:r w:rsidR="00350631" w:rsidRPr="00742FB3">
        <w:rPr>
          <w:rFonts w:ascii="Times New Roman" w:hAnsi="Times New Roman" w:cs="Times New Roman"/>
          <w:iCs/>
          <w:sz w:val="28"/>
          <w:szCs w:val="28"/>
        </w:rPr>
        <w:t>. Do đó,</w:t>
      </w:r>
      <w:r w:rsidRPr="00742FB3">
        <w:rPr>
          <w:rFonts w:ascii="Times New Roman" w:hAnsi="Times New Roman" w:cs="Times New Roman"/>
          <w:iCs/>
          <w:sz w:val="28"/>
          <w:szCs w:val="28"/>
        </w:rPr>
        <w:t xml:space="preserve"> cần cập nhật quy định liên quan đến tiêu chuẩn vận hành, đào tạo, chứng chỉ, duy trì chứng chỉ</w:t>
      </w:r>
      <w:r w:rsidR="00350631" w:rsidRPr="00742FB3">
        <w:rPr>
          <w:rFonts w:ascii="Times New Roman" w:hAnsi="Times New Roman" w:cs="Times New Roman"/>
          <w:iCs/>
          <w:sz w:val="28"/>
          <w:szCs w:val="28"/>
        </w:rPr>
        <w:t xml:space="preserve"> và </w:t>
      </w:r>
      <w:r w:rsidRPr="00742FB3">
        <w:rPr>
          <w:rFonts w:ascii="Times New Roman" w:hAnsi="Times New Roman" w:cs="Times New Roman"/>
          <w:iCs/>
          <w:sz w:val="28"/>
          <w:szCs w:val="28"/>
        </w:rPr>
        <w:t>rà soát và soạn bổ sung Thông tư/Quy trình của Bộ GD&amp;ĐT + Bộ Công Thương/Bộ Khoa học; xây dựng tiêu chuẩn nghề (vocational standard) cho các vị trí trong nhà máy hạt nhân.</w:t>
      </w:r>
    </w:p>
    <w:p w14:paraId="2B4FED1D" w14:textId="74651C67" w:rsidR="007E5EB0" w:rsidRPr="00742FB3" w:rsidRDefault="00350631"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Về t</w:t>
      </w:r>
      <w:r w:rsidR="007E5EB0" w:rsidRPr="00742FB3">
        <w:rPr>
          <w:rFonts w:ascii="Times New Roman" w:hAnsi="Times New Roman" w:cs="Times New Roman"/>
          <w:iCs/>
          <w:sz w:val="28"/>
          <w:szCs w:val="28"/>
        </w:rPr>
        <w:t>ài chính cho đào tạo: chi phí lớn, kéo dài, khó bố trí ngân sách ổn định</w:t>
      </w:r>
      <w:r w:rsidRPr="00742FB3">
        <w:rPr>
          <w:rFonts w:ascii="Times New Roman" w:hAnsi="Times New Roman" w:cs="Times New Roman"/>
          <w:iCs/>
          <w:sz w:val="28"/>
          <w:szCs w:val="28"/>
        </w:rPr>
        <w:t xml:space="preserve"> nên cần </w:t>
      </w:r>
      <w:r w:rsidR="007E5EB0" w:rsidRPr="00742FB3">
        <w:rPr>
          <w:rFonts w:ascii="Times New Roman" w:hAnsi="Times New Roman" w:cs="Times New Roman"/>
          <w:iCs/>
          <w:sz w:val="28"/>
          <w:szCs w:val="28"/>
        </w:rPr>
        <w:t>lập quỹ phát triển nguồn nhân lực hạt nhân, kêu gọi vốn đối tác quốc tế, doanh nghiệp tham gia (PPP), ưu đãi thuế cho đối tác đào tạo.</w:t>
      </w:r>
    </w:p>
    <w:p w14:paraId="0882EDF9" w14:textId="29EFF1FD"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Vấn đề nhân lực cho quản lý phóng xạ, xử lý chất thải và chu kỳ nhiên liệu</w:t>
      </w:r>
      <w:r w:rsidR="00350631" w:rsidRPr="00742FB3">
        <w:rPr>
          <w:rFonts w:ascii="Times New Roman" w:hAnsi="Times New Roman" w:cs="Times New Roman"/>
          <w:iCs/>
          <w:sz w:val="28"/>
          <w:szCs w:val="28"/>
        </w:rPr>
        <w:t>: N</w:t>
      </w:r>
      <w:r w:rsidRPr="00742FB3">
        <w:rPr>
          <w:rFonts w:ascii="Times New Roman" w:hAnsi="Times New Roman" w:cs="Times New Roman"/>
          <w:iCs/>
          <w:sz w:val="28"/>
          <w:szCs w:val="28"/>
        </w:rPr>
        <w:t>hu cầu chuyên gia xử lý chất thải, quản lý phóng xạ ở nhà máy, lưu trữ và vận hành trang thiết bị liên quan.</w:t>
      </w:r>
    </w:p>
    <w:p w14:paraId="1333883E" w14:textId="1494E768"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An ninh mạng và bảo vệ hệ thống điều khiển công nghiệp (ICS/SCADA)</w:t>
      </w:r>
      <w:r w:rsidR="00350631" w:rsidRPr="00742FB3">
        <w:rPr>
          <w:rFonts w:ascii="Times New Roman" w:hAnsi="Times New Roman" w:cs="Times New Roman"/>
          <w:iCs/>
          <w:sz w:val="28"/>
          <w:szCs w:val="28"/>
        </w:rPr>
        <w:t xml:space="preserve">: các nhà máy </w:t>
      </w:r>
      <w:r w:rsidRPr="00742FB3">
        <w:rPr>
          <w:rFonts w:ascii="Times New Roman" w:hAnsi="Times New Roman" w:cs="Times New Roman"/>
          <w:iCs/>
          <w:sz w:val="28"/>
          <w:szCs w:val="28"/>
        </w:rPr>
        <w:t>hiện đại đi kèm rủi ro tấn công mạng</w:t>
      </w:r>
      <w:r w:rsidR="00350631" w:rsidRPr="00742FB3">
        <w:rPr>
          <w:rFonts w:ascii="Times New Roman" w:hAnsi="Times New Roman" w:cs="Times New Roman"/>
          <w:iCs/>
          <w:sz w:val="28"/>
          <w:szCs w:val="28"/>
        </w:rPr>
        <w:t xml:space="preserve"> do đó</w:t>
      </w:r>
      <w:r w:rsidRPr="00742FB3">
        <w:rPr>
          <w:rFonts w:ascii="Times New Roman" w:hAnsi="Times New Roman" w:cs="Times New Roman"/>
          <w:iCs/>
          <w:sz w:val="28"/>
          <w:szCs w:val="28"/>
        </w:rPr>
        <w:t xml:space="preserve"> cần nhân lực vừa hiểu công nghệ hạt nhân vừa có kỹ năng an ninh mạng.</w:t>
      </w:r>
    </w:p>
    <w:p w14:paraId="3AEDAE1D" w14:textId="79796CD3"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Vấn đề xã hội — chấp nhận cộng đồng và truyền thông khoa học</w:t>
      </w:r>
      <w:r w:rsidR="00350631" w:rsidRPr="00742FB3">
        <w:rPr>
          <w:rFonts w:ascii="Times New Roman" w:hAnsi="Times New Roman" w:cs="Times New Roman"/>
          <w:iCs/>
          <w:sz w:val="28"/>
          <w:szCs w:val="28"/>
        </w:rPr>
        <w:t>: C</w:t>
      </w:r>
      <w:r w:rsidRPr="00742FB3">
        <w:rPr>
          <w:rFonts w:ascii="Times New Roman" w:hAnsi="Times New Roman" w:cs="Times New Roman"/>
          <w:iCs/>
          <w:sz w:val="28"/>
          <w:szCs w:val="28"/>
        </w:rPr>
        <w:t>ông chúng/địa phương có thể phản đối, gây áp lực lên hoạt động tuyển dụng/đào tạo; sinh viên trẻ e ngại theo nghề vì rủi ro hình ảnh.</w:t>
      </w:r>
    </w:p>
    <w:p w14:paraId="06C0EA76" w14:textId="7885FBA4"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Giữ chân nhân lực (retention) và cạnh tranh với ngành FDI/IT/npv năng lượng khác</w:t>
      </w:r>
      <w:r w:rsidR="00350631" w:rsidRPr="00742FB3">
        <w:rPr>
          <w:rFonts w:ascii="Times New Roman" w:hAnsi="Times New Roman" w:cs="Times New Roman"/>
          <w:iCs/>
          <w:sz w:val="28"/>
          <w:szCs w:val="28"/>
        </w:rPr>
        <w:t>: Vấn đề về</w:t>
      </w:r>
      <w:r w:rsidRPr="00742FB3">
        <w:rPr>
          <w:rFonts w:ascii="Times New Roman" w:hAnsi="Times New Roman" w:cs="Times New Roman"/>
          <w:iCs/>
          <w:sz w:val="28"/>
          <w:szCs w:val="28"/>
        </w:rPr>
        <w:t xml:space="preserve"> lương, môi trường làm việc, cơ hội thăng tiến có thể kém hấp dẫn so với khu vực tư nhân/IT/nguồn năng lượng khác</w:t>
      </w:r>
      <w:r w:rsidR="00350631" w:rsidRPr="00742FB3">
        <w:rPr>
          <w:rFonts w:ascii="Times New Roman" w:hAnsi="Times New Roman" w:cs="Times New Roman"/>
          <w:iCs/>
          <w:sz w:val="28"/>
          <w:szCs w:val="28"/>
        </w:rPr>
        <w:t xml:space="preserve"> sẽ hạn chế nguồn tuyển sinh. Do đó cần có</w:t>
      </w:r>
      <w:r w:rsidRPr="00742FB3">
        <w:rPr>
          <w:rFonts w:ascii="Times New Roman" w:hAnsi="Times New Roman" w:cs="Times New Roman"/>
          <w:iCs/>
          <w:sz w:val="28"/>
          <w:szCs w:val="28"/>
        </w:rPr>
        <w:t xml:space="preserve"> chế độ đãi ngộ, lộ trình nghề nghiệp rõ ràng, tiếp tục học tập/khóa ngắn hạn quốc tế, ưu đãi phục vụ vùng xa.</w:t>
      </w:r>
    </w:p>
    <w:p w14:paraId="34A710B7" w14:textId="3E51900C" w:rsidR="007E5EB0" w:rsidRPr="00742FB3" w:rsidRDefault="007E5EB0" w:rsidP="00DC7F35">
      <w:pPr>
        <w:spacing w:before="120" w:after="120" w:line="281"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Thiếu nhân lực đa ngành cho giai đoạn thiết kế, xây dựng, thử nghiệm và đưa vào vận hành</w:t>
      </w:r>
      <w:r w:rsidR="00350631" w:rsidRPr="00742FB3">
        <w:rPr>
          <w:rFonts w:ascii="Times New Roman" w:hAnsi="Times New Roman" w:cs="Times New Roman"/>
          <w:iCs/>
          <w:sz w:val="28"/>
          <w:szCs w:val="28"/>
        </w:rPr>
        <w:t>: N</w:t>
      </w:r>
      <w:r w:rsidRPr="00742FB3">
        <w:rPr>
          <w:rFonts w:ascii="Times New Roman" w:hAnsi="Times New Roman" w:cs="Times New Roman"/>
          <w:iCs/>
          <w:sz w:val="28"/>
          <w:szCs w:val="28"/>
        </w:rPr>
        <w:t>goài kỹ sư hạt nhân còn cần nhiều chuyên gia khác (môi trường, xây dựng kết cấu, cơ-điện, pháp lý, logistic, nhân sự cho khâu khẩn cấp)</w:t>
      </w:r>
      <w:r w:rsidR="00350631" w:rsidRPr="00742FB3">
        <w:rPr>
          <w:rFonts w:ascii="Times New Roman" w:hAnsi="Times New Roman" w:cs="Times New Roman"/>
          <w:iCs/>
          <w:sz w:val="28"/>
          <w:szCs w:val="28"/>
        </w:rPr>
        <w:t xml:space="preserve">. Dp đó cần </w:t>
      </w:r>
      <w:r w:rsidRPr="00742FB3">
        <w:rPr>
          <w:rFonts w:ascii="Times New Roman" w:hAnsi="Times New Roman" w:cs="Times New Roman"/>
          <w:iCs/>
          <w:sz w:val="28"/>
          <w:szCs w:val="28"/>
        </w:rPr>
        <w:t>mô hình đào tạo liên ngành, thực tập trong dự án xây dựng, xây dựng "competency matrix" theo giai đoạn dự án.</w:t>
      </w:r>
    </w:p>
    <w:p w14:paraId="6DBAA272" w14:textId="636C8AA5" w:rsidR="00870831" w:rsidRPr="00742FB3" w:rsidRDefault="00350631" w:rsidP="00350631">
      <w:pPr>
        <w:spacing w:before="120" w:after="120" w:line="288" w:lineRule="auto"/>
        <w:ind w:firstLine="567"/>
        <w:jc w:val="both"/>
        <w:rPr>
          <w:rFonts w:ascii="Times New Roman" w:hAnsi="Times New Roman" w:cs="Times New Roman"/>
          <w:iCs/>
          <w:sz w:val="28"/>
          <w:szCs w:val="28"/>
        </w:rPr>
      </w:pPr>
      <w:r w:rsidRPr="00742FB3">
        <w:rPr>
          <w:rFonts w:ascii="Times New Roman" w:hAnsi="Times New Roman" w:cs="Times New Roman"/>
          <w:iCs/>
          <w:sz w:val="28"/>
          <w:szCs w:val="28"/>
        </w:rPr>
        <w:t>Việc c</w:t>
      </w:r>
      <w:r w:rsidR="007E5EB0" w:rsidRPr="00742FB3">
        <w:rPr>
          <w:rFonts w:ascii="Times New Roman" w:hAnsi="Times New Roman" w:cs="Times New Roman"/>
          <w:iCs/>
          <w:sz w:val="28"/>
          <w:szCs w:val="28"/>
        </w:rPr>
        <w:t>huẩn bị cho giai đoạn dài hạn</w:t>
      </w:r>
      <w:r w:rsidRPr="00742FB3">
        <w:rPr>
          <w:rFonts w:ascii="Times New Roman" w:hAnsi="Times New Roman" w:cs="Times New Roman"/>
          <w:iCs/>
          <w:sz w:val="28"/>
          <w:szCs w:val="28"/>
        </w:rPr>
        <w:t xml:space="preserve"> như</w:t>
      </w:r>
      <w:r w:rsidR="007E5EB0" w:rsidRPr="00742FB3">
        <w:rPr>
          <w:rFonts w:ascii="Times New Roman" w:hAnsi="Times New Roman" w:cs="Times New Roman"/>
          <w:iCs/>
          <w:sz w:val="28"/>
          <w:szCs w:val="28"/>
        </w:rPr>
        <w:t>: bảo dưỡng/già hoá/đóng góp cho công tác tháo dỡ, giải phóng mặt bằng</w:t>
      </w:r>
      <w:r w:rsidRPr="00742FB3">
        <w:rPr>
          <w:rFonts w:ascii="Times New Roman" w:hAnsi="Times New Roman" w:cs="Times New Roman"/>
          <w:iCs/>
          <w:sz w:val="28"/>
          <w:szCs w:val="28"/>
        </w:rPr>
        <w:t xml:space="preserve"> nên cần</w:t>
      </w:r>
      <w:r w:rsidR="007E5EB0" w:rsidRPr="00742FB3">
        <w:rPr>
          <w:rFonts w:ascii="Times New Roman" w:hAnsi="Times New Roman" w:cs="Times New Roman"/>
          <w:iCs/>
          <w:sz w:val="28"/>
          <w:szCs w:val="28"/>
        </w:rPr>
        <w:t xml:space="preserve"> đưa vào kế hoạch đào tạo dài hạn; hợp tác với nước có kinh nghiệm </w:t>
      </w:r>
      <w:r w:rsidRPr="00742FB3">
        <w:rPr>
          <w:rFonts w:ascii="Times New Roman" w:hAnsi="Times New Roman" w:cs="Times New Roman"/>
          <w:iCs/>
          <w:sz w:val="28"/>
          <w:szCs w:val="28"/>
        </w:rPr>
        <w:t xml:space="preserve">để </w:t>
      </w:r>
      <w:r w:rsidR="007E5EB0" w:rsidRPr="00742FB3">
        <w:rPr>
          <w:rFonts w:ascii="Times New Roman" w:hAnsi="Times New Roman" w:cs="Times New Roman"/>
          <w:iCs/>
          <w:sz w:val="28"/>
          <w:szCs w:val="28"/>
        </w:rPr>
        <w:t xml:space="preserve">phát triển chương trình </w:t>
      </w:r>
      <w:r w:rsidRPr="00742FB3">
        <w:rPr>
          <w:rFonts w:ascii="Times New Roman" w:hAnsi="Times New Roman" w:cs="Times New Roman"/>
          <w:iCs/>
          <w:sz w:val="28"/>
          <w:szCs w:val="28"/>
        </w:rPr>
        <w:t xml:space="preserve">đào tạo </w:t>
      </w:r>
      <w:r w:rsidR="007E5EB0" w:rsidRPr="00742FB3">
        <w:rPr>
          <w:rFonts w:ascii="Times New Roman" w:hAnsi="Times New Roman" w:cs="Times New Roman"/>
          <w:iCs/>
          <w:sz w:val="28"/>
          <w:szCs w:val="28"/>
        </w:rPr>
        <w:t>chuyên sâu.</w:t>
      </w:r>
    </w:p>
    <w:bookmarkEnd w:id="7"/>
    <w:p w14:paraId="7F75BC4C" w14:textId="3FAA0852" w:rsidR="00E7177A" w:rsidRPr="00742FB3" w:rsidRDefault="00870831" w:rsidP="0012518E">
      <w:pPr>
        <w:spacing w:before="120" w:after="120" w:line="288" w:lineRule="auto"/>
        <w:ind w:firstLine="567"/>
        <w:jc w:val="both"/>
        <w:rPr>
          <w:rFonts w:ascii="Times New Roman" w:hAnsi="Times New Roman" w:cs="Times New Roman"/>
          <w:b/>
          <w:sz w:val="28"/>
          <w:szCs w:val="28"/>
        </w:rPr>
      </w:pPr>
      <w:r w:rsidRPr="00742FB3">
        <w:rPr>
          <w:rFonts w:ascii="Times New Roman" w:hAnsi="Times New Roman" w:cs="Times New Roman"/>
          <w:b/>
          <w:iCs/>
          <w:sz w:val="28"/>
          <w:szCs w:val="28"/>
        </w:rPr>
        <w:t>III. ĐỀ XUẤT, KIẾN NGHỊ</w:t>
      </w:r>
    </w:p>
    <w:p w14:paraId="1BC7AADB" w14:textId="325B7DFF" w:rsidR="003F33D0" w:rsidRPr="00742FB3" w:rsidRDefault="003F33D0" w:rsidP="00DC7F35">
      <w:pPr>
        <w:shd w:val="clear" w:color="auto" w:fill="FFFFFF"/>
        <w:spacing w:before="60" w:after="0" w:line="276" w:lineRule="auto"/>
        <w:ind w:firstLine="567"/>
        <w:jc w:val="both"/>
        <w:rPr>
          <w:rFonts w:ascii="Times New Roman" w:hAnsi="Times New Roman" w:cs="Times New Roman"/>
          <w:sz w:val="28"/>
          <w:szCs w:val="28"/>
        </w:rPr>
      </w:pPr>
      <w:r w:rsidRPr="00742FB3">
        <w:rPr>
          <w:rFonts w:ascii="Times New Roman" w:hAnsi="Times New Roman" w:cs="Times New Roman"/>
          <w:sz w:val="28"/>
          <w:szCs w:val="28"/>
        </w:rPr>
        <w:t>Trên c</w:t>
      </w:r>
      <w:r w:rsidR="00DC7F35">
        <w:rPr>
          <w:rFonts w:ascii="Times New Roman" w:hAnsi="Times New Roman" w:cs="Times New Roman"/>
          <w:sz w:val="28"/>
          <w:szCs w:val="28"/>
        </w:rPr>
        <w:t>ơ sở</w:t>
      </w:r>
      <w:r w:rsidRPr="00742FB3">
        <w:rPr>
          <w:rFonts w:ascii="Times New Roman" w:hAnsi="Times New Roman" w:cs="Times New Roman"/>
          <w:sz w:val="28"/>
          <w:szCs w:val="28"/>
        </w:rPr>
        <w:t xml:space="preserve"> tổng kết việc thực hiện nghị định 124/2013/NĐ-CP và kết quả khảo sát, đánh giá tình hình, Bộ GDĐT có một số kiến nghị về việc sửa đổi Nghị định như sau:</w:t>
      </w:r>
    </w:p>
    <w:p w14:paraId="371AF5B6" w14:textId="36D89EAC" w:rsidR="00DC7F35" w:rsidRPr="00FC3EFF" w:rsidRDefault="00DC7F35" w:rsidP="00DC7F35">
      <w:pPr>
        <w:spacing w:before="120" w:after="0" w:line="276" w:lineRule="auto"/>
        <w:ind w:firstLine="567"/>
        <w:jc w:val="both"/>
        <w:rPr>
          <w:rFonts w:ascii="Times New Roman" w:hAnsi="Times New Roman" w:cs="Times New Roman"/>
          <w:b/>
          <w:sz w:val="28"/>
          <w:szCs w:val="28"/>
        </w:rPr>
      </w:pPr>
      <w:r w:rsidRPr="00FC3EFF">
        <w:rPr>
          <w:rFonts w:ascii="Times New Roman" w:hAnsi="Times New Roman" w:cs="Times New Roman"/>
          <w:b/>
          <w:sz w:val="28"/>
          <w:szCs w:val="28"/>
        </w:rPr>
        <w:t>3</w:t>
      </w:r>
      <w:r>
        <w:rPr>
          <w:rFonts w:ascii="Times New Roman" w:hAnsi="Times New Roman" w:cs="Times New Roman"/>
          <w:b/>
          <w:sz w:val="28"/>
          <w:szCs w:val="28"/>
        </w:rPr>
        <w:t>.1</w:t>
      </w:r>
      <w:r w:rsidRPr="00FC3EFF">
        <w:rPr>
          <w:rFonts w:ascii="Times New Roman" w:hAnsi="Times New Roman" w:cs="Times New Roman"/>
          <w:b/>
          <w:sz w:val="28"/>
          <w:szCs w:val="28"/>
        </w:rPr>
        <w:t>. Chính sách ưu đãi đối với giảng viên trực tiếp giảng dạy các chuyên ngành trong lĩnh vực điện hạt nhân ở Việt Nam.</w:t>
      </w:r>
    </w:p>
    <w:p w14:paraId="2051235B" w14:textId="77777777" w:rsidR="00DC7F35" w:rsidRPr="00FC3EFF" w:rsidRDefault="00DC7F35" w:rsidP="00DC7F35">
      <w:pPr>
        <w:spacing w:before="120" w:after="0" w:line="276"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Được ưu tiên xét duyệt nhiệm vụ khoa học và công nghệ các cấp có sử dụng ngân sách nhà nước trong lĩnh vực điện hạt nhân.</w:t>
      </w:r>
    </w:p>
    <w:p w14:paraId="63C62489" w14:textId="77777777" w:rsidR="00DC7F35" w:rsidRPr="00FC3EFF" w:rsidRDefault="00DC7F35" w:rsidP="00DC7F35">
      <w:pPr>
        <w:spacing w:before="120" w:after="0" w:line="276"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2. Được nhận hỗ trợ kinh phí bằng 20 lần mức lương tối thiểu vùng cho giảng viên là tác giả đứng đầu hoặc tác giả liên hệ </w:t>
      </w:r>
      <w:r w:rsidRPr="00FC3EFF">
        <w:rPr>
          <w:rFonts w:ascii="Times New Roman" w:hAnsi="Times New Roman" w:cs="Times New Roman"/>
          <w:sz w:val="28"/>
          <w:szCs w:val="28"/>
          <w:shd w:val="clear" w:color="auto" w:fill="FFFFFF" w:themeFill="background1"/>
        </w:rPr>
        <w:t>duy nhất</w:t>
      </w:r>
      <w:r w:rsidRPr="00FC3EFF">
        <w:rPr>
          <w:rFonts w:ascii="Times New Roman" w:hAnsi="Times New Roman" w:cs="Times New Roman"/>
          <w:sz w:val="28"/>
          <w:szCs w:val="28"/>
        </w:rPr>
        <w:t xml:space="preserve"> đối với một bài báo khoa học thuộc các chuyên ngành điện hạt nhân được công bố trên các tạp chí quốc tế có uy tín theo quy định của Bộ Khoa học và Công nghệ, không kể các ưu đãi về công bố khoa học của cơ sở đào tạo.</w:t>
      </w:r>
    </w:p>
    <w:p w14:paraId="43748ABD" w14:textId="77777777" w:rsidR="00DC7F35" w:rsidRPr="00FC3EFF" w:rsidRDefault="00DC7F35" w:rsidP="00DC7F35">
      <w:pPr>
        <w:spacing w:before="120" w:after="0" w:line="276"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 xml:space="preserve">3. Được ưu tiên chọn cử tham gia các khóa thực tập, bồi dưỡng ngắn hạn về các chuyên ngành điện hạt nhân ở trong nước và nước ngoài. </w:t>
      </w:r>
      <w:r w:rsidRPr="00FC3EFF">
        <w:rPr>
          <w:rFonts w:ascii="Times New Roman" w:hAnsi="Times New Roman" w:cs="Times New Roman"/>
          <w:iCs/>
          <w:sz w:val="28"/>
          <w:szCs w:val="28"/>
        </w:rPr>
        <w:t xml:space="preserve">Mọi chi phí </w:t>
      </w:r>
      <w:r w:rsidRPr="00FC3EFF">
        <w:rPr>
          <w:rFonts w:ascii="Times New Roman" w:hAnsi="Times New Roman" w:cs="Times New Roman"/>
          <w:sz w:val="28"/>
          <w:szCs w:val="28"/>
        </w:rPr>
        <w:t xml:space="preserve">thực tập, bồi dưỡng </w:t>
      </w:r>
      <w:r w:rsidRPr="00FC3EFF">
        <w:rPr>
          <w:rFonts w:ascii="Times New Roman" w:hAnsi="Times New Roman" w:cs="Times New Roman"/>
          <w:iCs/>
          <w:sz w:val="28"/>
          <w:szCs w:val="28"/>
        </w:rPr>
        <w:t xml:space="preserve">do ngân sách nhà nước bảo đảm. </w:t>
      </w:r>
      <w:r w:rsidRPr="00FC3EFF">
        <w:rPr>
          <w:rFonts w:ascii="Times New Roman" w:hAnsi="Times New Roman" w:cs="Times New Roman"/>
          <w:sz w:val="28"/>
          <w:szCs w:val="28"/>
        </w:rPr>
        <w:t xml:space="preserve">Giảng viên được giữ nguyên lương và các chế độ của giảng viên trong thời gian tham gia các khóa thực tập, bồi dưỡng ngắn hạn. </w:t>
      </w:r>
    </w:p>
    <w:p w14:paraId="68FB4EDF" w14:textId="06849366" w:rsidR="00DC7F35" w:rsidRPr="00FC3EFF" w:rsidRDefault="00DC7F35" w:rsidP="00DC7F35">
      <w:pPr>
        <w:spacing w:before="120" w:after="0"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3.2</w:t>
      </w:r>
      <w:r w:rsidRPr="00FC3EFF">
        <w:rPr>
          <w:rFonts w:ascii="Times New Roman" w:hAnsi="Times New Roman" w:cs="Times New Roman"/>
          <w:b/>
          <w:sz w:val="28"/>
          <w:szCs w:val="28"/>
        </w:rPr>
        <w:t xml:space="preserve">. Mức ưu đãi đối với sinh viên trình độ cao đẳng và đại học, học viên cao học trình độ thạc sĩ và nghiên cứu sinh trình độ tiến sĩ các chuyên ngành trong lĩnh vực điện hạt nhân ở trong nước </w:t>
      </w:r>
    </w:p>
    <w:p w14:paraId="0C0DB587" w14:textId="77777777" w:rsidR="00DC7F35" w:rsidRPr="00FC3EFF" w:rsidRDefault="00DC7F35" w:rsidP="00DC7F35">
      <w:pPr>
        <w:spacing w:before="120" w:after="0" w:line="276"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Ưu đãi đối với sinh viên đào tạo trình độ cao đẳng và đại học có cam kết về nhà máy điện hạt nhân làm việc sau khi tốt nghiệp</w:t>
      </w:r>
    </w:p>
    <w:p w14:paraId="04F9C0D5" w14:textId="77777777" w:rsidR="00DC7F35" w:rsidRPr="00FC3EFF" w:rsidRDefault="00DC7F35" w:rsidP="00DC7F35">
      <w:pPr>
        <w:spacing w:before="120" w:after="0" w:line="276"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 Được miễn học phí.</w:t>
      </w:r>
    </w:p>
    <w:p w14:paraId="7C67551C" w14:textId="77777777" w:rsidR="00DC7F35" w:rsidRPr="00FC3EFF" w:rsidRDefault="00DC7F35" w:rsidP="00DC7F35">
      <w:pPr>
        <w:spacing w:before="120" w:after="0" w:line="276"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b) Được ở ký túc xá miễn phí.</w:t>
      </w:r>
    </w:p>
    <w:p w14:paraId="23391A0B" w14:textId="77777777" w:rsidR="00DC7F35" w:rsidRPr="00FC3EFF" w:rsidRDefault="00DC7F35" w:rsidP="00DC7F35">
      <w:pPr>
        <w:spacing w:before="120" w:after="0" w:line="276"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c) Được cấp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hàng tháng bằng 1,0 lần mức</w:t>
      </w:r>
      <w:r w:rsidRPr="00FC3EFF">
        <w:rPr>
          <w:rFonts w:ascii="Times New Roman" w:hAnsi="Times New Roman" w:cs="Times New Roman"/>
          <w:sz w:val="28"/>
          <w:szCs w:val="28"/>
        </w:rPr>
        <w:t xml:space="preserve"> lương tối thiểu vùng</w:t>
      </w:r>
      <w:r w:rsidRPr="00FC3EFF">
        <w:rPr>
          <w:rFonts w:ascii="Times New Roman" w:hAnsi="Times New Roman" w:cs="Times New Roman"/>
          <w:iCs/>
          <w:sz w:val="28"/>
          <w:szCs w:val="28"/>
        </w:rPr>
        <w:t xml:space="preserve">. </w:t>
      </w:r>
    </w:p>
    <w:p w14:paraId="60A8F009" w14:textId="77777777" w:rsidR="00DC7F35" w:rsidRPr="00FC3EFF" w:rsidRDefault="00DC7F35" w:rsidP="00DC7F35">
      <w:pPr>
        <w:spacing w:before="120" w:after="0" w:line="276"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d) Được cấp</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 xml:space="preserve">học bổng khuyến khích bằng 0,5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 xml:space="preserve">cho sinh viên xếp loại học lực khá; 1,0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 xml:space="preserve">cho sinh viên xếp loại học lực giỏi; 1,5 lần mức </w:t>
      </w:r>
      <w:r w:rsidRPr="00FC3EFF">
        <w:rPr>
          <w:rFonts w:ascii="Times New Roman" w:hAnsi="Times New Roman" w:cs="Times New Roman"/>
          <w:sz w:val="28"/>
          <w:szCs w:val="28"/>
        </w:rPr>
        <w:t xml:space="preserve">lương tối thiểu vùng </w:t>
      </w:r>
      <w:r w:rsidRPr="00FC3EFF">
        <w:rPr>
          <w:rFonts w:ascii="Times New Roman" w:hAnsi="Times New Roman" w:cs="Times New Roman"/>
          <w:iCs/>
          <w:sz w:val="28"/>
          <w:szCs w:val="28"/>
        </w:rPr>
        <w:t>cho sinh viên xếp loại học lực xuất sắc.</w:t>
      </w:r>
    </w:p>
    <w:p w14:paraId="4C0D7384" w14:textId="77777777" w:rsidR="00DC7F35" w:rsidRPr="00FC3EFF" w:rsidRDefault="00DC7F35" w:rsidP="00DC7F35">
      <w:pPr>
        <w:spacing w:before="90" w:after="0" w:line="276"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Việc xét cấp học bổng được tiến hành theo học kỳ của năm học, một năm học xét 2 lần.</w:t>
      </w:r>
    </w:p>
    <w:p w14:paraId="3B157E86"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đ) Được cung cấp giáo trình đào tạo chuyên ngành điện hạt nhân.</w:t>
      </w:r>
    </w:p>
    <w:p w14:paraId="42A39FEA"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e) Được ưu tiên cử đi thực tập ngắn hạn trong nước và nước ngoài nếu năm cuối của chương trình đào tạo đạt học lực giỏi trở lên. Mọi chi phí thực tập do ngân sách nhà nước bảo đảm.</w:t>
      </w:r>
    </w:p>
    <w:p w14:paraId="1A3AA78E"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 xml:space="preserve">g) </w:t>
      </w:r>
      <w:r w:rsidRPr="00FC3EFF">
        <w:rPr>
          <w:rFonts w:ascii="Times New Roman" w:hAnsi="Times New Roman" w:cs="Times New Roman"/>
          <w:sz w:val="28"/>
          <w:szCs w:val="28"/>
        </w:rPr>
        <w:t xml:space="preserve">Được tiếp nhận làm việc tại nhà máy điện hạt nhân </w:t>
      </w:r>
      <w:r w:rsidRPr="00FC3EFF">
        <w:rPr>
          <w:rFonts w:ascii="Times New Roman" w:hAnsi="Times New Roman" w:cs="Times New Roman"/>
          <w:bCs/>
          <w:sz w:val="28"/>
          <w:szCs w:val="28"/>
        </w:rPr>
        <w:t>sau khi tốt nghiệp t</w:t>
      </w:r>
      <w:r w:rsidRPr="00FC3EFF">
        <w:rPr>
          <w:rFonts w:ascii="Times New Roman" w:hAnsi="Times New Roman" w:cs="Times New Roman"/>
          <w:sz w:val="28"/>
          <w:szCs w:val="28"/>
        </w:rPr>
        <w:t>heo cam kết</w:t>
      </w:r>
      <w:r w:rsidRPr="00FC3EFF">
        <w:rPr>
          <w:rFonts w:ascii="Times New Roman" w:hAnsi="Times New Roman" w:cs="Times New Roman"/>
          <w:iCs/>
          <w:sz w:val="28"/>
          <w:szCs w:val="28"/>
        </w:rPr>
        <w:t xml:space="preserve">. </w:t>
      </w:r>
    </w:p>
    <w:p w14:paraId="573ABA5E"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Ưu đãi đối với học viên cao học trình độ thạc sĩ và nghiên cứu sinh trình độ tiến sĩ</w:t>
      </w:r>
    </w:p>
    <w:p w14:paraId="030C8271"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 Được miễn học phí.</w:t>
      </w:r>
    </w:p>
    <w:p w14:paraId="11F4D7CF"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b) Được ở ký túc xá miễn phí.</w:t>
      </w:r>
    </w:p>
    <w:p w14:paraId="7907E0DD"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c) Được cấp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hàng tháng bằng 1,5 lần mức</w:t>
      </w:r>
      <w:r w:rsidRPr="00FC3EFF">
        <w:rPr>
          <w:rFonts w:ascii="Times New Roman" w:hAnsi="Times New Roman" w:cs="Times New Roman"/>
          <w:sz w:val="28"/>
          <w:szCs w:val="28"/>
        </w:rPr>
        <w:t xml:space="preserve"> lương tối thiểu vùng cho học viên cao học và 2,5 </w:t>
      </w:r>
      <w:r w:rsidRPr="00FC3EFF">
        <w:rPr>
          <w:rFonts w:ascii="Times New Roman" w:hAnsi="Times New Roman" w:cs="Times New Roman"/>
          <w:iCs/>
          <w:sz w:val="28"/>
          <w:szCs w:val="28"/>
        </w:rPr>
        <w:t>lần mức</w:t>
      </w:r>
      <w:r w:rsidRPr="00FC3EFF">
        <w:rPr>
          <w:rFonts w:ascii="Times New Roman" w:hAnsi="Times New Roman" w:cs="Times New Roman"/>
          <w:sz w:val="28"/>
          <w:szCs w:val="28"/>
        </w:rPr>
        <w:t xml:space="preserve"> lương tối thiểu vùng cho nghiên cứu sinh.</w:t>
      </w:r>
    </w:p>
    <w:p w14:paraId="3E4A65C3"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 xml:space="preserve">d) Được </w:t>
      </w:r>
      <w:bookmarkStart w:id="11" w:name="_Hlk211593395"/>
      <w:r w:rsidRPr="00FC3EFF">
        <w:rPr>
          <w:rFonts w:ascii="Times New Roman" w:hAnsi="Times New Roman" w:cs="Times New Roman"/>
          <w:sz w:val="28"/>
          <w:szCs w:val="28"/>
        </w:rPr>
        <w:t>h</w:t>
      </w:r>
      <w:r w:rsidRPr="00FC3EFF">
        <w:rPr>
          <w:rFonts w:ascii="Times New Roman" w:hAnsi="Times New Roman" w:cs="Times New Roman"/>
          <w:iCs/>
          <w:sz w:val="28"/>
          <w:szCs w:val="28"/>
        </w:rPr>
        <w:t>ỗ trợ kinh phí bằng 15 lần mức</w:t>
      </w:r>
      <w:r w:rsidRPr="00FC3EFF">
        <w:rPr>
          <w:rFonts w:ascii="Times New Roman" w:hAnsi="Times New Roman" w:cs="Times New Roman"/>
          <w:sz w:val="28"/>
          <w:szCs w:val="28"/>
        </w:rPr>
        <w:t xml:space="preserve"> lương tối thiểu vùng </w:t>
      </w:r>
      <w:r w:rsidRPr="00FC3EFF">
        <w:rPr>
          <w:rFonts w:ascii="Times New Roman" w:hAnsi="Times New Roman" w:cs="Times New Roman"/>
          <w:iCs/>
          <w:sz w:val="28"/>
          <w:szCs w:val="28"/>
        </w:rPr>
        <w:t xml:space="preserve">nếu là tác giả đứng đầu hoặc tác giả liên hệ duy nhất của 01 bài báo khoa học </w:t>
      </w:r>
      <w:r w:rsidRPr="00FC3EFF">
        <w:rPr>
          <w:rFonts w:ascii="Times New Roman" w:hAnsi="Times New Roman" w:cs="Times New Roman"/>
          <w:sz w:val="28"/>
          <w:szCs w:val="28"/>
        </w:rPr>
        <w:t xml:space="preserve">thuộc các chuyên ngành điện hạt nhân theo nội dung của luân văn, luận án </w:t>
      </w:r>
      <w:r w:rsidRPr="00FC3EFF">
        <w:rPr>
          <w:rFonts w:ascii="Times New Roman" w:hAnsi="Times New Roman" w:cs="Times New Roman"/>
          <w:iCs/>
          <w:sz w:val="28"/>
          <w:szCs w:val="28"/>
        </w:rPr>
        <w:t>được đăng trên tạp chí quốc tế có uy tín theo quy định của Bộ Khoa học và Công nghệ.</w:t>
      </w:r>
    </w:p>
    <w:bookmarkEnd w:id="11"/>
    <w:p w14:paraId="472EBDD6"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đ) Được cung cấp giáo trình, sách chuyên khảo chuyên ngành điện hạt nhân.</w:t>
      </w:r>
    </w:p>
    <w:p w14:paraId="673585F8"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e) Được xem xét cử tham dự hội nghị, hội thảo khoa học trong lĩnh vực điện hạt nhân ở trong nước và nước ngoài. Kinh phí tham dự hội nghị, hội thảo do ngân sách nhà nước bảo đảm;</w:t>
      </w:r>
    </w:p>
    <w:p w14:paraId="0B616306"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g) Được ưu tiên chủ trì đề tài cấp cơ sở có nội dung theo đề tài nghiên cứu của luận văn thạc sĩ và luận án tiến sĩ.</w:t>
      </w:r>
    </w:p>
    <w:p w14:paraId="32208E2F"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h) Được ưu tiên cử đi thực tập ngắn hạn trong nước và nước ngoài trong năm cuối của chương trình đào tạo. Mọi chi phí thực tập do ngân sách nhà nước bảo đảm.</w:t>
      </w:r>
    </w:p>
    <w:p w14:paraId="25FB72F9"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i) Được giữ nguyên lương và các chế độ hiện hành đối với học viên cao học là công chức, viên chức được cơ quan quản lý cử đi học.</w:t>
      </w:r>
    </w:p>
    <w:p w14:paraId="3A768264"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k) Được ưu tiên tuyển chọn vào làm việc tại các cơ quan, tổ chức hoạt động trong lĩnh vực năng lượng nguyên tử, nhà máy điện hạt nhân.</w:t>
      </w:r>
    </w:p>
    <w:p w14:paraId="6F74F830"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3. Các chuyên ngành trong lĩnh vực điện hạt nhân ở Việt Nam do Bộ Giáo dục và Đào tạo thống nhất với Chủ đầu tư nhà máy điện hạt nhân và thông báo hàng năm trước khi tuyển sinh.</w:t>
      </w:r>
    </w:p>
    <w:p w14:paraId="75623CAD" w14:textId="492B8E3A" w:rsidR="00DC7F35" w:rsidRPr="00FC3EFF" w:rsidRDefault="00DC7F35" w:rsidP="00DC7F35">
      <w:pPr>
        <w:spacing w:before="120" w:after="0" w:line="252" w:lineRule="auto"/>
        <w:ind w:firstLine="567"/>
        <w:jc w:val="both"/>
        <w:rPr>
          <w:rFonts w:ascii="Times New Roman" w:hAnsi="Times New Roman" w:cs="Times New Roman"/>
          <w:b/>
          <w:sz w:val="28"/>
          <w:szCs w:val="28"/>
        </w:rPr>
      </w:pPr>
      <w:r>
        <w:rPr>
          <w:rFonts w:ascii="Times New Roman" w:hAnsi="Times New Roman" w:cs="Times New Roman"/>
          <w:b/>
          <w:sz w:val="28"/>
          <w:szCs w:val="28"/>
        </w:rPr>
        <w:t>3.3</w:t>
      </w:r>
      <w:r w:rsidRPr="00FC3EFF">
        <w:rPr>
          <w:rFonts w:ascii="Times New Roman" w:hAnsi="Times New Roman" w:cs="Times New Roman"/>
          <w:b/>
          <w:sz w:val="28"/>
          <w:szCs w:val="28"/>
        </w:rPr>
        <w:t>. Mức ưu đãi đối với sinh viên</w:t>
      </w:r>
      <w:r w:rsidRPr="00FC3EFF">
        <w:rPr>
          <w:rFonts w:ascii="Times New Roman" w:hAnsi="Times New Roman" w:cs="Times New Roman"/>
          <w:b/>
          <w:sz w:val="28"/>
          <w:szCs w:val="28"/>
          <w:lang w:val="vi-VN"/>
        </w:rPr>
        <w:t xml:space="preserve"> đại học</w:t>
      </w:r>
      <w:r w:rsidRPr="00FC3EFF">
        <w:rPr>
          <w:rFonts w:ascii="Times New Roman" w:hAnsi="Times New Roman" w:cs="Times New Roman"/>
          <w:b/>
          <w:sz w:val="28"/>
          <w:szCs w:val="28"/>
        </w:rPr>
        <w:t>,</w:t>
      </w:r>
      <w:r w:rsidRPr="00FC3EFF">
        <w:rPr>
          <w:rFonts w:ascii="Times New Roman" w:hAnsi="Times New Roman" w:cs="Times New Roman"/>
          <w:b/>
          <w:sz w:val="28"/>
          <w:szCs w:val="28"/>
          <w:lang w:val="vi-VN"/>
        </w:rPr>
        <w:t xml:space="preserve"> học viên cao học và nghiên cứu sinh</w:t>
      </w:r>
      <w:r w:rsidRPr="00FC3EFF">
        <w:rPr>
          <w:rFonts w:ascii="Times New Roman" w:hAnsi="Times New Roman" w:cs="Times New Roman"/>
          <w:b/>
          <w:sz w:val="28"/>
          <w:szCs w:val="28"/>
        </w:rPr>
        <w:t xml:space="preserve"> các chuyên ngành trong lĩnh vực điện hạt nhân ở nước ngoài</w:t>
      </w:r>
    </w:p>
    <w:p w14:paraId="54BEA0C6"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Ưu đãi đối với sinh viên đại học có cam kết về nhà máy điện hạt nhân làm việc sau khi tốt nghiệp</w:t>
      </w:r>
    </w:p>
    <w:p w14:paraId="302AA35F"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 Được cấp 02 vé máy bay khứ hồi hạng phổ thông trong quá trình học để đi và về Việt Nam.</w:t>
      </w:r>
    </w:p>
    <w:p w14:paraId="6ECA4C60"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b) Được cấp</w:t>
      </w:r>
      <w:r w:rsidRPr="00FC3EFF">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FC3EFF">
        <w:rPr>
          <w:rFonts w:ascii="Times New Roman" w:hAnsi="Times New Roman" w:cs="Times New Roman"/>
          <w:iCs/>
          <w:sz w:val="28"/>
          <w:szCs w:val="28"/>
        </w:rPr>
        <w:t xml:space="preserve"> cho lượt </w:t>
      </w:r>
      <w:r w:rsidRPr="00FC3EFF">
        <w:rPr>
          <w:rFonts w:ascii="Times New Roman" w:hAnsi="Times New Roman" w:cs="Times New Roman"/>
          <w:sz w:val="28"/>
          <w:szCs w:val="28"/>
        </w:rPr>
        <w:t>đi và về Việt Nam.</w:t>
      </w:r>
    </w:p>
    <w:p w14:paraId="61E0E90C"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 xml:space="preserve">c) Được mua </w:t>
      </w:r>
      <w:r w:rsidRPr="00FC3EFF">
        <w:rPr>
          <w:rFonts w:ascii="Times New Roman" w:hAnsi="Times New Roman" w:cs="Times New Roman"/>
          <w:iCs/>
          <w:sz w:val="28"/>
          <w:szCs w:val="28"/>
          <w:lang w:val="vi-VN"/>
        </w:rPr>
        <w:t>bảo hiểm y tế</w:t>
      </w:r>
      <w:r w:rsidRPr="00FC3EFF">
        <w:rPr>
          <w:rFonts w:ascii="Times New Roman" w:hAnsi="Times New Roman" w:cs="Times New Roman"/>
          <w:iCs/>
          <w:sz w:val="28"/>
          <w:szCs w:val="28"/>
        </w:rPr>
        <w:t xml:space="preserve"> mức tối thiểu do nước sở tại quy định áp dụng chung cho công dân nước ngoài đến học tập.</w:t>
      </w:r>
    </w:p>
    <w:p w14:paraId="0C595A0A"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d)</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Được c</w:t>
      </w:r>
      <w:r w:rsidRPr="00FC3EFF">
        <w:rPr>
          <w:rFonts w:ascii="Times New Roman" w:hAnsi="Times New Roman" w:cs="Times New Roman"/>
          <w:sz w:val="28"/>
          <w:szCs w:val="28"/>
        </w:rPr>
        <w:t>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hàng tháng bằng 1,5 lần mức sinh hoạt phí cao nhất hiện đang cấp cho sinh viên Việt Nam đi học ở nước ngoài theo các Đề án đào tạo của Chính phủ Việt Nam.</w:t>
      </w:r>
    </w:p>
    <w:p w14:paraId="5ADFDB97"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đ) Được chủ đầu tư nhà máy điện hạt nhân hỗ trợ chi phí sinh hoạt hàng tháng </w:t>
      </w:r>
      <w:r w:rsidRPr="00FC3EFF">
        <w:rPr>
          <w:rFonts w:ascii="Times New Roman" w:hAnsi="Times New Roman" w:cs="Times New Roman"/>
          <w:iCs/>
          <w:sz w:val="28"/>
          <w:szCs w:val="28"/>
        </w:rPr>
        <w:t>theo quyết định của chủ đầu tư</w:t>
      </w:r>
      <w:r w:rsidRPr="00FC3EFF">
        <w:rPr>
          <w:rFonts w:ascii="Times New Roman" w:hAnsi="Times New Roman" w:cs="Times New Roman"/>
          <w:i/>
          <w:iCs/>
          <w:sz w:val="28"/>
          <w:szCs w:val="28"/>
        </w:rPr>
        <w:t xml:space="preserve"> </w:t>
      </w:r>
      <w:r w:rsidRPr="00FC3EFF">
        <w:rPr>
          <w:rFonts w:ascii="Times New Roman" w:hAnsi="Times New Roman" w:cs="Times New Roman"/>
          <w:sz w:val="28"/>
          <w:szCs w:val="28"/>
        </w:rPr>
        <w:t>tối thiểu 300 USD/người.</w:t>
      </w:r>
    </w:p>
    <w:p w14:paraId="58F82544"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2. Ưu đãi đối với học viên cao học và nghiên cứu sinh có cam kết về </w:t>
      </w:r>
      <w:r w:rsidRPr="00FC3EFF">
        <w:rPr>
          <w:rFonts w:ascii="Times New Roman" w:hAnsi="Times New Roman" w:cs="Times New Roman"/>
          <w:iCs/>
          <w:sz w:val="28"/>
          <w:szCs w:val="28"/>
        </w:rPr>
        <w:t>các cơ quan, tổ chức hoạt động trong lĩnh vực năng lượng nguyên tử làm việc</w:t>
      </w:r>
      <w:r w:rsidRPr="00FC3EFF">
        <w:rPr>
          <w:rFonts w:ascii="Times New Roman" w:hAnsi="Times New Roman" w:cs="Times New Roman"/>
          <w:sz w:val="28"/>
          <w:szCs w:val="28"/>
        </w:rPr>
        <w:t xml:space="preserve"> sau khi tốt nghiệp</w:t>
      </w:r>
    </w:p>
    <w:p w14:paraId="42BA93BF"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a) Được cấp 02 vé máy bay khứ hồi hạng phổ thông trong quá trình học để đi và về Việt Nam.</w:t>
      </w:r>
    </w:p>
    <w:p w14:paraId="0AC2CB66"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b) Được cấp</w:t>
      </w:r>
      <w:r w:rsidRPr="00FC3EFF">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FC3EFF">
        <w:rPr>
          <w:rFonts w:ascii="Times New Roman" w:hAnsi="Times New Roman" w:cs="Times New Roman"/>
          <w:iCs/>
          <w:sz w:val="28"/>
          <w:szCs w:val="28"/>
        </w:rPr>
        <w:t xml:space="preserve"> cho lượt </w:t>
      </w:r>
      <w:r w:rsidRPr="00FC3EFF">
        <w:rPr>
          <w:rFonts w:ascii="Times New Roman" w:hAnsi="Times New Roman" w:cs="Times New Roman"/>
          <w:sz w:val="28"/>
          <w:szCs w:val="28"/>
        </w:rPr>
        <w:t>đi và về Việt Nam.</w:t>
      </w:r>
    </w:p>
    <w:p w14:paraId="6E01C6B1"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 xml:space="preserve">c) Được mua </w:t>
      </w:r>
      <w:r w:rsidRPr="00FC3EFF">
        <w:rPr>
          <w:rFonts w:ascii="Times New Roman" w:hAnsi="Times New Roman" w:cs="Times New Roman"/>
          <w:iCs/>
          <w:sz w:val="28"/>
          <w:szCs w:val="28"/>
          <w:lang w:val="vi-VN"/>
        </w:rPr>
        <w:t>bảo hiểm y tế</w:t>
      </w:r>
      <w:r w:rsidRPr="00FC3EFF">
        <w:rPr>
          <w:rFonts w:ascii="Times New Roman" w:hAnsi="Times New Roman" w:cs="Times New Roman"/>
          <w:iCs/>
          <w:sz w:val="28"/>
          <w:szCs w:val="28"/>
        </w:rPr>
        <w:t xml:space="preserve"> mức tối thiểu do nước sở tại quy định áp dụng chung cho công dân nước ngoài đến học tập.</w:t>
      </w:r>
    </w:p>
    <w:p w14:paraId="55306ECF"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d)</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Được c</w:t>
      </w:r>
      <w:r w:rsidRPr="00FC3EFF">
        <w:rPr>
          <w:rFonts w:ascii="Times New Roman" w:hAnsi="Times New Roman" w:cs="Times New Roman"/>
          <w:sz w:val="28"/>
          <w:szCs w:val="28"/>
        </w:rPr>
        <w:t>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hàng tháng bằng 2,0 lần mức sinh hoạt phí cao nhất hiện đang cấp cho học viên cao học và nghiên cứu sinh Việt Nam đi học ở nước ngoài theo các Đề án đào tạo của Chính phủ Việt Nam.</w:t>
      </w:r>
    </w:p>
    <w:p w14:paraId="3E17D470"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đ) Được giữ nguyên lương và các khoản phụ cấp khi đi học tập, công tác ở nước ngoài đối với học viên cao học và nghiên cứu sinh là công chức, viên chức”.</w:t>
      </w:r>
    </w:p>
    <w:p w14:paraId="333DB357" w14:textId="71D754D5" w:rsidR="00DC7F35" w:rsidRPr="00FC3EFF" w:rsidRDefault="00DC7F35" w:rsidP="00DC7F35">
      <w:pPr>
        <w:spacing w:before="120" w:after="0" w:line="259" w:lineRule="auto"/>
        <w:ind w:firstLine="567"/>
        <w:jc w:val="both"/>
        <w:rPr>
          <w:rFonts w:ascii="Times New Roman" w:hAnsi="Times New Roman" w:cs="Times New Roman"/>
          <w:b/>
          <w:sz w:val="28"/>
          <w:szCs w:val="28"/>
        </w:rPr>
      </w:pPr>
      <w:r>
        <w:rPr>
          <w:rFonts w:ascii="Times New Roman" w:hAnsi="Times New Roman" w:cs="Times New Roman"/>
          <w:b/>
          <w:sz w:val="28"/>
          <w:szCs w:val="28"/>
        </w:rPr>
        <w:t>3.4</w:t>
      </w:r>
      <w:r w:rsidRPr="00FC3EFF">
        <w:rPr>
          <w:rFonts w:ascii="Times New Roman" w:hAnsi="Times New Roman" w:cs="Times New Roman"/>
          <w:b/>
          <w:sz w:val="28"/>
          <w:szCs w:val="28"/>
        </w:rPr>
        <w:t>. Mức ưu đãi đối với sinh viên đào tạo trình độ đại học ở trong nước các chuyên ngành có liên quan đến vận hành nhà máy điện hạt nhân có cam kết về nhà máy điện hạt nhân làm việc sau khi tốt nghiệp</w:t>
      </w:r>
    </w:p>
    <w:p w14:paraId="6115E499"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Được miễn học phí.</w:t>
      </w:r>
    </w:p>
    <w:p w14:paraId="1FEFB32D"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2. Được ưu tiên ở ký túc xá.</w:t>
      </w:r>
    </w:p>
    <w:p w14:paraId="49B986E9" w14:textId="77777777" w:rsidR="00DC7F35" w:rsidRPr="00FC3EFF" w:rsidRDefault="00DC7F35" w:rsidP="00DC7F35">
      <w:pPr>
        <w:spacing w:before="120" w:after="0" w:line="259"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3. Được cấp</w:t>
      </w:r>
      <w:r w:rsidRPr="00FC3EFF">
        <w:rPr>
          <w:rFonts w:ascii="Times New Roman" w:hAnsi="Times New Roman" w:cs="Times New Roman"/>
          <w:iCs/>
          <w:sz w:val="28"/>
          <w:szCs w:val="28"/>
          <w:lang w:val="vi-VN"/>
        </w:rPr>
        <w:t xml:space="preserve"> sinh hoạt phí </w:t>
      </w:r>
      <w:r w:rsidRPr="00FC3EFF">
        <w:rPr>
          <w:rFonts w:ascii="Times New Roman" w:hAnsi="Times New Roman" w:cs="Times New Roman"/>
          <w:iCs/>
          <w:sz w:val="28"/>
          <w:szCs w:val="28"/>
        </w:rPr>
        <w:t>hàng tháng bằng 1,0 lần mức lương tối thiểu vùng.</w:t>
      </w:r>
    </w:p>
    <w:p w14:paraId="6D797002"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4. Được cấp</w:t>
      </w:r>
      <w:r w:rsidRPr="00FC3EFF">
        <w:rPr>
          <w:rFonts w:ascii="Times New Roman" w:hAnsi="Times New Roman" w:cs="Times New Roman"/>
          <w:iCs/>
          <w:sz w:val="28"/>
          <w:szCs w:val="28"/>
          <w:lang w:val="vi-VN"/>
        </w:rPr>
        <w:t xml:space="preserve"> </w:t>
      </w:r>
      <w:r w:rsidRPr="00FC3EFF">
        <w:rPr>
          <w:rFonts w:ascii="Times New Roman" w:hAnsi="Times New Roman" w:cs="Times New Roman"/>
          <w:iCs/>
          <w:sz w:val="28"/>
          <w:szCs w:val="28"/>
        </w:rPr>
        <w:t>học bổng khuyến khích bằng 0,25 lần mức lương cơ sở cho sinh viên xếp loại học lực khá; 0,5 lần mức lương cơ sở cho sinh viên xếp loại học lực giỏi; 0,75 lần mức lương cơ sở cho sinh viên xếp loại học lực xuất sắc.</w:t>
      </w:r>
    </w:p>
    <w:p w14:paraId="66CAF4FC"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Việc xét cấp học bổng được tiến hành theo học kỳ của năm học, một năm học xét 2 lần.</w:t>
      </w:r>
    </w:p>
    <w:p w14:paraId="132555EB" w14:textId="77777777" w:rsidR="00DC7F35" w:rsidRPr="00FC3EFF" w:rsidRDefault="00DC7F35" w:rsidP="00DC7F35">
      <w:pPr>
        <w:spacing w:before="120" w:after="0" w:line="259" w:lineRule="auto"/>
        <w:ind w:firstLine="567"/>
        <w:jc w:val="both"/>
        <w:rPr>
          <w:rFonts w:ascii="Times New Roman" w:hAnsi="Times New Roman" w:cs="Times New Roman"/>
          <w:iCs/>
          <w:sz w:val="28"/>
          <w:szCs w:val="28"/>
        </w:rPr>
      </w:pPr>
      <w:r w:rsidRPr="00FC3EFF">
        <w:rPr>
          <w:rFonts w:ascii="Times New Roman" w:hAnsi="Times New Roman" w:cs="Times New Roman"/>
          <w:iCs/>
          <w:sz w:val="28"/>
          <w:szCs w:val="28"/>
        </w:rPr>
        <w:t xml:space="preserve">5. </w:t>
      </w:r>
      <w:r w:rsidRPr="00FC3EFF">
        <w:rPr>
          <w:rFonts w:ascii="Times New Roman" w:hAnsi="Times New Roman" w:cs="Times New Roman"/>
          <w:sz w:val="28"/>
          <w:szCs w:val="28"/>
        </w:rPr>
        <w:t xml:space="preserve">Được tiếp nhận làm việc tại nhà máy điện hạt nhân </w:t>
      </w:r>
      <w:r w:rsidRPr="00FC3EFF">
        <w:rPr>
          <w:rFonts w:ascii="Times New Roman" w:hAnsi="Times New Roman" w:cs="Times New Roman"/>
          <w:bCs/>
          <w:sz w:val="28"/>
          <w:szCs w:val="28"/>
        </w:rPr>
        <w:t>sau khi tốt nghiệp t</w:t>
      </w:r>
      <w:r w:rsidRPr="00FC3EFF">
        <w:rPr>
          <w:rFonts w:ascii="Times New Roman" w:hAnsi="Times New Roman" w:cs="Times New Roman"/>
          <w:sz w:val="28"/>
          <w:szCs w:val="28"/>
        </w:rPr>
        <w:t>heo cam kết.</w:t>
      </w:r>
    </w:p>
    <w:p w14:paraId="1A5DE134"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6. Các chuyên ngành có liên quan đến vận hành nhà máy điện hạt nhân ở Việt Nam do Bộ Giáo dục và Đào tạo thống nhất với Chủ đầu tư nhà máy điện hạt nhân và thông báo hàng năm trước khi tuyển sinh.</w:t>
      </w:r>
    </w:p>
    <w:p w14:paraId="1E9550A6" w14:textId="301C8FA8" w:rsidR="00DC7F35" w:rsidRPr="00FC3EFF" w:rsidRDefault="00DC7F35" w:rsidP="00DC7F35">
      <w:pPr>
        <w:spacing w:before="120" w:after="0" w:line="252" w:lineRule="auto"/>
        <w:ind w:firstLine="567"/>
        <w:jc w:val="both"/>
        <w:rPr>
          <w:rFonts w:ascii="Times New Roman" w:hAnsi="Times New Roman" w:cs="Times New Roman"/>
          <w:b/>
          <w:sz w:val="28"/>
          <w:szCs w:val="28"/>
        </w:rPr>
      </w:pPr>
      <w:r>
        <w:rPr>
          <w:rFonts w:ascii="Times New Roman" w:hAnsi="Times New Roman" w:cs="Times New Roman"/>
          <w:b/>
          <w:sz w:val="28"/>
          <w:szCs w:val="28"/>
        </w:rPr>
        <w:t>3.5</w:t>
      </w:r>
      <w:r w:rsidRPr="00FC3EFF">
        <w:rPr>
          <w:rFonts w:ascii="Times New Roman" w:hAnsi="Times New Roman" w:cs="Times New Roman"/>
          <w:b/>
          <w:sz w:val="28"/>
          <w:szCs w:val="28"/>
        </w:rPr>
        <w:t>. Đối với cán bộ quản lý tham gia bồi dưỡng, đào tạo lại nguồn nhân lực trong lĩnh vực điện hạt nhân</w:t>
      </w:r>
    </w:p>
    <w:p w14:paraId="6143B217" w14:textId="77777777" w:rsidR="00DC7F35" w:rsidRPr="00FC3EFF" w:rsidRDefault="00DC7F35" w:rsidP="00DC7F35">
      <w:pPr>
        <w:spacing w:before="120" w:after="0" w:line="252" w:lineRule="auto"/>
        <w:ind w:firstLine="567"/>
        <w:jc w:val="both"/>
        <w:rPr>
          <w:rFonts w:ascii="Times New Roman" w:hAnsi="Times New Roman" w:cs="Times New Roman"/>
          <w:iCs/>
          <w:sz w:val="28"/>
          <w:szCs w:val="28"/>
        </w:rPr>
      </w:pPr>
      <w:r w:rsidRPr="00FC3EFF">
        <w:rPr>
          <w:rFonts w:ascii="Times New Roman" w:hAnsi="Times New Roman" w:cs="Times New Roman"/>
          <w:sz w:val="28"/>
          <w:szCs w:val="28"/>
        </w:rPr>
        <w:t xml:space="preserve">1. </w:t>
      </w:r>
      <w:r w:rsidRPr="00FC3EFF">
        <w:rPr>
          <w:rFonts w:ascii="Times New Roman" w:hAnsi="Times New Roman" w:cs="Times New Roman"/>
          <w:sz w:val="28"/>
          <w:szCs w:val="28"/>
          <w:lang w:val="vi-VN"/>
        </w:rPr>
        <w:t>Cán bộ quản lý</w:t>
      </w:r>
      <w:r w:rsidRPr="00FC3EFF">
        <w:rPr>
          <w:rFonts w:ascii="Times New Roman" w:hAnsi="Times New Roman" w:cs="Times New Roman"/>
          <w:sz w:val="28"/>
          <w:szCs w:val="28"/>
        </w:rPr>
        <w:t>, công chức, viên chức</w:t>
      </w:r>
      <w:r w:rsidRPr="00FC3EFF">
        <w:rPr>
          <w:rFonts w:ascii="Times New Roman" w:hAnsi="Times New Roman" w:cs="Times New Roman"/>
          <w:sz w:val="28"/>
          <w:szCs w:val="28"/>
          <w:lang w:val="vi-VN"/>
        </w:rPr>
        <w:t xml:space="preserve"> tham gia </w:t>
      </w:r>
      <w:r w:rsidRPr="00FC3EFF">
        <w:rPr>
          <w:rFonts w:ascii="Times New Roman" w:hAnsi="Times New Roman" w:cs="Times New Roman"/>
          <w:sz w:val="28"/>
          <w:szCs w:val="28"/>
        </w:rPr>
        <w:t>bồi dưỡng nguồn nhân lực trong lĩnh vực điện hạt nhân</w:t>
      </w:r>
      <w:r w:rsidRPr="00FC3EFF">
        <w:rPr>
          <w:rFonts w:ascii="Times New Roman" w:hAnsi="Times New Roman" w:cs="Times New Roman"/>
          <w:sz w:val="28"/>
          <w:szCs w:val="28"/>
          <w:lang w:val="vi-VN"/>
        </w:rPr>
        <w:t xml:space="preserve"> được các bộ, ngành, </w:t>
      </w:r>
      <w:r w:rsidRPr="00FC3EFF">
        <w:rPr>
          <w:rFonts w:ascii="Times New Roman" w:hAnsi="Times New Roman" w:cs="Times New Roman"/>
          <w:sz w:val="28"/>
          <w:szCs w:val="28"/>
        </w:rPr>
        <w:t>cơ quan nhà nước</w:t>
      </w:r>
      <w:r w:rsidRPr="00FC3EFF">
        <w:rPr>
          <w:rFonts w:ascii="Times New Roman" w:hAnsi="Times New Roman" w:cs="Times New Roman"/>
          <w:sz w:val="28"/>
          <w:szCs w:val="28"/>
          <w:lang w:val="vi-VN"/>
        </w:rPr>
        <w:t xml:space="preserve"> có liên quan cử</w:t>
      </w:r>
      <w:r w:rsidRPr="00FC3EFF">
        <w:rPr>
          <w:rFonts w:ascii="Times New Roman" w:hAnsi="Times New Roman" w:cs="Times New Roman"/>
          <w:iCs/>
          <w:sz w:val="28"/>
          <w:szCs w:val="28"/>
        </w:rPr>
        <w:t xml:space="preserve"> tham gia các khóa đào tạo, bồi dưỡng ngắn hạn trong nước và nước ngoài. Mọi chi phí bồi dưỡng do ngân sách nhà nước bảo đảm và thực hiện theo quy định tài chính hiện hành.</w:t>
      </w:r>
    </w:p>
    <w:p w14:paraId="7D1408A0"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iCs/>
          <w:sz w:val="28"/>
          <w:szCs w:val="28"/>
        </w:rPr>
        <w:t xml:space="preserve">2. </w:t>
      </w:r>
      <w:r w:rsidRPr="00FC3EFF">
        <w:rPr>
          <w:rFonts w:ascii="Times New Roman" w:hAnsi="Times New Roman" w:cs="Times New Roman"/>
          <w:sz w:val="28"/>
          <w:szCs w:val="28"/>
        </w:rPr>
        <w:t xml:space="preserve">Cán bộ quản lý, viên chức, người lao động thuộc phạm vi quản lý của chủ đầu tư nhà máy điện hạt nhân có nhu cầu đào tạo lại, bồi dưỡng </w:t>
      </w:r>
      <w:r w:rsidRPr="00FC3EFF">
        <w:rPr>
          <w:rFonts w:ascii="Times New Roman" w:hAnsi="Times New Roman" w:cs="Times New Roman"/>
          <w:iCs/>
          <w:sz w:val="28"/>
          <w:szCs w:val="28"/>
        </w:rPr>
        <w:t>kiến thức chuyên môn, nghiệp vụ</w:t>
      </w:r>
      <w:r w:rsidRPr="00FC3EFF">
        <w:rPr>
          <w:rFonts w:ascii="Times New Roman" w:hAnsi="Times New Roman" w:cs="Times New Roman"/>
          <w:sz w:val="28"/>
          <w:szCs w:val="28"/>
        </w:rPr>
        <w:t xml:space="preserve"> do chủ đầu tư nhà máy điện hạt nhân </w:t>
      </w:r>
      <w:r w:rsidRPr="00FC3EFF">
        <w:rPr>
          <w:rFonts w:ascii="Times New Roman" w:hAnsi="Times New Roman" w:cs="Times New Roman"/>
          <w:iCs/>
          <w:sz w:val="28"/>
          <w:szCs w:val="28"/>
        </w:rPr>
        <w:t>cử đi và chi trả chi phí”.</w:t>
      </w:r>
    </w:p>
    <w:p w14:paraId="049BCE07" w14:textId="763C5C6D" w:rsidR="00DC7F35" w:rsidRPr="00FC3EFF" w:rsidRDefault="00DC7F35" w:rsidP="00DC7F35">
      <w:pPr>
        <w:spacing w:before="120" w:after="0" w:line="252" w:lineRule="auto"/>
        <w:ind w:firstLine="567"/>
        <w:jc w:val="both"/>
        <w:rPr>
          <w:rFonts w:ascii="Times New Roman" w:hAnsi="Times New Roman" w:cs="Times New Roman"/>
          <w:b/>
          <w:sz w:val="28"/>
          <w:szCs w:val="28"/>
        </w:rPr>
      </w:pPr>
      <w:r>
        <w:rPr>
          <w:rFonts w:ascii="Times New Roman" w:hAnsi="Times New Roman" w:cs="Times New Roman"/>
          <w:b/>
          <w:iCs/>
          <w:sz w:val="28"/>
          <w:szCs w:val="28"/>
        </w:rPr>
        <w:t>3.6</w:t>
      </w:r>
      <w:r w:rsidRPr="00FC3EFF">
        <w:rPr>
          <w:rFonts w:ascii="Times New Roman" w:hAnsi="Times New Roman" w:cs="Times New Roman"/>
          <w:b/>
          <w:iCs/>
          <w:sz w:val="28"/>
          <w:szCs w:val="28"/>
        </w:rPr>
        <w:t xml:space="preserve">. Trách nhiệm </w:t>
      </w:r>
      <w:r w:rsidRPr="00FC3EFF">
        <w:rPr>
          <w:rFonts w:ascii="Times New Roman" w:hAnsi="Times New Roman" w:cs="Times New Roman"/>
          <w:b/>
          <w:sz w:val="28"/>
          <w:szCs w:val="28"/>
        </w:rPr>
        <w:t>của người được hưởng ưu đãi</w:t>
      </w:r>
    </w:p>
    <w:p w14:paraId="683B853C"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1. Người được hưởng ưu đãi theo Nghị định này có trách nhiệm thực hiện đầy đủ nghĩa vụ của mình theo cam kết với chủ đầu tư nhà máy điện hạt nhân trước khi được đi đào tạo.</w:t>
      </w:r>
    </w:p>
    <w:p w14:paraId="4E732C75" w14:textId="77777777" w:rsidR="00DC7F35" w:rsidRPr="00FC3EFF" w:rsidRDefault="00DC7F35" w:rsidP="00DC7F35">
      <w:pPr>
        <w:spacing w:before="120" w:after="0" w:line="252" w:lineRule="auto"/>
        <w:ind w:firstLine="567"/>
        <w:jc w:val="both"/>
        <w:rPr>
          <w:rFonts w:ascii="Times New Roman" w:hAnsi="Times New Roman" w:cs="Times New Roman"/>
          <w:sz w:val="28"/>
          <w:szCs w:val="28"/>
        </w:rPr>
      </w:pPr>
      <w:r w:rsidRPr="00FC3EFF">
        <w:rPr>
          <w:rFonts w:ascii="Times New Roman" w:hAnsi="Times New Roman" w:cs="Times New Roman"/>
          <w:sz w:val="28"/>
          <w:szCs w:val="28"/>
        </w:rPr>
        <w:t xml:space="preserve">2. Trong trường hợp người được hưởng ưu đãi theo Nghị định này đã tốt nghiệp nhưng không về làm việc tại nhà máy điện hạt nhân theo đúng cam kết thì phải bồi hoàn 100% kinh phí đã chi trả, tài trợ. Kinh phí bồi hoàn của </w:t>
      </w:r>
      <w:r w:rsidRPr="00FC3EFF">
        <w:rPr>
          <w:rFonts w:ascii="Times New Roman" w:hAnsi="Times New Roman" w:cs="Times New Roman"/>
          <w:bCs/>
          <w:sz w:val="28"/>
          <w:szCs w:val="28"/>
        </w:rPr>
        <w:t>người được hưởng ưu đãi</w:t>
      </w:r>
      <w:r w:rsidRPr="00FC3EFF">
        <w:rPr>
          <w:rFonts w:ascii="Times New Roman" w:hAnsi="Times New Roman" w:cs="Times New Roman"/>
          <w:sz w:val="28"/>
          <w:szCs w:val="28"/>
        </w:rPr>
        <w:t xml:space="preserve"> </w:t>
      </w:r>
      <w:r w:rsidRPr="00FC3EFF">
        <w:rPr>
          <w:rFonts w:ascii="Times New Roman" w:hAnsi="Times New Roman" w:cs="Times New Roman"/>
          <w:bCs/>
          <w:sz w:val="28"/>
          <w:szCs w:val="28"/>
        </w:rPr>
        <w:t>nộp</w:t>
      </w:r>
      <w:r w:rsidRPr="00FC3EFF">
        <w:rPr>
          <w:rFonts w:ascii="Times New Roman" w:hAnsi="Times New Roman" w:cs="Times New Roman"/>
          <w:sz w:val="28"/>
          <w:szCs w:val="28"/>
        </w:rPr>
        <w:t xml:space="preserve"> về chủ đầu tư nhà máy điện hạt nhân và chủ đầu tư nhà máy điện hạt nhân hoàn trả lại ngân sách nhà nước phần kinh phí đã chi từ nhân sách nhà nước”.</w:t>
      </w:r>
    </w:p>
    <w:p w14:paraId="47A58B26" w14:textId="04A7A841" w:rsidR="0046724C" w:rsidRPr="00742FB3" w:rsidRDefault="0046724C" w:rsidP="00DC7F35">
      <w:pPr>
        <w:widowControl w:val="0"/>
        <w:tabs>
          <w:tab w:val="left" w:leader="dot" w:pos="9072"/>
        </w:tabs>
        <w:suppressAutoHyphens/>
        <w:spacing w:before="120" w:after="0" w:line="252" w:lineRule="auto"/>
        <w:ind w:firstLine="720"/>
        <w:jc w:val="both"/>
        <w:rPr>
          <w:rFonts w:ascii="Times New Roman" w:eastAsia="Times New Roman" w:hAnsi="Times New Roman" w:cs="Times New Roman"/>
          <w:sz w:val="28"/>
          <w:szCs w:val="28"/>
        </w:rPr>
      </w:pPr>
      <w:r w:rsidRPr="00742FB3">
        <w:rPr>
          <w:rFonts w:ascii="Times New Roman" w:eastAsia="Times New Roman" w:hAnsi="Times New Roman" w:cs="Times New Roman"/>
          <w:spacing w:val="2"/>
          <w:sz w:val="28"/>
          <w:szCs w:val="28"/>
        </w:rPr>
        <w:t xml:space="preserve">Trên đây là một số nội dung của </w:t>
      </w:r>
      <w:r w:rsidRPr="00742FB3">
        <w:rPr>
          <w:rFonts w:ascii="Times New Roman" w:hAnsi="Times New Roman" w:cs="Times New Roman"/>
          <w:spacing w:val="2"/>
          <w:sz w:val="28"/>
          <w:szCs w:val="28"/>
        </w:rPr>
        <w:t>Báo cáo tổng kết thi hành Nghị định 124/2013/NĐ-CP và kiến nghị, đề xuất sửa đổi</w:t>
      </w:r>
      <w:r w:rsidRPr="00742FB3">
        <w:rPr>
          <w:rFonts w:ascii="Times New Roman" w:eastAsia="Times New Roman" w:hAnsi="Times New Roman" w:cs="Times New Roman"/>
          <w:spacing w:val="2"/>
          <w:sz w:val="28"/>
          <w:szCs w:val="28"/>
        </w:rPr>
        <w:t>,</w:t>
      </w:r>
      <w:r w:rsidRPr="00742FB3">
        <w:rPr>
          <w:rFonts w:ascii="Times New Roman" w:eastAsia="Times New Roman" w:hAnsi="Times New Roman" w:cs="Times New Roman"/>
          <w:sz w:val="28"/>
          <w:szCs w:val="28"/>
        </w:rPr>
        <w:t xml:space="preserve"> Bộ GDĐT báo cáo và kính trình Chính phủ xem xét, quyết định.</w:t>
      </w:r>
    </w:p>
    <w:p w14:paraId="34D80C25" w14:textId="77777777" w:rsidR="0046724C" w:rsidRPr="00742FB3" w:rsidRDefault="0046724C" w:rsidP="0046724C">
      <w:pPr>
        <w:widowControl w:val="0"/>
        <w:tabs>
          <w:tab w:val="left" w:leader="dot" w:pos="9072"/>
        </w:tabs>
        <w:suppressAutoHyphens/>
        <w:spacing w:before="120" w:after="0" w:line="264" w:lineRule="auto"/>
        <w:ind w:firstLine="720"/>
        <w:jc w:val="both"/>
        <w:rPr>
          <w:rFonts w:ascii="Times New Roman" w:eastAsia="Times New Roman" w:hAnsi="Times New Roman" w:cs="Times New Roman"/>
          <w:noProof/>
          <w:sz w:val="28"/>
          <w:szCs w:val="28"/>
        </w:rPr>
      </w:pPr>
      <w:r w:rsidRPr="00742FB3">
        <w:rPr>
          <w:rFonts w:ascii="Times New Roman" w:eastAsia="Times New Roman" w:hAnsi="Times New Roman" w:cs="Times New Roman"/>
          <w:noProof/>
          <w:sz w:val="28"/>
          <w:szCs w:val="28"/>
        </w:rPr>
        <w:t>Trân trọng./.</w:t>
      </w:r>
    </w:p>
    <w:tbl>
      <w:tblPr>
        <w:tblW w:w="9072" w:type="dxa"/>
        <w:tblInd w:w="426" w:type="dxa"/>
        <w:tblLook w:val="04A0" w:firstRow="1" w:lastRow="0" w:firstColumn="1" w:lastColumn="0" w:noHBand="0" w:noVBand="1"/>
      </w:tblPr>
      <w:tblGrid>
        <w:gridCol w:w="4961"/>
        <w:gridCol w:w="4111"/>
      </w:tblGrid>
      <w:tr w:rsidR="0046724C" w:rsidRPr="00742FB3" w14:paraId="622082D3" w14:textId="77777777" w:rsidTr="004355B4">
        <w:tc>
          <w:tcPr>
            <w:tcW w:w="4961" w:type="dxa"/>
          </w:tcPr>
          <w:p w14:paraId="6AAB9CE0" w14:textId="77777777" w:rsidR="0046724C" w:rsidRPr="00742FB3" w:rsidRDefault="0046724C" w:rsidP="00834D9F">
            <w:pPr>
              <w:widowControl w:val="0"/>
              <w:spacing w:after="0" w:line="276" w:lineRule="auto"/>
              <w:jc w:val="both"/>
              <w:rPr>
                <w:rFonts w:ascii="Times New Roman" w:eastAsia="Times New Roman" w:hAnsi="Times New Roman" w:cs="Times New Roman"/>
                <w:b/>
                <w:bCs/>
                <w:i/>
                <w:iCs/>
              </w:rPr>
            </w:pPr>
            <w:r w:rsidRPr="00742FB3">
              <w:rPr>
                <w:rFonts w:ascii="Times New Roman" w:eastAsia="Times New Roman" w:hAnsi="Times New Roman" w:cs="Times New Roman"/>
                <w:b/>
                <w:bCs/>
                <w:i/>
                <w:iCs/>
              </w:rPr>
              <w:t>Nơi nhận:</w:t>
            </w:r>
          </w:p>
          <w:p w14:paraId="54AE35C9" w14:textId="77777777" w:rsidR="0046724C" w:rsidRPr="00742FB3" w:rsidRDefault="0046724C" w:rsidP="00834D9F">
            <w:pPr>
              <w:widowControl w:val="0"/>
              <w:spacing w:after="0" w:line="240" w:lineRule="auto"/>
              <w:jc w:val="both"/>
              <w:rPr>
                <w:rFonts w:ascii="Times New Roman" w:eastAsia="Times New Roman" w:hAnsi="Times New Roman" w:cs="Times New Roman"/>
              </w:rPr>
            </w:pPr>
            <w:r w:rsidRPr="00742FB3">
              <w:rPr>
                <w:rFonts w:ascii="Times New Roman" w:eastAsia="Times New Roman" w:hAnsi="Times New Roman" w:cs="Times New Roman"/>
              </w:rPr>
              <w:t>- Thủ tướng Chính phủ (để báo cáo);</w:t>
            </w:r>
          </w:p>
          <w:p w14:paraId="3A5235E3" w14:textId="77777777" w:rsidR="0046724C" w:rsidRPr="00742FB3" w:rsidRDefault="0046724C" w:rsidP="00834D9F">
            <w:pPr>
              <w:widowControl w:val="0"/>
              <w:spacing w:after="0" w:line="240" w:lineRule="auto"/>
              <w:jc w:val="both"/>
              <w:rPr>
                <w:rFonts w:ascii="Times New Roman" w:eastAsia="Times New Roman" w:hAnsi="Times New Roman" w:cs="Times New Roman"/>
              </w:rPr>
            </w:pPr>
            <w:r w:rsidRPr="00742FB3">
              <w:rPr>
                <w:rFonts w:ascii="Times New Roman" w:eastAsia="Times New Roman" w:hAnsi="Times New Roman" w:cs="Times New Roman"/>
              </w:rPr>
              <w:t>- Các Phó Thủ tướng Chính phủ (để báo cáo);</w:t>
            </w:r>
          </w:p>
          <w:p w14:paraId="7EEA2572" w14:textId="77777777" w:rsidR="0046724C" w:rsidRPr="00742FB3" w:rsidRDefault="0046724C" w:rsidP="00834D9F">
            <w:pPr>
              <w:widowControl w:val="0"/>
              <w:spacing w:after="0" w:line="240" w:lineRule="auto"/>
              <w:jc w:val="both"/>
              <w:rPr>
                <w:rFonts w:ascii="Times New Roman" w:eastAsia="Times New Roman" w:hAnsi="Times New Roman" w:cs="Times New Roman"/>
              </w:rPr>
            </w:pPr>
            <w:r w:rsidRPr="00742FB3">
              <w:rPr>
                <w:rFonts w:ascii="Times New Roman" w:eastAsia="Times New Roman" w:hAnsi="Times New Roman" w:cs="Times New Roman"/>
              </w:rPr>
              <w:t>- Văn phòng Chính phủ (để phối hợp);</w:t>
            </w:r>
          </w:p>
          <w:p w14:paraId="77AB7A66" w14:textId="77777777" w:rsidR="0046724C" w:rsidRPr="00742FB3" w:rsidRDefault="0046724C" w:rsidP="00834D9F">
            <w:pPr>
              <w:widowControl w:val="0"/>
              <w:spacing w:after="0" w:line="240" w:lineRule="auto"/>
              <w:jc w:val="both"/>
              <w:rPr>
                <w:rFonts w:ascii="Times New Roman" w:eastAsia="Times New Roman" w:hAnsi="Times New Roman" w:cs="Times New Roman"/>
              </w:rPr>
            </w:pPr>
            <w:r w:rsidRPr="00742FB3">
              <w:rPr>
                <w:rFonts w:ascii="Times New Roman" w:eastAsia="Times New Roman" w:hAnsi="Times New Roman" w:cs="Times New Roman"/>
              </w:rPr>
              <w:t>- Lưu: VT, GDĐH.</w:t>
            </w:r>
          </w:p>
          <w:p w14:paraId="0883A227" w14:textId="77777777" w:rsidR="0046724C" w:rsidRPr="00742FB3" w:rsidRDefault="0046724C" w:rsidP="00834D9F">
            <w:pPr>
              <w:widowControl w:val="0"/>
              <w:spacing w:after="0" w:line="276" w:lineRule="auto"/>
              <w:jc w:val="both"/>
              <w:rPr>
                <w:rFonts w:ascii="Times New Roman" w:eastAsia="Times New Roman" w:hAnsi="Times New Roman" w:cs="Times New Roman"/>
                <w:sz w:val="28"/>
                <w:szCs w:val="28"/>
              </w:rPr>
            </w:pPr>
          </w:p>
        </w:tc>
        <w:tc>
          <w:tcPr>
            <w:tcW w:w="4111" w:type="dxa"/>
          </w:tcPr>
          <w:p w14:paraId="3CF078D3" w14:textId="503A5226" w:rsidR="0046724C" w:rsidRDefault="00D91887" w:rsidP="00834D9F">
            <w:pPr>
              <w:widowControl w:val="0"/>
              <w:spacing w:after="0" w:line="276"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KT. </w:t>
            </w:r>
            <w:r w:rsidR="0046724C" w:rsidRPr="00742FB3">
              <w:rPr>
                <w:rFonts w:ascii="Times New Roman" w:eastAsia="Times New Roman" w:hAnsi="Times New Roman" w:cs="Times New Roman"/>
                <w:b/>
                <w:bCs/>
                <w:sz w:val="28"/>
                <w:szCs w:val="28"/>
              </w:rPr>
              <w:t>BỘ TRƯỞNG</w:t>
            </w:r>
          </w:p>
          <w:p w14:paraId="686E6F0B" w14:textId="354F6B07" w:rsidR="00D91887" w:rsidRPr="00742FB3" w:rsidRDefault="00D91887" w:rsidP="00834D9F">
            <w:pPr>
              <w:widowControl w:val="0"/>
              <w:spacing w:after="0" w:line="276"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 TRƯỞNG</w:t>
            </w:r>
          </w:p>
          <w:p w14:paraId="70581B81" w14:textId="77777777" w:rsidR="0046724C" w:rsidRPr="00742FB3" w:rsidRDefault="0046724C" w:rsidP="00834D9F">
            <w:pPr>
              <w:widowControl w:val="0"/>
              <w:spacing w:after="0" w:line="276" w:lineRule="auto"/>
              <w:jc w:val="center"/>
              <w:rPr>
                <w:rFonts w:ascii="Times New Roman" w:eastAsia="Times New Roman" w:hAnsi="Times New Roman" w:cs="Times New Roman"/>
                <w:b/>
                <w:sz w:val="28"/>
                <w:szCs w:val="28"/>
              </w:rPr>
            </w:pPr>
            <w:r w:rsidRPr="00742FB3">
              <w:rPr>
                <w:rFonts w:ascii="Times New Roman" w:eastAsia="Times New Roman" w:hAnsi="Times New Roman" w:cs="Times New Roman"/>
                <w:b/>
                <w:sz w:val="28"/>
                <w:szCs w:val="28"/>
              </w:rPr>
              <w:t xml:space="preserve"> </w:t>
            </w:r>
          </w:p>
          <w:p w14:paraId="7F24106E" w14:textId="77777777" w:rsidR="0046724C" w:rsidRPr="00742FB3" w:rsidRDefault="0046724C" w:rsidP="00834D9F">
            <w:pPr>
              <w:widowControl w:val="0"/>
              <w:spacing w:after="0" w:line="276" w:lineRule="auto"/>
              <w:jc w:val="center"/>
              <w:rPr>
                <w:rFonts w:ascii="Times New Roman" w:eastAsia="Times New Roman" w:hAnsi="Times New Roman" w:cs="Times New Roman"/>
                <w:b/>
                <w:sz w:val="28"/>
                <w:szCs w:val="28"/>
              </w:rPr>
            </w:pPr>
          </w:p>
          <w:p w14:paraId="259753CF" w14:textId="77777777" w:rsidR="0046724C" w:rsidRPr="00742FB3" w:rsidRDefault="0046724C" w:rsidP="00834D9F">
            <w:pPr>
              <w:widowControl w:val="0"/>
              <w:spacing w:after="0" w:line="276" w:lineRule="auto"/>
              <w:rPr>
                <w:rFonts w:ascii="Times New Roman" w:eastAsia="Times New Roman" w:hAnsi="Times New Roman" w:cs="Times New Roman"/>
                <w:b/>
                <w:sz w:val="28"/>
                <w:szCs w:val="28"/>
              </w:rPr>
            </w:pPr>
          </w:p>
          <w:p w14:paraId="3976EBD0" w14:textId="77777777" w:rsidR="0046724C" w:rsidRPr="00742FB3" w:rsidRDefault="0046724C" w:rsidP="00834D9F">
            <w:pPr>
              <w:widowControl w:val="0"/>
              <w:spacing w:after="0" w:line="276" w:lineRule="auto"/>
              <w:jc w:val="center"/>
              <w:rPr>
                <w:rFonts w:ascii="Times New Roman" w:eastAsia="Times New Roman" w:hAnsi="Times New Roman" w:cs="Times New Roman"/>
                <w:b/>
                <w:sz w:val="28"/>
                <w:szCs w:val="28"/>
              </w:rPr>
            </w:pPr>
          </w:p>
          <w:p w14:paraId="42EEE6FE" w14:textId="3B4035C9" w:rsidR="0046724C" w:rsidRPr="00742FB3" w:rsidRDefault="00DC7F35" w:rsidP="00DC7F35">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Nguyễn </w:t>
            </w:r>
            <w:r w:rsidR="00D91887">
              <w:rPr>
                <w:rFonts w:ascii="Times New Roman" w:eastAsia="Times New Roman" w:hAnsi="Times New Roman" w:cs="Times New Roman"/>
                <w:b/>
                <w:sz w:val="28"/>
                <w:szCs w:val="28"/>
              </w:rPr>
              <w:t>Văn Phúc</w:t>
            </w:r>
          </w:p>
        </w:tc>
      </w:tr>
    </w:tbl>
    <w:p w14:paraId="267D6D46" w14:textId="77777777" w:rsidR="00DC7F35" w:rsidRDefault="00DC7F35" w:rsidP="00FC6961">
      <w:pPr>
        <w:pStyle w:val="BodyText"/>
        <w:spacing w:before="120" w:after="0" w:line="288" w:lineRule="auto"/>
        <w:ind w:firstLine="0"/>
        <w:rPr>
          <w:b/>
          <w:bCs/>
          <w:szCs w:val="28"/>
        </w:rPr>
      </w:pPr>
    </w:p>
    <w:p w14:paraId="0CDA0AFA" w14:textId="77777777" w:rsidR="00DC7F35" w:rsidRDefault="00DC7F35" w:rsidP="00FC6961">
      <w:pPr>
        <w:pStyle w:val="BodyText"/>
        <w:spacing w:before="120" w:after="0" w:line="288" w:lineRule="auto"/>
        <w:ind w:firstLine="0"/>
        <w:rPr>
          <w:b/>
          <w:bCs/>
          <w:szCs w:val="28"/>
        </w:rPr>
      </w:pPr>
    </w:p>
    <w:p w14:paraId="75E7A85B" w14:textId="77777777" w:rsidR="00DC7F35" w:rsidRDefault="00DC7F35" w:rsidP="00FC6961">
      <w:pPr>
        <w:pStyle w:val="BodyText"/>
        <w:spacing w:before="120" w:after="0" w:line="288" w:lineRule="auto"/>
        <w:ind w:firstLine="0"/>
        <w:rPr>
          <w:b/>
          <w:bCs/>
          <w:szCs w:val="28"/>
        </w:rPr>
      </w:pPr>
    </w:p>
    <w:p w14:paraId="57713739" w14:textId="77777777" w:rsidR="00DC7F35" w:rsidRDefault="00DC7F35" w:rsidP="00FC6961">
      <w:pPr>
        <w:pStyle w:val="BodyText"/>
        <w:spacing w:before="120" w:after="0" w:line="288" w:lineRule="auto"/>
        <w:ind w:firstLine="0"/>
        <w:rPr>
          <w:b/>
          <w:bCs/>
          <w:szCs w:val="28"/>
        </w:rPr>
      </w:pPr>
    </w:p>
    <w:p w14:paraId="59D69268" w14:textId="77777777" w:rsidR="00D91887" w:rsidRPr="00742FB3" w:rsidRDefault="00D91887" w:rsidP="00D91887">
      <w:pPr>
        <w:pStyle w:val="BodyText"/>
        <w:spacing w:before="120" w:after="0" w:line="288" w:lineRule="auto"/>
        <w:ind w:firstLine="0"/>
        <w:rPr>
          <w:b/>
          <w:bCs/>
          <w:szCs w:val="28"/>
        </w:rPr>
      </w:pPr>
      <w:r w:rsidRPr="00742FB3">
        <w:rPr>
          <w:b/>
          <w:bCs/>
          <w:szCs w:val="28"/>
        </w:rPr>
        <w:t>BỘ GIÁO DỤC VÀ ĐÀO TẠO</w:t>
      </w:r>
    </w:p>
    <w:p w14:paraId="17BB835D" w14:textId="77777777" w:rsidR="00D91887" w:rsidRPr="00742FB3" w:rsidRDefault="00D91887" w:rsidP="00D91887">
      <w:pPr>
        <w:pStyle w:val="BodyText"/>
        <w:spacing w:before="120" w:after="0" w:line="288" w:lineRule="auto"/>
        <w:ind w:firstLine="0"/>
        <w:jc w:val="center"/>
        <w:rPr>
          <w:b/>
          <w:szCs w:val="28"/>
          <w:lang w:eastAsia="vi-VN"/>
        </w:rPr>
      </w:pPr>
      <w:r w:rsidRPr="00742FB3">
        <w:rPr>
          <w:b/>
          <w:szCs w:val="28"/>
          <w:lang w:eastAsia="vi-VN"/>
        </w:rPr>
        <w:t xml:space="preserve">PHỤ LỤC </w:t>
      </w:r>
    </w:p>
    <w:p w14:paraId="0FAB49A0" w14:textId="77777777" w:rsidR="00D91887" w:rsidRPr="00D91887" w:rsidRDefault="00D91887" w:rsidP="00D91887">
      <w:pPr>
        <w:spacing w:after="0" w:line="240" w:lineRule="auto"/>
        <w:jc w:val="both"/>
        <w:rPr>
          <w:rFonts w:ascii="Times New Roman" w:hAnsi="Times New Roman" w:cs="Times New Roman"/>
          <w:b/>
          <w:sz w:val="28"/>
          <w:szCs w:val="28"/>
        </w:rPr>
      </w:pPr>
      <w:r w:rsidRPr="00D91887">
        <w:rPr>
          <w:rFonts w:ascii="Times New Roman" w:hAnsi="Times New Roman" w:cs="Times New Roman"/>
          <w:b/>
          <w:sz w:val="28"/>
          <w:szCs w:val="28"/>
        </w:rPr>
        <w:t xml:space="preserve">1. Chủ trương, đường lối của Đảng liên quan đến Nghị định </w:t>
      </w:r>
    </w:p>
    <w:tbl>
      <w:tblPr>
        <w:tblStyle w:val="TableGrid"/>
        <w:tblW w:w="9351" w:type="dxa"/>
        <w:tblLook w:val="04A0" w:firstRow="1" w:lastRow="0" w:firstColumn="1" w:lastColumn="0" w:noHBand="0" w:noVBand="1"/>
      </w:tblPr>
      <w:tblGrid>
        <w:gridCol w:w="2689"/>
        <w:gridCol w:w="2693"/>
        <w:gridCol w:w="1984"/>
        <w:gridCol w:w="1985"/>
      </w:tblGrid>
      <w:tr w:rsidR="00D91887" w:rsidRPr="00D91887" w14:paraId="3417ACDA" w14:textId="77777777" w:rsidTr="00636F1F">
        <w:tc>
          <w:tcPr>
            <w:tcW w:w="2689" w:type="dxa"/>
          </w:tcPr>
          <w:p w14:paraId="39343380" w14:textId="77777777" w:rsidR="00D91887" w:rsidRPr="00D91887" w:rsidRDefault="00D91887" w:rsidP="00636F1F">
            <w:pPr>
              <w:spacing w:before="40" w:after="40"/>
              <w:jc w:val="center"/>
              <w:rPr>
                <w:b/>
                <w:sz w:val="28"/>
                <w:szCs w:val="28"/>
              </w:rPr>
            </w:pPr>
            <w:r w:rsidRPr="00D91887">
              <w:rPr>
                <w:b/>
                <w:sz w:val="28"/>
                <w:szCs w:val="28"/>
              </w:rPr>
              <w:t>CHÍNH SÁCH/ QUY ĐỊNH CỦA DỰ THẢO</w:t>
            </w:r>
          </w:p>
        </w:tc>
        <w:tc>
          <w:tcPr>
            <w:tcW w:w="2693" w:type="dxa"/>
          </w:tcPr>
          <w:p w14:paraId="22A88E11" w14:textId="77777777" w:rsidR="00D91887" w:rsidRPr="00D91887" w:rsidRDefault="00D91887" w:rsidP="00636F1F">
            <w:pPr>
              <w:spacing w:before="40" w:after="40"/>
              <w:jc w:val="center"/>
              <w:rPr>
                <w:b/>
                <w:sz w:val="28"/>
                <w:szCs w:val="28"/>
              </w:rPr>
            </w:pPr>
            <w:r w:rsidRPr="00D91887">
              <w:rPr>
                <w:b/>
                <w:sz w:val="28"/>
                <w:szCs w:val="28"/>
              </w:rPr>
              <w:t xml:space="preserve">CHỦ TRƯƠNG, ĐƯỜNG LỐI CỦA ĐẢNG </w:t>
            </w:r>
          </w:p>
        </w:tc>
        <w:tc>
          <w:tcPr>
            <w:tcW w:w="1984" w:type="dxa"/>
          </w:tcPr>
          <w:p w14:paraId="375EF07A" w14:textId="77777777" w:rsidR="00D91887" w:rsidRPr="00D91887" w:rsidRDefault="00D91887" w:rsidP="00636F1F">
            <w:pPr>
              <w:spacing w:before="40" w:after="40"/>
              <w:jc w:val="center"/>
              <w:rPr>
                <w:b/>
                <w:sz w:val="28"/>
                <w:szCs w:val="28"/>
              </w:rPr>
            </w:pPr>
            <w:r w:rsidRPr="00D91887">
              <w:rPr>
                <w:b/>
                <w:sz w:val="28"/>
                <w:szCs w:val="28"/>
              </w:rPr>
              <w:t>ĐÁNH GIÁ (Đã thể chế đầy đủ hoặc một phần)</w:t>
            </w:r>
          </w:p>
        </w:tc>
        <w:tc>
          <w:tcPr>
            <w:tcW w:w="1985" w:type="dxa"/>
          </w:tcPr>
          <w:p w14:paraId="503C4B0A" w14:textId="77777777" w:rsidR="00D91887" w:rsidRPr="00D91887" w:rsidRDefault="00D91887" w:rsidP="00636F1F">
            <w:pPr>
              <w:spacing w:before="40" w:after="40"/>
              <w:jc w:val="center"/>
              <w:rPr>
                <w:b/>
                <w:sz w:val="28"/>
                <w:szCs w:val="28"/>
              </w:rPr>
            </w:pPr>
            <w:r w:rsidRPr="00D91887">
              <w:rPr>
                <w:b/>
                <w:sz w:val="28"/>
                <w:szCs w:val="28"/>
              </w:rPr>
              <w:t xml:space="preserve">ĐỀ XUẤT XỬ LÝ </w:t>
            </w:r>
          </w:p>
        </w:tc>
      </w:tr>
      <w:tr w:rsidR="00D91887" w:rsidRPr="00D91887" w14:paraId="33120F94" w14:textId="77777777" w:rsidTr="00636F1F">
        <w:tc>
          <w:tcPr>
            <w:tcW w:w="2689" w:type="dxa"/>
          </w:tcPr>
          <w:p w14:paraId="0B4F0875" w14:textId="77777777" w:rsidR="00D91887" w:rsidRPr="00D91887" w:rsidRDefault="00D91887" w:rsidP="00636F1F">
            <w:pPr>
              <w:spacing w:before="40" w:after="4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693" w:type="dxa"/>
          </w:tcPr>
          <w:p w14:paraId="72041B23" w14:textId="77777777" w:rsidR="00D91887" w:rsidRPr="00D91887" w:rsidRDefault="00D91887" w:rsidP="00636F1F">
            <w:pPr>
              <w:autoSpaceDE w:val="0"/>
              <w:autoSpaceDN w:val="0"/>
              <w:adjustRightInd w:val="0"/>
              <w:spacing w:before="40" w:after="40"/>
              <w:jc w:val="both"/>
              <w:rPr>
                <w:b/>
                <w:sz w:val="28"/>
                <w:szCs w:val="28"/>
              </w:rPr>
            </w:pPr>
            <w:r w:rsidRPr="00D91887">
              <w:rPr>
                <w:sz w:val="28"/>
                <w:szCs w:val="28"/>
                <w:lang w:val="vi"/>
              </w:rPr>
              <w:t xml:space="preserve">Nghị quyết số 55-NQ/TW ngày 11 tháng 02 năm 2020 của Bộ Chính trị về định hướng </w:t>
            </w:r>
            <w:r w:rsidRPr="00D91887">
              <w:rPr>
                <w:rFonts w:eastAsia="Times New Roman,Italic"/>
                <w:iCs/>
                <w:sz w:val="28"/>
                <w:szCs w:val="28"/>
                <w:lang w:val="vi"/>
              </w:rPr>
              <w:t>Chiến lược phát triển năng lượng quốc gia của Việt Nam đến năm 2030, tầm nhìn đến năm 2045 đã nêu rõ</w:t>
            </w:r>
            <w:r w:rsidRPr="00D91887">
              <w:rPr>
                <w:sz w:val="28"/>
                <w:szCs w:val="28"/>
                <w:lang w:val="vi"/>
              </w:rPr>
              <w:t>: “</w:t>
            </w:r>
            <w:r w:rsidRPr="00D91887">
              <w:rPr>
                <w:rFonts w:eastAsia="Times New Roman,Italic"/>
                <w:iCs/>
                <w:sz w:val="28"/>
                <w:szCs w:val="28"/>
                <w:lang w:val="vi"/>
              </w:rPr>
              <w:t xml:space="preserve">Sử dụng có hiệu quả nguồn nhân lực đã được đào tạo về năng lượng hạt nhân đi đôi với đào tạo nâng cao” </w:t>
            </w:r>
            <w:r w:rsidRPr="00D91887">
              <w:rPr>
                <w:sz w:val="28"/>
                <w:szCs w:val="28"/>
                <w:lang w:val="vi"/>
              </w:rPr>
              <w:t xml:space="preserve">và </w:t>
            </w:r>
            <w:r w:rsidRPr="00D91887">
              <w:rPr>
                <w:rFonts w:eastAsia="Times New Roman,Italic"/>
                <w:iCs/>
                <w:sz w:val="28"/>
                <w:szCs w:val="28"/>
                <w:lang w:val="vi"/>
              </w:rPr>
              <w:t>“Khẩn trươ</w:t>
            </w:r>
            <w:r w:rsidRPr="00D91887">
              <w:rPr>
                <w:iCs/>
                <w:sz w:val="28"/>
                <w:szCs w:val="28"/>
                <w:lang w:val="vi"/>
              </w:rPr>
              <w:t xml:space="preserve">ng </w:t>
            </w:r>
            <w:r w:rsidRPr="00D91887">
              <w:rPr>
                <w:rFonts w:eastAsia="Times New Roman,Italic"/>
                <w:iCs/>
                <w:sz w:val="28"/>
                <w:szCs w:val="28"/>
                <w:lang w:val="vi"/>
              </w:rPr>
              <w:t>triển khai các cam kết quốc tế trong việc nghiên cứu ứng dụng năng lượng hạt nhân cho mục đích hoà bình”</w:t>
            </w:r>
            <w:r w:rsidRPr="00D91887">
              <w:rPr>
                <w:iCs/>
                <w:sz w:val="28"/>
                <w:szCs w:val="28"/>
                <w:lang w:val="vi"/>
              </w:rPr>
              <w:t>.</w:t>
            </w:r>
          </w:p>
        </w:tc>
        <w:tc>
          <w:tcPr>
            <w:tcW w:w="1984" w:type="dxa"/>
          </w:tcPr>
          <w:p w14:paraId="2291F51E" w14:textId="77777777" w:rsidR="00D91887" w:rsidRPr="00D91887" w:rsidRDefault="00D91887" w:rsidP="00636F1F">
            <w:pPr>
              <w:spacing w:before="40" w:after="40"/>
              <w:jc w:val="both"/>
              <w:rPr>
                <w:sz w:val="28"/>
                <w:szCs w:val="28"/>
              </w:rPr>
            </w:pPr>
            <w:r w:rsidRPr="00D91887">
              <w:rPr>
                <w:sz w:val="28"/>
                <w:szCs w:val="28"/>
              </w:rPr>
              <w:t>Đã thể chế đầy đủ liên quan đến chính sách dự kiến banh hành</w:t>
            </w:r>
          </w:p>
        </w:tc>
        <w:tc>
          <w:tcPr>
            <w:tcW w:w="1985" w:type="dxa"/>
          </w:tcPr>
          <w:p w14:paraId="54754CD9" w14:textId="77777777" w:rsidR="00D91887" w:rsidRPr="00D91887" w:rsidRDefault="00D91887" w:rsidP="00636F1F">
            <w:pPr>
              <w:spacing w:before="40" w:after="40"/>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4D724123" w14:textId="77777777" w:rsidTr="00636F1F">
        <w:tc>
          <w:tcPr>
            <w:tcW w:w="2689" w:type="dxa"/>
          </w:tcPr>
          <w:p w14:paraId="56EC6613" w14:textId="77777777" w:rsidR="00D91887" w:rsidRPr="00D91887" w:rsidRDefault="00D91887" w:rsidP="00636F1F">
            <w:pPr>
              <w:spacing w:before="40" w:after="40"/>
              <w:jc w:val="both"/>
              <w:rPr>
                <w:b/>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693" w:type="dxa"/>
          </w:tcPr>
          <w:p w14:paraId="4614C16A" w14:textId="77777777" w:rsidR="00D91887" w:rsidRPr="00D91887" w:rsidRDefault="00D91887" w:rsidP="00636F1F">
            <w:pPr>
              <w:spacing w:before="40" w:after="40"/>
              <w:jc w:val="both"/>
              <w:rPr>
                <w:sz w:val="28"/>
                <w:szCs w:val="28"/>
              </w:rPr>
            </w:pPr>
            <w:r w:rsidRPr="00D91887">
              <w:rPr>
                <w:sz w:val="28"/>
                <w:szCs w:val="28"/>
              </w:rPr>
              <w:t xml:space="preserve">Nghị quyết số 57-NQ/TW của Bộ Chính trị về đột phá phát triển khoa học, công nghệ, đổi mới sáng tạo và chuyển đổi số quốc gia. </w:t>
            </w:r>
          </w:p>
        </w:tc>
        <w:tc>
          <w:tcPr>
            <w:tcW w:w="1984" w:type="dxa"/>
          </w:tcPr>
          <w:p w14:paraId="254CE989" w14:textId="77777777" w:rsidR="00D91887" w:rsidRPr="00D91887" w:rsidRDefault="00D91887" w:rsidP="00636F1F">
            <w:pPr>
              <w:spacing w:before="40" w:after="40"/>
              <w:jc w:val="both"/>
              <w:rPr>
                <w:b/>
                <w:sz w:val="28"/>
                <w:szCs w:val="28"/>
              </w:rPr>
            </w:pPr>
            <w:r w:rsidRPr="00D91887">
              <w:rPr>
                <w:sz w:val="28"/>
                <w:szCs w:val="28"/>
              </w:rPr>
              <w:t>Đã thể chế đầy đủ liên quan đến chính sách dự kiến banh hành</w:t>
            </w:r>
          </w:p>
        </w:tc>
        <w:tc>
          <w:tcPr>
            <w:tcW w:w="1985" w:type="dxa"/>
          </w:tcPr>
          <w:p w14:paraId="12A7E113" w14:textId="77777777" w:rsidR="00D91887" w:rsidRPr="00D91887" w:rsidRDefault="00D91887" w:rsidP="00636F1F">
            <w:pPr>
              <w:spacing w:before="40" w:after="40"/>
              <w:jc w:val="both"/>
              <w:rPr>
                <w:b/>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630A6018" w14:textId="77777777" w:rsidTr="00636F1F">
        <w:tc>
          <w:tcPr>
            <w:tcW w:w="2689" w:type="dxa"/>
          </w:tcPr>
          <w:p w14:paraId="3339AE23" w14:textId="77777777" w:rsidR="00D91887" w:rsidRPr="00D91887" w:rsidRDefault="00D91887" w:rsidP="00636F1F">
            <w:pPr>
              <w:spacing w:before="40" w:after="40"/>
              <w:jc w:val="both"/>
              <w:rPr>
                <w:b/>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693" w:type="dxa"/>
          </w:tcPr>
          <w:p w14:paraId="46DA4710" w14:textId="77777777" w:rsidR="00D91887" w:rsidRPr="00D91887" w:rsidRDefault="00D91887" w:rsidP="00636F1F">
            <w:pPr>
              <w:spacing w:before="40" w:after="40"/>
              <w:jc w:val="both"/>
              <w:rPr>
                <w:sz w:val="28"/>
                <w:szCs w:val="28"/>
              </w:rPr>
            </w:pPr>
            <w:r w:rsidRPr="00D91887">
              <w:rPr>
                <w:sz w:val="28"/>
                <w:szCs w:val="28"/>
              </w:rPr>
              <w:t xml:space="preserve">Nghị quyết số 71-NQ/TW ngày 22/8/2025 của Bộ Chính trị về đột phá phát triển giáo dục và đào tạo. </w:t>
            </w:r>
          </w:p>
        </w:tc>
        <w:tc>
          <w:tcPr>
            <w:tcW w:w="1984" w:type="dxa"/>
          </w:tcPr>
          <w:p w14:paraId="3EE4FC31" w14:textId="77777777" w:rsidR="00D91887" w:rsidRPr="00D91887" w:rsidRDefault="00D91887" w:rsidP="00636F1F">
            <w:pPr>
              <w:spacing w:before="40" w:after="40"/>
              <w:jc w:val="both"/>
              <w:rPr>
                <w:b/>
                <w:sz w:val="28"/>
                <w:szCs w:val="28"/>
              </w:rPr>
            </w:pPr>
            <w:r w:rsidRPr="00D91887">
              <w:rPr>
                <w:sz w:val="28"/>
                <w:szCs w:val="28"/>
              </w:rPr>
              <w:t>Đã thể chế đầy đủ liên quan đến chính sách dự kiến banh hành</w:t>
            </w:r>
          </w:p>
        </w:tc>
        <w:tc>
          <w:tcPr>
            <w:tcW w:w="1985" w:type="dxa"/>
          </w:tcPr>
          <w:p w14:paraId="71ABB34C" w14:textId="77777777" w:rsidR="00D91887" w:rsidRPr="00D91887" w:rsidRDefault="00D91887" w:rsidP="00636F1F">
            <w:pPr>
              <w:spacing w:before="40" w:after="40"/>
              <w:jc w:val="both"/>
              <w:rPr>
                <w:b/>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2CB517D1" w14:textId="77777777" w:rsidTr="00636F1F">
        <w:tc>
          <w:tcPr>
            <w:tcW w:w="2689" w:type="dxa"/>
          </w:tcPr>
          <w:p w14:paraId="201571BB" w14:textId="77777777" w:rsidR="00D91887" w:rsidRPr="00D91887" w:rsidRDefault="00D91887" w:rsidP="00636F1F">
            <w:pPr>
              <w:spacing w:before="40" w:after="40"/>
              <w:jc w:val="both"/>
              <w:rPr>
                <w:b/>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693" w:type="dxa"/>
          </w:tcPr>
          <w:p w14:paraId="71B8D3D2" w14:textId="77777777" w:rsidR="00D91887" w:rsidRPr="00D91887" w:rsidRDefault="00D91887" w:rsidP="00636F1F">
            <w:pPr>
              <w:shd w:val="clear" w:color="auto" w:fill="FFFFFF"/>
              <w:spacing w:before="40" w:after="40"/>
              <w:rPr>
                <w:rFonts w:eastAsia="Times New Roman"/>
                <w:sz w:val="28"/>
                <w:szCs w:val="28"/>
                <w:lang w:val="vi-VN" w:eastAsia="en-US"/>
              </w:rPr>
            </w:pPr>
            <w:r w:rsidRPr="00D91887">
              <w:rPr>
                <w:rFonts w:eastAsia="Times New Roman"/>
                <w:bCs/>
                <w:sz w:val="28"/>
                <w:szCs w:val="28"/>
                <w:lang w:val="vi-VN" w:eastAsia="en-US"/>
              </w:rPr>
              <w:t>Nghị quyết số</w:t>
            </w:r>
            <w:r w:rsidRPr="00D91887">
              <w:rPr>
                <w:rFonts w:eastAsia="Times New Roman"/>
                <w:sz w:val="28"/>
                <w:szCs w:val="28"/>
                <w:lang w:val="vi-VN" w:eastAsia="en-US"/>
              </w:rPr>
              <w:t> 70-NQ/TW ngày 20/8/2025 </w:t>
            </w:r>
            <w:r w:rsidRPr="00D91887">
              <w:rPr>
                <w:rFonts w:eastAsia="Times New Roman"/>
                <w:bCs/>
                <w:sz w:val="28"/>
                <w:szCs w:val="28"/>
                <w:lang w:val="vi-VN" w:eastAsia="en-US"/>
              </w:rPr>
              <w:t>của</w:t>
            </w:r>
            <w:r w:rsidRPr="00D91887">
              <w:rPr>
                <w:rFonts w:eastAsia="Times New Roman"/>
                <w:sz w:val="28"/>
                <w:szCs w:val="28"/>
                <w:lang w:val="vi-VN" w:eastAsia="en-US"/>
              </w:rPr>
              <w:t xml:space="preserve"> Bộ Chính </w:t>
            </w:r>
            <w:r w:rsidRPr="00D91887">
              <w:rPr>
                <w:rFonts w:eastAsia="Times New Roman"/>
                <w:sz w:val="28"/>
                <w:szCs w:val="28"/>
                <w:lang w:eastAsia="en-US"/>
              </w:rPr>
              <w:t>t</w:t>
            </w:r>
            <w:r w:rsidRPr="00D91887">
              <w:rPr>
                <w:rFonts w:eastAsia="Times New Roman"/>
                <w:sz w:val="28"/>
                <w:szCs w:val="28"/>
                <w:lang w:val="vi-VN" w:eastAsia="en-US"/>
              </w:rPr>
              <w:t>rị </w:t>
            </w:r>
            <w:r w:rsidRPr="00D91887">
              <w:rPr>
                <w:rFonts w:eastAsia="Times New Roman"/>
                <w:bCs/>
                <w:sz w:val="28"/>
                <w:szCs w:val="28"/>
                <w:lang w:val="vi-VN" w:eastAsia="en-US"/>
              </w:rPr>
              <w:t>về</w:t>
            </w:r>
            <w:r w:rsidRPr="00D91887">
              <w:rPr>
                <w:rFonts w:eastAsia="Times New Roman"/>
                <w:sz w:val="28"/>
                <w:szCs w:val="28"/>
                <w:lang w:val="vi-VN" w:eastAsia="en-US"/>
              </w:rPr>
              <w:t> bảo đảm an ninh năng lượng quốc gia đến năm 2030, tầm nhìn đến năm 2045.</w:t>
            </w:r>
          </w:p>
        </w:tc>
        <w:tc>
          <w:tcPr>
            <w:tcW w:w="1984" w:type="dxa"/>
          </w:tcPr>
          <w:p w14:paraId="5AA304AA" w14:textId="77777777" w:rsidR="00D91887" w:rsidRPr="00D91887" w:rsidRDefault="00D91887" w:rsidP="00636F1F">
            <w:pPr>
              <w:spacing w:before="40" w:after="40"/>
              <w:jc w:val="both"/>
              <w:rPr>
                <w:b/>
                <w:sz w:val="28"/>
                <w:szCs w:val="28"/>
              </w:rPr>
            </w:pPr>
            <w:r w:rsidRPr="00D91887">
              <w:rPr>
                <w:b/>
                <w:sz w:val="28"/>
                <w:szCs w:val="28"/>
              </w:rPr>
              <w:t xml:space="preserve"> </w:t>
            </w:r>
            <w:r w:rsidRPr="00D91887">
              <w:rPr>
                <w:sz w:val="28"/>
                <w:szCs w:val="28"/>
              </w:rPr>
              <w:t>Đã thể chế đầy đủ liên quan đến chính sách dự kiến banh hành</w:t>
            </w:r>
          </w:p>
        </w:tc>
        <w:tc>
          <w:tcPr>
            <w:tcW w:w="1985" w:type="dxa"/>
          </w:tcPr>
          <w:p w14:paraId="3AF6E4D2" w14:textId="77777777" w:rsidR="00D91887" w:rsidRPr="00D91887" w:rsidRDefault="00D91887" w:rsidP="00636F1F">
            <w:pPr>
              <w:spacing w:before="40" w:after="40"/>
              <w:jc w:val="both"/>
              <w:rPr>
                <w:b/>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1035724D" w14:textId="77777777" w:rsidTr="00636F1F">
        <w:tc>
          <w:tcPr>
            <w:tcW w:w="2689" w:type="dxa"/>
          </w:tcPr>
          <w:p w14:paraId="3A5F8A5D" w14:textId="77777777" w:rsidR="00D91887" w:rsidRPr="00D91887" w:rsidRDefault="00D91887" w:rsidP="00636F1F">
            <w:pPr>
              <w:spacing w:before="40" w:after="40"/>
              <w:jc w:val="both"/>
              <w:rPr>
                <w:b/>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693" w:type="dxa"/>
          </w:tcPr>
          <w:p w14:paraId="7E4BD8AA" w14:textId="77777777" w:rsidR="00D91887" w:rsidRPr="00D91887" w:rsidRDefault="00D91887" w:rsidP="00636F1F">
            <w:pPr>
              <w:spacing w:before="40" w:after="40"/>
              <w:jc w:val="both"/>
              <w:rPr>
                <w:sz w:val="28"/>
                <w:szCs w:val="28"/>
              </w:rPr>
            </w:pPr>
            <w:r w:rsidRPr="00D91887">
              <w:rPr>
                <w:rFonts w:eastAsia="Times New Roman"/>
                <w:bCs/>
                <w:sz w:val="28"/>
                <w:szCs w:val="28"/>
                <w:lang w:val="vi-VN" w:eastAsia="en-US"/>
              </w:rPr>
              <w:t>Nghị quyết số</w:t>
            </w:r>
            <w:r w:rsidRPr="00D91887">
              <w:rPr>
                <w:rFonts w:eastAsia="Times New Roman"/>
                <w:sz w:val="28"/>
                <w:szCs w:val="28"/>
                <w:lang w:val="vi-VN" w:eastAsia="en-US"/>
              </w:rPr>
              <w:t> </w:t>
            </w:r>
            <w:r w:rsidRPr="00D91887">
              <w:rPr>
                <w:sz w:val="28"/>
                <w:szCs w:val="28"/>
              </w:rPr>
              <w:t xml:space="preserve"> 55-NQ/TW ngày 11/2/2020 của Bộ CHính trị về Về định hướng Chiến lược phát triển năng lượng quốc gia của Việt Nam đến năm 2030, tầm nhìn đến năm 2045</w:t>
            </w:r>
          </w:p>
        </w:tc>
        <w:tc>
          <w:tcPr>
            <w:tcW w:w="1984" w:type="dxa"/>
          </w:tcPr>
          <w:p w14:paraId="3EC3EB84" w14:textId="77777777" w:rsidR="00D91887" w:rsidRPr="00D91887" w:rsidRDefault="00D91887" w:rsidP="00636F1F">
            <w:pPr>
              <w:spacing w:before="40" w:after="40"/>
              <w:jc w:val="both"/>
              <w:rPr>
                <w:b/>
                <w:sz w:val="28"/>
                <w:szCs w:val="28"/>
              </w:rPr>
            </w:pPr>
            <w:r w:rsidRPr="00D91887">
              <w:rPr>
                <w:sz w:val="28"/>
                <w:szCs w:val="28"/>
              </w:rPr>
              <w:t>Đã thể chế đầy đủ liên quan đến chính sách dự kiến banh hành</w:t>
            </w:r>
          </w:p>
        </w:tc>
        <w:tc>
          <w:tcPr>
            <w:tcW w:w="1985" w:type="dxa"/>
          </w:tcPr>
          <w:p w14:paraId="7D2F073C" w14:textId="77777777" w:rsidR="00D91887" w:rsidRPr="00D91887" w:rsidRDefault="00D91887" w:rsidP="00636F1F">
            <w:pPr>
              <w:spacing w:before="40" w:after="40"/>
              <w:jc w:val="both"/>
              <w:rPr>
                <w:b/>
                <w:sz w:val="28"/>
                <w:szCs w:val="28"/>
              </w:rPr>
            </w:pPr>
            <w:r w:rsidRPr="00D91887">
              <w:rPr>
                <w:sz w:val="28"/>
                <w:szCs w:val="28"/>
              </w:rPr>
              <w:t>Đề nghị ban hành để kịp thời phục vụ đào tạo nguồn nhận lực phát triển nhà máy điện hạt nhân</w:t>
            </w:r>
          </w:p>
        </w:tc>
      </w:tr>
    </w:tbl>
    <w:p w14:paraId="6D6E9DDB" w14:textId="77777777" w:rsidR="00D91887" w:rsidRPr="00D91887" w:rsidRDefault="00D91887" w:rsidP="00D91887">
      <w:pPr>
        <w:spacing w:after="0" w:line="240" w:lineRule="auto"/>
        <w:jc w:val="both"/>
        <w:rPr>
          <w:rFonts w:ascii="Times New Roman" w:hAnsi="Times New Roman" w:cs="Times New Roman"/>
          <w:sz w:val="28"/>
          <w:szCs w:val="28"/>
        </w:rPr>
      </w:pPr>
    </w:p>
    <w:p w14:paraId="47AAC901" w14:textId="77777777" w:rsidR="00D91887" w:rsidRPr="00D91887" w:rsidRDefault="00D91887" w:rsidP="00D91887">
      <w:pPr>
        <w:spacing w:after="0" w:line="240" w:lineRule="auto"/>
        <w:jc w:val="both"/>
        <w:rPr>
          <w:rFonts w:ascii="Times New Roman" w:hAnsi="Times New Roman" w:cs="Times New Roman"/>
          <w:b/>
          <w:sz w:val="28"/>
          <w:szCs w:val="28"/>
        </w:rPr>
      </w:pPr>
      <w:r w:rsidRPr="00D91887">
        <w:rPr>
          <w:rFonts w:ascii="Times New Roman" w:hAnsi="Times New Roman" w:cs="Times New Roman"/>
          <w:b/>
          <w:sz w:val="28"/>
          <w:szCs w:val="28"/>
        </w:rPr>
        <w:t xml:space="preserve">2. Văn bản quy phạm pháp luật có liên quan đến Nghị định </w:t>
      </w:r>
    </w:p>
    <w:p w14:paraId="7DEDFB4F" w14:textId="77777777" w:rsidR="00D91887" w:rsidRPr="00D91887" w:rsidRDefault="00D91887" w:rsidP="00D91887">
      <w:pPr>
        <w:spacing w:after="0" w:line="240" w:lineRule="auto"/>
        <w:jc w:val="both"/>
        <w:rPr>
          <w:rFonts w:ascii="Times New Roman" w:hAnsi="Times New Roman" w:cs="Times New Roman"/>
          <w:b/>
          <w:sz w:val="28"/>
          <w:szCs w:val="28"/>
        </w:rPr>
      </w:pPr>
    </w:p>
    <w:tbl>
      <w:tblPr>
        <w:tblStyle w:val="TableGrid"/>
        <w:tblW w:w="9351" w:type="dxa"/>
        <w:tblLook w:val="04A0" w:firstRow="1" w:lastRow="0" w:firstColumn="1" w:lastColumn="0" w:noHBand="0" w:noVBand="1"/>
      </w:tblPr>
      <w:tblGrid>
        <w:gridCol w:w="2689"/>
        <w:gridCol w:w="2551"/>
        <w:gridCol w:w="2268"/>
        <w:gridCol w:w="1843"/>
      </w:tblGrid>
      <w:tr w:rsidR="00D91887" w:rsidRPr="00D91887" w14:paraId="2DC4D6A5" w14:textId="77777777" w:rsidTr="00636F1F">
        <w:tc>
          <w:tcPr>
            <w:tcW w:w="2689" w:type="dxa"/>
          </w:tcPr>
          <w:p w14:paraId="2DCEFEA3" w14:textId="77777777" w:rsidR="00D91887" w:rsidRPr="00D91887" w:rsidRDefault="00D91887" w:rsidP="00636F1F">
            <w:pPr>
              <w:spacing w:before="60"/>
              <w:jc w:val="center"/>
              <w:rPr>
                <w:b/>
                <w:sz w:val="28"/>
                <w:szCs w:val="28"/>
              </w:rPr>
            </w:pPr>
            <w:r w:rsidRPr="00D91887">
              <w:rPr>
                <w:b/>
                <w:sz w:val="28"/>
                <w:szCs w:val="28"/>
              </w:rPr>
              <w:t xml:space="preserve">CHÍNH SÁCH/ QUY ĐỊNH CỦA DỰ THẢO VĂN BẢN </w:t>
            </w:r>
          </w:p>
        </w:tc>
        <w:tc>
          <w:tcPr>
            <w:tcW w:w="2551" w:type="dxa"/>
          </w:tcPr>
          <w:p w14:paraId="790B6D48" w14:textId="77777777" w:rsidR="00D91887" w:rsidRPr="00D91887" w:rsidRDefault="00D91887" w:rsidP="00636F1F">
            <w:pPr>
              <w:spacing w:before="60"/>
              <w:jc w:val="center"/>
              <w:rPr>
                <w:b/>
                <w:sz w:val="28"/>
                <w:szCs w:val="28"/>
              </w:rPr>
            </w:pPr>
            <w:r w:rsidRPr="00D91887">
              <w:rPr>
                <w:b/>
                <w:sz w:val="28"/>
                <w:szCs w:val="28"/>
              </w:rPr>
              <w:t xml:space="preserve">QUY ĐỊNH CỦA DỰ THẢO QUY ĐỊNH CỦA PHÁP LUẬT HIỆN HÀNH CÓ LIÊN QUAN </w:t>
            </w:r>
          </w:p>
        </w:tc>
        <w:tc>
          <w:tcPr>
            <w:tcW w:w="2268" w:type="dxa"/>
          </w:tcPr>
          <w:p w14:paraId="466C5A98" w14:textId="77777777" w:rsidR="00D91887" w:rsidRPr="00D91887" w:rsidRDefault="00D91887" w:rsidP="00636F1F">
            <w:pPr>
              <w:spacing w:before="60"/>
              <w:jc w:val="center"/>
              <w:rPr>
                <w:b/>
                <w:sz w:val="28"/>
                <w:szCs w:val="28"/>
              </w:rPr>
            </w:pPr>
            <w:r w:rsidRPr="00D91887">
              <w:rPr>
                <w:b/>
                <w:sz w:val="28"/>
                <w:szCs w:val="28"/>
              </w:rPr>
              <w:t xml:space="preserve">ĐÁNH GIÁ (Tính hợp hiến, tính hợp pháp, tính thống nhất) </w:t>
            </w:r>
          </w:p>
        </w:tc>
        <w:tc>
          <w:tcPr>
            <w:tcW w:w="1843" w:type="dxa"/>
          </w:tcPr>
          <w:p w14:paraId="45DC4160" w14:textId="77777777" w:rsidR="00D91887" w:rsidRPr="00D91887" w:rsidRDefault="00D91887" w:rsidP="00636F1F">
            <w:pPr>
              <w:spacing w:before="60"/>
              <w:jc w:val="center"/>
              <w:rPr>
                <w:b/>
                <w:sz w:val="28"/>
                <w:szCs w:val="28"/>
              </w:rPr>
            </w:pPr>
            <w:r w:rsidRPr="00D91887">
              <w:rPr>
                <w:b/>
                <w:sz w:val="28"/>
                <w:szCs w:val="28"/>
              </w:rPr>
              <w:t xml:space="preserve">ĐỀ XUẤT XỬ LÝ </w:t>
            </w:r>
          </w:p>
        </w:tc>
      </w:tr>
      <w:tr w:rsidR="00D91887" w:rsidRPr="00D91887" w14:paraId="25801022" w14:textId="77777777" w:rsidTr="00636F1F">
        <w:tc>
          <w:tcPr>
            <w:tcW w:w="2689" w:type="dxa"/>
          </w:tcPr>
          <w:p w14:paraId="736B3874" w14:textId="77777777" w:rsidR="00D91887" w:rsidRPr="00D91887" w:rsidRDefault="00D91887" w:rsidP="00636F1F">
            <w:pPr>
              <w:spacing w:before="6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7361A30A" w14:textId="77777777" w:rsidR="00D91887" w:rsidRPr="00D91887" w:rsidRDefault="00D91887" w:rsidP="00636F1F">
            <w:pPr>
              <w:spacing w:before="60"/>
              <w:jc w:val="both"/>
              <w:rPr>
                <w:sz w:val="28"/>
                <w:szCs w:val="28"/>
              </w:rPr>
            </w:pPr>
            <w:r w:rsidRPr="00D91887">
              <w:rPr>
                <w:sz w:val="28"/>
                <w:szCs w:val="28"/>
              </w:rPr>
              <w:t>Luật Năng lượng nguyên tử (Luật số 18/2008/QH12)</w:t>
            </w:r>
          </w:p>
        </w:tc>
        <w:tc>
          <w:tcPr>
            <w:tcW w:w="2268" w:type="dxa"/>
          </w:tcPr>
          <w:p w14:paraId="03B89BDD" w14:textId="77777777" w:rsidR="00D91887" w:rsidRPr="00D91887" w:rsidRDefault="00D91887" w:rsidP="00636F1F">
            <w:pPr>
              <w:spacing w:before="60"/>
              <w:jc w:val="both"/>
              <w:rPr>
                <w:sz w:val="28"/>
                <w:szCs w:val="28"/>
              </w:rPr>
            </w:pPr>
            <w:r w:rsidRPr="00D91887">
              <w:rPr>
                <w:sz w:val="28"/>
                <w:szCs w:val="28"/>
              </w:rPr>
              <w:t>Hợp hiến, hợp pháp và thống nhất giữa các văn bản quy phạm pháp luật hiện hành</w:t>
            </w:r>
          </w:p>
        </w:tc>
        <w:tc>
          <w:tcPr>
            <w:tcW w:w="1843" w:type="dxa"/>
          </w:tcPr>
          <w:p w14:paraId="5C40300B" w14:textId="77777777" w:rsidR="00D91887" w:rsidRPr="00D91887" w:rsidRDefault="00D91887" w:rsidP="00636F1F">
            <w:pPr>
              <w:spacing w:before="60"/>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468CE1CD" w14:textId="77777777" w:rsidTr="00636F1F">
        <w:trPr>
          <w:trHeight w:val="222"/>
        </w:trPr>
        <w:tc>
          <w:tcPr>
            <w:tcW w:w="2689" w:type="dxa"/>
          </w:tcPr>
          <w:p w14:paraId="3CF79EAD" w14:textId="77777777" w:rsidR="00D91887" w:rsidRPr="00D91887" w:rsidRDefault="00D91887" w:rsidP="00636F1F">
            <w:pPr>
              <w:spacing w:before="6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028F20C7" w14:textId="77777777" w:rsidR="00D91887" w:rsidRPr="00D91887" w:rsidRDefault="00D91887" w:rsidP="00636F1F">
            <w:pPr>
              <w:pStyle w:val="Heading4"/>
              <w:shd w:val="clear" w:color="auto" w:fill="FFFFFF"/>
              <w:spacing w:before="0" w:after="0" w:line="315" w:lineRule="atLeast"/>
              <w:outlineLvl w:val="3"/>
              <w:rPr>
                <w:rFonts w:cs="Times New Roman"/>
                <w:i w:val="0"/>
                <w:caps/>
                <w:color w:val="auto"/>
                <w:sz w:val="28"/>
                <w:szCs w:val="28"/>
              </w:rPr>
            </w:pPr>
            <w:r w:rsidRPr="00D91887">
              <w:rPr>
                <w:rFonts w:cs="Times New Roman"/>
                <w:i w:val="0"/>
                <w:color w:val="auto"/>
                <w:sz w:val="28"/>
                <w:szCs w:val="28"/>
              </w:rPr>
              <w:t>Luật Năng lượng nguyên tử (Luật số 94/2025/QH15)</w:t>
            </w:r>
          </w:p>
        </w:tc>
        <w:tc>
          <w:tcPr>
            <w:tcW w:w="2268" w:type="dxa"/>
          </w:tcPr>
          <w:p w14:paraId="47E9222C" w14:textId="77777777" w:rsidR="00D91887" w:rsidRPr="00D91887" w:rsidRDefault="00D91887" w:rsidP="00636F1F">
            <w:pPr>
              <w:spacing w:before="60"/>
              <w:jc w:val="both"/>
              <w:rPr>
                <w:sz w:val="28"/>
                <w:szCs w:val="28"/>
              </w:rPr>
            </w:pPr>
            <w:r w:rsidRPr="00D91887">
              <w:rPr>
                <w:sz w:val="28"/>
                <w:szCs w:val="28"/>
              </w:rPr>
              <w:t>Hợp hiến, hợp pháp và thống nhất giữa các văn bản quy phạm pháp luật hiện hành</w:t>
            </w:r>
          </w:p>
        </w:tc>
        <w:tc>
          <w:tcPr>
            <w:tcW w:w="1843" w:type="dxa"/>
          </w:tcPr>
          <w:p w14:paraId="55D0CE72" w14:textId="77777777" w:rsidR="00D91887" w:rsidRPr="00D91887" w:rsidRDefault="00D91887" w:rsidP="00636F1F">
            <w:pPr>
              <w:spacing w:before="60"/>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61E9E188" w14:textId="77777777" w:rsidTr="00636F1F">
        <w:tc>
          <w:tcPr>
            <w:tcW w:w="2689" w:type="dxa"/>
          </w:tcPr>
          <w:p w14:paraId="25BF4F04" w14:textId="77777777" w:rsidR="00D91887" w:rsidRPr="00D91887" w:rsidRDefault="00D91887" w:rsidP="00D91887">
            <w:pPr>
              <w:spacing w:before="60" w:line="247"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37470241" w14:textId="77777777" w:rsidR="00D91887" w:rsidRPr="00D91887" w:rsidRDefault="00D91887" w:rsidP="00D91887">
            <w:pPr>
              <w:spacing w:before="60" w:line="247" w:lineRule="auto"/>
              <w:jc w:val="both"/>
              <w:rPr>
                <w:sz w:val="28"/>
                <w:szCs w:val="28"/>
              </w:rPr>
            </w:pPr>
            <w:r w:rsidRPr="00D91887">
              <w:rPr>
                <w:sz w:val="28"/>
                <w:szCs w:val="28"/>
              </w:rPr>
              <w:t>Nghị quyết 41/2009/QH12 ngày 25/11/2009  của Quốc hội về chủ trương đầu tư dự án điện hạt nhân Ninh Thuận</w:t>
            </w:r>
          </w:p>
        </w:tc>
        <w:tc>
          <w:tcPr>
            <w:tcW w:w="2268" w:type="dxa"/>
          </w:tcPr>
          <w:p w14:paraId="3A2E3B20" w14:textId="77777777" w:rsidR="00D91887" w:rsidRPr="00D91887" w:rsidRDefault="00D91887" w:rsidP="00D91887">
            <w:pPr>
              <w:spacing w:before="60" w:line="247"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1A9F075B" w14:textId="77777777" w:rsidR="00D91887" w:rsidRPr="00D91887" w:rsidRDefault="00D91887" w:rsidP="00D91887">
            <w:pPr>
              <w:spacing w:before="60" w:line="247"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58A05CD6" w14:textId="77777777" w:rsidTr="00636F1F">
        <w:tc>
          <w:tcPr>
            <w:tcW w:w="2689" w:type="dxa"/>
          </w:tcPr>
          <w:p w14:paraId="647E1671" w14:textId="77777777" w:rsidR="00D91887" w:rsidRPr="00D91887" w:rsidRDefault="00D91887" w:rsidP="00D91887">
            <w:pPr>
              <w:spacing w:before="60" w:line="247"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542FC670" w14:textId="77777777" w:rsidR="00D91887" w:rsidRPr="00D91887" w:rsidRDefault="00D91887" w:rsidP="00D91887">
            <w:pPr>
              <w:spacing w:before="60" w:line="247" w:lineRule="auto"/>
              <w:rPr>
                <w:sz w:val="28"/>
                <w:szCs w:val="28"/>
              </w:rPr>
            </w:pPr>
            <w:r w:rsidRPr="00D91887">
              <w:rPr>
                <w:sz w:val="28"/>
                <w:szCs w:val="28"/>
              </w:rPr>
              <w:t>Nghị quyết 31/2016/QH14 ngày 22/11/2016 của Quốc hội về việc dừng thực hiện chủ trương đầu tư dự án điện hạt nhân Ninh Thuận</w:t>
            </w:r>
          </w:p>
        </w:tc>
        <w:tc>
          <w:tcPr>
            <w:tcW w:w="2268" w:type="dxa"/>
          </w:tcPr>
          <w:p w14:paraId="47DCAB47" w14:textId="77777777" w:rsidR="00D91887" w:rsidRPr="00D91887" w:rsidRDefault="00D91887" w:rsidP="00D91887">
            <w:pPr>
              <w:spacing w:before="60" w:line="247"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77A38E8B" w14:textId="77777777" w:rsidR="00D91887" w:rsidRPr="00D91887" w:rsidRDefault="00D91887" w:rsidP="00D91887">
            <w:pPr>
              <w:spacing w:before="60" w:line="247"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6C3F85C3" w14:textId="77777777" w:rsidTr="00636F1F">
        <w:tc>
          <w:tcPr>
            <w:tcW w:w="2689" w:type="dxa"/>
          </w:tcPr>
          <w:p w14:paraId="1B165EC7" w14:textId="77777777" w:rsidR="00D91887" w:rsidRPr="00D91887" w:rsidRDefault="00D91887" w:rsidP="00D91887">
            <w:pPr>
              <w:spacing w:before="60" w:line="247"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443EB463" w14:textId="77777777" w:rsidR="00D91887" w:rsidRPr="00D91887" w:rsidRDefault="00D91887" w:rsidP="00D91887">
            <w:pPr>
              <w:spacing w:before="60" w:line="247" w:lineRule="auto"/>
              <w:jc w:val="both"/>
              <w:rPr>
                <w:sz w:val="28"/>
                <w:szCs w:val="28"/>
              </w:rPr>
            </w:pPr>
            <w:r w:rsidRPr="00D91887">
              <w:rPr>
                <w:sz w:val="28"/>
                <w:szCs w:val="28"/>
              </w:rPr>
              <w:t>Nghị quyết số 174/2024/QH15 của Quốc hội: Kỳ họp thứ 8, Quốc hội khóa XV</w:t>
            </w:r>
          </w:p>
        </w:tc>
        <w:tc>
          <w:tcPr>
            <w:tcW w:w="2268" w:type="dxa"/>
          </w:tcPr>
          <w:p w14:paraId="349B075E" w14:textId="77777777" w:rsidR="00D91887" w:rsidRPr="00D91887" w:rsidRDefault="00D91887" w:rsidP="00D91887">
            <w:pPr>
              <w:spacing w:before="60" w:line="247"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3A766CFA" w14:textId="77777777" w:rsidR="00D91887" w:rsidRPr="00D91887" w:rsidRDefault="00D91887" w:rsidP="00D91887">
            <w:pPr>
              <w:spacing w:before="60" w:line="247"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71EAB546" w14:textId="77777777" w:rsidTr="00636F1F">
        <w:tc>
          <w:tcPr>
            <w:tcW w:w="2689" w:type="dxa"/>
          </w:tcPr>
          <w:p w14:paraId="5BFB8CF7" w14:textId="77777777" w:rsidR="00D91887" w:rsidRPr="00D91887" w:rsidRDefault="00D91887" w:rsidP="00D91887">
            <w:pPr>
              <w:spacing w:before="60" w:line="247"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5C5BB4C6" w14:textId="77777777" w:rsidR="00D91887" w:rsidRPr="00D91887" w:rsidRDefault="00D91887" w:rsidP="00D91887">
            <w:pPr>
              <w:spacing w:before="60" w:line="247" w:lineRule="auto"/>
              <w:jc w:val="both"/>
              <w:rPr>
                <w:sz w:val="28"/>
                <w:szCs w:val="28"/>
              </w:rPr>
            </w:pPr>
            <w:r w:rsidRPr="00D91887">
              <w:rPr>
                <w:sz w:val="28"/>
                <w:szCs w:val="28"/>
              </w:rPr>
              <w:t xml:space="preserve">Nghị định 111/2009/NĐ-CP ngày </w:t>
            </w:r>
          </w:p>
          <w:p w14:paraId="4532EFFD" w14:textId="77777777" w:rsidR="00D91887" w:rsidRPr="00D91887" w:rsidRDefault="00D91887" w:rsidP="00D91887">
            <w:pPr>
              <w:spacing w:before="60" w:line="247" w:lineRule="auto"/>
              <w:jc w:val="both"/>
              <w:rPr>
                <w:sz w:val="28"/>
                <w:szCs w:val="28"/>
              </w:rPr>
            </w:pPr>
            <w:r w:rsidRPr="00D91887">
              <w:rPr>
                <w:sz w:val="28"/>
                <w:szCs w:val="28"/>
              </w:rPr>
              <w:t>11/12/2009 Quy định về xử phạt vi phạm hành chính trong lĩnh vực năng lượng nguyên tử</w:t>
            </w:r>
          </w:p>
        </w:tc>
        <w:tc>
          <w:tcPr>
            <w:tcW w:w="2268" w:type="dxa"/>
          </w:tcPr>
          <w:p w14:paraId="4E2D9181" w14:textId="77777777" w:rsidR="00D91887" w:rsidRPr="00D91887" w:rsidRDefault="00D91887" w:rsidP="00D91887">
            <w:pPr>
              <w:spacing w:before="60" w:line="247"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4533DE7A" w14:textId="77777777" w:rsidR="00D91887" w:rsidRPr="00D91887" w:rsidRDefault="00D91887" w:rsidP="00D91887">
            <w:pPr>
              <w:spacing w:before="60" w:line="247"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758222F1" w14:textId="77777777" w:rsidTr="00636F1F">
        <w:tc>
          <w:tcPr>
            <w:tcW w:w="2689" w:type="dxa"/>
          </w:tcPr>
          <w:p w14:paraId="54393F28" w14:textId="77777777" w:rsidR="00D91887" w:rsidRPr="00D91887" w:rsidRDefault="00D91887" w:rsidP="00D91887">
            <w:pPr>
              <w:spacing w:before="60" w:line="247"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3338BDC5" w14:textId="77777777" w:rsidR="00D91887" w:rsidRPr="00D91887" w:rsidRDefault="00D91887" w:rsidP="00D91887">
            <w:pPr>
              <w:spacing w:before="60" w:line="247" w:lineRule="auto"/>
              <w:jc w:val="both"/>
              <w:rPr>
                <w:sz w:val="28"/>
                <w:szCs w:val="28"/>
              </w:rPr>
            </w:pPr>
            <w:r w:rsidRPr="00D91887">
              <w:rPr>
                <w:sz w:val="28"/>
                <w:szCs w:val="28"/>
              </w:rPr>
              <w:t>Nghị định 07/2010/NĐ-CP ngày 25/01/2010 Quy định chi tiết và hướng dẫn thi hành một số điều của Luật Năng lượng nguyên tử</w:t>
            </w:r>
          </w:p>
        </w:tc>
        <w:tc>
          <w:tcPr>
            <w:tcW w:w="2268" w:type="dxa"/>
          </w:tcPr>
          <w:p w14:paraId="22D4F90C" w14:textId="77777777" w:rsidR="00D91887" w:rsidRPr="00D91887" w:rsidRDefault="00D91887" w:rsidP="00D91887">
            <w:pPr>
              <w:spacing w:before="60" w:line="247"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5F6309F7" w14:textId="77777777" w:rsidR="00D91887" w:rsidRPr="00D91887" w:rsidRDefault="00D91887" w:rsidP="00D91887">
            <w:pPr>
              <w:spacing w:before="60" w:line="247"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36C68CA5" w14:textId="77777777" w:rsidTr="00636F1F">
        <w:tc>
          <w:tcPr>
            <w:tcW w:w="2689" w:type="dxa"/>
          </w:tcPr>
          <w:p w14:paraId="1C836C11" w14:textId="77777777" w:rsidR="00D91887" w:rsidRPr="00D91887" w:rsidRDefault="00D91887" w:rsidP="00D91887">
            <w:pPr>
              <w:spacing w:before="60" w:line="245"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78D58D08" w14:textId="77777777" w:rsidR="00D91887" w:rsidRPr="00D91887" w:rsidRDefault="00D91887" w:rsidP="00D91887">
            <w:pPr>
              <w:spacing w:before="60" w:line="245" w:lineRule="auto"/>
              <w:jc w:val="both"/>
              <w:rPr>
                <w:sz w:val="28"/>
                <w:szCs w:val="28"/>
              </w:rPr>
            </w:pPr>
            <w:r w:rsidRPr="00D91887">
              <w:rPr>
                <w:sz w:val="28"/>
                <w:szCs w:val="28"/>
              </w:rPr>
              <w:t>Nghị định 70/2010/NĐ-CP ngày 22/6/2010 Quy định chi tiết và hướng dẫn thi hành một số điều của Luật Năng lượng nguyên tử về Nhà máy điện hạt nhân</w:t>
            </w:r>
          </w:p>
        </w:tc>
        <w:tc>
          <w:tcPr>
            <w:tcW w:w="2268" w:type="dxa"/>
          </w:tcPr>
          <w:p w14:paraId="33906956" w14:textId="77777777" w:rsidR="00D91887" w:rsidRPr="00D91887" w:rsidRDefault="00D91887" w:rsidP="00D91887">
            <w:pPr>
              <w:spacing w:before="60" w:line="245"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4625E4C7" w14:textId="77777777" w:rsidR="00D91887" w:rsidRPr="00D91887" w:rsidRDefault="00D91887" w:rsidP="00D91887">
            <w:pPr>
              <w:spacing w:before="60" w:line="245"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4D0B31DB" w14:textId="77777777" w:rsidTr="00636F1F">
        <w:tc>
          <w:tcPr>
            <w:tcW w:w="2689" w:type="dxa"/>
          </w:tcPr>
          <w:p w14:paraId="7A0E746C" w14:textId="77777777" w:rsidR="00D91887" w:rsidRPr="00D91887" w:rsidRDefault="00D91887" w:rsidP="00D91887">
            <w:pPr>
              <w:spacing w:before="60" w:line="245"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17955550" w14:textId="77777777" w:rsidR="00D91887" w:rsidRPr="00D91887" w:rsidRDefault="00D91887" w:rsidP="00D91887">
            <w:pPr>
              <w:spacing w:before="60" w:line="245" w:lineRule="auto"/>
              <w:rPr>
                <w:sz w:val="28"/>
                <w:szCs w:val="28"/>
              </w:rPr>
            </w:pPr>
            <w:r w:rsidRPr="00D91887">
              <w:rPr>
                <w:sz w:val="28"/>
                <w:szCs w:val="28"/>
              </w:rPr>
              <w:t>Nghị định 107/2013/NĐ-CP ngày 20/9/2013 Quy định về xử phạt vi phạm hành chính trong lĩnh vực năng lượng nguyên tử</w:t>
            </w:r>
          </w:p>
        </w:tc>
        <w:tc>
          <w:tcPr>
            <w:tcW w:w="2268" w:type="dxa"/>
          </w:tcPr>
          <w:p w14:paraId="56F69E20" w14:textId="77777777" w:rsidR="00D91887" w:rsidRPr="00D91887" w:rsidRDefault="00D91887" w:rsidP="00D91887">
            <w:pPr>
              <w:spacing w:before="60" w:line="245"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4E1D1714" w14:textId="77777777" w:rsidR="00D91887" w:rsidRPr="00D91887" w:rsidRDefault="00D91887" w:rsidP="00D91887">
            <w:pPr>
              <w:spacing w:before="60" w:line="245"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345D2EE2" w14:textId="77777777" w:rsidTr="00636F1F">
        <w:tc>
          <w:tcPr>
            <w:tcW w:w="2689" w:type="dxa"/>
          </w:tcPr>
          <w:p w14:paraId="4184855C" w14:textId="77777777" w:rsidR="00D91887" w:rsidRPr="00D91887" w:rsidRDefault="00D91887" w:rsidP="00D91887">
            <w:pPr>
              <w:spacing w:before="60" w:line="245" w:lineRule="auto"/>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13FCFC5B" w14:textId="77777777" w:rsidR="00D91887" w:rsidRPr="00D91887" w:rsidRDefault="00D91887" w:rsidP="00D91887">
            <w:pPr>
              <w:spacing w:before="60" w:line="245" w:lineRule="auto"/>
              <w:rPr>
                <w:sz w:val="28"/>
                <w:szCs w:val="28"/>
              </w:rPr>
            </w:pPr>
            <w:r w:rsidRPr="00D91887">
              <w:rPr>
                <w:sz w:val="28"/>
                <w:szCs w:val="28"/>
              </w:rPr>
              <w:t>Nghị định 124/2013/NĐ-CP ngày 14/10/2013 Quy định chính sách ưu đãi, hỗ trợ người đi đào tạo trong lĩnh vực năng lượng nguyên tử</w:t>
            </w:r>
          </w:p>
        </w:tc>
        <w:tc>
          <w:tcPr>
            <w:tcW w:w="2268" w:type="dxa"/>
          </w:tcPr>
          <w:p w14:paraId="6B69F20B" w14:textId="77777777" w:rsidR="00D91887" w:rsidRPr="00D91887" w:rsidRDefault="00D91887" w:rsidP="00D91887">
            <w:pPr>
              <w:spacing w:before="60" w:line="245" w:lineRule="auto"/>
              <w:jc w:val="both"/>
              <w:rPr>
                <w:sz w:val="28"/>
                <w:szCs w:val="28"/>
              </w:rPr>
            </w:pPr>
            <w:r w:rsidRPr="00D91887">
              <w:rPr>
                <w:sz w:val="28"/>
                <w:szCs w:val="28"/>
              </w:rPr>
              <w:t>Hợp hiến, hợp pháp và thống nhất giữa các văn bản quy phạm pháp luật hiện hành</w:t>
            </w:r>
          </w:p>
        </w:tc>
        <w:tc>
          <w:tcPr>
            <w:tcW w:w="1843" w:type="dxa"/>
          </w:tcPr>
          <w:p w14:paraId="5A7778AB" w14:textId="77777777" w:rsidR="00D91887" w:rsidRPr="00D91887" w:rsidRDefault="00D91887" w:rsidP="00D91887">
            <w:pPr>
              <w:spacing w:before="60" w:line="245" w:lineRule="auto"/>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74618985" w14:textId="77777777" w:rsidTr="00636F1F">
        <w:tc>
          <w:tcPr>
            <w:tcW w:w="2689" w:type="dxa"/>
          </w:tcPr>
          <w:p w14:paraId="75DC6A1E" w14:textId="77777777" w:rsidR="00D91887" w:rsidRPr="00D91887" w:rsidRDefault="00D91887" w:rsidP="00636F1F">
            <w:pPr>
              <w:spacing w:before="6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23DFEED2" w14:textId="77777777" w:rsidR="00D91887" w:rsidRPr="00D91887" w:rsidRDefault="00D91887" w:rsidP="00636F1F">
            <w:pPr>
              <w:spacing w:before="60"/>
              <w:rPr>
                <w:sz w:val="28"/>
                <w:szCs w:val="28"/>
              </w:rPr>
            </w:pPr>
            <w:r w:rsidRPr="00D91887">
              <w:rPr>
                <w:sz w:val="28"/>
                <w:szCs w:val="28"/>
                <w:lang w:val="vi"/>
              </w:rPr>
              <w:t xml:space="preserve">Quyết định số 1558/QĐ-TTg ngày 18 tháng 8 năm 2010 phê duyệt </w:t>
            </w:r>
            <w:r w:rsidRPr="00D91887">
              <w:rPr>
                <w:bCs/>
                <w:sz w:val="28"/>
                <w:szCs w:val="28"/>
                <w:lang w:val="vi"/>
              </w:rPr>
              <w:t xml:space="preserve">Đề án "Đào tạo và phát triển nguồn nhân lực trong lĩnh vực năng lượng nguyên tử" và Quyết định số 1756/QĐ-TTg ngày 15 tháng 10 năm 2015 </w:t>
            </w:r>
            <w:r w:rsidRPr="00D91887">
              <w:rPr>
                <w:sz w:val="28"/>
                <w:szCs w:val="28"/>
                <w:lang w:val="vi"/>
              </w:rPr>
              <w:t>về việc phê duyệt Kế hoạch đào tạo, bồi dưỡng nhân lực quản lý nhà nước, nghiên cứu - triển khai và hỗ trợ kỹ thuật đến năm 2020 phục vụ phát triển điện hạt nhân”.</w:t>
            </w:r>
          </w:p>
        </w:tc>
        <w:tc>
          <w:tcPr>
            <w:tcW w:w="2268" w:type="dxa"/>
          </w:tcPr>
          <w:p w14:paraId="60D9B3BF" w14:textId="77777777" w:rsidR="00D91887" w:rsidRPr="00D91887" w:rsidRDefault="00D91887" w:rsidP="00636F1F">
            <w:pPr>
              <w:spacing w:before="60"/>
              <w:jc w:val="both"/>
              <w:rPr>
                <w:sz w:val="28"/>
                <w:szCs w:val="28"/>
              </w:rPr>
            </w:pPr>
            <w:r w:rsidRPr="00D91887">
              <w:rPr>
                <w:sz w:val="28"/>
                <w:szCs w:val="28"/>
              </w:rPr>
              <w:t>Hợp hiến, hợp pháp và thống nhất giữa các văn bản quy phạm pháp luật hiện hành</w:t>
            </w:r>
          </w:p>
        </w:tc>
        <w:tc>
          <w:tcPr>
            <w:tcW w:w="1843" w:type="dxa"/>
          </w:tcPr>
          <w:p w14:paraId="1AD18ED7" w14:textId="77777777" w:rsidR="00D91887" w:rsidRPr="00D91887" w:rsidRDefault="00D91887" w:rsidP="00636F1F">
            <w:pPr>
              <w:spacing w:before="60"/>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196DCBD9" w14:textId="77777777" w:rsidTr="00636F1F">
        <w:tc>
          <w:tcPr>
            <w:tcW w:w="2689" w:type="dxa"/>
          </w:tcPr>
          <w:p w14:paraId="5CE5B517" w14:textId="77777777" w:rsidR="00D91887" w:rsidRPr="00D91887" w:rsidRDefault="00D91887" w:rsidP="00636F1F">
            <w:pPr>
              <w:spacing w:before="6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73612445" w14:textId="77777777" w:rsidR="00D91887" w:rsidRPr="00D91887" w:rsidRDefault="00D91887" w:rsidP="00636F1F">
            <w:pPr>
              <w:spacing w:before="120"/>
              <w:jc w:val="both"/>
              <w:rPr>
                <w:sz w:val="28"/>
                <w:szCs w:val="28"/>
              </w:rPr>
            </w:pPr>
            <w:r w:rsidRPr="00D91887">
              <w:rPr>
                <w:sz w:val="28"/>
                <w:szCs w:val="28"/>
                <w:lang w:val="vi"/>
              </w:rPr>
              <w:t xml:space="preserve">Quyết định số 245/QĐ-TTg ngày 05 tháng 02 năm 2025 về việc phê duyệt Quy hoạch phát triển, ứng dụng năng lượng nguyên tử thời kỳ đến năm 2030, tầm nhìn đến năm 2050. </w:t>
            </w:r>
          </w:p>
        </w:tc>
        <w:tc>
          <w:tcPr>
            <w:tcW w:w="2268" w:type="dxa"/>
          </w:tcPr>
          <w:p w14:paraId="70B96100" w14:textId="77777777" w:rsidR="00D91887" w:rsidRPr="00D91887" w:rsidRDefault="00D91887" w:rsidP="00636F1F">
            <w:pPr>
              <w:spacing w:before="60"/>
              <w:jc w:val="both"/>
              <w:rPr>
                <w:sz w:val="28"/>
                <w:szCs w:val="28"/>
              </w:rPr>
            </w:pPr>
            <w:r w:rsidRPr="00D91887">
              <w:rPr>
                <w:sz w:val="28"/>
                <w:szCs w:val="28"/>
              </w:rPr>
              <w:t>Hợp hiến, hợp pháp và thống nhất giữa các văn bản quy phạm pháp luật hiện hành</w:t>
            </w:r>
          </w:p>
        </w:tc>
        <w:tc>
          <w:tcPr>
            <w:tcW w:w="1843" w:type="dxa"/>
          </w:tcPr>
          <w:p w14:paraId="12CB399C" w14:textId="77777777" w:rsidR="00D91887" w:rsidRPr="00D91887" w:rsidRDefault="00D91887" w:rsidP="00636F1F">
            <w:pPr>
              <w:spacing w:before="60"/>
              <w:jc w:val="both"/>
              <w:rPr>
                <w:sz w:val="28"/>
                <w:szCs w:val="28"/>
              </w:rPr>
            </w:pPr>
            <w:r w:rsidRPr="00D91887">
              <w:rPr>
                <w:sz w:val="28"/>
                <w:szCs w:val="28"/>
              </w:rPr>
              <w:t>Đề nghị ban hành để kịp thời phục vụ đào tạo nguồn nhận lực phát triển nhà máy điện hạt nhân</w:t>
            </w:r>
          </w:p>
        </w:tc>
      </w:tr>
      <w:tr w:rsidR="00D91887" w:rsidRPr="00D91887" w14:paraId="13EC7DD2" w14:textId="77777777" w:rsidTr="00636F1F">
        <w:tc>
          <w:tcPr>
            <w:tcW w:w="2689" w:type="dxa"/>
          </w:tcPr>
          <w:p w14:paraId="243203D3" w14:textId="77777777" w:rsidR="00D91887" w:rsidRPr="00D91887" w:rsidRDefault="00D91887" w:rsidP="00636F1F">
            <w:pPr>
              <w:spacing w:before="60"/>
              <w:jc w:val="both"/>
              <w:rPr>
                <w:sz w:val="28"/>
                <w:szCs w:val="28"/>
              </w:rPr>
            </w:pPr>
            <w:r w:rsidRPr="00D91887">
              <w:rPr>
                <w:rFonts w:eastAsia="Times New Roman"/>
                <w:bCs/>
                <w:sz w:val="28"/>
                <w:szCs w:val="28"/>
                <w:lang w:val="vi-VN" w:eastAsia="ja-JP"/>
              </w:rPr>
              <w:t>Nghị định</w:t>
            </w:r>
            <w:r w:rsidRPr="00D91887">
              <w:rPr>
                <w:rFonts w:eastAsia="Times New Roman"/>
                <w:bCs/>
                <w:sz w:val="28"/>
                <w:szCs w:val="28"/>
                <w:lang w:eastAsia="ja-JP"/>
              </w:rPr>
              <w:t xml:space="preserve"> </w:t>
            </w:r>
            <w:r w:rsidRPr="00D91887">
              <w:rPr>
                <w:rFonts w:eastAsia="Times New Roman"/>
                <w:bCs/>
                <w:sz w:val="28"/>
                <w:szCs w:val="28"/>
                <w:lang w:val="vi-VN" w:eastAsia="ja-JP"/>
              </w:rPr>
              <w:t>q</w:t>
            </w:r>
            <w:r w:rsidRPr="00D91887">
              <w:rPr>
                <w:sz w:val="28"/>
                <w:szCs w:val="28"/>
              </w:rPr>
              <w:t xml:space="preserve">uy định chính sách ưu đãi đối với giảng viên, sinh viên, người học, cán bộ quản lý tham gia đào tạo, bồi dưỡng nguồn nhân lực trong lĩnh vực điện hạt </w:t>
            </w:r>
            <w:r w:rsidRPr="00D91887">
              <w:rPr>
                <w:sz w:val="28"/>
                <w:szCs w:val="28"/>
                <w:lang w:val="vi-VN"/>
              </w:rPr>
              <w:t>nhân</w:t>
            </w:r>
          </w:p>
        </w:tc>
        <w:tc>
          <w:tcPr>
            <w:tcW w:w="2551" w:type="dxa"/>
          </w:tcPr>
          <w:p w14:paraId="2DC96DC6" w14:textId="77777777" w:rsidR="00D91887" w:rsidRPr="00D91887" w:rsidRDefault="00D91887" w:rsidP="00636F1F">
            <w:pPr>
              <w:spacing w:before="120"/>
              <w:jc w:val="both"/>
              <w:rPr>
                <w:sz w:val="28"/>
                <w:szCs w:val="28"/>
                <w:lang w:val="vi"/>
              </w:rPr>
            </w:pPr>
            <w:r w:rsidRPr="00D91887">
              <w:rPr>
                <w:sz w:val="28"/>
                <w:szCs w:val="28"/>
                <w:lang w:val="vi"/>
              </w:rPr>
              <w:t xml:space="preserve">Quyết định số </w:t>
            </w:r>
            <w:r w:rsidRPr="00D91887">
              <w:rPr>
                <w:sz w:val="28"/>
                <w:szCs w:val="28"/>
              </w:rPr>
              <w:t>1012</w:t>
            </w:r>
            <w:r w:rsidRPr="00D91887">
              <w:rPr>
                <w:sz w:val="28"/>
                <w:szCs w:val="28"/>
                <w:lang w:val="vi"/>
              </w:rPr>
              <w:t xml:space="preserve">/QĐ-TTg ngày </w:t>
            </w:r>
            <w:r w:rsidRPr="00D91887">
              <w:rPr>
                <w:sz w:val="28"/>
                <w:szCs w:val="28"/>
              </w:rPr>
              <w:t>26</w:t>
            </w:r>
            <w:r w:rsidRPr="00D91887">
              <w:rPr>
                <w:sz w:val="28"/>
                <w:szCs w:val="28"/>
                <w:lang w:val="vi"/>
              </w:rPr>
              <w:t xml:space="preserve"> tháng </w:t>
            </w:r>
            <w:r w:rsidRPr="00D91887">
              <w:rPr>
                <w:sz w:val="28"/>
                <w:szCs w:val="28"/>
              </w:rPr>
              <w:t>5</w:t>
            </w:r>
            <w:r w:rsidRPr="00D91887">
              <w:rPr>
                <w:sz w:val="28"/>
                <w:szCs w:val="28"/>
                <w:lang w:val="vi"/>
              </w:rPr>
              <w:t xml:space="preserve"> năm 2025 về việc </w:t>
            </w:r>
            <w:r w:rsidRPr="00D91887">
              <w:rPr>
                <w:sz w:val="28"/>
                <w:szCs w:val="28"/>
              </w:rPr>
              <w:t>p</w:t>
            </w:r>
            <w:r w:rsidRPr="00D91887">
              <w:rPr>
                <w:bCs/>
                <w:sz w:val="28"/>
                <w:szCs w:val="28"/>
              </w:rPr>
              <w:t>hê duyệt Đề án "Đào tạo, bồi dưỡng nguồn nhân lực phục vụ phát triển điện hạt nhân đến năm 2035".</w:t>
            </w:r>
          </w:p>
        </w:tc>
        <w:tc>
          <w:tcPr>
            <w:tcW w:w="2268" w:type="dxa"/>
          </w:tcPr>
          <w:p w14:paraId="238520A5" w14:textId="77777777" w:rsidR="00D91887" w:rsidRPr="00D91887" w:rsidRDefault="00D91887" w:rsidP="00636F1F">
            <w:pPr>
              <w:spacing w:before="60"/>
              <w:jc w:val="both"/>
              <w:rPr>
                <w:sz w:val="28"/>
                <w:szCs w:val="28"/>
              </w:rPr>
            </w:pPr>
            <w:r w:rsidRPr="00D91887">
              <w:rPr>
                <w:sz w:val="28"/>
                <w:szCs w:val="28"/>
              </w:rPr>
              <w:t>Hợp hiến, hợp pháp và thống nhất giữa các văn bản quy phạm pháp luật hiện hành</w:t>
            </w:r>
          </w:p>
        </w:tc>
        <w:tc>
          <w:tcPr>
            <w:tcW w:w="1843" w:type="dxa"/>
          </w:tcPr>
          <w:p w14:paraId="45421A01" w14:textId="77777777" w:rsidR="00D91887" w:rsidRPr="00D91887" w:rsidRDefault="00D91887" w:rsidP="00636F1F">
            <w:pPr>
              <w:spacing w:before="60"/>
              <w:jc w:val="both"/>
              <w:rPr>
                <w:sz w:val="28"/>
                <w:szCs w:val="28"/>
              </w:rPr>
            </w:pPr>
            <w:r w:rsidRPr="00D91887">
              <w:rPr>
                <w:sz w:val="28"/>
                <w:szCs w:val="28"/>
              </w:rPr>
              <w:t>Đề nghị ban hành để kịp thời phục vụ đào tạo nguồn nhận lực phát triển nhà máy điện hạt nhân</w:t>
            </w:r>
          </w:p>
        </w:tc>
      </w:tr>
    </w:tbl>
    <w:p w14:paraId="72A39284" w14:textId="77777777" w:rsidR="00D91887" w:rsidRPr="00D91887" w:rsidRDefault="00D91887" w:rsidP="00D91887">
      <w:pPr>
        <w:spacing w:after="0" w:line="240" w:lineRule="auto"/>
        <w:jc w:val="both"/>
        <w:rPr>
          <w:rFonts w:ascii="Times New Roman" w:hAnsi="Times New Roman" w:cs="Times New Roman"/>
          <w:sz w:val="28"/>
          <w:szCs w:val="28"/>
        </w:rPr>
      </w:pPr>
    </w:p>
    <w:p w14:paraId="0838B8C2" w14:textId="77777777" w:rsidR="00D91887" w:rsidRPr="00D91887" w:rsidRDefault="00D91887" w:rsidP="00D91887">
      <w:pPr>
        <w:spacing w:after="0" w:line="240" w:lineRule="auto"/>
        <w:jc w:val="both"/>
        <w:rPr>
          <w:rFonts w:ascii="Times New Roman" w:hAnsi="Times New Roman" w:cs="Times New Roman"/>
          <w:b/>
          <w:sz w:val="28"/>
          <w:szCs w:val="28"/>
        </w:rPr>
      </w:pPr>
      <w:r w:rsidRPr="00D91887">
        <w:rPr>
          <w:rFonts w:ascii="Times New Roman" w:hAnsi="Times New Roman" w:cs="Times New Roman"/>
          <w:b/>
          <w:sz w:val="28"/>
          <w:szCs w:val="28"/>
        </w:rPr>
        <w:t xml:space="preserve">3. Điều ước quốc tế có liên quan đến Nghị định </w:t>
      </w:r>
    </w:p>
    <w:p w14:paraId="0314A60C" w14:textId="77777777" w:rsidR="00D91887" w:rsidRPr="00D91887" w:rsidRDefault="00D91887" w:rsidP="00D91887">
      <w:pPr>
        <w:spacing w:after="0" w:line="240" w:lineRule="auto"/>
        <w:jc w:val="both"/>
        <w:rPr>
          <w:rFonts w:ascii="Times New Roman" w:hAnsi="Times New Roman" w:cs="Times New Roman"/>
          <w:sz w:val="28"/>
          <w:szCs w:val="28"/>
        </w:rPr>
      </w:pPr>
      <w:r w:rsidRPr="00D91887">
        <w:rPr>
          <w:rFonts w:ascii="Times New Roman" w:hAnsi="Times New Roman" w:cs="Times New Roman"/>
          <w:sz w:val="28"/>
          <w:szCs w:val="28"/>
        </w:rPr>
        <w:tab/>
        <w:t>Hiện tại không có điều ước quốc tế nào mà Việt Nam tham gia liên quan tới các nội dung của Dự thảo Nghị định.</w:t>
      </w:r>
    </w:p>
    <w:p w14:paraId="4A32DD58" w14:textId="77777777" w:rsidR="00D91887" w:rsidRPr="00D91887" w:rsidRDefault="00D91887" w:rsidP="00D91887">
      <w:pPr>
        <w:spacing w:before="120" w:after="0" w:line="240" w:lineRule="auto"/>
        <w:jc w:val="center"/>
        <w:rPr>
          <w:rFonts w:ascii="Times New Roman" w:hAnsi="Times New Roman" w:cs="Times New Roman"/>
          <w:b/>
          <w:iCs/>
          <w:sz w:val="28"/>
          <w:szCs w:val="28"/>
        </w:rPr>
      </w:pPr>
      <w:r w:rsidRPr="00D91887">
        <w:rPr>
          <w:rFonts w:ascii="Times New Roman" w:hAnsi="Times New Roman" w:cs="Times New Roman"/>
          <w:b/>
          <w:iCs/>
          <w:sz w:val="28"/>
          <w:szCs w:val="28"/>
        </w:rPr>
        <w:t>--------------------------------</w:t>
      </w:r>
    </w:p>
    <w:p w14:paraId="690CC3B0" w14:textId="77777777" w:rsidR="00DC7F35" w:rsidRDefault="00DC7F35" w:rsidP="00FC6961">
      <w:pPr>
        <w:pStyle w:val="BodyText"/>
        <w:spacing w:before="120" w:after="0" w:line="288" w:lineRule="auto"/>
        <w:ind w:firstLine="0"/>
        <w:rPr>
          <w:b/>
          <w:bCs/>
          <w:szCs w:val="28"/>
        </w:rPr>
      </w:pPr>
    </w:p>
    <w:sectPr w:rsidR="00DC7F35" w:rsidSect="00FC6961">
      <w:footerReference w:type="default" r:id="rId9"/>
      <w:pgSz w:w="11906" w:h="16838" w:code="9"/>
      <w:pgMar w:top="1134" w:right="1133" w:bottom="1134" w:left="1418" w:header="680" w:footer="2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7CFA2" w14:textId="77777777" w:rsidR="00833DA7" w:rsidRDefault="00833DA7" w:rsidP="00C826D8">
      <w:pPr>
        <w:spacing w:after="0" w:line="240" w:lineRule="auto"/>
      </w:pPr>
      <w:r>
        <w:separator/>
      </w:r>
    </w:p>
  </w:endnote>
  <w:endnote w:type="continuationSeparator" w:id="0">
    <w:p w14:paraId="17B52F07" w14:textId="77777777" w:rsidR="00833DA7" w:rsidRDefault="00833DA7" w:rsidP="00C8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MS Gothic"/>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151942"/>
      <w:docPartObj>
        <w:docPartGallery w:val="Page Numbers (Bottom of Page)"/>
        <w:docPartUnique/>
      </w:docPartObj>
    </w:sdtPr>
    <w:sdtEndPr>
      <w:rPr>
        <w:noProof/>
      </w:rPr>
    </w:sdtEndPr>
    <w:sdtContent>
      <w:p w14:paraId="1A197B5A" w14:textId="68E673E5" w:rsidR="007E5EB0" w:rsidRDefault="007E5EB0">
        <w:pPr>
          <w:pStyle w:val="Footer"/>
          <w:jc w:val="center"/>
        </w:pPr>
        <w:r>
          <w:fldChar w:fldCharType="begin"/>
        </w:r>
        <w:r>
          <w:instrText xml:space="preserve"> PAGE   \* MERGEFORMAT </w:instrText>
        </w:r>
        <w:r>
          <w:fldChar w:fldCharType="separate"/>
        </w:r>
        <w:r w:rsidR="00C215C5">
          <w:rPr>
            <w:noProof/>
          </w:rPr>
          <w:t>2</w:t>
        </w:r>
        <w:r>
          <w:rPr>
            <w:noProof/>
          </w:rPr>
          <w:fldChar w:fldCharType="end"/>
        </w:r>
      </w:p>
    </w:sdtContent>
  </w:sdt>
  <w:p w14:paraId="6FCC4574" w14:textId="77777777" w:rsidR="007E5EB0" w:rsidRDefault="007E5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49B0E" w14:textId="77777777" w:rsidR="00833DA7" w:rsidRDefault="00833DA7" w:rsidP="00C826D8">
      <w:pPr>
        <w:spacing w:after="0" w:line="240" w:lineRule="auto"/>
      </w:pPr>
      <w:r>
        <w:separator/>
      </w:r>
    </w:p>
  </w:footnote>
  <w:footnote w:type="continuationSeparator" w:id="0">
    <w:p w14:paraId="0D58FF65" w14:textId="77777777" w:rsidR="00833DA7" w:rsidRDefault="00833DA7" w:rsidP="00C826D8">
      <w:pPr>
        <w:spacing w:after="0" w:line="240" w:lineRule="auto"/>
      </w:pPr>
      <w:r>
        <w:continuationSeparator/>
      </w:r>
    </w:p>
  </w:footnote>
  <w:footnote w:id="1">
    <w:p w14:paraId="0ECDE210" w14:textId="53169274" w:rsidR="007E5EB0" w:rsidRPr="00AE44BC" w:rsidRDefault="007E5EB0">
      <w:pPr>
        <w:pStyle w:val="FootnoteText"/>
        <w:rPr>
          <w:rFonts w:ascii="Times New Roman" w:hAnsi="Times New Roman" w:cs="Times New Roman"/>
        </w:rPr>
      </w:pPr>
      <w:r w:rsidRPr="00AE44BC">
        <w:rPr>
          <w:rStyle w:val="FootnoteReference"/>
          <w:rFonts w:ascii="Times New Roman" w:hAnsi="Times New Roman" w:cs="Times New Roman"/>
        </w:rPr>
        <w:footnoteRef/>
      </w:r>
      <w:r w:rsidRPr="00AE44BC">
        <w:rPr>
          <w:rFonts w:ascii="Times New Roman" w:hAnsi="Times New Roman" w:cs="Times New Roman"/>
        </w:rPr>
        <w:t xml:space="preserve"> Trường ĐH KHTN-ĐHQG Hà Nội</w:t>
      </w:r>
      <w:r w:rsidRPr="00AE44BC">
        <w:rPr>
          <w:rFonts w:ascii="Times New Roman" w:hAnsi="Times New Roman" w:cs="Times New Roman"/>
          <w:vertAlign w:val="superscript"/>
        </w:rPr>
        <w:t>*</w:t>
      </w:r>
      <w:r w:rsidRPr="00AE44BC">
        <w:rPr>
          <w:rFonts w:ascii="Times New Roman" w:hAnsi="Times New Roman" w:cs="Times New Roman"/>
        </w:rPr>
        <w:t>, Trường ĐH KHTN-ĐHQG TP Hồ Chí Minh</w:t>
      </w:r>
      <w:r w:rsidRPr="00AE44BC">
        <w:rPr>
          <w:rFonts w:ascii="Times New Roman" w:hAnsi="Times New Roman" w:cs="Times New Roman"/>
          <w:vertAlign w:val="superscript"/>
        </w:rPr>
        <w:t>*</w:t>
      </w:r>
      <w:r w:rsidRPr="00AE44BC">
        <w:rPr>
          <w:rFonts w:ascii="Times New Roman" w:hAnsi="Times New Roman" w:cs="Times New Roman"/>
        </w:rPr>
        <w:t>, Trường  ĐHBK-ĐHQG TP Hồ Chí Minh, Trường  ĐHBK-ĐH Đà Nẵng, ĐH Bách khoa Hà Nội</w:t>
      </w:r>
      <w:r w:rsidRPr="00AE44BC">
        <w:rPr>
          <w:rFonts w:ascii="Times New Roman" w:hAnsi="Times New Roman" w:cs="Times New Roman"/>
          <w:vertAlign w:val="superscript"/>
        </w:rPr>
        <w:t>*</w:t>
      </w:r>
      <w:r w:rsidRPr="00AE44BC">
        <w:rPr>
          <w:rFonts w:ascii="Times New Roman" w:hAnsi="Times New Roman" w:cs="Times New Roman"/>
        </w:rPr>
        <w:t>, Trường ĐH Đà Lạt</w:t>
      </w:r>
      <w:r w:rsidRPr="00AE44BC">
        <w:rPr>
          <w:rFonts w:ascii="Times New Roman" w:hAnsi="Times New Roman" w:cs="Times New Roman"/>
          <w:vertAlign w:val="superscript"/>
        </w:rPr>
        <w:t>*</w:t>
      </w:r>
      <w:r w:rsidRPr="00AE44BC">
        <w:rPr>
          <w:rFonts w:ascii="Times New Roman" w:hAnsi="Times New Roman" w:cs="Times New Roman"/>
        </w:rPr>
        <w:t>, Trường ĐH Điện lực</w:t>
      </w:r>
      <w:r w:rsidRPr="00AE44BC">
        <w:rPr>
          <w:rFonts w:ascii="Times New Roman" w:hAnsi="Times New Roman" w:cs="Times New Roman"/>
          <w:vertAlign w:val="superscript"/>
        </w:rPr>
        <w:t>*</w:t>
      </w:r>
      <w:r w:rsidRPr="00AE44BC">
        <w:rPr>
          <w:rFonts w:ascii="Times New Roman" w:hAnsi="Times New Roman" w:cs="Times New Roman"/>
        </w:rPr>
        <w:t>, Trường ĐH Xây dựng Hà Nội, Trường CĐ Dầu khí Việt Nam, Trường CĐ Điện lực TP Hồ Chí Minh và Trung tâm đào tạo hạt nhân – Viện Năng lượng Nguyên tử Việt Nam</w:t>
      </w:r>
      <w:r w:rsidRPr="00AE44BC">
        <w:rPr>
          <w:rFonts w:ascii="Times New Roman" w:hAnsi="Times New Roman" w:cs="Times New Roman"/>
          <w:vertAlign w:val="superscript"/>
        </w:rPr>
        <w:t>*</w:t>
      </w:r>
      <w:r w:rsidRPr="00AE44BC">
        <w:rPr>
          <w:rFonts w:ascii="Times New Roman" w:hAnsi="Times New Roman" w:cs="Times New Roman"/>
        </w:rPr>
        <w:t>.</w:t>
      </w:r>
    </w:p>
    <w:p w14:paraId="23FD5006" w14:textId="79C78AEE" w:rsidR="007E5EB0" w:rsidRPr="00AE44BC" w:rsidRDefault="007E5EB0">
      <w:pPr>
        <w:pStyle w:val="FootnoteText"/>
        <w:rPr>
          <w:rFonts w:ascii="Times New Roman" w:hAnsi="Times New Roman" w:cs="Times New Roman"/>
        </w:rPr>
      </w:pPr>
      <w:r w:rsidRPr="00AE44BC">
        <w:rPr>
          <w:rFonts w:ascii="Times New Roman" w:hAnsi="Times New Roman" w:cs="Times New Roman"/>
        </w:rPr>
        <w:t>* Các cơ sở đạo tạo được lựa chọn tham gia Đề án "Đào tạo và phát triển nguồn nhân lực trong lĩnh vực năng lượng nguyên tử" theo Quyết định số 1558/QĐ-TTg</w:t>
      </w:r>
      <w:r>
        <w:rPr>
          <w:rFonts w:ascii="Times New Roman" w:hAnsi="Times New Roman" w:cs="Times New Roman"/>
        </w:rPr>
        <w:t>.</w:t>
      </w:r>
    </w:p>
  </w:footnote>
  <w:footnote w:id="2">
    <w:p w14:paraId="13B0BCD4" w14:textId="30D2B084" w:rsidR="007E5EB0" w:rsidRPr="00AE44BC" w:rsidRDefault="007E5EB0" w:rsidP="00AE44BC">
      <w:pPr>
        <w:pStyle w:val="FootnoteText"/>
        <w:rPr>
          <w:rFonts w:ascii="Times New Roman" w:hAnsi="Times New Roman" w:cs="Times New Roman"/>
        </w:rPr>
      </w:pPr>
      <w:r w:rsidRPr="00AE44BC">
        <w:rPr>
          <w:rStyle w:val="FootnoteReference"/>
          <w:rFonts w:ascii="Times New Roman" w:hAnsi="Times New Roman" w:cs="Times New Roman"/>
        </w:rPr>
        <w:footnoteRef/>
      </w:r>
      <w:r w:rsidRPr="00AE44BC">
        <w:rPr>
          <w:rFonts w:ascii="Times New Roman" w:hAnsi="Times New Roman" w:cs="Times New Roman"/>
        </w:rPr>
        <w:t xml:space="preserve"> Trường ĐH KHTN-ĐHQG Hà Nội, Trường ĐH KHTN-ĐHQG TP Hồ Chí Minh, ĐH Bách khoa Hà Nội, Trường ĐH Đà Lạt, Trường ĐH Điện lực, Trung tâm đào tạo hạt nhân – Viện Năng lượng Nguyên tử Việt Nam.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766"/>
    <w:multiLevelType w:val="hybridMultilevel"/>
    <w:tmpl w:val="1F8E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10E9"/>
    <w:multiLevelType w:val="hybridMultilevel"/>
    <w:tmpl w:val="93189F1A"/>
    <w:lvl w:ilvl="0" w:tplc="A8C2C8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606673"/>
    <w:multiLevelType w:val="hybridMultilevel"/>
    <w:tmpl w:val="A09E6E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75E623D"/>
    <w:multiLevelType w:val="hybridMultilevel"/>
    <w:tmpl w:val="01406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AC7F3C"/>
    <w:multiLevelType w:val="hybridMultilevel"/>
    <w:tmpl w:val="09F45AD4"/>
    <w:lvl w:ilvl="0" w:tplc="9168BE38">
      <w:start w:val="2"/>
      <w:numFmt w:val="bullet"/>
      <w:lvlText w:val="-"/>
      <w:lvlJc w:val="left"/>
      <w:pPr>
        <w:ind w:left="720" w:hanging="360"/>
      </w:pPr>
      <w:rPr>
        <w:rFonts w:ascii="Times New Roman" w:eastAsiaTheme="minorEastAsia"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90A8C"/>
    <w:multiLevelType w:val="hybridMultilevel"/>
    <w:tmpl w:val="7EBEA336"/>
    <w:lvl w:ilvl="0" w:tplc="6B8671B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B7F53"/>
    <w:multiLevelType w:val="hybridMultilevel"/>
    <w:tmpl w:val="EE42FC9E"/>
    <w:lvl w:ilvl="0" w:tplc="885A58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42"/>
    <w:rsid w:val="00001A86"/>
    <w:rsid w:val="000030FB"/>
    <w:rsid w:val="00004888"/>
    <w:rsid w:val="00010B26"/>
    <w:rsid w:val="00011F28"/>
    <w:rsid w:val="0001295F"/>
    <w:rsid w:val="000132DA"/>
    <w:rsid w:val="0001465A"/>
    <w:rsid w:val="000149BC"/>
    <w:rsid w:val="00020708"/>
    <w:rsid w:val="000209C2"/>
    <w:rsid w:val="00024EFF"/>
    <w:rsid w:val="00030834"/>
    <w:rsid w:val="00030E3E"/>
    <w:rsid w:val="00032837"/>
    <w:rsid w:val="0004010B"/>
    <w:rsid w:val="00040C15"/>
    <w:rsid w:val="00045754"/>
    <w:rsid w:val="00045A35"/>
    <w:rsid w:val="00051963"/>
    <w:rsid w:val="00052D50"/>
    <w:rsid w:val="00054E1F"/>
    <w:rsid w:val="00063CBA"/>
    <w:rsid w:val="00066A8F"/>
    <w:rsid w:val="00072C23"/>
    <w:rsid w:val="00075053"/>
    <w:rsid w:val="00075BE6"/>
    <w:rsid w:val="000833DB"/>
    <w:rsid w:val="00092C97"/>
    <w:rsid w:val="00093088"/>
    <w:rsid w:val="000942FB"/>
    <w:rsid w:val="0009449B"/>
    <w:rsid w:val="000951C6"/>
    <w:rsid w:val="00096A07"/>
    <w:rsid w:val="000A1DCA"/>
    <w:rsid w:val="000A2417"/>
    <w:rsid w:val="000A57DC"/>
    <w:rsid w:val="000C5280"/>
    <w:rsid w:val="000C533C"/>
    <w:rsid w:val="000C6584"/>
    <w:rsid w:val="000C7D79"/>
    <w:rsid w:val="000D04EF"/>
    <w:rsid w:val="000D3017"/>
    <w:rsid w:val="000D4003"/>
    <w:rsid w:val="000D479A"/>
    <w:rsid w:val="000D6941"/>
    <w:rsid w:val="000D695F"/>
    <w:rsid w:val="000E2235"/>
    <w:rsid w:val="000E31DD"/>
    <w:rsid w:val="000F3294"/>
    <w:rsid w:val="000F33A9"/>
    <w:rsid w:val="000F7EC5"/>
    <w:rsid w:val="001009C9"/>
    <w:rsid w:val="00103858"/>
    <w:rsid w:val="00111346"/>
    <w:rsid w:val="00114D29"/>
    <w:rsid w:val="001152F4"/>
    <w:rsid w:val="00117960"/>
    <w:rsid w:val="0012095E"/>
    <w:rsid w:val="00121685"/>
    <w:rsid w:val="0012518E"/>
    <w:rsid w:val="0012589D"/>
    <w:rsid w:val="00126700"/>
    <w:rsid w:val="00127713"/>
    <w:rsid w:val="00134B10"/>
    <w:rsid w:val="00134E03"/>
    <w:rsid w:val="00135A1C"/>
    <w:rsid w:val="00141307"/>
    <w:rsid w:val="00143435"/>
    <w:rsid w:val="00144D5E"/>
    <w:rsid w:val="00145577"/>
    <w:rsid w:val="00145EB0"/>
    <w:rsid w:val="00146EF9"/>
    <w:rsid w:val="00155A09"/>
    <w:rsid w:val="00161621"/>
    <w:rsid w:val="00161BF6"/>
    <w:rsid w:val="001620D3"/>
    <w:rsid w:val="0016479A"/>
    <w:rsid w:val="0016545C"/>
    <w:rsid w:val="0016721F"/>
    <w:rsid w:val="00170A47"/>
    <w:rsid w:val="001768C1"/>
    <w:rsid w:val="00176BA9"/>
    <w:rsid w:val="0018274C"/>
    <w:rsid w:val="00184AE8"/>
    <w:rsid w:val="00184F86"/>
    <w:rsid w:val="001853BC"/>
    <w:rsid w:val="00186A10"/>
    <w:rsid w:val="0019102E"/>
    <w:rsid w:val="001919E5"/>
    <w:rsid w:val="0019276E"/>
    <w:rsid w:val="00194A0C"/>
    <w:rsid w:val="0019541E"/>
    <w:rsid w:val="0019678B"/>
    <w:rsid w:val="001971B4"/>
    <w:rsid w:val="001B37BD"/>
    <w:rsid w:val="001B3823"/>
    <w:rsid w:val="001B3FDD"/>
    <w:rsid w:val="001B48E5"/>
    <w:rsid w:val="001B66A2"/>
    <w:rsid w:val="001B6B99"/>
    <w:rsid w:val="001B769F"/>
    <w:rsid w:val="001C2A2C"/>
    <w:rsid w:val="001C3C41"/>
    <w:rsid w:val="001C480F"/>
    <w:rsid w:val="001C7E9C"/>
    <w:rsid w:val="001D11DB"/>
    <w:rsid w:val="001D4343"/>
    <w:rsid w:val="001D4652"/>
    <w:rsid w:val="001E553F"/>
    <w:rsid w:val="001F56FE"/>
    <w:rsid w:val="001F7AEF"/>
    <w:rsid w:val="00202EEA"/>
    <w:rsid w:val="00204AB6"/>
    <w:rsid w:val="002058A2"/>
    <w:rsid w:val="00207E42"/>
    <w:rsid w:val="002136B9"/>
    <w:rsid w:val="00213A49"/>
    <w:rsid w:val="00230FCF"/>
    <w:rsid w:val="00231BAB"/>
    <w:rsid w:val="00232AE7"/>
    <w:rsid w:val="00232C41"/>
    <w:rsid w:val="00233505"/>
    <w:rsid w:val="0024374F"/>
    <w:rsid w:val="00245286"/>
    <w:rsid w:val="00247E8F"/>
    <w:rsid w:val="00250B6F"/>
    <w:rsid w:val="002520C2"/>
    <w:rsid w:val="00254519"/>
    <w:rsid w:val="002577BF"/>
    <w:rsid w:val="0026032E"/>
    <w:rsid w:val="002660E4"/>
    <w:rsid w:val="002672AD"/>
    <w:rsid w:val="00267A39"/>
    <w:rsid w:val="002723D8"/>
    <w:rsid w:val="0027259F"/>
    <w:rsid w:val="002726B6"/>
    <w:rsid w:val="0028239E"/>
    <w:rsid w:val="00286DCF"/>
    <w:rsid w:val="002902A3"/>
    <w:rsid w:val="002927A9"/>
    <w:rsid w:val="00294103"/>
    <w:rsid w:val="002959C2"/>
    <w:rsid w:val="002A206C"/>
    <w:rsid w:val="002A37DF"/>
    <w:rsid w:val="002A7B8F"/>
    <w:rsid w:val="002A7CE6"/>
    <w:rsid w:val="002B033E"/>
    <w:rsid w:val="002B2BFA"/>
    <w:rsid w:val="002B3204"/>
    <w:rsid w:val="002B495A"/>
    <w:rsid w:val="002B5905"/>
    <w:rsid w:val="002C368E"/>
    <w:rsid w:val="002C3CE0"/>
    <w:rsid w:val="002D429E"/>
    <w:rsid w:val="002D4D87"/>
    <w:rsid w:val="002E09C2"/>
    <w:rsid w:val="002E52E8"/>
    <w:rsid w:val="002E5D3A"/>
    <w:rsid w:val="002F09C0"/>
    <w:rsid w:val="002F5306"/>
    <w:rsid w:val="003036CC"/>
    <w:rsid w:val="00305468"/>
    <w:rsid w:val="00305EDE"/>
    <w:rsid w:val="00306E7D"/>
    <w:rsid w:val="003078AF"/>
    <w:rsid w:val="0031430D"/>
    <w:rsid w:val="0031521E"/>
    <w:rsid w:val="00321F39"/>
    <w:rsid w:val="00322EC6"/>
    <w:rsid w:val="00324B0E"/>
    <w:rsid w:val="00325392"/>
    <w:rsid w:val="0033600F"/>
    <w:rsid w:val="00336DCE"/>
    <w:rsid w:val="00340FC5"/>
    <w:rsid w:val="00345399"/>
    <w:rsid w:val="00350631"/>
    <w:rsid w:val="00350DAE"/>
    <w:rsid w:val="003604F7"/>
    <w:rsid w:val="0036443E"/>
    <w:rsid w:val="003758E5"/>
    <w:rsid w:val="003774AE"/>
    <w:rsid w:val="00381E5E"/>
    <w:rsid w:val="00391007"/>
    <w:rsid w:val="00397FE0"/>
    <w:rsid w:val="003A11A3"/>
    <w:rsid w:val="003A1CAB"/>
    <w:rsid w:val="003A2432"/>
    <w:rsid w:val="003A64EB"/>
    <w:rsid w:val="003A7065"/>
    <w:rsid w:val="003B11F1"/>
    <w:rsid w:val="003B1B54"/>
    <w:rsid w:val="003B7E5C"/>
    <w:rsid w:val="003C07A2"/>
    <w:rsid w:val="003C57C8"/>
    <w:rsid w:val="003C5F63"/>
    <w:rsid w:val="003C62EF"/>
    <w:rsid w:val="003D02E5"/>
    <w:rsid w:val="003D193C"/>
    <w:rsid w:val="003D5F95"/>
    <w:rsid w:val="003D6BFF"/>
    <w:rsid w:val="003D7690"/>
    <w:rsid w:val="003D795F"/>
    <w:rsid w:val="003E0EB0"/>
    <w:rsid w:val="003E6939"/>
    <w:rsid w:val="003F066D"/>
    <w:rsid w:val="003F0D2C"/>
    <w:rsid w:val="003F29C5"/>
    <w:rsid w:val="003F33D0"/>
    <w:rsid w:val="003F400B"/>
    <w:rsid w:val="003F665D"/>
    <w:rsid w:val="003F6AD0"/>
    <w:rsid w:val="003F7CB5"/>
    <w:rsid w:val="00401196"/>
    <w:rsid w:val="00403511"/>
    <w:rsid w:val="004123A9"/>
    <w:rsid w:val="00413B57"/>
    <w:rsid w:val="00422B64"/>
    <w:rsid w:val="00422FFD"/>
    <w:rsid w:val="00423A2E"/>
    <w:rsid w:val="00424CDB"/>
    <w:rsid w:val="00425A51"/>
    <w:rsid w:val="00432123"/>
    <w:rsid w:val="004355B4"/>
    <w:rsid w:val="0044004C"/>
    <w:rsid w:val="00446603"/>
    <w:rsid w:val="00450069"/>
    <w:rsid w:val="0045727A"/>
    <w:rsid w:val="00457371"/>
    <w:rsid w:val="00463E2E"/>
    <w:rsid w:val="00466CDC"/>
    <w:rsid w:val="0046724C"/>
    <w:rsid w:val="00474DD0"/>
    <w:rsid w:val="00475574"/>
    <w:rsid w:val="004771FC"/>
    <w:rsid w:val="00482A98"/>
    <w:rsid w:val="00486B9E"/>
    <w:rsid w:val="00491C0E"/>
    <w:rsid w:val="0049255F"/>
    <w:rsid w:val="004975B3"/>
    <w:rsid w:val="004A4CED"/>
    <w:rsid w:val="004B070A"/>
    <w:rsid w:val="004B1B07"/>
    <w:rsid w:val="004B1B36"/>
    <w:rsid w:val="004B265D"/>
    <w:rsid w:val="004C1C12"/>
    <w:rsid w:val="004C2F1C"/>
    <w:rsid w:val="004C5C13"/>
    <w:rsid w:val="004C7C40"/>
    <w:rsid w:val="004D036D"/>
    <w:rsid w:val="004D4A2F"/>
    <w:rsid w:val="004D5705"/>
    <w:rsid w:val="004D5778"/>
    <w:rsid w:val="004D5EF6"/>
    <w:rsid w:val="004E1D10"/>
    <w:rsid w:val="004E2AD8"/>
    <w:rsid w:val="004E2EE9"/>
    <w:rsid w:val="004E301B"/>
    <w:rsid w:val="004E6718"/>
    <w:rsid w:val="004E71C2"/>
    <w:rsid w:val="004F0BFB"/>
    <w:rsid w:val="004F18E2"/>
    <w:rsid w:val="004F1ABE"/>
    <w:rsid w:val="004F65FE"/>
    <w:rsid w:val="0050260E"/>
    <w:rsid w:val="005058CF"/>
    <w:rsid w:val="00510960"/>
    <w:rsid w:val="005147C5"/>
    <w:rsid w:val="0051618E"/>
    <w:rsid w:val="00525E3F"/>
    <w:rsid w:val="00532C66"/>
    <w:rsid w:val="00533E0D"/>
    <w:rsid w:val="005405A6"/>
    <w:rsid w:val="0054272D"/>
    <w:rsid w:val="005446EB"/>
    <w:rsid w:val="0054594D"/>
    <w:rsid w:val="00546EF1"/>
    <w:rsid w:val="00550FB7"/>
    <w:rsid w:val="005542A2"/>
    <w:rsid w:val="005549E4"/>
    <w:rsid w:val="0056060C"/>
    <w:rsid w:val="0056276C"/>
    <w:rsid w:val="00573113"/>
    <w:rsid w:val="00573B25"/>
    <w:rsid w:val="005828CF"/>
    <w:rsid w:val="005832CE"/>
    <w:rsid w:val="00584C61"/>
    <w:rsid w:val="005A0339"/>
    <w:rsid w:val="005A0864"/>
    <w:rsid w:val="005A1156"/>
    <w:rsid w:val="005A3F66"/>
    <w:rsid w:val="005A47F0"/>
    <w:rsid w:val="005B2705"/>
    <w:rsid w:val="005B4041"/>
    <w:rsid w:val="005B78BA"/>
    <w:rsid w:val="005C17AF"/>
    <w:rsid w:val="005C69DD"/>
    <w:rsid w:val="005C73AA"/>
    <w:rsid w:val="005C7C11"/>
    <w:rsid w:val="005D3BDC"/>
    <w:rsid w:val="005D55AF"/>
    <w:rsid w:val="005D625A"/>
    <w:rsid w:val="005D68BF"/>
    <w:rsid w:val="005E2213"/>
    <w:rsid w:val="005E72D9"/>
    <w:rsid w:val="005E72FD"/>
    <w:rsid w:val="005F174C"/>
    <w:rsid w:val="005F55F9"/>
    <w:rsid w:val="006013FA"/>
    <w:rsid w:val="00606042"/>
    <w:rsid w:val="00606445"/>
    <w:rsid w:val="00613E1C"/>
    <w:rsid w:val="00614627"/>
    <w:rsid w:val="00614BA3"/>
    <w:rsid w:val="00616129"/>
    <w:rsid w:val="0062602A"/>
    <w:rsid w:val="00635D44"/>
    <w:rsid w:val="00637549"/>
    <w:rsid w:val="00640B01"/>
    <w:rsid w:val="00642E47"/>
    <w:rsid w:val="00643B61"/>
    <w:rsid w:val="00644574"/>
    <w:rsid w:val="00650E1F"/>
    <w:rsid w:val="00651D31"/>
    <w:rsid w:val="006545E7"/>
    <w:rsid w:val="00660EC8"/>
    <w:rsid w:val="00663398"/>
    <w:rsid w:val="00663813"/>
    <w:rsid w:val="00663E70"/>
    <w:rsid w:val="006720BE"/>
    <w:rsid w:val="006721FD"/>
    <w:rsid w:val="006745C4"/>
    <w:rsid w:val="00674EAA"/>
    <w:rsid w:val="006756A4"/>
    <w:rsid w:val="00675897"/>
    <w:rsid w:val="00675B8F"/>
    <w:rsid w:val="00675DD2"/>
    <w:rsid w:val="006827DD"/>
    <w:rsid w:val="006852D0"/>
    <w:rsid w:val="006864C0"/>
    <w:rsid w:val="00687AB0"/>
    <w:rsid w:val="00691BDA"/>
    <w:rsid w:val="00694DD1"/>
    <w:rsid w:val="006A4561"/>
    <w:rsid w:val="006A6265"/>
    <w:rsid w:val="006B4728"/>
    <w:rsid w:val="006B4878"/>
    <w:rsid w:val="006B54F8"/>
    <w:rsid w:val="006C57E6"/>
    <w:rsid w:val="006C698B"/>
    <w:rsid w:val="006D1DC0"/>
    <w:rsid w:val="006E15D8"/>
    <w:rsid w:val="006E2639"/>
    <w:rsid w:val="006E2752"/>
    <w:rsid w:val="006E3C05"/>
    <w:rsid w:val="006E5DFF"/>
    <w:rsid w:val="006F1AB3"/>
    <w:rsid w:val="006F2472"/>
    <w:rsid w:val="006F2629"/>
    <w:rsid w:val="006F2AD2"/>
    <w:rsid w:val="007031A1"/>
    <w:rsid w:val="007042DC"/>
    <w:rsid w:val="007046DD"/>
    <w:rsid w:val="00714BA8"/>
    <w:rsid w:val="007173A0"/>
    <w:rsid w:val="007173DC"/>
    <w:rsid w:val="00732707"/>
    <w:rsid w:val="00734794"/>
    <w:rsid w:val="00734EBA"/>
    <w:rsid w:val="0073514D"/>
    <w:rsid w:val="00735A15"/>
    <w:rsid w:val="00740C84"/>
    <w:rsid w:val="00742FA0"/>
    <w:rsid w:val="00742FB3"/>
    <w:rsid w:val="00743CF1"/>
    <w:rsid w:val="00746B0F"/>
    <w:rsid w:val="007502D6"/>
    <w:rsid w:val="00757766"/>
    <w:rsid w:val="00761A95"/>
    <w:rsid w:val="00765B3A"/>
    <w:rsid w:val="00766AD6"/>
    <w:rsid w:val="00770886"/>
    <w:rsid w:val="00774119"/>
    <w:rsid w:val="00775860"/>
    <w:rsid w:val="0077764E"/>
    <w:rsid w:val="00780002"/>
    <w:rsid w:val="007802DE"/>
    <w:rsid w:val="00780EC8"/>
    <w:rsid w:val="00783158"/>
    <w:rsid w:val="00783B08"/>
    <w:rsid w:val="00785191"/>
    <w:rsid w:val="007933AE"/>
    <w:rsid w:val="00794B49"/>
    <w:rsid w:val="007A1485"/>
    <w:rsid w:val="007A2D81"/>
    <w:rsid w:val="007A2E41"/>
    <w:rsid w:val="007A33B7"/>
    <w:rsid w:val="007A6F49"/>
    <w:rsid w:val="007B05BB"/>
    <w:rsid w:val="007B080D"/>
    <w:rsid w:val="007B2138"/>
    <w:rsid w:val="007B63C2"/>
    <w:rsid w:val="007D2D23"/>
    <w:rsid w:val="007D43BB"/>
    <w:rsid w:val="007D5F7D"/>
    <w:rsid w:val="007E44B0"/>
    <w:rsid w:val="007E5EB0"/>
    <w:rsid w:val="008002E2"/>
    <w:rsid w:val="008115F0"/>
    <w:rsid w:val="0081665C"/>
    <w:rsid w:val="00820878"/>
    <w:rsid w:val="00824E00"/>
    <w:rsid w:val="00826607"/>
    <w:rsid w:val="00833DA7"/>
    <w:rsid w:val="008356F3"/>
    <w:rsid w:val="0084043C"/>
    <w:rsid w:val="00841DD1"/>
    <w:rsid w:val="0084618A"/>
    <w:rsid w:val="00846A65"/>
    <w:rsid w:val="0085009F"/>
    <w:rsid w:val="00850F1A"/>
    <w:rsid w:val="00851F36"/>
    <w:rsid w:val="008634FC"/>
    <w:rsid w:val="00863A20"/>
    <w:rsid w:val="0086675C"/>
    <w:rsid w:val="00870831"/>
    <w:rsid w:val="00871386"/>
    <w:rsid w:val="008728BF"/>
    <w:rsid w:val="00873E9A"/>
    <w:rsid w:val="00876C1A"/>
    <w:rsid w:val="008806C8"/>
    <w:rsid w:val="00881755"/>
    <w:rsid w:val="00883D82"/>
    <w:rsid w:val="00884285"/>
    <w:rsid w:val="0088593D"/>
    <w:rsid w:val="0089120D"/>
    <w:rsid w:val="00894E1C"/>
    <w:rsid w:val="00895A2E"/>
    <w:rsid w:val="0089643B"/>
    <w:rsid w:val="008A3B6A"/>
    <w:rsid w:val="008A5141"/>
    <w:rsid w:val="008A5593"/>
    <w:rsid w:val="008B38DF"/>
    <w:rsid w:val="008C26A9"/>
    <w:rsid w:val="008C31A4"/>
    <w:rsid w:val="008D7B38"/>
    <w:rsid w:val="008D7E67"/>
    <w:rsid w:val="008E0420"/>
    <w:rsid w:val="008E2CDD"/>
    <w:rsid w:val="008E548A"/>
    <w:rsid w:val="008E7249"/>
    <w:rsid w:val="008E744D"/>
    <w:rsid w:val="008F1C5B"/>
    <w:rsid w:val="008F1E61"/>
    <w:rsid w:val="008F2451"/>
    <w:rsid w:val="008F3E64"/>
    <w:rsid w:val="00901906"/>
    <w:rsid w:val="00902207"/>
    <w:rsid w:val="00902217"/>
    <w:rsid w:val="00902F72"/>
    <w:rsid w:val="009053DF"/>
    <w:rsid w:val="009061A7"/>
    <w:rsid w:val="00906BED"/>
    <w:rsid w:val="009101F7"/>
    <w:rsid w:val="00914D12"/>
    <w:rsid w:val="00914E43"/>
    <w:rsid w:val="009167E3"/>
    <w:rsid w:val="00920EBA"/>
    <w:rsid w:val="00922C41"/>
    <w:rsid w:val="009243F5"/>
    <w:rsid w:val="00925DA1"/>
    <w:rsid w:val="00927DB1"/>
    <w:rsid w:val="00930687"/>
    <w:rsid w:val="00931D9A"/>
    <w:rsid w:val="00934AB7"/>
    <w:rsid w:val="009407EF"/>
    <w:rsid w:val="00941216"/>
    <w:rsid w:val="009420AA"/>
    <w:rsid w:val="00943D41"/>
    <w:rsid w:val="009450D3"/>
    <w:rsid w:val="00946448"/>
    <w:rsid w:val="00952375"/>
    <w:rsid w:val="00953605"/>
    <w:rsid w:val="00957264"/>
    <w:rsid w:val="00963B9A"/>
    <w:rsid w:val="00965DFB"/>
    <w:rsid w:val="009756B3"/>
    <w:rsid w:val="00976E10"/>
    <w:rsid w:val="00977FE5"/>
    <w:rsid w:val="00983076"/>
    <w:rsid w:val="00986F65"/>
    <w:rsid w:val="009875F4"/>
    <w:rsid w:val="0098771F"/>
    <w:rsid w:val="00987E99"/>
    <w:rsid w:val="00990F35"/>
    <w:rsid w:val="00997124"/>
    <w:rsid w:val="00997908"/>
    <w:rsid w:val="009A0ACA"/>
    <w:rsid w:val="009A329F"/>
    <w:rsid w:val="009A52AB"/>
    <w:rsid w:val="009A6DDD"/>
    <w:rsid w:val="009B0BC9"/>
    <w:rsid w:val="009B30FA"/>
    <w:rsid w:val="009B4CD0"/>
    <w:rsid w:val="009B63B7"/>
    <w:rsid w:val="009B6C0B"/>
    <w:rsid w:val="009B73C2"/>
    <w:rsid w:val="009C019A"/>
    <w:rsid w:val="009C1B91"/>
    <w:rsid w:val="009C1D27"/>
    <w:rsid w:val="009C5D19"/>
    <w:rsid w:val="009D4208"/>
    <w:rsid w:val="009D467A"/>
    <w:rsid w:val="009E2874"/>
    <w:rsid w:val="009F403F"/>
    <w:rsid w:val="009F477B"/>
    <w:rsid w:val="00A01D0C"/>
    <w:rsid w:val="00A040F4"/>
    <w:rsid w:val="00A1483A"/>
    <w:rsid w:val="00A27B40"/>
    <w:rsid w:val="00A3021A"/>
    <w:rsid w:val="00A32071"/>
    <w:rsid w:val="00A3251F"/>
    <w:rsid w:val="00A34360"/>
    <w:rsid w:val="00A37747"/>
    <w:rsid w:val="00A5663A"/>
    <w:rsid w:val="00A64A4C"/>
    <w:rsid w:val="00A65B0D"/>
    <w:rsid w:val="00A666AD"/>
    <w:rsid w:val="00A72FCC"/>
    <w:rsid w:val="00A74FDC"/>
    <w:rsid w:val="00A75533"/>
    <w:rsid w:val="00A76801"/>
    <w:rsid w:val="00A8515F"/>
    <w:rsid w:val="00A86D4B"/>
    <w:rsid w:val="00A933D6"/>
    <w:rsid w:val="00A94AF9"/>
    <w:rsid w:val="00AA2CC9"/>
    <w:rsid w:val="00AA4628"/>
    <w:rsid w:val="00AA7035"/>
    <w:rsid w:val="00AB17DF"/>
    <w:rsid w:val="00AB6783"/>
    <w:rsid w:val="00AC0D1A"/>
    <w:rsid w:val="00AC539C"/>
    <w:rsid w:val="00AC548E"/>
    <w:rsid w:val="00AD3110"/>
    <w:rsid w:val="00AD604A"/>
    <w:rsid w:val="00AD7A5C"/>
    <w:rsid w:val="00AD7E88"/>
    <w:rsid w:val="00AE0997"/>
    <w:rsid w:val="00AE44BC"/>
    <w:rsid w:val="00AF1147"/>
    <w:rsid w:val="00AF220B"/>
    <w:rsid w:val="00AF53EB"/>
    <w:rsid w:val="00AF648F"/>
    <w:rsid w:val="00B036B7"/>
    <w:rsid w:val="00B06943"/>
    <w:rsid w:val="00B100B2"/>
    <w:rsid w:val="00B125D8"/>
    <w:rsid w:val="00B164E9"/>
    <w:rsid w:val="00B213CD"/>
    <w:rsid w:val="00B24956"/>
    <w:rsid w:val="00B30E19"/>
    <w:rsid w:val="00B36059"/>
    <w:rsid w:val="00B36823"/>
    <w:rsid w:val="00B41C41"/>
    <w:rsid w:val="00B43D77"/>
    <w:rsid w:val="00B43E0C"/>
    <w:rsid w:val="00B4441E"/>
    <w:rsid w:val="00B4660A"/>
    <w:rsid w:val="00B5627C"/>
    <w:rsid w:val="00B56336"/>
    <w:rsid w:val="00B61BEF"/>
    <w:rsid w:val="00B63F43"/>
    <w:rsid w:val="00B716D5"/>
    <w:rsid w:val="00B71E08"/>
    <w:rsid w:val="00B75B33"/>
    <w:rsid w:val="00B7615F"/>
    <w:rsid w:val="00B84B24"/>
    <w:rsid w:val="00B865CD"/>
    <w:rsid w:val="00B867DF"/>
    <w:rsid w:val="00B90FB5"/>
    <w:rsid w:val="00B95F21"/>
    <w:rsid w:val="00B96CB4"/>
    <w:rsid w:val="00BA16B3"/>
    <w:rsid w:val="00BB1096"/>
    <w:rsid w:val="00BB523B"/>
    <w:rsid w:val="00BB7F04"/>
    <w:rsid w:val="00BC00B8"/>
    <w:rsid w:val="00BC526D"/>
    <w:rsid w:val="00BD12B7"/>
    <w:rsid w:val="00BD71CA"/>
    <w:rsid w:val="00BE0283"/>
    <w:rsid w:val="00BE1269"/>
    <w:rsid w:val="00BE4980"/>
    <w:rsid w:val="00BE538D"/>
    <w:rsid w:val="00BF202B"/>
    <w:rsid w:val="00BF3863"/>
    <w:rsid w:val="00BF3B4E"/>
    <w:rsid w:val="00BF4A91"/>
    <w:rsid w:val="00BF7A38"/>
    <w:rsid w:val="00C06971"/>
    <w:rsid w:val="00C10580"/>
    <w:rsid w:val="00C13CA9"/>
    <w:rsid w:val="00C14728"/>
    <w:rsid w:val="00C17AAE"/>
    <w:rsid w:val="00C215C5"/>
    <w:rsid w:val="00C24465"/>
    <w:rsid w:val="00C25D3C"/>
    <w:rsid w:val="00C2754F"/>
    <w:rsid w:val="00C27621"/>
    <w:rsid w:val="00C3567B"/>
    <w:rsid w:val="00C358AD"/>
    <w:rsid w:val="00C37144"/>
    <w:rsid w:val="00C42D16"/>
    <w:rsid w:val="00C4391F"/>
    <w:rsid w:val="00C43D6B"/>
    <w:rsid w:val="00C45747"/>
    <w:rsid w:val="00C47BD8"/>
    <w:rsid w:val="00C555E9"/>
    <w:rsid w:val="00C55EF1"/>
    <w:rsid w:val="00C61445"/>
    <w:rsid w:val="00C656E8"/>
    <w:rsid w:val="00C6784E"/>
    <w:rsid w:val="00C730F1"/>
    <w:rsid w:val="00C77574"/>
    <w:rsid w:val="00C8102B"/>
    <w:rsid w:val="00C826D8"/>
    <w:rsid w:val="00C84C4D"/>
    <w:rsid w:val="00C87D81"/>
    <w:rsid w:val="00C92623"/>
    <w:rsid w:val="00CB2081"/>
    <w:rsid w:val="00CC54BB"/>
    <w:rsid w:val="00CC6038"/>
    <w:rsid w:val="00CD5D62"/>
    <w:rsid w:val="00CD766B"/>
    <w:rsid w:val="00CE2916"/>
    <w:rsid w:val="00CE64A0"/>
    <w:rsid w:val="00CE6A47"/>
    <w:rsid w:val="00CE6E44"/>
    <w:rsid w:val="00CF5B88"/>
    <w:rsid w:val="00CF5E18"/>
    <w:rsid w:val="00D022FD"/>
    <w:rsid w:val="00D11BA8"/>
    <w:rsid w:val="00D1255B"/>
    <w:rsid w:val="00D13937"/>
    <w:rsid w:val="00D14B47"/>
    <w:rsid w:val="00D14FD5"/>
    <w:rsid w:val="00D1619A"/>
    <w:rsid w:val="00D218E3"/>
    <w:rsid w:val="00D23125"/>
    <w:rsid w:val="00D23626"/>
    <w:rsid w:val="00D267C2"/>
    <w:rsid w:val="00D34A7F"/>
    <w:rsid w:val="00D366C1"/>
    <w:rsid w:val="00D366D0"/>
    <w:rsid w:val="00D41CAE"/>
    <w:rsid w:val="00D42131"/>
    <w:rsid w:val="00D42358"/>
    <w:rsid w:val="00D44285"/>
    <w:rsid w:val="00D50B73"/>
    <w:rsid w:val="00D520BF"/>
    <w:rsid w:val="00D54B84"/>
    <w:rsid w:val="00D552A5"/>
    <w:rsid w:val="00D60A5C"/>
    <w:rsid w:val="00D63758"/>
    <w:rsid w:val="00D6706F"/>
    <w:rsid w:val="00D727B8"/>
    <w:rsid w:val="00D82511"/>
    <w:rsid w:val="00D844CC"/>
    <w:rsid w:val="00D869BB"/>
    <w:rsid w:val="00D87CE9"/>
    <w:rsid w:val="00D91887"/>
    <w:rsid w:val="00D973AD"/>
    <w:rsid w:val="00DA0267"/>
    <w:rsid w:val="00DB049A"/>
    <w:rsid w:val="00DC2016"/>
    <w:rsid w:val="00DC7F35"/>
    <w:rsid w:val="00DD41C4"/>
    <w:rsid w:val="00DD4412"/>
    <w:rsid w:val="00DD57B0"/>
    <w:rsid w:val="00DE3461"/>
    <w:rsid w:val="00DE42E8"/>
    <w:rsid w:val="00DF1B8E"/>
    <w:rsid w:val="00DF1C16"/>
    <w:rsid w:val="00DF1C35"/>
    <w:rsid w:val="00DF4E6B"/>
    <w:rsid w:val="00DF5F6A"/>
    <w:rsid w:val="00DF6093"/>
    <w:rsid w:val="00DF7C9E"/>
    <w:rsid w:val="00E07ED9"/>
    <w:rsid w:val="00E1078B"/>
    <w:rsid w:val="00E10DD9"/>
    <w:rsid w:val="00E11E60"/>
    <w:rsid w:val="00E12CC2"/>
    <w:rsid w:val="00E15A14"/>
    <w:rsid w:val="00E16FE2"/>
    <w:rsid w:val="00E21FB4"/>
    <w:rsid w:val="00E229C0"/>
    <w:rsid w:val="00E25CC0"/>
    <w:rsid w:val="00E401BD"/>
    <w:rsid w:val="00E40F03"/>
    <w:rsid w:val="00E42791"/>
    <w:rsid w:val="00E454AA"/>
    <w:rsid w:val="00E475EB"/>
    <w:rsid w:val="00E5584E"/>
    <w:rsid w:val="00E614CE"/>
    <w:rsid w:val="00E67A45"/>
    <w:rsid w:val="00E7177A"/>
    <w:rsid w:val="00E71A5A"/>
    <w:rsid w:val="00E72E68"/>
    <w:rsid w:val="00E73AA6"/>
    <w:rsid w:val="00E83B8F"/>
    <w:rsid w:val="00E83D74"/>
    <w:rsid w:val="00E84187"/>
    <w:rsid w:val="00E97BEB"/>
    <w:rsid w:val="00EA55D4"/>
    <w:rsid w:val="00EA6EE4"/>
    <w:rsid w:val="00EB2925"/>
    <w:rsid w:val="00EB7CF4"/>
    <w:rsid w:val="00EC0BE4"/>
    <w:rsid w:val="00EC5DF5"/>
    <w:rsid w:val="00EC63EA"/>
    <w:rsid w:val="00ED07E3"/>
    <w:rsid w:val="00ED530D"/>
    <w:rsid w:val="00ED5EF4"/>
    <w:rsid w:val="00ED6AE1"/>
    <w:rsid w:val="00EE17A8"/>
    <w:rsid w:val="00EE53B8"/>
    <w:rsid w:val="00EE641E"/>
    <w:rsid w:val="00EE6C6A"/>
    <w:rsid w:val="00F00B24"/>
    <w:rsid w:val="00F02A74"/>
    <w:rsid w:val="00F045BE"/>
    <w:rsid w:val="00F10F49"/>
    <w:rsid w:val="00F12EFE"/>
    <w:rsid w:val="00F1604C"/>
    <w:rsid w:val="00F2048E"/>
    <w:rsid w:val="00F21007"/>
    <w:rsid w:val="00F21884"/>
    <w:rsid w:val="00F24A3F"/>
    <w:rsid w:val="00F32BE5"/>
    <w:rsid w:val="00F3395E"/>
    <w:rsid w:val="00F3510F"/>
    <w:rsid w:val="00F40D8F"/>
    <w:rsid w:val="00F46C91"/>
    <w:rsid w:val="00F501A7"/>
    <w:rsid w:val="00F52940"/>
    <w:rsid w:val="00F5332F"/>
    <w:rsid w:val="00F57029"/>
    <w:rsid w:val="00F611C9"/>
    <w:rsid w:val="00F6496F"/>
    <w:rsid w:val="00F66385"/>
    <w:rsid w:val="00F735D1"/>
    <w:rsid w:val="00F748D6"/>
    <w:rsid w:val="00F76C32"/>
    <w:rsid w:val="00F81419"/>
    <w:rsid w:val="00F82D2C"/>
    <w:rsid w:val="00F836FD"/>
    <w:rsid w:val="00F866D7"/>
    <w:rsid w:val="00F93E71"/>
    <w:rsid w:val="00F9617D"/>
    <w:rsid w:val="00FA04B1"/>
    <w:rsid w:val="00FB5D5E"/>
    <w:rsid w:val="00FC129D"/>
    <w:rsid w:val="00FC6961"/>
    <w:rsid w:val="00FE06EC"/>
    <w:rsid w:val="00FE0EF3"/>
    <w:rsid w:val="00FE4B0E"/>
    <w:rsid w:val="00FE4D26"/>
    <w:rsid w:val="00FE4FC5"/>
    <w:rsid w:val="00FF33B2"/>
    <w:rsid w:val="00FF381A"/>
    <w:rsid w:val="00FF7452"/>
    <w:rsid w:val="00FF7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3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B3"/>
  </w:style>
  <w:style w:type="paragraph" w:styleId="Heading1">
    <w:name w:val="heading 1"/>
    <w:basedOn w:val="Normal"/>
    <w:next w:val="Normal"/>
    <w:link w:val="Heading1Char"/>
    <w:uiPriority w:val="9"/>
    <w:qFormat/>
    <w:rsid w:val="0060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42"/>
    <w:rPr>
      <w:rFonts w:eastAsiaTheme="majorEastAsia" w:cstheme="majorBidi"/>
      <w:color w:val="272727" w:themeColor="text1" w:themeTint="D8"/>
    </w:rPr>
  </w:style>
  <w:style w:type="paragraph" w:styleId="Title">
    <w:name w:val="Title"/>
    <w:basedOn w:val="Normal"/>
    <w:next w:val="Normal"/>
    <w:link w:val="TitleChar"/>
    <w:uiPriority w:val="10"/>
    <w:qFormat/>
    <w:rsid w:val="0060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42"/>
    <w:pPr>
      <w:spacing w:before="160"/>
      <w:jc w:val="center"/>
    </w:pPr>
    <w:rPr>
      <w:i/>
      <w:iCs/>
      <w:color w:val="404040" w:themeColor="text1" w:themeTint="BF"/>
    </w:rPr>
  </w:style>
  <w:style w:type="character" w:customStyle="1" w:styleId="QuoteChar">
    <w:name w:val="Quote Char"/>
    <w:basedOn w:val="DefaultParagraphFont"/>
    <w:link w:val="Quote"/>
    <w:uiPriority w:val="29"/>
    <w:rsid w:val="00606042"/>
    <w:rPr>
      <w:i/>
      <w:iCs/>
      <w:color w:val="404040" w:themeColor="text1" w:themeTint="BF"/>
    </w:rPr>
  </w:style>
  <w:style w:type="paragraph" w:styleId="ListParagraph">
    <w:name w:val="List Paragraph"/>
    <w:basedOn w:val="Normal"/>
    <w:uiPriority w:val="34"/>
    <w:qFormat/>
    <w:rsid w:val="00606042"/>
    <w:pPr>
      <w:ind w:left="720"/>
      <w:contextualSpacing/>
    </w:pPr>
  </w:style>
  <w:style w:type="character" w:styleId="IntenseEmphasis">
    <w:name w:val="Intense Emphasis"/>
    <w:basedOn w:val="DefaultParagraphFont"/>
    <w:uiPriority w:val="21"/>
    <w:qFormat/>
    <w:rsid w:val="00606042"/>
    <w:rPr>
      <w:i/>
      <w:iCs/>
      <w:color w:val="0F4761" w:themeColor="accent1" w:themeShade="BF"/>
    </w:rPr>
  </w:style>
  <w:style w:type="paragraph" w:styleId="IntenseQuote">
    <w:name w:val="Intense Quote"/>
    <w:basedOn w:val="Normal"/>
    <w:next w:val="Normal"/>
    <w:link w:val="IntenseQuoteChar"/>
    <w:uiPriority w:val="30"/>
    <w:qFormat/>
    <w:rsid w:val="0060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42"/>
    <w:rPr>
      <w:i/>
      <w:iCs/>
      <w:color w:val="0F4761" w:themeColor="accent1" w:themeShade="BF"/>
    </w:rPr>
  </w:style>
  <w:style w:type="character" w:styleId="IntenseReference">
    <w:name w:val="Intense Reference"/>
    <w:basedOn w:val="DefaultParagraphFont"/>
    <w:uiPriority w:val="32"/>
    <w:qFormat/>
    <w:rsid w:val="00606042"/>
    <w:rPr>
      <w:b/>
      <w:bCs/>
      <w:smallCaps/>
      <w:color w:val="0F4761" w:themeColor="accent1" w:themeShade="BF"/>
      <w:spacing w:val="5"/>
    </w:rPr>
  </w:style>
  <w:style w:type="paragraph" w:styleId="Header">
    <w:name w:val="header"/>
    <w:basedOn w:val="Normal"/>
    <w:link w:val="HeaderChar"/>
    <w:uiPriority w:val="99"/>
    <w:unhideWhenUsed/>
    <w:rsid w:val="00C8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D8"/>
  </w:style>
  <w:style w:type="paragraph" w:styleId="Footer">
    <w:name w:val="footer"/>
    <w:basedOn w:val="Normal"/>
    <w:link w:val="FooterChar"/>
    <w:uiPriority w:val="99"/>
    <w:unhideWhenUsed/>
    <w:rsid w:val="00C8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D8"/>
  </w:style>
  <w:style w:type="paragraph" w:styleId="FootnoteText">
    <w:name w:val="footnote text"/>
    <w:basedOn w:val="Normal"/>
    <w:link w:val="FootnoteTextChar"/>
    <w:uiPriority w:val="99"/>
    <w:semiHidden/>
    <w:unhideWhenUsed/>
    <w:rsid w:val="00C4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D8"/>
    <w:rPr>
      <w:sz w:val="20"/>
      <w:szCs w:val="20"/>
    </w:rPr>
  </w:style>
  <w:style w:type="character" w:styleId="FootnoteReference">
    <w:name w:val="footnote reference"/>
    <w:basedOn w:val="DefaultParagraphFont"/>
    <w:uiPriority w:val="99"/>
    <w:semiHidden/>
    <w:unhideWhenUsed/>
    <w:rsid w:val="00C47BD8"/>
    <w:rPr>
      <w:vertAlign w:val="superscript"/>
    </w:rPr>
  </w:style>
  <w:style w:type="character" w:styleId="Hyperlink">
    <w:name w:val="Hyperlink"/>
    <w:basedOn w:val="DefaultParagraphFont"/>
    <w:uiPriority w:val="99"/>
    <w:unhideWhenUsed/>
    <w:rsid w:val="005F174C"/>
    <w:rPr>
      <w:color w:val="467886" w:themeColor="hyperlink"/>
      <w:u w:val="single"/>
    </w:rPr>
  </w:style>
  <w:style w:type="table" w:styleId="TableGrid">
    <w:name w:val="Table Grid"/>
    <w:basedOn w:val="TableNormal"/>
    <w:uiPriority w:val="39"/>
    <w:rsid w:val="009F477B"/>
    <w:pPr>
      <w:spacing w:after="0" w:line="240" w:lineRule="auto"/>
    </w:pPr>
    <w:rPr>
      <w:rFonts w:ascii="Times New Roman" w:hAnsi="Times New Roman" w:cs="Times New Roman"/>
      <w:kern w:val="0"/>
      <w:lang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2472"/>
    <w:rPr>
      <w:color w:val="605E5C"/>
      <w:shd w:val="clear" w:color="auto" w:fill="E1DFDD"/>
    </w:rPr>
  </w:style>
  <w:style w:type="paragraph" w:styleId="BalloonText">
    <w:name w:val="Balloon Text"/>
    <w:basedOn w:val="Normal"/>
    <w:link w:val="BalloonTextChar"/>
    <w:uiPriority w:val="99"/>
    <w:semiHidden/>
    <w:unhideWhenUsed/>
    <w:rsid w:val="00474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D0"/>
    <w:rPr>
      <w:rFonts w:ascii="Segoe UI" w:hAnsi="Segoe UI" w:cs="Segoe UI"/>
      <w:sz w:val="18"/>
      <w:szCs w:val="18"/>
    </w:rPr>
  </w:style>
  <w:style w:type="paragraph" w:styleId="NormalWeb">
    <w:name w:val="Normal (Web)"/>
    <w:basedOn w:val="Normal"/>
    <w:uiPriority w:val="99"/>
    <w:unhideWhenUsed/>
    <w:rsid w:val="004F1ABE"/>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F66385"/>
    <w:pPr>
      <w:spacing w:after="0" w:line="240" w:lineRule="auto"/>
    </w:pPr>
    <w:rPr>
      <w:rFonts w:ascii="Calibri" w:eastAsia="Calibri" w:hAnsi="Calibri" w:cs="Times New Roman"/>
      <w:kern w:val="0"/>
      <w:sz w:val="22"/>
      <w:szCs w:val="22"/>
      <w:lang w:eastAsia="en-US"/>
      <w14:ligatures w14:val="none"/>
    </w:rPr>
  </w:style>
  <w:style w:type="paragraph" w:styleId="BodyText">
    <w:name w:val="Body Text"/>
    <w:basedOn w:val="Normal"/>
    <w:link w:val="BodyTextChar"/>
    <w:uiPriority w:val="99"/>
    <w:unhideWhenUsed/>
    <w:qFormat/>
    <w:rsid w:val="00F66385"/>
    <w:pPr>
      <w:spacing w:before="60" w:after="60" w:line="252" w:lineRule="auto"/>
      <w:ind w:firstLine="720"/>
      <w:jc w:val="both"/>
    </w:pPr>
    <w:rPr>
      <w:rFonts w:ascii="Times New Roman" w:eastAsia="Calibri" w:hAnsi="Times New Roman" w:cs="Times New Roman"/>
      <w:kern w:val="0"/>
      <w:sz w:val="28"/>
      <w:szCs w:val="22"/>
      <w:lang w:val="vi-VN" w:eastAsia="en-US"/>
      <w14:ligatures w14:val="none"/>
    </w:rPr>
  </w:style>
  <w:style w:type="character" w:customStyle="1" w:styleId="BodyTextChar">
    <w:name w:val="Body Text Char"/>
    <w:basedOn w:val="DefaultParagraphFont"/>
    <w:link w:val="BodyText"/>
    <w:uiPriority w:val="99"/>
    <w:rsid w:val="00F66385"/>
    <w:rPr>
      <w:rFonts w:ascii="Times New Roman" w:eastAsia="Calibri" w:hAnsi="Times New Roman" w:cs="Times New Roman"/>
      <w:kern w:val="0"/>
      <w:sz w:val="28"/>
      <w:szCs w:val="22"/>
      <w:lang w:val="vi-VN" w:eastAsia="en-US"/>
      <w14:ligatures w14:val="none"/>
    </w:rPr>
  </w:style>
  <w:style w:type="character" w:styleId="Strong">
    <w:name w:val="Strong"/>
    <w:basedOn w:val="DefaultParagraphFont"/>
    <w:uiPriority w:val="22"/>
    <w:qFormat/>
    <w:rsid w:val="009B30FA"/>
    <w:rPr>
      <w:b/>
      <w:bCs/>
    </w:rPr>
  </w:style>
  <w:style w:type="character" w:styleId="Emphasis">
    <w:name w:val="Emphasis"/>
    <w:basedOn w:val="DefaultParagraphFont"/>
    <w:uiPriority w:val="20"/>
    <w:qFormat/>
    <w:rsid w:val="005E72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B3"/>
  </w:style>
  <w:style w:type="paragraph" w:styleId="Heading1">
    <w:name w:val="heading 1"/>
    <w:basedOn w:val="Normal"/>
    <w:next w:val="Normal"/>
    <w:link w:val="Heading1Char"/>
    <w:uiPriority w:val="9"/>
    <w:qFormat/>
    <w:rsid w:val="0060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42"/>
    <w:rPr>
      <w:rFonts w:eastAsiaTheme="majorEastAsia" w:cstheme="majorBidi"/>
      <w:color w:val="272727" w:themeColor="text1" w:themeTint="D8"/>
    </w:rPr>
  </w:style>
  <w:style w:type="paragraph" w:styleId="Title">
    <w:name w:val="Title"/>
    <w:basedOn w:val="Normal"/>
    <w:next w:val="Normal"/>
    <w:link w:val="TitleChar"/>
    <w:uiPriority w:val="10"/>
    <w:qFormat/>
    <w:rsid w:val="0060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42"/>
    <w:pPr>
      <w:spacing w:before="160"/>
      <w:jc w:val="center"/>
    </w:pPr>
    <w:rPr>
      <w:i/>
      <w:iCs/>
      <w:color w:val="404040" w:themeColor="text1" w:themeTint="BF"/>
    </w:rPr>
  </w:style>
  <w:style w:type="character" w:customStyle="1" w:styleId="QuoteChar">
    <w:name w:val="Quote Char"/>
    <w:basedOn w:val="DefaultParagraphFont"/>
    <w:link w:val="Quote"/>
    <w:uiPriority w:val="29"/>
    <w:rsid w:val="00606042"/>
    <w:rPr>
      <w:i/>
      <w:iCs/>
      <w:color w:val="404040" w:themeColor="text1" w:themeTint="BF"/>
    </w:rPr>
  </w:style>
  <w:style w:type="paragraph" w:styleId="ListParagraph">
    <w:name w:val="List Paragraph"/>
    <w:basedOn w:val="Normal"/>
    <w:uiPriority w:val="34"/>
    <w:qFormat/>
    <w:rsid w:val="00606042"/>
    <w:pPr>
      <w:ind w:left="720"/>
      <w:contextualSpacing/>
    </w:pPr>
  </w:style>
  <w:style w:type="character" w:styleId="IntenseEmphasis">
    <w:name w:val="Intense Emphasis"/>
    <w:basedOn w:val="DefaultParagraphFont"/>
    <w:uiPriority w:val="21"/>
    <w:qFormat/>
    <w:rsid w:val="00606042"/>
    <w:rPr>
      <w:i/>
      <w:iCs/>
      <w:color w:val="0F4761" w:themeColor="accent1" w:themeShade="BF"/>
    </w:rPr>
  </w:style>
  <w:style w:type="paragraph" w:styleId="IntenseQuote">
    <w:name w:val="Intense Quote"/>
    <w:basedOn w:val="Normal"/>
    <w:next w:val="Normal"/>
    <w:link w:val="IntenseQuoteChar"/>
    <w:uiPriority w:val="30"/>
    <w:qFormat/>
    <w:rsid w:val="0060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42"/>
    <w:rPr>
      <w:i/>
      <w:iCs/>
      <w:color w:val="0F4761" w:themeColor="accent1" w:themeShade="BF"/>
    </w:rPr>
  </w:style>
  <w:style w:type="character" w:styleId="IntenseReference">
    <w:name w:val="Intense Reference"/>
    <w:basedOn w:val="DefaultParagraphFont"/>
    <w:uiPriority w:val="32"/>
    <w:qFormat/>
    <w:rsid w:val="00606042"/>
    <w:rPr>
      <w:b/>
      <w:bCs/>
      <w:smallCaps/>
      <w:color w:val="0F4761" w:themeColor="accent1" w:themeShade="BF"/>
      <w:spacing w:val="5"/>
    </w:rPr>
  </w:style>
  <w:style w:type="paragraph" w:styleId="Header">
    <w:name w:val="header"/>
    <w:basedOn w:val="Normal"/>
    <w:link w:val="HeaderChar"/>
    <w:uiPriority w:val="99"/>
    <w:unhideWhenUsed/>
    <w:rsid w:val="00C8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D8"/>
  </w:style>
  <w:style w:type="paragraph" w:styleId="Footer">
    <w:name w:val="footer"/>
    <w:basedOn w:val="Normal"/>
    <w:link w:val="FooterChar"/>
    <w:uiPriority w:val="99"/>
    <w:unhideWhenUsed/>
    <w:rsid w:val="00C8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D8"/>
  </w:style>
  <w:style w:type="paragraph" w:styleId="FootnoteText">
    <w:name w:val="footnote text"/>
    <w:basedOn w:val="Normal"/>
    <w:link w:val="FootnoteTextChar"/>
    <w:uiPriority w:val="99"/>
    <w:semiHidden/>
    <w:unhideWhenUsed/>
    <w:rsid w:val="00C4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D8"/>
    <w:rPr>
      <w:sz w:val="20"/>
      <w:szCs w:val="20"/>
    </w:rPr>
  </w:style>
  <w:style w:type="character" w:styleId="FootnoteReference">
    <w:name w:val="footnote reference"/>
    <w:basedOn w:val="DefaultParagraphFont"/>
    <w:uiPriority w:val="99"/>
    <w:semiHidden/>
    <w:unhideWhenUsed/>
    <w:rsid w:val="00C47BD8"/>
    <w:rPr>
      <w:vertAlign w:val="superscript"/>
    </w:rPr>
  </w:style>
  <w:style w:type="character" w:styleId="Hyperlink">
    <w:name w:val="Hyperlink"/>
    <w:basedOn w:val="DefaultParagraphFont"/>
    <w:uiPriority w:val="99"/>
    <w:unhideWhenUsed/>
    <w:rsid w:val="005F174C"/>
    <w:rPr>
      <w:color w:val="467886" w:themeColor="hyperlink"/>
      <w:u w:val="single"/>
    </w:rPr>
  </w:style>
  <w:style w:type="table" w:styleId="TableGrid">
    <w:name w:val="Table Grid"/>
    <w:basedOn w:val="TableNormal"/>
    <w:uiPriority w:val="39"/>
    <w:rsid w:val="009F477B"/>
    <w:pPr>
      <w:spacing w:after="0" w:line="240" w:lineRule="auto"/>
    </w:pPr>
    <w:rPr>
      <w:rFonts w:ascii="Times New Roman" w:hAnsi="Times New Roman" w:cs="Times New Roman"/>
      <w:kern w:val="0"/>
      <w:lang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2472"/>
    <w:rPr>
      <w:color w:val="605E5C"/>
      <w:shd w:val="clear" w:color="auto" w:fill="E1DFDD"/>
    </w:rPr>
  </w:style>
  <w:style w:type="paragraph" w:styleId="BalloonText">
    <w:name w:val="Balloon Text"/>
    <w:basedOn w:val="Normal"/>
    <w:link w:val="BalloonTextChar"/>
    <w:uiPriority w:val="99"/>
    <w:semiHidden/>
    <w:unhideWhenUsed/>
    <w:rsid w:val="00474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D0"/>
    <w:rPr>
      <w:rFonts w:ascii="Segoe UI" w:hAnsi="Segoe UI" w:cs="Segoe UI"/>
      <w:sz w:val="18"/>
      <w:szCs w:val="18"/>
    </w:rPr>
  </w:style>
  <w:style w:type="paragraph" w:styleId="NormalWeb">
    <w:name w:val="Normal (Web)"/>
    <w:basedOn w:val="Normal"/>
    <w:uiPriority w:val="99"/>
    <w:unhideWhenUsed/>
    <w:rsid w:val="004F1ABE"/>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F66385"/>
    <w:pPr>
      <w:spacing w:after="0" w:line="240" w:lineRule="auto"/>
    </w:pPr>
    <w:rPr>
      <w:rFonts w:ascii="Calibri" w:eastAsia="Calibri" w:hAnsi="Calibri" w:cs="Times New Roman"/>
      <w:kern w:val="0"/>
      <w:sz w:val="22"/>
      <w:szCs w:val="22"/>
      <w:lang w:eastAsia="en-US"/>
      <w14:ligatures w14:val="none"/>
    </w:rPr>
  </w:style>
  <w:style w:type="paragraph" w:styleId="BodyText">
    <w:name w:val="Body Text"/>
    <w:basedOn w:val="Normal"/>
    <w:link w:val="BodyTextChar"/>
    <w:uiPriority w:val="99"/>
    <w:unhideWhenUsed/>
    <w:qFormat/>
    <w:rsid w:val="00F66385"/>
    <w:pPr>
      <w:spacing w:before="60" w:after="60" w:line="252" w:lineRule="auto"/>
      <w:ind w:firstLine="720"/>
      <w:jc w:val="both"/>
    </w:pPr>
    <w:rPr>
      <w:rFonts w:ascii="Times New Roman" w:eastAsia="Calibri" w:hAnsi="Times New Roman" w:cs="Times New Roman"/>
      <w:kern w:val="0"/>
      <w:sz w:val="28"/>
      <w:szCs w:val="22"/>
      <w:lang w:val="vi-VN" w:eastAsia="en-US"/>
      <w14:ligatures w14:val="none"/>
    </w:rPr>
  </w:style>
  <w:style w:type="character" w:customStyle="1" w:styleId="BodyTextChar">
    <w:name w:val="Body Text Char"/>
    <w:basedOn w:val="DefaultParagraphFont"/>
    <w:link w:val="BodyText"/>
    <w:uiPriority w:val="99"/>
    <w:rsid w:val="00F66385"/>
    <w:rPr>
      <w:rFonts w:ascii="Times New Roman" w:eastAsia="Calibri" w:hAnsi="Times New Roman" w:cs="Times New Roman"/>
      <w:kern w:val="0"/>
      <w:sz w:val="28"/>
      <w:szCs w:val="22"/>
      <w:lang w:val="vi-VN" w:eastAsia="en-US"/>
      <w14:ligatures w14:val="none"/>
    </w:rPr>
  </w:style>
  <w:style w:type="character" w:styleId="Strong">
    <w:name w:val="Strong"/>
    <w:basedOn w:val="DefaultParagraphFont"/>
    <w:uiPriority w:val="22"/>
    <w:qFormat/>
    <w:rsid w:val="009B30FA"/>
    <w:rPr>
      <w:b/>
      <w:bCs/>
    </w:rPr>
  </w:style>
  <w:style w:type="character" w:styleId="Emphasis">
    <w:name w:val="Emphasis"/>
    <w:basedOn w:val="DefaultParagraphFont"/>
    <w:uiPriority w:val="20"/>
    <w:qFormat/>
    <w:rsid w:val="005E7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1558">
      <w:bodyDiv w:val="1"/>
      <w:marLeft w:val="0"/>
      <w:marRight w:val="0"/>
      <w:marTop w:val="0"/>
      <w:marBottom w:val="0"/>
      <w:divBdr>
        <w:top w:val="none" w:sz="0" w:space="0" w:color="auto"/>
        <w:left w:val="none" w:sz="0" w:space="0" w:color="auto"/>
        <w:bottom w:val="none" w:sz="0" w:space="0" w:color="auto"/>
        <w:right w:val="none" w:sz="0" w:space="0" w:color="auto"/>
      </w:divBdr>
    </w:div>
    <w:div w:id="134032502">
      <w:bodyDiv w:val="1"/>
      <w:marLeft w:val="0"/>
      <w:marRight w:val="0"/>
      <w:marTop w:val="0"/>
      <w:marBottom w:val="0"/>
      <w:divBdr>
        <w:top w:val="none" w:sz="0" w:space="0" w:color="auto"/>
        <w:left w:val="none" w:sz="0" w:space="0" w:color="auto"/>
        <w:bottom w:val="none" w:sz="0" w:space="0" w:color="auto"/>
        <w:right w:val="none" w:sz="0" w:space="0" w:color="auto"/>
      </w:divBdr>
    </w:div>
    <w:div w:id="137262465">
      <w:bodyDiv w:val="1"/>
      <w:marLeft w:val="0"/>
      <w:marRight w:val="0"/>
      <w:marTop w:val="0"/>
      <w:marBottom w:val="0"/>
      <w:divBdr>
        <w:top w:val="none" w:sz="0" w:space="0" w:color="auto"/>
        <w:left w:val="none" w:sz="0" w:space="0" w:color="auto"/>
        <w:bottom w:val="none" w:sz="0" w:space="0" w:color="auto"/>
        <w:right w:val="none" w:sz="0" w:space="0" w:color="auto"/>
      </w:divBdr>
    </w:div>
    <w:div w:id="277295103">
      <w:bodyDiv w:val="1"/>
      <w:marLeft w:val="0"/>
      <w:marRight w:val="0"/>
      <w:marTop w:val="0"/>
      <w:marBottom w:val="0"/>
      <w:divBdr>
        <w:top w:val="none" w:sz="0" w:space="0" w:color="auto"/>
        <w:left w:val="none" w:sz="0" w:space="0" w:color="auto"/>
        <w:bottom w:val="none" w:sz="0" w:space="0" w:color="auto"/>
        <w:right w:val="none" w:sz="0" w:space="0" w:color="auto"/>
      </w:divBdr>
    </w:div>
    <w:div w:id="569776160">
      <w:bodyDiv w:val="1"/>
      <w:marLeft w:val="0"/>
      <w:marRight w:val="0"/>
      <w:marTop w:val="0"/>
      <w:marBottom w:val="0"/>
      <w:divBdr>
        <w:top w:val="none" w:sz="0" w:space="0" w:color="auto"/>
        <w:left w:val="none" w:sz="0" w:space="0" w:color="auto"/>
        <w:bottom w:val="none" w:sz="0" w:space="0" w:color="auto"/>
        <w:right w:val="none" w:sz="0" w:space="0" w:color="auto"/>
      </w:divBdr>
    </w:div>
    <w:div w:id="766196478">
      <w:bodyDiv w:val="1"/>
      <w:marLeft w:val="0"/>
      <w:marRight w:val="0"/>
      <w:marTop w:val="0"/>
      <w:marBottom w:val="0"/>
      <w:divBdr>
        <w:top w:val="none" w:sz="0" w:space="0" w:color="auto"/>
        <w:left w:val="none" w:sz="0" w:space="0" w:color="auto"/>
        <w:bottom w:val="none" w:sz="0" w:space="0" w:color="auto"/>
        <w:right w:val="none" w:sz="0" w:space="0" w:color="auto"/>
      </w:divBdr>
      <w:divsChild>
        <w:div w:id="419253022">
          <w:marLeft w:val="0"/>
          <w:marRight w:val="0"/>
          <w:marTop w:val="0"/>
          <w:marBottom w:val="0"/>
          <w:divBdr>
            <w:top w:val="none" w:sz="0" w:space="0" w:color="auto"/>
            <w:left w:val="none" w:sz="0" w:space="0" w:color="auto"/>
            <w:bottom w:val="none" w:sz="0" w:space="0" w:color="auto"/>
            <w:right w:val="none" w:sz="0" w:space="0" w:color="auto"/>
          </w:divBdr>
          <w:divsChild>
            <w:div w:id="379482851">
              <w:marLeft w:val="0"/>
              <w:marRight w:val="0"/>
              <w:marTop w:val="0"/>
              <w:marBottom w:val="0"/>
              <w:divBdr>
                <w:top w:val="none" w:sz="0" w:space="0" w:color="auto"/>
                <w:left w:val="none" w:sz="0" w:space="0" w:color="auto"/>
                <w:bottom w:val="none" w:sz="0" w:space="0" w:color="auto"/>
                <w:right w:val="none" w:sz="0" w:space="0" w:color="auto"/>
              </w:divBdr>
              <w:divsChild>
                <w:div w:id="500777986">
                  <w:marLeft w:val="0"/>
                  <w:marRight w:val="0"/>
                  <w:marTop w:val="0"/>
                  <w:marBottom w:val="450"/>
                  <w:divBdr>
                    <w:top w:val="none" w:sz="0" w:space="0" w:color="auto"/>
                    <w:left w:val="none" w:sz="0" w:space="0" w:color="auto"/>
                    <w:bottom w:val="none" w:sz="0" w:space="0" w:color="auto"/>
                    <w:right w:val="none" w:sz="0" w:space="0" w:color="auto"/>
                  </w:divBdr>
                  <w:divsChild>
                    <w:div w:id="1701858590">
                      <w:marLeft w:val="0"/>
                      <w:marRight w:val="0"/>
                      <w:marTop w:val="0"/>
                      <w:marBottom w:val="0"/>
                      <w:divBdr>
                        <w:top w:val="none" w:sz="0" w:space="0" w:color="auto"/>
                        <w:left w:val="none" w:sz="0" w:space="0" w:color="auto"/>
                        <w:bottom w:val="none" w:sz="0" w:space="0" w:color="auto"/>
                        <w:right w:val="none" w:sz="0" w:space="0" w:color="auto"/>
                      </w:divBdr>
                      <w:divsChild>
                        <w:div w:id="480392098">
                          <w:marLeft w:val="0"/>
                          <w:marRight w:val="0"/>
                          <w:marTop w:val="0"/>
                          <w:marBottom w:val="0"/>
                          <w:divBdr>
                            <w:top w:val="none" w:sz="0" w:space="0" w:color="auto"/>
                            <w:left w:val="none" w:sz="0" w:space="0" w:color="auto"/>
                            <w:bottom w:val="none" w:sz="0" w:space="0" w:color="auto"/>
                            <w:right w:val="none" w:sz="0" w:space="0" w:color="auto"/>
                          </w:divBdr>
                          <w:divsChild>
                            <w:div w:id="17128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26160">
      <w:bodyDiv w:val="1"/>
      <w:marLeft w:val="0"/>
      <w:marRight w:val="0"/>
      <w:marTop w:val="0"/>
      <w:marBottom w:val="0"/>
      <w:divBdr>
        <w:top w:val="none" w:sz="0" w:space="0" w:color="auto"/>
        <w:left w:val="none" w:sz="0" w:space="0" w:color="auto"/>
        <w:bottom w:val="none" w:sz="0" w:space="0" w:color="auto"/>
        <w:right w:val="none" w:sz="0" w:space="0" w:color="auto"/>
      </w:divBdr>
    </w:div>
    <w:div w:id="898128657">
      <w:bodyDiv w:val="1"/>
      <w:marLeft w:val="0"/>
      <w:marRight w:val="0"/>
      <w:marTop w:val="0"/>
      <w:marBottom w:val="0"/>
      <w:divBdr>
        <w:top w:val="none" w:sz="0" w:space="0" w:color="auto"/>
        <w:left w:val="none" w:sz="0" w:space="0" w:color="auto"/>
        <w:bottom w:val="none" w:sz="0" w:space="0" w:color="auto"/>
        <w:right w:val="none" w:sz="0" w:space="0" w:color="auto"/>
      </w:divBdr>
    </w:div>
    <w:div w:id="964505126">
      <w:bodyDiv w:val="1"/>
      <w:marLeft w:val="0"/>
      <w:marRight w:val="0"/>
      <w:marTop w:val="0"/>
      <w:marBottom w:val="0"/>
      <w:divBdr>
        <w:top w:val="none" w:sz="0" w:space="0" w:color="auto"/>
        <w:left w:val="none" w:sz="0" w:space="0" w:color="auto"/>
        <w:bottom w:val="none" w:sz="0" w:space="0" w:color="auto"/>
        <w:right w:val="none" w:sz="0" w:space="0" w:color="auto"/>
      </w:divBdr>
    </w:div>
    <w:div w:id="1013193317">
      <w:bodyDiv w:val="1"/>
      <w:marLeft w:val="0"/>
      <w:marRight w:val="0"/>
      <w:marTop w:val="0"/>
      <w:marBottom w:val="0"/>
      <w:divBdr>
        <w:top w:val="none" w:sz="0" w:space="0" w:color="auto"/>
        <w:left w:val="none" w:sz="0" w:space="0" w:color="auto"/>
        <w:bottom w:val="none" w:sz="0" w:space="0" w:color="auto"/>
        <w:right w:val="none" w:sz="0" w:space="0" w:color="auto"/>
      </w:divBdr>
    </w:div>
    <w:div w:id="1269846643">
      <w:bodyDiv w:val="1"/>
      <w:marLeft w:val="0"/>
      <w:marRight w:val="0"/>
      <w:marTop w:val="0"/>
      <w:marBottom w:val="0"/>
      <w:divBdr>
        <w:top w:val="none" w:sz="0" w:space="0" w:color="auto"/>
        <w:left w:val="none" w:sz="0" w:space="0" w:color="auto"/>
        <w:bottom w:val="none" w:sz="0" w:space="0" w:color="auto"/>
        <w:right w:val="none" w:sz="0" w:space="0" w:color="auto"/>
      </w:divBdr>
      <w:divsChild>
        <w:div w:id="590163296">
          <w:marLeft w:val="0"/>
          <w:marRight w:val="0"/>
          <w:marTop w:val="0"/>
          <w:marBottom w:val="0"/>
          <w:divBdr>
            <w:top w:val="none" w:sz="0" w:space="0" w:color="auto"/>
            <w:left w:val="none" w:sz="0" w:space="0" w:color="auto"/>
            <w:bottom w:val="none" w:sz="0" w:space="0" w:color="auto"/>
            <w:right w:val="none" w:sz="0" w:space="0" w:color="auto"/>
          </w:divBdr>
        </w:div>
        <w:div w:id="1088387022">
          <w:marLeft w:val="0"/>
          <w:marRight w:val="0"/>
          <w:marTop w:val="0"/>
          <w:marBottom w:val="240"/>
          <w:divBdr>
            <w:top w:val="none" w:sz="0" w:space="0" w:color="auto"/>
            <w:left w:val="none" w:sz="0" w:space="0" w:color="auto"/>
            <w:bottom w:val="none" w:sz="0" w:space="0" w:color="auto"/>
            <w:right w:val="none" w:sz="0" w:space="0" w:color="auto"/>
          </w:divBdr>
        </w:div>
      </w:divsChild>
    </w:div>
    <w:div w:id="1364865297">
      <w:bodyDiv w:val="1"/>
      <w:marLeft w:val="0"/>
      <w:marRight w:val="0"/>
      <w:marTop w:val="0"/>
      <w:marBottom w:val="0"/>
      <w:divBdr>
        <w:top w:val="none" w:sz="0" w:space="0" w:color="auto"/>
        <w:left w:val="none" w:sz="0" w:space="0" w:color="auto"/>
        <w:bottom w:val="none" w:sz="0" w:space="0" w:color="auto"/>
        <w:right w:val="none" w:sz="0" w:space="0" w:color="auto"/>
      </w:divBdr>
    </w:div>
    <w:div w:id="1406610058">
      <w:bodyDiv w:val="1"/>
      <w:marLeft w:val="0"/>
      <w:marRight w:val="0"/>
      <w:marTop w:val="0"/>
      <w:marBottom w:val="0"/>
      <w:divBdr>
        <w:top w:val="none" w:sz="0" w:space="0" w:color="auto"/>
        <w:left w:val="none" w:sz="0" w:space="0" w:color="auto"/>
        <w:bottom w:val="none" w:sz="0" w:space="0" w:color="auto"/>
        <w:right w:val="none" w:sz="0" w:space="0" w:color="auto"/>
      </w:divBdr>
    </w:div>
    <w:div w:id="1561553624">
      <w:bodyDiv w:val="1"/>
      <w:marLeft w:val="0"/>
      <w:marRight w:val="0"/>
      <w:marTop w:val="0"/>
      <w:marBottom w:val="0"/>
      <w:divBdr>
        <w:top w:val="none" w:sz="0" w:space="0" w:color="auto"/>
        <w:left w:val="none" w:sz="0" w:space="0" w:color="auto"/>
        <w:bottom w:val="none" w:sz="0" w:space="0" w:color="auto"/>
        <w:right w:val="none" w:sz="0" w:space="0" w:color="auto"/>
      </w:divBdr>
    </w:div>
    <w:div w:id="1597131672">
      <w:bodyDiv w:val="1"/>
      <w:marLeft w:val="0"/>
      <w:marRight w:val="0"/>
      <w:marTop w:val="0"/>
      <w:marBottom w:val="0"/>
      <w:divBdr>
        <w:top w:val="none" w:sz="0" w:space="0" w:color="auto"/>
        <w:left w:val="none" w:sz="0" w:space="0" w:color="auto"/>
        <w:bottom w:val="none" w:sz="0" w:space="0" w:color="auto"/>
        <w:right w:val="none" w:sz="0" w:space="0" w:color="auto"/>
      </w:divBdr>
    </w:div>
    <w:div w:id="1632396617">
      <w:bodyDiv w:val="1"/>
      <w:marLeft w:val="0"/>
      <w:marRight w:val="0"/>
      <w:marTop w:val="0"/>
      <w:marBottom w:val="0"/>
      <w:divBdr>
        <w:top w:val="none" w:sz="0" w:space="0" w:color="auto"/>
        <w:left w:val="none" w:sz="0" w:space="0" w:color="auto"/>
        <w:bottom w:val="none" w:sz="0" w:space="0" w:color="auto"/>
        <w:right w:val="none" w:sz="0" w:space="0" w:color="auto"/>
      </w:divBdr>
    </w:div>
    <w:div w:id="1953436739">
      <w:bodyDiv w:val="1"/>
      <w:marLeft w:val="0"/>
      <w:marRight w:val="0"/>
      <w:marTop w:val="0"/>
      <w:marBottom w:val="0"/>
      <w:divBdr>
        <w:top w:val="none" w:sz="0" w:space="0" w:color="auto"/>
        <w:left w:val="none" w:sz="0" w:space="0" w:color="auto"/>
        <w:bottom w:val="none" w:sz="0" w:space="0" w:color="auto"/>
        <w:right w:val="none" w:sz="0" w:space="0" w:color="auto"/>
      </w:divBdr>
    </w:div>
    <w:div w:id="2030599512">
      <w:bodyDiv w:val="1"/>
      <w:marLeft w:val="0"/>
      <w:marRight w:val="0"/>
      <w:marTop w:val="0"/>
      <w:marBottom w:val="0"/>
      <w:divBdr>
        <w:top w:val="none" w:sz="0" w:space="0" w:color="auto"/>
        <w:left w:val="none" w:sz="0" w:space="0" w:color="auto"/>
        <w:bottom w:val="none" w:sz="0" w:space="0" w:color="auto"/>
        <w:right w:val="none" w:sz="0" w:space="0" w:color="auto"/>
      </w:divBdr>
    </w:div>
    <w:div w:id="2135168342">
      <w:bodyDiv w:val="1"/>
      <w:marLeft w:val="0"/>
      <w:marRight w:val="0"/>
      <w:marTop w:val="0"/>
      <w:marBottom w:val="0"/>
      <w:divBdr>
        <w:top w:val="none" w:sz="0" w:space="0" w:color="auto"/>
        <w:left w:val="none" w:sz="0" w:space="0" w:color="auto"/>
        <w:bottom w:val="none" w:sz="0" w:space="0" w:color="auto"/>
        <w:right w:val="none" w:sz="0" w:space="0" w:color="auto"/>
      </w:divBdr>
      <w:divsChild>
        <w:div w:id="1803689380">
          <w:marLeft w:val="0"/>
          <w:marRight w:val="0"/>
          <w:marTop w:val="0"/>
          <w:marBottom w:val="0"/>
          <w:divBdr>
            <w:top w:val="none" w:sz="0" w:space="0" w:color="auto"/>
            <w:left w:val="none" w:sz="0" w:space="0" w:color="auto"/>
            <w:bottom w:val="none" w:sz="0" w:space="0" w:color="auto"/>
            <w:right w:val="none" w:sz="0" w:space="0" w:color="auto"/>
          </w:divBdr>
        </w:div>
        <w:div w:id="101353615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B60B-58F0-499D-BCAA-130CD14C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6787</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Chi Hoàng</dc:creator>
  <cp:lastModifiedBy>MinhDiem</cp:lastModifiedBy>
  <cp:revision>2</cp:revision>
  <cp:lastPrinted>2025-08-15T08:02:00Z</cp:lastPrinted>
  <dcterms:created xsi:type="dcterms:W3CDTF">2025-12-04T01:30:00Z</dcterms:created>
  <dcterms:modified xsi:type="dcterms:W3CDTF">2025-12-04T01:30:00Z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9626bdd8be423b49c800572383be5f1b341279229b485ccfcafcfede2ceeb4ac</vt:lpwstr>
  </property>
</Properties>
</file>