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252CE4" w:rsidRPr="005A7036" w14:paraId="276B2845" w14:textId="77777777" w:rsidTr="00406174">
        <w:trPr>
          <w:tblCellSpacing w:w="0" w:type="dxa"/>
        </w:trPr>
        <w:tc>
          <w:tcPr>
            <w:tcW w:w="3348" w:type="dxa"/>
            <w:tcMar>
              <w:top w:w="0" w:type="dxa"/>
              <w:left w:w="108" w:type="dxa"/>
              <w:bottom w:w="0" w:type="dxa"/>
              <w:right w:w="108" w:type="dxa"/>
            </w:tcMar>
            <w:hideMark/>
          </w:tcPr>
          <w:p w14:paraId="1F1A4899" w14:textId="77777777" w:rsidR="00D06EBB" w:rsidRDefault="00252CE4" w:rsidP="00455279">
            <w:pPr>
              <w:spacing w:after="0" w:line="240" w:lineRule="auto"/>
              <w:jc w:val="center"/>
              <w:rPr>
                <w:rFonts w:ascii="Times New Roman" w:eastAsia="Times New Roman" w:hAnsi="Times New Roman"/>
                <w:b/>
                <w:bCs/>
                <w:sz w:val="26"/>
                <w:szCs w:val="26"/>
              </w:rPr>
            </w:pPr>
            <w:bookmarkStart w:id="0" w:name="_GoBack"/>
            <w:bookmarkEnd w:id="0"/>
            <w:r w:rsidRPr="00922E78">
              <w:rPr>
                <w:rFonts w:ascii="Times New Roman" w:eastAsia="Times New Roman" w:hAnsi="Times New Roman"/>
                <w:b/>
                <w:bCs/>
                <w:sz w:val="26"/>
                <w:szCs w:val="26"/>
                <w:lang w:val="vi-VN"/>
              </w:rPr>
              <w:t>BỘ TÀI CHÍNH</w:t>
            </w:r>
          </w:p>
          <w:p w14:paraId="4E5FE36F" w14:textId="77777777" w:rsidR="00252CE4" w:rsidRPr="00D06EBB" w:rsidRDefault="00D06EBB" w:rsidP="00455279">
            <w:pPr>
              <w:spacing w:after="0" w:line="240" w:lineRule="auto"/>
              <w:jc w:val="center"/>
              <w:rPr>
                <w:rFonts w:ascii="Times New Roman" w:eastAsia="Times New Roman" w:hAnsi="Times New Roman"/>
                <w:sz w:val="26"/>
                <w:szCs w:val="26"/>
              </w:rPr>
            </w:pPr>
            <w:r w:rsidRPr="00D06EBB">
              <w:rPr>
                <w:rFonts w:ascii="Times New Roman" w:eastAsia="Times New Roman" w:hAnsi="Times New Roman"/>
                <w:bCs/>
                <w:sz w:val="26"/>
                <w:szCs w:val="26"/>
              </w:rPr>
              <w:t>––––––</w:t>
            </w:r>
            <w:r w:rsidR="00252CE4" w:rsidRPr="00D06EBB">
              <w:rPr>
                <w:rFonts w:ascii="Times New Roman" w:eastAsia="Times New Roman" w:hAnsi="Times New Roman"/>
                <w:bCs/>
                <w:sz w:val="26"/>
                <w:szCs w:val="26"/>
                <w:lang w:val="vi-VN"/>
              </w:rPr>
              <w:br/>
            </w:r>
          </w:p>
        </w:tc>
        <w:tc>
          <w:tcPr>
            <w:tcW w:w="5974" w:type="dxa"/>
            <w:tcMar>
              <w:top w:w="0" w:type="dxa"/>
              <w:left w:w="108" w:type="dxa"/>
              <w:bottom w:w="0" w:type="dxa"/>
              <w:right w:w="108" w:type="dxa"/>
            </w:tcMar>
            <w:hideMark/>
          </w:tcPr>
          <w:p w14:paraId="4FA4E899" w14:textId="77777777" w:rsidR="00D06EBB" w:rsidRDefault="00252CE4" w:rsidP="00455279">
            <w:pPr>
              <w:spacing w:after="0" w:line="240" w:lineRule="auto"/>
              <w:jc w:val="center"/>
              <w:rPr>
                <w:rFonts w:ascii="Times New Roman" w:eastAsia="Times New Roman" w:hAnsi="Times New Roman"/>
                <w:b/>
                <w:bCs/>
                <w:sz w:val="26"/>
                <w:szCs w:val="26"/>
              </w:rPr>
            </w:pPr>
            <w:r w:rsidRPr="00922E78">
              <w:rPr>
                <w:rFonts w:ascii="Times New Roman" w:eastAsia="Times New Roman" w:hAnsi="Times New Roman"/>
                <w:b/>
                <w:bCs/>
                <w:sz w:val="26"/>
                <w:szCs w:val="26"/>
                <w:lang w:val="vi-VN"/>
              </w:rPr>
              <w:t>CỘNG HÒA XÃ HỘI CHỦ NGHĨA VIỆT NAM</w:t>
            </w:r>
            <w:r w:rsidRPr="00922E78">
              <w:rPr>
                <w:rFonts w:ascii="Times New Roman" w:eastAsia="Times New Roman" w:hAnsi="Times New Roman"/>
                <w:b/>
                <w:bCs/>
                <w:sz w:val="26"/>
                <w:szCs w:val="26"/>
                <w:lang w:val="vi-VN"/>
              </w:rPr>
              <w:br/>
              <w:t xml:space="preserve">Độc lập - Tự do - Hạnh phúc </w:t>
            </w:r>
          </w:p>
          <w:p w14:paraId="047C162B" w14:textId="77777777" w:rsidR="00252CE4" w:rsidRPr="00D06EBB" w:rsidRDefault="00D06EBB" w:rsidP="00455279">
            <w:pPr>
              <w:spacing w:after="0" w:line="240" w:lineRule="auto"/>
              <w:jc w:val="center"/>
              <w:rPr>
                <w:rFonts w:ascii="Times New Roman" w:eastAsia="Times New Roman" w:hAnsi="Times New Roman"/>
                <w:sz w:val="26"/>
                <w:szCs w:val="26"/>
              </w:rPr>
            </w:pPr>
            <w:r w:rsidRPr="00D06EBB">
              <w:rPr>
                <w:rFonts w:ascii="Times New Roman" w:eastAsia="Times New Roman" w:hAnsi="Times New Roman"/>
                <w:bCs/>
                <w:sz w:val="26"/>
                <w:szCs w:val="26"/>
              </w:rPr>
              <w:t>––––––––––––––––––––––––</w:t>
            </w:r>
            <w:r w:rsidR="00252CE4" w:rsidRPr="00D06EBB">
              <w:rPr>
                <w:rFonts w:ascii="Times New Roman" w:eastAsia="Times New Roman" w:hAnsi="Times New Roman"/>
                <w:bCs/>
                <w:sz w:val="26"/>
                <w:szCs w:val="26"/>
                <w:lang w:val="vi-VN"/>
              </w:rPr>
              <w:br/>
            </w:r>
          </w:p>
        </w:tc>
      </w:tr>
      <w:tr w:rsidR="00252CE4" w:rsidRPr="005A7036" w14:paraId="4BDD1114" w14:textId="77777777" w:rsidTr="00406174">
        <w:trPr>
          <w:tblCellSpacing w:w="0" w:type="dxa"/>
        </w:trPr>
        <w:tc>
          <w:tcPr>
            <w:tcW w:w="3348" w:type="dxa"/>
            <w:tcMar>
              <w:top w:w="0" w:type="dxa"/>
              <w:left w:w="108" w:type="dxa"/>
              <w:bottom w:w="0" w:type="dxa"/>
              <w:right w:w="108" w:type="dxa"/>
            </w:tcMar>
            <w:hideMark/>
          </w:tcPr>
          <w:p w14:paraId="54F49ED4" w14:textId="77777777" w:rsidR="00252CE4" w:rsidRPr="00D06EBB" w:rsidRDefault="00252CE4" w:rsidP="00D3692B">
            <w:pPr>
              <w:spacing w:after="0" w:line="240" w:lineRule="auto"/>
              <w:jc w:val="center"/>
              <w:rPr>
                <w:rFonts w:ascii="Times New Roman" w:eastAsia="Times New Roman" w:hAnsi="Times New Roman"/>
                <w:sz w:val="28"/>
                <w:szCs w:val="28"/>
              </w:rPr>
            </w:pPr>
            <w:r w:rsidRPr="00D06EBB">
              <w:rPr>
                <w:rFonts w:ascii="Times New Roman" w:eastAsia="Times New Roman" w:hAnsi="Times New Roman"/>
                <w:sz w:val="28"/>
                <w:szCs w:val="28"/>
                <w:lang w:val="vi-VN"/>
              </w:rPr>
              <w:t xml:space="preserve">Số: </w:t>
            </w:r>
            <w:r w:rsidR="00455279" w:rsidRPr="00D06EBB">
              <w:rPr>
                <w:rFonts w:ascii="Times New Roman" w:eastAsia="Times New Roman" w:hAnsi="Times New Roman"/>
                <w:sz w:val="28"/>
                <w:szCs w:val="28"/>
              </w:rPr>
              <w:t xml:space="preserve"> </w:t>
            </w:r>
            <w:r w:rsidR="00922E78" w:rsidRPr="00D06EBB">
              <w:rPr>
                <w:rFonts w:ascii="Times New Roman" w:eastAsia="Times New Roman" w:hAnsi="Times New Roman"/>
                <w:sz w:val="28"/>
                <w:szCs w:val="28"/>
              </w:rPr>
              <w:t xml:space="preserve">         </w:t>
            </w:r>
            <w:r w:rsidRPr="00D06EBB">
              <w:rPr>
                <w:rFonts w:ascii="Times New Roman" w:eastAsia="Times New Roman" w:hAnsi="Times New Roman"/>
                <w:sz w:val="28"/>
                <w:szCs w:val="28"/>
                <w:lang w:val="vi-VN"/>
              </w:rPr>
              <w:t>/20</w:t>
            </w:r>
            <w:r w:rsidRPr="00D06EBB">
              <w:rPr>
                <w:rFonts w:ascii="Times New Roman" w:eastAsia="Times New Roman" w:hAnsi="Times New Roman"/>
                <w:sz w:val="28"/>
                <w:szCs w:val="28"/>
              </w:rPr>
              <w:t>2</w:t>
            </w:r>
            <w:r w:rsidR="001F00EC" w:rsidRPr="00D06EBB">
              <w:rPr>
                <w:rFonts w:ascii="Times New Roman" w:eastAsia="Times New Roman" w:hAnsi="Times New Roman"/>
                <w:sz w:val="28"/>
                <w:szCs w:val="28"/>
              </w:rPr>
              <w:t>5</w:t>
            </w:r>
            <w:r w:rsidRPr="00D06EBB">
              <w:rPr>
                <w:rFonts w:ascii="Times New Roman" w:eastAsia="Times New Roman" w:hAnsi="Times New Roman"/>
                <w:sz w:val="28"/>
                <w:szCs w:val="28"/>
                <w:lang w:val="vi-VN"/>
              </w:rPr>
              <w:t>/</w:t>
            </w:r>
            <w:r w:rsidRPr="00D06EBB">
              <w:rPr>
                <w:rFonts w:ascii="Times New Roman" w:eastAsia="Times New Roman" w:hAnsi="Times New Roman"/>
                <w:sz w:val="28"/>
                <w:szCs w:val="28"/>
              </w:rPr>
              <w:t>T</w:t>
            </w:r>
            <w:r w:rsidRPr="00D06EBB">
              <w:rPr>
                <w:rFonts w:ascii="Times New Roman" w:eastAsia="Times New Roman" w:hAnsi="Times New Roman"/>
                <w:sz w:val="28"/>
                <w:szCs w:val="28"/>
                <w:lang w:val="vi-VN"/>
              </w:rPr>
              <w:t>T-BTC</w:t>
            </w:r>
          </w:p>
        </w:tc>
        <w:tc>
          <w:tcPr>
            <w:tcW w:w="5974" w:type="dxa"/>
            <w:tcMar>
              <w:top w:w="0" w:type="dxa"/>
              <w:left w:w="108" w:type="dxa"/>
              <w:bottom w:w="0" w:type="dxa"/>
              <w:right w:w="108" w:type="dxa"/>
            </w:tcMar>
            <w:hideMark/>
          </w:tcPr>
          <w:p w14:paraId="477E1AF5" w14:textId="77777777" w:rsidR="00252CE4" w:rsidRPr="00D06EBB" w:rsidRDefault="00252CE4" w:rsidP="00D3692B">
            <w:pPr>
              <w:spacing w:after="0" w:line="240" w:lineRule="auto"/>
              <w:jc w:val="center"/>
              <w:rPr>
                <w:rFonts w:ascii="Times New Roman" w:eastAsia="Times New Roman" w:hAnsi="Times New Roman"/>
                <w:sz w:val="28"/>
                <w:szCs w:val="28"/>
              </w:rPr>
            </w:pPr>
            <w:r w:rsidRPr="00D06EBB">
              <w:rPr>
                <w:rFonts w:ascii="Times New Roman" w:eastAsia="Times New Roman" w:hAnsi="Times New Roman"/>
                <w:i/>
                <w:iCs/>
                <w:sz w:val="28"/>
                <w:szCs w:val="28"/>
                <w:lang w:val="vi-VN"/>
              </w:rPr>
              <w:t xml:space="preserve">Hà Nội, ngày </w:t>
            </w:r>
            <w:r w:rsidR="00922E78" w:rsidRPr="00D06EBB">
              <w:rPr>
                <w:rFonts w:ascii="Times New Roman" w:eastAsia="Times New Roman" w:hAnsi="Times New Roman"/>
                <w:i/>
                <w:iCs/>
                <w:sz w:val="28"/>
                <w:szCs w:val="28"/>
              </w:rPr>
              <w:t xml:space="preserve">      </w:t>
            </w:r>
            <w:r w:rsidRPr="00D06EBB">
              <w:rPr>
                <w:rFonts w:ascii="Times New Roman" w:eastAsia="Times New Roman" w:hAnsi="Times New Roman"/>
                <w:i/>
                <w:iCs/>
                <w:sz w:val="28"/>
                <w:szCs w:val="28"/>
              </w:rPr>
              <w:t xml:space="preserve"> </w:t>
            </w:r>
            <w:r w:rsidRPr="00D06EBB">
              <w:rPr>
                <w:rFonts w:ascii="Times New Roman" w:eastAsia="Times New Roman" w:hAnsi="Times New Roman"/>
                <w:i/>
                <w:iCs/>
                <w:sz w:val="28"/>
                <w:szCs w:val="28"/>
                <w:lang w:val="vi-VN"/>
              </w:rPr>
              <w:t xml:space="preserve">tháng </w:t>
            </w:r>
            <w:r w:rsidR="00922E78" w:rsidRPr="00D06EBB">
              <w:rPr>
                <w:rFonts w:ascii="Times New Roman" w:eastAsia="Times New Roman" w:hAnsi="Times New Roman"/>
                <w:i/>
                <w:iCs/>
                <w:sz w:val="28"/>
                <w:szCs w:val="28"/>
              </w:rPr>
              <w:t xml:space="preserve">    </w:t>
            </w:r>
            <w:r w:rsidRPr="00D06EBB">
              <w:rPr>
                <w:rFonts w:ascii="Times New Roman" w:eastAsia="Times New Roman" w:hAnsi="Times New Roman"/>
                <w:i/>
                <w:iCs/>
                <w:sz w:val="28"/>
                <w:szCs w:val="28"/>
              </w:rPr>
              <w:t xml:space="preserve"> </w:t>
            </w:r>
            <w:r w:rsidRPr="00D06EBB">
              <w:rPr>
                <w:rFonts w:ascii="Times New Roman" w:eastAsia="Times New Roman" w:hAnsi="Times New Roman"/>
                <w:i/>
                <w:iCs/>
                <w:sz w:val="28"/>
                <w:szCs w:val="28"/>
                <w:lang w:val="vi-VN"/>
              </w:rPr>
              <w:t>năm 20</w:t>
            </w:r>
            <w:r w:rsidRPr="00D06EBB">
              <w:rPr>
                <w:rFonts w:ascii="Times New Roman" w:eastAsia="Times New Roman" w:hAnsi="Times New Roman"/>
                <w:i/>
                <w:iCs/>
                <w:sz w:val="28"/>
                <w:szCs w:val="28"/>
              </w:rPr>
              <w:t>2</w:t>
            </w:r>
            <w:r w:rsidR="001F00EC" w:rsidRPr="00D06EBB">
              <w:rPr>
                <w:rFonts w:ascii="Times New Roman" w:eastAsia="Times New Roman" w:hAnsi="Times New Roman"/>
                <w:i/>
                <w:iCs/>
                <w:sz w:val="28"/>
                <w:szCs w:val="28"/>
              </w:rPr>
              <w:t>5</w:t>
            </w:r>
          </w:p>
        </w:tc>
      </w:tr>
    </w:tbl>
    <w:p w14:paraId="7AE51191" w14:textId="77777777" w:rsidR="00252CE4" w:rsidRPr="005A7036" w:rsidRDefault="00CD77E3" w:rsidP="00252CE4">
      <w:pPr>
        <w:spacing w:before="120" w:after="100" w:afterAutospacing="1" w:line="240" w:lineRule="auto"/>
        <w:rPr>
          <w:rFonts w:ascii="Times New Roman" w:eastAsia="Times New Roman" w:hAnsi="Times New Roman"/>
          <w:sz w:val="24"/>
          <w:szCs w:val="24"/>
        </w:rPr>
      </w:pPr>
      <w:r w:rsidRPr="00096F3F">
        <w:rPr>
          <w:rFonts w:ascii="Times New Roman" w:hAnsi="Times New Roman"/>
          <w:noProof/>
          <w:snapToGrid w:val="0"/>
          <w:sz w:val="28"/>
          <w:szCs w:val="28"/>
        </w:rPr>
        <mc:AlternateContent>
          <mc:Choice Requires="wps">
            <w:drawing>
              <wp:anchor distT="0" distB="0" distL="114300" distR="114300" simplePos="0" relativeHeight="251658240" behindDoc="0" locked="0" layoutInCell="1" allowOverlap="1" wp14:anchorId="468C77BA" wp14:editId="15D9FA8E">
                <wp:simplePos x="0" y="0"/>
                <wp:positionH relativeFrom="column">
                  <wp:posOffset>-632460</wp:posOffset>
                </wp:positionH>
                <wp:positionV relativeFrom="paragraph">
                  <wp:posOffset>66040</wp:posOffset>
                </wp:positionV>
                <wp:extent cx="897255" cy="523240"/>
                <wp:effectExtent l="0" t="0" r="4445" b="0"/>
                <wp:wrapNone/>
                <wp:docPr id="71204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7255" cy="523240"/>
                        </a:xfrm>
                        <a:prstGeom prst="rect">
                          <a:avLst/>
                        </a:prstGeom>
                        <a:solidFill>
                          <a:srgbClr val="FFFFFF"/>
                        </a:solidFill>
                        <a:ln w="9525">
                          <a:solidFill>
                            <a:srgbClr val="000000"/>
                          </a:solidFill>
                          <a:miter lim="800000"/>
                          <a:headEnd/>
                          <a:tailEnd/>
                        </a:ln>
                      </wps:spPr>
                      <wps:txbx>
                        <w:txbxContent>
                          <w:p w14:paraId="5AD6EACB" w14:textId="77777777" w:rsidR="007402BD" w:rsidRPr="00096F3F" w:rsidRDefault="00096F3F" w:rsidP="007402BD">
                            <w:pPr>
                              <w:jc w:val="center"/>
                              <w:rPr>
                                <w:rFonts w:ascii="Times New Roman" w:hAnsi="Times New Roman"/>
                                <w:b/>
                                <w:sz w:val="24"/>
                                <w:szCs w:val="24"/>
                              </w:rPr>
                            </w:pPr>
                            <w:r w:rsidRPr="00096F3F">
                              <w:rPr>
                                <w:rFonts w:ascii="Times New Roman" w:hAnsi="Times New Roman"/>
                                <w:b/>
                                <w:sz w:val="24"/>
                                <w:szCs w:val="24"/>
                              </w:rPr>
                              <w:t>Dự thả</w:t>
                            </w:r>
                            <w:r w:rsidR="00D2085B">
                              <w:rPr>
                                <w:rFonts w:ascii="Times New Roman" w:hAnsi="Times New Roman"/>
                                <w:b/>
                                <w:sz w:val="24"/>
                                <w:szCs w:val="24"/>
                              </w:rPr>
                              <w:t>o 2</w:t>
                            </w:r>
                            <w:r w:rsidRPr="00096F3F">
                              <w:rPr>
                                <w:rFonts w:ascii="Times New Roman" w:hAnsi="Times New Roman"/>
                                <w:b/>
                                <w:sz w:val="24"/>
                                <w:szCs w:val="24"/>
                              </w:rPr>
                              <w:t xml:space="preserve"> </w:t>
                            </w:r>
                            <w:r w:rsidR="00B37748">
                              <w:rPr>
                                <w:rFonts w:ascii="Times New Roman" w:hAnsi="Times New Roman"/>
                                <w:b/>
                                <w:sz w:val="24"/>
                                <w:szCs w:val="24"/>
                              </w:rPr>
                              <w:t>(21</w:t>
                            </w:r>
                            <w:r w:rsidR="00D2085B">
                              <w:rPr>
                                <w:rFonts w:ascii="Times New Roman" w:hAnsi="Times New Roman"/>
                                <w:b/>
                                <w:sz w:val="24"/>
                                <w:szCs w:val="24"/>
                              </w:rPr>
                              <w:t>/8</w:t>
                            </w:r>
                            <w:r w:rsidR="007402BD">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C77BA" id="_x0000_t202" coordsize="21600,21600" o:spt="202" path="m,l,21600r21600,l21600,xe">
                <v:stroke joinstyle="miter"/>
                <v:path gradientshapeok="t" o:connecttype="rect"/>
              </v:shapetype>
              <v:shape id="Text Box 6" o:spid="_x0000_s1026" type="#_x0000_t202" style="position:absolute;margin-left:-49.8pt;margin-top:5.2pt;width:70.65pt;height:4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">
                <v:path arrowok="t"/>
                <v:textbox>
                  <w:txbxContent>
                    <w:p w14:paraId="5AD6EACB" w14:textId="77777777" w:rsidR="007402BD" w:rsidRPr="00096F3F" w:rsidRDefault="00096F3F" w:rsidP="007402BD">
                      <w:pPr>
                        <w:jc w:val="center"/>
                        <w:rPr>
                          <w:rFonts w:ascii="Times New Roman" w:hAnsi="Times New Roman"/>
                          <w:b/>
                          <w:sz w:val="24"/>
                          <w:szCs w:val="24"/>
                        </w:rPr>
                      </w:pPr>
                      <w:r w:rsidRPr="00096F3F">
                        <w:rPr>
                          <w:rFonts w:ascii="Times New Roman" w:hAnsi="Times New Roman"/>
                          <w:b/>
                          <w:sz w:val="24"/>
                          <w:szCs w:val="24"/>
                        </w:rPr>
                        <w:t>Dự thả</w:t>
                      </w:r>
                      <w:r w:rsidR="00D2085B">
                        <w:rPr>
                          <w:rFonts w:ascii="Times New Roman" w:hAnsi="Times New Roman"/>
                          <w:b/>
                          <w:sz w:val="24"/>
                          <w:szCs w:val="24"/>
                        </w:rPr>
                        <w:t>o 2</w:t>
                      </w:r>
                      <w:r w:rsidRPr="00096F3F">
                        <w:rPr>
                          <w:rFonts w:ascii="Times New Roman" w:hAnsi="Times New Roman"/>
                          <w:b/>
                          <w:sz w:val="24"/>
                          <w:szCs w:val="24"/>
                        </w:rPr>
                        <w:t xml:space="preserve"> </w:t>
                      </w:r>
                      <w:r w:rsidR="00B37748">
                        <w:rPr>
                          <w:rFonts w:ascii="Times New Roman" w:hAnsi="Times New Roman"/>
                          <w:b/>
                          <w:sz w:val="24"/>
                          <w:szCs w:val="24"/>
                        </w:rPr>
                        <w:t>(21</w:t>
                      </w:r>
                      <w:r w:rsidR="00D2085B">
                        <w:rPr>
                          <w:rFonts w:ascii="Times New Roman" w:hAnsi="Times New Roman"/>
                          <w:b/>
                          <w:sz w:val="24"/>
                          <w:szCs w:val="24"/>
                        </w:rPr>
                        <w:t>/8</w:t>
                      </w:r>
                      <w:r w:rsidR="007402BD">
                        <w:rPr>
                          <w:rFonts w:ascii="Times New Roman" w:hAnsi="Times New Roman"/>
                          <w:b/>
                          <w:sz w:val="24"/>
                          <w:szCs w:val="24"/>
                        </w:rPr>
                        <w:t>)</w:t>
                      </w:r>
                    </w:p>
                  </w:txbxContent>
                </v:textbox>
              </v:shape>
            </w:pict>
          </mc:Fallback>
        </mc:AlternateContent>
      </w:r>
      <w:r w:rsidR="00252CE4" w:rsidRPr="005A7036">
        <w:rPr>
          <w:rFonts w:ascii="Times New Roman" w:eastAsia="Times New Roman" w:hAnsi="Times New Roman"/>
          <w:i/>
          <w:iCs/>
          <w:sz w:val="24"/>
          <w:szCs w:val="24"/>
        </w:rPr>
        <w:t> </w:t>
      </w:r>
    </w:p>
    <w:p w14:paraId="40DFD7B2" w14:textId="77777777" w:rsidR="00252CE4" w:rsidRPr="005A7036" w:rsidRDefault="00252CE4" w:rsidP="00240C24">
      <w:pPr>
        <w:spacing w:after="0" w:line="240" w:lineRule="auto"/>
        <w:jc w:val="center"/>
        <w:rPr>
          <w:rFonts w:ascii="Times New Roman" w:eastAsia="Times New Roman" w:hAnsi="Times New Roman"/>
          <w:sz w:val="28"/>
          <w:szCs w:val="28"/>
        </w:rPr>
      </w:pPr>
      <w:bookmarkStart w:id="1" w:name="loai_1"/>
      <w:r w:rsidRPr="005A7036">
        <w:rPr>
          <w:rFonts w:ascii="Times New Roman" w:eastAsia="Times New Roman" w:hAnsi="Times New Roman"/>
          <w:b/>
          <w:bCs/>
          <w:sz w:val="28"/>
          <w:szCs w:val="28"/>
        </w:rPr>
        <w:t>THÔNG TƯ</w:t>
      </w:r>
      <w:bookmarkEnd w:id="1"/>
    </w:p>
    <w:p w14:paraId="6662906B" w14:textId="77777777" w:rsidR="00455279" w:rsidRPr="005A7036" w:rsidRDefault="00252CE4" w:rsidP="00240C24">
      <w:pPr>
        <w:spacing w:after="0" w:line="240" w:lineRule="atLeast"/>
        <w:jc w:val="center"/>
        <w:rPr>
          <w:rFonts w:ascii="Times New Roman" w:eastAsia="Times New Roman" w:hAnsi="Times New Roman"/>
          <w:b/>
          <w:sz w:val="28"/>
          <w:szCs w:val="28"/>
        </w:rPr>
      </w:pPr>
      <w:bookmarkStart w:id="2" w:name="loai_1_name"/>
      <w:r w:rsidRPr="005A7036">
        <w:rPr>
          <w:rFonts w:ascii="Times New Roman" w:eastAsia="Times New Roman" w:hAnsi="Times New Roman"/>
          <w:b/>
          <w:sz w:val="28"/>
          <w:szCs w:val="28"/>
        </w:rPr>
        <w:t xml:space="preserve">Sửa đổi, bổ sung một số điều của Thông tư số </w:t>
      </w:r>
      <w:r w:rsidR="00922E78">
        <w:rPr>
          <w:rFonts w:ascii="Times New Roman" w:eastAsia="Times New Roman" w:hAnsi="Times New Roman"/>
          <w:b/>
          <w:sz w:val="28"/>
          <w:szCs w:val="28"/>
        </w:rPr>
        <w:t>71</w:t>
      </w:r>
      <w:r w:rsidRPr="005A7036">
        <w:rPr>
          <w:rFonts w:ascii="Times New Roman" w:eastAsia="Times New Roman" w:hAnsi="Times New Roman"/>
          <w:b/>
          <w:sz w:val="28"/>
          <w:szCs w:val="28"/>
        </w:rPr>
        <w:t>/201</w:t>
      </w:r>
      <w:r w:rsidR="00922E78">
        <w:rPr>
          <w:rFonts w:ascii="Times New Roman" w:eastAsia="Times New Roman" w:hAnsi="Times New Roman"/>
          <w:b/>
          <w:sz w:val="28"/>
          <w:szCs w:val="28"/>
        </w:rPr>
        <w:t>8</w:t>
      </w:r>
      <w:r w:rsidRPr="005A7036">
        <w:rPr>
          <w:rFonts w:ascii="Times New Roman" w:eastAsia="Times New Roman" w:hAnsi="Times New Roman"/>
          <w:b/>
          <w:sz w:val="28"/>
          <w:szCs w:val="28"/>
        </w:rPr>
        <w:t xml:space="preserve">/TT-BTC </w:t>
      </w:r>
      <w:r w:rsidR="00922E78">
        <w:rPr>
          <w:rFonts w:ascii="Times New Roman" w:eastAsia="Times New Roman" w:hAnsi="Times New Roman"/>
          <w:b/>
          <w:sz w:val="28"/>
          <w:szCs w:val="28"/>
        </w:rPr>
        <w:t>ngày 10</w:t>
      </w:r>
      <w:r w:rsidRPr="005A7036">
        <w:rPr>
          <w:rFonts w:ascii="Times New Roman" w:eastAsia="Times New Roman" w:hAnsi="Times New Roman"/>
          <w:b/>
          <w:sz w:val="28"/>
          <w:szCs w:val="28"/>
        </w:rPr>
        <w:t xml:space="preserve"> tháng </w:t>
      </w:r>
      <w:r w:rsidR="00922E78">
        <w:rPr>
          <w:rFonts w:ascii="Times New Roman" w:eastAsia="Times New Roman" w:hAnsi="Times New Roman"/>
          <w:b/>
          <w:sz w:val="28"/>
          <w:szCs w:val="28"/>
        </w:rPr>
        <w:t>8</w:t>
      </w:r>
      <w:r w:rsidRPr="005A7036">
        <w:rPr>
          <w:rFonts w:ascii="Times New Roman" w:eastAsia="Times New Roman" w:hAnsi="Times New Roman"/>
          <w:b/>
          <w:sz w:val="28"/>
          <w:szCs w:val="28"/>
        </w:rPr>
        <w:t xml:space="preserve"> năm 201</w:t>
      </w:r>
      <w:r w:rsidR="00922E78">
        <w:rPr>
          <w:rFonts w:ascii="Times New Roman" w:eastAsia="Times New Roman" w:hAnsi="Times New Roman"/>
          <w:b/>
          <w:sz w:val="28"/>
          <w:szCs w:val="28"/>
        </w:rPr>
        <w:t>8</w:t>
      </w:r>
      <w:r w:rsidRPr="005A7036">
        <w:rPr>
          <w:rFonts w:ascii="Times New Roman" w:eastAsia="Times New Roman" w:hAnsi="Times New Roman"/>
          <w:b/>
          <w:sz w:val="28"/>
          <w:szCs w:val="28"/>
        </w:rPr>
        <w:t xml:space="preserve"> của Bộ trưởng Bộ Tài chính quy định </w:t>
      </w:r>
      <w:r w:rsidR="00455279" w:rsidRPr="005A7036">
        <w:rPr>
          <w:rFonts w:ascii="Times New Roman" w:eastAsia="Times New Roman" w:hAnsi="Times New Roman"/>
          <w:b/>
          <w:sz w:val="28"/>
          <w:szCs w:val="28"/>
        </w:rPr>
        <w:t>chế độ</w:t>
      </w:r>
      <w:r w:rsidR="001A10BD">
        <w:rPr>
          <w:rFonts w:ascii="Times New Roman" w:eastAsia="Times New Roman" w:hAnsi="Times New Roman"/>
          <w:b/>
          <w:sz w:val="28"/>
          <w:szCs w:val="28"/>
        </w:rPr>
        <w:t xml:space="preserve"> </w:t>
      </w:r>
      <w:r w:rsidR="00922E78">
        <w:rPr>
          <w:rFonts w:ascii="Times New Roman" w:eastAsia="Times New Roman" w:hAnsi="Times New Roman"/>
          <w:b/>
          <w:sz w:val="28"/>
          <w:szCs w:val="28"/>
        </w:rPr>
        <w:t>tiếp khách nước ngoài vào làm việc tại Việt Nam, chế độ chi tổ chức hội nghị, hội thảo quốc tế tại Việt Nam và chế độ tiếp khách trong nước.</w:t>
      </w:r>
    </w:p>
    <w:bookmarkEnd w:id="2"/>
    <w:p w14:paraId="6E4B4105" w14:textId="77777777" w:rsidR="00922E78" w:rsidRDefault="00CD77E3" w:rsidP="00922E78">
      <w:pPr>
        <w:spacing w:before="120" w:after="120" w:line="400" w:lineRule="atLeast"/>
        <w:ind w:firstLine="720"/>
        <w:jc w:val="both"/>
        <w:rPr>
          <w:rFonts w:ascii="Times New Roman" w:hAnsi="Times New Roman"/>
          <w:i/>
          <w:sz w:val="28"/>
          <w:szCs w:val="28"/>
          <w:lang w:val="nl-NL"/>
        </w:rPr>
      </w:pPr>
      <w:r w:rsidRPr="005A7036">
        <w:rPr>
          <w:rFonts w:ascii="Times New Roman" w:eastAsia="Times New Roman" w:hAnsi="Times New Roman"/>
          <w:i/>
          <w:iCs/>
          <w:noProof/>
          <w:color w:val="000000"/>
          <w:sz w:val="28"/>
          <w:szCs w:val="28"/>
        </w:rPr>
        <mc:AlternateContent>
          <mc:Choice Requires="wps">
            <w:drawing>
              <wp:anchor distT="0" distB="0" distL="114300" distR="114300" simplePos="0" relativeHeight="251657216" behindDoc="0" locked="0" layoutInCell="1" allowOverlap="1" wp14:anchorId="666DE736" wp14:editId="214BE35A">
                <wp:simplePos x="0" y="0"/>
                <wp:positionH relativeFrom="column">
                  <wp:posOffset>2540635</wp:posOffset>
                </wp:positionH>
                <wp:positionV relativeFrom="paragraph">
                  <wp:posOffset>139065</wp:posOffset>
                </wp:positionV>
                <wp:extent cx="753745" cy="0"/>
                <wp:effectExtent l="0" t="0" r="0" b="0"/>
                <wp:wrapNone/>
                <wp:docPr id="67898515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3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7E5FE6" id="_x0000_t32" coordsize="21600,21600" o:spt="32" o:oned="t" path="m,l21600,21600e" filled="f">
                <v:path arrowok="t" fillok="f" o:connecttype="none"/>
                <o:lock v:ext="edit" shapetype="t"/>
              </v:shapetype>
              <v:shape id="AutoShape 4" o:spid="_x0000_s1026" type="#_x0000_t32" style="position:absolute;margin-left:200.05pt;margin-top:10.95pt;width:59.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">
                <o:lock v:ext="edit" shapetype="f"/>
              </v:shape>
            </w:pict>
          </mc:Fallback>
        </mc:AlternateContent>
      </w:r>
    </w:p>
    <w:p w14:paraId="580A4916" w14:textId="77777777" w:rsidR="00DB7C4D" w:rsidRPr="008772EC" w:rsidRDefault="00455279" w:rsidP="00240C24">
      <w:pPr>
        <w:spacing w:before="60" w:after="0" w:line="240" w:lineRule="auto"/>
        <w:ind w:firstLine="720"/>
        <w:jc w:val="both"/>
        <w:rPr>
          <w:rFonts w:ascii="Times New Roman Italic" w:hAnsi="Times New Roman Italic"/>
          <w:i/>
          <w:sz w:val="28"/>
          <w:szCs w:val="28"/>
          <w:lang w:val="nl-NL"/>
        </w:rPr>
      </w:pPr>
      <w:r w:rsidRPr="008772EC">
        <w:rPr>
          <w:rFonts w:ascii="Times New Roman Italic" w:hAnsi="Times New Roman Italic"/>
          <w:i/>
          <w:sz w:val="28"/>
          <w:szCs w:val="28"/>
          <w:lang w:val="nl-NL"/>
        </w:rPr>
        <w:t xml:space="preserve">Căn cứ Luật Ban hành văn bản quy phạm pháp luật ngày </w:t>
      </w:r>
      <w:r w:rsidR="008A716F" w:rsidRPr="008772EC">
        <w:rPr>
          <w:rFonts w:ascii="Times New Roman Italic" w:hAnsi="Times New Roman Italic"/>
          <w:i/>
          <w:sz w:val="28"/>
          <w:szCs w:val="28"/>
          <w:lang w:val="nl-NL"/>
        </w:rPr>
        <w:t>19 tháng 02 năm 2025</w:t>
      </w:r>
      <w:r w:rsidR="00DB7C4D" w:rsidRPr="008772EC">
        <w:rPr>
          <w:rFonts w:ascii="Times New Roman Italic" w:hAnsi="Times New Roman Italic"/>
          <w:i/>
          <w:sz w:val="28"/>
          <w:szCs w:val="28"/>
          <w:lang w:val="nl-NL"/>
        </w:rPr>
        <w:t>;</w:t>
      </w:r>
    </w:p>
    <w:p w14:paraId="1DA2BCF7" w14:textId="77777777" w:rsidR="00455279" w:rsidRPr="0024173A" w:rsidRDefault="00455279" w:rsidP="00240C24">
      <w:pPr>
        <w:spacing w:before="60" w:after="0" w:line="240" w:lineRule="auto"/>
        <w:ind w:firstLine="720"/>
        <w:jc w:val="both"/>
        <w:rPr>
          <w:rFonts w:ascii="Times New Roman" w:hAnsi="Times New Roman"/>
          <w:i/>
          <w:sz w:val="28"/>
          <w:szCs w:val="28"/>
          <w:lang w:val="nl-NL"/>
        </w:rPr>
      </w:pPr>
      <w:r w:rsidRPr="0024173A">
        <w:rPr>
          <w:rFonts w:ascii="Times New Roman" w:hAnsi="Times New Roman"/>
          <w:i/>
          <w:sz w:val="28"/>
          <w:szCs w:val="28"/>
          <w:lang w:val="nl-NL"/>
        </w:rPr>
        <w:t xml:space="preserve">Căn cứ Luật Ngân sách nhà nước ngày 25 tháng </w:t>
      </w:r>
      <w:r w:rsidR="009B122E" w:rsidRPr="0024173A">
        <w:rPr>
          <w:rFonts w:ascii="Times New Roman" w:hAnsi="Times New Roman"/>
          <w:i/>
          <w:sz w:val="28"/>
          <w:szCs w:val="28"/>
          <w:lang w:val="nl-NL"/>
        </w:rPr>
        <w:t>0</w:t>
      </w:r>
      <w:r w:rsidRPr="0024173A">
        <w:rPr>
          <w:rFonts w:ascii="Times New Roman" w:hAnsi="Times New Roman"/>
          <w:i/>
          <w:sz w:val="28"/>
          <w:szCs w:val="28"/>
          <w:lang w:val="nl-NL"/>
        </w:rPr>
        <w:t>6 năm 2015;</w:t>
      </w:r>
      <w:r w:rsidR="008A716F">
        <w:rPr>
          <w:rFonts w:ascii="Times New Roman" w:hAnsi="Times New Roman"/>
          <w:i/>
          <w:sz w:val="28"/>
          <w:szCs w:val="28"/>
          <w:lang w:val="nl-NL"/>
        </w:rPr>
        <w:t xml:space="preserve"> </w:t>
      </w:r>
      <w:r w:rsidR="00DB7C4D" w:rsidRPr="0024173A">
        <w:rPr>
          <w:rFonts w:ascii="Times New Roman" w:hAnsi="Times New Roman"/>
          <w:i/>
          <w:sz w:val="28"/>
          <w:szCs w:val="28"/>
        </w:rPr>
        <w:t>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 ngày 29 tháng 11 năm 2024;</w:t>
      </w:r>
      <w:r w:rsidRPr="0024173A">
        <w:rPr>
          <w:rFonts w:ascii="Times New Roman" w:hAnsi="Times New Roman"/>
          <w:i/>
          <w:sz w:val="28"/>
          <w:szCs w:val="28"/>
          <w:lang w:val="nl-NL"/>
        </w:rPr>
        <w:t xml:space="preserve"> </w:t>
      </w:r>
    </w:p>
    <w:p w14:paraId="07381FC2" w14:textId="77777777" w:rsidR="008A716F" w:rsidRPr="008A716F" w:rsidRDefault="008A716F" w:rsidP="00240C24">
      <w:pPr>
        <w:spacing w:before="60" w:after="0" w:line="240" w:lineRule="auto"/>
        <w:ind w:firstLine="720"/>
        <w:jc w:val="both"/>
        <w:rPr>
          <w:rFonts w:ascii="Times New Roman" w:hAnsi="Times New Roman"/>
          <w:i/>
          <w:sz w:val="28"/>
          <w:szCs w:val="28"/>
          <w:lang w:val="nl-NL"/>
        </w:rPr>
      </w:pPr>
      <w:r w:rsidRPr="008A716F">
        <w:rPr>
          <w:rFonts w:ascii="Times New Roman" w:hAnsi="Times New Roman"/>
          <w:i/>
          <w:sz w:val="28"/>
          <w:szCs w:val="28"/>
          <w:lang w:val="nl-NL"/>
        </w:rPr>
        <w:t>Căn cứ Nghị định số 163/2016/NĐ-CP ngày 21 tháng 12 năm 2016 của Chính phủ hướng dẫn một số Điều của Luật Ngân sách nhà nước;</w:t>
      </w:r>
    </w:p>
    <w:p w14:paraId="0F2708A8" w14:textId="77777777" w:rsidR="008A716F" w:rsidRPr="008A716F" w:rsidRDefault="008A716F" w:rsidP="00240C24">
      <w:pPr>
        <w:spacing w:before="60" w:after="0" w:line="240" w:lineRule="auto"/>
        <w:ind w:firstLine="720"/>
        <w:jc w:val="both"/>
        <w:rPr>
          <w:rFonts w:ascii="Times New Roman" w:hAnsi="Times New Roman"/>
          <w:i/>
          <w:sz w:val="28"/>
          <w:szCs w:val="28"/>
          <w:lang w:val="nl-NL"/>
        </w:rPr>
      </w:pPr>
      <w:r w:rsidRPr="008A716F">
        <w:rPr>
          <w:rFonts w:ascii="Times New Roman" w:hAnsi="Times New Roman"/>
          <w:i/>
          <w:sz w:val="28"/>
          <w:szCs w:val="28"/>
          <w:lang w:val="nl-NL"/>
        </w:rPr>
        <w:t>Căn cứ Nghị định số 18/2022/NĐ-CP ngày 18 tháng 02 năm 2022 của Chính phủ về nghi lễ đối ngoại;</w:t>
      </w:r>
    </w:p>
    <w:p w14:paraId="6783CAD4" w14:textId="77777777" w:rsidR="00455279" w:rsidRPr="008A716F" w:rsidRDefault="00455279" w:rsidP="00240C24">
      <w:pPr>
        <w:spacing w:before="60" w:after="0" w:line="240" w:lineRule="auto"/>
        <w:ind w:firstLine="720"/>
        <w:jc w:val="both"/>
        <w:rPr>
          <w:rFonts w:ascii="Times New Roman Italic" w:hAnsi="Times New Roman Italic"/>
          <w:i/>
          <w:spacing w:val="-4"/>
          <w:sz w:val="28"/>
          <w:szCs w:val="28"/>
          <w:lang w:val="nl-NL"/>
        </w:rPr>
      </w:pPr>
      <w:r w:rsidRPr="0024173A">
        <w:rPr>
          <w:rFonts w:ascii="Times New Roman" w:hAnsi="Times New Roman"/>
          <w:i/>
          <w:sz w:val="28"/>
          <w:szCs w:val="28"/>
          <w:lang w:val="nl-NL"/>
        </w:rPr>
        <w:t xml:space="preserve">Căn cứ </w:t>
      </w:r>
      <w:r w:rsidRPr="0024173A">
        <w:rPr>
          <w:rFonts w:ascii="Times New Roman" w:hAnsi="Times New Roman"/>
          <w:i/>
          <w:sz w:val="28"/>
          <w:lang w:val="nl-NL"/>
        </w:rPr>
        <w:t>Nghị định số</w:t>
      </w:r>
      <w:r w:rsidR="0024173A" w:rsidRPr="0024173A">
        <w:rPr>
          <w:rFonts w:ascii="Times New Roman" w:hAnsi="Times New Roman"/>
          <w:i/>
          <w:sz w:val="28"/>
          <w:lang w:val="nl-NL"/>
        </w:rPr>
        <w:t xml:space="preserve"> 29/2025</w:t>
      </w:r>
      <w:r w:rsidRPr="0024173A">
        <w:rPr>
          <w:rFonts w:ascii="Times New Roman" w:hAnsi="Times New Roman"/>
          <w:i/>
          <w:sz w:val="28"/>
          <w:lang w:val="nl-NL"/>
        </w:rPr>
        <w:t xml:space="preserve">/NĐ-CP </w:t>
      </w:r>
      <w:r w:rsidR="0024173A" w:rsidRPr="0024173A">
        <w:rPr>
          <w:rFonts w:ascii="Times New Roman" w:hAnsi="Times New Roman"/>
          <w:i/>
          <w:sz w:val="28"/>
          <w:szCs w:val="28"/>
          <w:lang w:val="nl-NL"/>
        </w:rPr>
        <w:t>ngày 24</w:t>
      </w:r>
      <w:r w:rsidRPr="0024173A">
        <w:rPr>
          <w:rFonts w:ascii="Times New Roman" w:hAnsi="Times New Roman"/>
          <w:i/>
          <w:sz w:val="28"/>
          <w:szCs w:val="28"/>
          <w:lang w:val="nl-NL"/>
        </w:rPr>
        <w:t xml:space="preserve"> tháng </w:t>
      </w:r>
      <w:r w:rsidR="009B122E" w:rsidRPr="0024173A">
        <w:rPr>
          <w:rFonts w:ascii="Times New Roman" w:hAnsi="Times New Roman"/>
          <w:i/>
          <w:sz w:val="28"/>
          <w:szCs w:val="28"/>
          <w:lang w:val="nl-NL"/>
        </w:rPr>
        <w:t>0</w:t>
      </w:r>
      <w:r w:rsidR="0024173A" w:rsidRPr="0024173A">
        <w:rPr>
          <w:rFonts w:ascii="Times New Roman" w:hAnsi="Times New Roman"/>
          <w:i/>
          <w:sz w:val="28"/>
          <w:szCs w:val="28"/>
          <w:lang w:val="nl-NL"/>
        </w:rPr>
        <w:t>2</w:t>
      </w:r>
      <w:r w:rsidR="0033554F">
        <w:rPr>
          <w:rFonts w:ascii="Times New Roman" w:hAnsi="Times New Roman"/>
          <w:i/>
          <w:sz w:val="28"/>
          <w:szCs w:val="28"/>
          <w:lang w:val="nl-NL"/>
        </w:rPr>
        <w:t xml:space="preserve"> năm 2025</w:t>
      </w:r>
      <w:r w:rsidRPr="0024173A">
        <w:rPr>
          <w:rFonts w:ascii="Times New Roman" w:hAnsi="Times New Roman"/>
          <w:i/>
          <w:sz w:val="28"/>
          <w:szCs w:val="28"/>
          <w:lang w:val="nl-NL"/>
        </w:rPr>
        <w:t xml:space="preserve"> của Chính phủ quy định chức năng, nhiệm vụ, quyền hạn và cơ cấu tổ chức của Bộ Tài chính;</w:t>
      </w:r>
      <w:r w:rsidR="003D5916">
        <w:rPr>
          <w:rFonts w:ascii="Times New Roman" w:hAnsi="Times New Roman"/>
          <w:i/>
          <w:sz w:val="28"/>
          <w:szCs w:val="28"/>
          <w:lang w:val="nl-NL"/>
        </w:rPr>
        <w:t xml:space="preserve"> Nghị định số 166/2025/NĐ-CP ngày 30 tháng 6 năm 2025 của Chính phủ sửa đổi, bổ sung một số điều của Nghị định số 29/2025/NĐ-CP </w:t>
      </w:r>
      <w:r w:rsidR="003D5916" w:rsidRPr="0024173A">
        <w:rPr>
          <w:rFonts w:ascii="Times New Roman" w:hAnsi="Times New Roman"/>
          <w:i/>
          <w:sz w:val="28"/>
          <w:szCs w:val="28"/>
          <w:lang w:val="nl-NL"/>
        </w:rPr>
        <w:t>ngày 24 tháng 02</w:t>
      </w:r>
      <w:r w:rsidR="003D5916">
        <w:rPr>
          <w:rFonts w:ascii="Times New Roman" w:hAnsi="Times New Roman"/>
          <w:i/>
          <w:sz w:val="28"/>
          <w:szCs w:val="28"/>
          <w:lang w:val="nl-NL"/>
        </w:rPr>
        <w:t xml:space="preserve"> năm 2025</w:t>
      </w:r>
      <w:r w:rsidR="003D5916" w:rsidRPr="0024173A">
        <w:rPr>
          <w:rFonts w:ascii="Times New Roman" w:hAnsi="Times New Roman"/>
          <w:i/>
          <w:sz w:val="28"/>
          <w:szCs w:val="28"/>
          <w:lang w:val="nl-NL"/>
        </w:rPr>
        <w:t xml:space="preserve"> của Chính phủ quy định chức năng, nhiệm vụ, quyền hạn và cơ cấu tổ chức của Bộ Tài chính</w:t>
      </w:r>
      <w:r w:rsidR="003D5916">
        <w:rPr>
          <w:rFonts w:ascii="Times New Roman" w:hAnsi="Times New Roman"/>
          <w:i/>
          <w:sz w:val="28"/>
          <w:szCs w:val="28"/>
          <w:lang w:val="nl-NL"/>
        </w:rPr>
        <w:t>;</w:t>
      </w:r>
    </w:p>
    <w:p w14:paraId="460910E4" w14:textId="77777777" w:rsidR="008A716F" w:rsidRPr="008A716F" w:rsidRDefault="008A716F" w:rsidP="00240C24">
      <w:pPr>
        <w:spacing w:before="60" w:after="0" w:line="240" w:lineRule="auto"/>
        <w:ind w:firstLine="720"/>
        <w:jc w:val="both"/>
        <w:rPr>
          <w:rFonts w:ascii="Times New Roman Italic" w:hAnsi="Times New Roman Italic"/>
          <w:i/>
          <w:spacing w:val="-4"/>
          <w:sz w:val="28"/>
          <w:szCs w:val="28"/>
          <w:lang w:val="nl-NL"/>
        </w:rPr>
      </w:pPr>
      <w:r w:rsidRPr="008A716F">
        <w:rPr>
          <w:rFonts w:ascii="Times New Roman Italic" w:hAnsi="Times New Roman Italic"/>
          <w:i/>
          <w:spacing w:val="-4"/>
          <w:sz w:val="28"/>
          <w:szCs w:val="28"/>
          <w:lang w:val="nl-NL"/>
        </w:rPr>
        <w:t>Căn cứ Quyết định số 06/2020/QĐ-TTg ngày 21 tháng 02 năm 2020 của Thủ tướng Chính phủ về tổ chức và quản lý hội nghị, hội thảo quốc tế tại Việt Nam;</w:t>
      </w:r>
    </w:p>
    <w:p w14:paraId="64D9C78E" w14:textId="77777777" w:rsidR="00455279" w:rsidRPr="0024173A" w:rsidRDefault="00455279" w:rsidP="00240C24">
      <w:pPr>
        <w:spacing w:before="60" w:after="0" w:line="240" w:lineRule="auto"/>
        <w:ind w:firstLine="720"/>
        <w:jc w:val="both"/>
        <w:rPr>
          <w:rFonts w:ascii="Times New Roman" w:hAnsi="Times New Roman"/>
          <w:bCs/>
          <w:i/>
          <w:sz w:val="28"/>
          <w:szCs w:val="28"/>
          <w:lang w:val="nl-NL"/>
        </w:rPr>
      </w:pPr>
      <w:r w:rsidRPr="0024173A">
        <w:rPr>
          <w:rFonts w:ascii="Times New Roman" w:hAnsi="Times New Roman"/>
          <w:bCs/>
          <w:i/>
          <w:sz w:val="28"/>
          <w:szCs w:val="28"/>
          <w:lang w:val="nl-NL"/>
        </w:rPr>
        <w:t xml:space="preserve"> Theo đề nghị của Vụ trưởng Vụ Tài chính </w:t>
      </w:r>
      <w:r w:rsidR="00922E78">
        <w:rPr>
          <w:rFonts w:ascii="Times New Roman" w:hAnsi="Times New Roman"/>
          <w:bCs/>
          <w:i/>
          <w:sz w:val="28"/>
          <w:szCs w:val="28"/>
          <w:lang w:val="nl-NL"/>
        </w:rPr>
        <w:t>-</w:t>
      </w:r>
      <w:r w:rsidR="00107064" w:rsidRPr="0024173A">
        <w:rPr>
          <w:rFonts w:ascii="Times New Roman" w:hAnsi="Times New Roman"/>
          <w:bCs/>
          <w:i/>
          <w:sz w:val="28"/>
          <w:szCs w:val="28"/>
          <w:lang w:val="nl-NL"/>
        </w:rPr>
        <w:t xml:space="preserve"> Kinh tế ngành</w:t>
      </w:r>
      <w:r w:rsidRPr="0024173A">
        <w:rPr>
          <w:rFonts w:ascii="Times New Roman" w:hAnsi="Times New Roman"/>
          <w:bCs/>
          <w:i/>
          <w:sz w:val="28"/>
          <w:szCs w:val="28"/>
          <w:lang w:val="nl-NL"/>
        </w:rPr>
        <w:t>;</w:t>
      </w:r>
    </w:p>
    <w:p w14:paraId="11C96C6E" w14:textId="77777777" w:rsidR="00252CE4" w:rsidRPr="00922E78" w:rsidRDefault="00BC4D56" w:rsidP="00240C24">
      <w:pPr>
        <w:spacing w:before="60" w:after="0" w:line="240" w:lineRule="auto"/>
        <w:ind w:firstLine="720"/>
        <w:jc w:val="both"/>
        <w:rPr>
          <w:rFonts w:ascii="Times New Roman" w:hAnsi="Times New Roman"/>
          <w:i/>
          <w:snapToGrid w:val="0"/>
          <w:sz w:val="28"/>
          <w:szCs w:val="28"/>
          <w:lang w:val="nl-NL"/>
        </w:rPr>
      </w:pPr>
      <w:r w:rsidRPr="00922E78">
        <w:rPr>
          <w:rFonts w:ascii="Times New Roman" w:hAnsi="Times New Roman"/>
          <w:i/>
          <w:snapToGrid w:val="0"/>
          <w:sz w:val="28"/>
          <w:szCs w:val="28"/>
          <w:lang w:val="nl-NL"/>
        </w:rPr>
        <w:t xml:space="preserve">Bộ trưởng Bộ Tài chính ban hành </w:t>
      </w:r>
      <w:r w:rsidR="002D56FE" w:rsidRPr="00922E78">
        <w:rPr>
          <w:rFonts w:ascii="Times New Roman" w:hAnsi="Times New Roman"/>
          <w:i/>
          <w:snapToGrid w:val="0"/>
          <w:sz w:val="28"/>
          <w:szCs w:val="28"/>
          <w:lang w:val="nl-NL"/>
        </w:rPr>
        <w:t xml:space="preserve">Thông tư </w:t>
      </w:r>
      <w:r w:rsidR="002D56FE">
        <w:rPr>
          <w:rFonts w:ascii="Times New Roman" w:hAnsi="Times New Roman"/>
          <w:i/>
          <w:snapToGrid w:val="0"/>
          <w:sz w:val="28"/>
          <w:szCs w:val="28"/>
          <w:lang w:val="nl-NL"/>
        </w:rPr>
        <w:t>s</w:t>
      </w:r>
      <w:r w:rsidR="00922E78" w:rsidRPr="00922E78">
        <w:rPr>
          <w:rFonts w:ascii="Times New Roman" w:hAnsi="Times New Roman"/>
          <w:i/>
          <w:snapToGrid w:val="0"/>
          <w:sz w:val="28"/>
          <w:szCs w:val="28"/>
          <w:lang w:val="nl-NL"/>
        </w:rPr>
        <w:t>ửa đổi, bổ sung một số điều của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14:paraId="77516344" w14:textId="77777777" w:rsidR="00BC4D56" w:rsidRDefault="00252CE4" w:rsidP="00240C24">
      <w:pPr>
        <w:spacing w:before="60" w:after="0" w:line="240" w:lineRule="auto"/>
        <w:ind w:firstLine="720"/>
        <w:jc w:val="both"/>
        <w:rPr>
          <w:rFonts w:ascii="Times New Roman" w:eastAsia="Times New Roman" w:hAnsi="Times New Roman"/>
          <w:b/>
          <w:iCs/>
          <w:color w:val="000000"/>
          <w:sz w:val="28"/>
          <w:szCs w:val="28"/>
        </w:rPr>
      </w:pPr>
      <w:bookmarkStart w:id="3" w:name="dieu_1"/>
      <w:r w:rsidRPr="003D5916">
        <w:rPr>
          <w:rFonts w:ascii="Times New Roman" w:eastAsia="Times New Roman" w:hAnsi="Times New Roman"/>
          <w:b/>
          <w:bCs/>
          <w:color w:val="000000"/>
          <w:sz w:val="28"/>
          <w:szCs w:val="28"/>
        </w:rPr>
        <w:t xml:space="preserve">Điều 1. </w:t>
      </w:r>
      <w:r w:rsidRPr="003D5916">
        <w:rPr>
          <w:rFonts w:ascii="Times New Roman" w:eastAsia="Times New Roman" w:hAnsi="Times New Roman"/>
          <w:b/>
          <w:iCs/>
          <w:color w:val="000000"/>
          <w:sz w:val="28"/>
          <w:szCs w:val="28"/>
        </w:rPr>
        <w:t>S</w:t>
      </w:r>
      <w:r w:rsidRPr="003D5916">
        <w:rPr>
          <w:rFonts w:ascii="Times New Roman" w:eastAsia="Times New Roman" w:hAnsi="Times New Roman"/>
          <w:b/>
          <w:iCs/>
          <w:color w:val="000000"/>
          <w:sz w:val="28"/>
          <w:szCs w:val="28"/>
          <w:lang w:val="vi-VN"/>
        </w:rPr>
        <w:t>ửa đổi, bổ sung</w:t>
      </w:r>
      <w:r w:rsidR="004706D2" w:rsidRPr="003D5916">
        <w:rPr>
          <w:rFonts w:ascii="Times New Roman" w:eastAsia="Times New Roman" w:hAnsi="Times New Roman"/>
          <w:b/>
          <w:iCs/>
          <w:color w:val="000000"/>
          <w:sz w:val="28"/>
          <w:szCs w:val="28"/>
        </w:rPr>
        <w:t xml:space="preserve"> </w:t>
      </w:r>
      <w:r w:rsidRPr="003D5916">
        <w:rPr>
          <w:rFonts w:ascii="Times New Roman" w:eastAsia="Times New Roman" w:hAnsi="Times New Roman"/>
          <w:b/>
          <w:iCs/>
          <w:color w:val="000000"/>
          <w:sz w:val="28"/>
          <w:szCs w:val="28"/>
          <w:lang w:val="vi-VN"/>
        </w:rPr>
        <w:t xml:space="preserve">một số điều của </w:t>
      </w:r>
      <w:bookmarkStart w:id="4" w:name="khoan_1_1"/>
      <w:r w:rsidR="003D5916" w:rsidRPr="003D5916">
        <w:rPr>
          <w:rFonts w:ascii="Times New Roman" w:hAnsi="Times New Roman"/>
          <w:b/>
          <w:snapToGrid w:val="0"/>
          <w:sz w:val="28"/>
          <w:szCs w:val="28"/>
          <w:lang w:val="nl-NL"/>
        </w:rPr>
        <w:t>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r w:rsidR="009B122E" w:rsidRPr="003D5916">
        <w:rPr>
          <w:rFonts w:ascii="Times New Roman" w:hAnsi="Times New Roman"/>
          <w:b/>
          <w:sz w:val="28"/>
          <w:szCs w:val="28"/>
          <w:lang w:val="nl-NL"/>
        </w:rPr>
        <w:t xml:space="preserve"> </w:t>
      </w:r>
      <w:r w:rsidR="009B122E" w:rsidRPr="003D5916">
        <w:rPr>
          <w:rFonts w:ascii="Times New Roman" w:hAnsi="Times New Roman"/>
          <w:b/>
          <w:iCs/>
          <w:sz w:val="28"/>
          <w:szCs w:val="28"/>
        </w:rPr>
        <w:t xml:space="preserve">(sau đây gọi tắt là </w:t>
      </w:r>
      <w:r w:rsidR="009B122E" w:rsidRPr="003D5916">
        <w:rPr>
          <w:rFonts w:ascii="Times New Roman" w:hAnsi="Times New Roman"/>
          <w:b/>
          <w:snapToGrid w:val="0"/>
          <w:spacing w:val="-6"/>
          <w:sz w:val="28"/>
          <w:szCs w:val="28"/>
          <w:lang w:val="nl-NL"/>
        </w:rPr>
        <w:t>Thông tư số</w:t>
      </w:r>
      <w:r w:rsidR="003D5916" w:rsidRPr="003D5916">
        <w:rPr>
          <w:rFonts w:ascii="Times New Roman" w:hAnsi="Times New Roman"/>
          <w:b/>
          <w:snapToGrid w:val="0"/>
          <w:spacing w:val="-6"/>
          <w:sz w:val="28"/>
          <w:szCs w:val="28"/>
          <w:lang w:val="nl-NL"/>
        </w:rPr>
        <w:t xml:space="preserve"> 71/2018</w:t>
      </w:r>
      <w:r w:rsidR="009B122E" w:rsidRPr="003D5916">
        <w:rPr>
          <w:rFonts w:ascii="Times New Roman" w:hAnsi="Times New Roman"/>
          <w:b/>
          <w:snapToGrid w:val="0"/>
          <w:spacing w:val="-6"/>
          <w:sz w:val="28"/>
          <w:szCs w:val="28"/>
          <w:lang w:val="nl-NL"/>
        </w:rPr>
        <w:t>/TT-BTC)</w:t>
      </w:r>
      <w:r w:rsidR="00BC4D56" w:rsidRPr="003D5916">
        <w:rPr>
          <w:rFonts w:ascii="Times New Roman" w:eastAsia="Times New Roman" w:hAnsi="Times New Roman"/>
          <w:b/>
          <w:iCs/>
          <w:color w:val="000000"/>
          <w:sz w:val="28"/>
          <w:szCs w:val="28"/>
        </w:rPr>
        <w:t xml:space="preserve"> </w:t>
      </w:r>
      <w:r w:rsidR="00E10452" w:rsidRPr="003D5916">
        <w:rPr>
          <w:rFonts w:ascii="Times New Roman" w:eastAsia="Times New Roman" w:hAnsi="Times New Roman"/>
          <w:b/>
          <w:iCs/>
          <w:color w:val="000000"/>
          <w:sz w:val="28"/>
          <w:szCs w:val="28"/>
        </w:rPr>
        <w:t xml:space="preserve">như sau: </w:t>
      </w:r>
    </w:p>
    <w:p w14:paraId="085A2776" w14:textId="77777777" w:rsidR="007C4DAE" w:rsidRPr="00006E50" w:rsidRDefault="003D5916" w:rsidP="00240C24">
      <w:pPr>
        <w:pStyle w:val="list0020paragraph"/>
        <w:spacing w:before="60" w:beforeAutospacing="0" w:after="0" w:afterAutospacing="0"/>
        <w:ind w:firstLine="720"/>
        <w:jc w:val="both"/>
        <w:rPr>
          <w:snapToGrid w:val="0"/>
          <w:sz w:val="28"/>
          <w:szCs w:val="28"/>
          <w:lang w:val="sv-SE"/>
        </w:rPr>
      </w:pPr>
      <w:r w:rsidRPr="003D5916">
        <w:rPr>
          <w:iCs/>
          <w:color w:val="000000"/>
          <w:sz w:val="28"/>
          <w:szCs w:val="28"/>
        </w:rPr>
        <w:t>1.</w:t>
      </w:r>
      <w:r>
        <w:rPr>
          <w:iCs/>
          <w:color w:val="000000"/>
          <w:sz w:val="28"/>
          <w:szCs w:val="28"/>
        </w:rPr>
        <w:t xml:space="preserve"> </w:t>
      </w:r>
      <w:r w:rsidR="007C4DAE">
        <w:rPr>
          <w:iCs/>
          <w:color w:val="000000"/>
          <w:sz w:val="28"/>
          <w:szCs w:val="28"/>
        </w:rPr>
        <w:t xml:space="preserve">Sửa đổi </w:t>
      </w:r>
      <w:r w:rsidR="007C4DAE" w:rsidRPr="00006E50">
        <w:rPr>
          <w:sz w:val="28"/>
          <w:szCs w:val="28"/>
          <w:lang w:val="nl-NL"/>
        </w:rPr>
        <w:t>điểm a</w:t>
      </w:r>
      <w:r w:rsidR="007C4DAE">
        <w:rPr>
          <w:sz w:val="28"/>
          <w:szCs w:val="28"/>
          <w:lang w:val="nl-NL"/>
        </w:rPr>
        <w:t xml:space="preserve"> </w:t>
      </w:r>
      <w:r w:rsidR="00FF37E5">
        <w:rPr>
          <w:iCs/>
          <w:color w:val="000000"/>
          <w:sz w:val="28"/>
          <w:szCs w:val="28"/>
        </w:rPr>
        <w:t>K</w:t>
      </w:r>
      <w:r w:rsidR="007C4DAE">
        <w:rPr>
          <w:iCs/>
          <w:color w:val="000000"/>
          <w:sz w:val="28"/>
          <w:szCs w:val="28"/>
        </w:rPr>
        <w:t xml:space="preserve">hoản 1 Điều 4 </w:t>
      </w:r>
      <w:r w:rsidR="007C4DAE" w:rsidRPr="00006E50">
        <w:rPr>
          <w:sz w:val="28"/>
          <w:szCs w:val="28"/>
          <w:lang w:val="nl-NL"/>
        </w:rPr>
        <w:t xml:space="preserve">Thông tư số </w:t>
      </w:r>
      <w:r w:rsidR="007C4DAE" w:rsidRPr="00006E50">
        <w:rPr>
          <w:sz w:val="28"/>
          <w:szCs w:val="28"/>
        </w:rPr>
        <w:t>71/2018/TT-BTC</w:t>
      </w:r>
      <w:r w:rsidR="007C4DAE" w:rsidRPr="00006E50">
        <w:rPr>
          <w:sz w:val="28"/>
          <w:szCs w:val="28"/>
          <w:lang w:val="nl-NL"/>
        </w:rPr>
        <w:t xml:space="preserve"> như sau:</w:t>
      </w:r>
    </w:p>
    <w:p w14:paraId="05A881CF" w14:textId="77777777" w:rsidR="00521300" w:rsidRPr="00FF37E5" w:rsidRDefault="00521300"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lastRenderedPageBreak/>
        <w:t>“a) Các Bộ, cơ quan trung ương và địa phương khi mời các đoàn khách nước ngoài, các tổ chức quốc tế đến thăm và làm việc tại Việt Nam; tổ chức các hội nghị, hội thảo quốc tế tại Việt Nam (sau đây gọi chung là hội nghị quốc tế) thực hiện theo quy định tại Nghị định số 18/2022/NĐ-CP ngày 18 tháng 02 năm 2022 của Chính phủ về nghi lễ đối ngoại (sau đây gọi là Nghị định số 18/2022/NĐ-CP của Chính phủ); Quyết định số 06/2020/QĐ-TTg ngày 21 tháng 02 năm 2020 của Thủ tướng Chính phủ về tổ chức và quản lý hội nghị, hội thảo quốc tế tại Việt Nam (sau đây gọi là Quyết định số 06/2020/QĐ-TTg của Thủ tướng Chính phủ).”</w:t>
      </w:r>
    </w:p>
    <w:p w14:paraId="2C888E8F" w14:textId="77777777" w:rsidR="00096F3F" w:rsidRPr="00006E50" w:rsidRDefault="00096F3F" w:rsidP="00240C24">
      <w:pPr>
        <w:pStyle w:val="list0020paragraph"/>
        <w:spacing w:before="60" w:beforeAutospacing="0" w:after="0" w:afterAutospacing="0"/>
        <w:ind w:firstLine="720"/>
        <w:jc w:val="both"/>
        <w:rPr>
          <w:snapToGrid w:val="0"/>
          <w:sz w:val="28"/>
          <w:szCs w:val="28"/>
          <w:lang w:val="sv-SE"/>
        </w:rPr>
      </w:pPr>
      <w:r>
        <w:rPr>
          <w:iCs/>
          <w:color w:val="000000"/>
          <w:sz w:val="28"/>
          <w:szCs w:val="28"/>
        </w:rPr>
        <w:t>2</w:t>
      </w:r>
      <w:r w:rsidRPr="003D5916">
        <w:rPr>
          <w:iCs/>
          <w:color w:val="000000"/>
          <w:sz w:val="28"/>
          <w:szCs w:val="28"/>
        </w:rPr>
        <w:t>.</w:t>
      </w:r>
      <w:r>
        <w:rPr>
          <w:iCs/>
          <w:color w:val="000000"/>
          <w:sz w:val="28"/>
          <w:szCs w:val="28"/>
        </w:rPr>
        <w:t xml:space="preserve"> Sửa đổi </w:t>
      </w:r>
      <w:r>
        <w:rPr>
          <w:sz w:val="28"/>
          <w:szCs w:val="28"/>
          <w:lang w:val="nl-NL"/>
        </w:rPr>
        <w:t xml:space="preserve">điểm d </w:t>
      </w:r>
      <w:r w:rsidR="00FF37E5">
        <w:rPr>
          <w:iCs/>
          <w:color w:val="000000"/>
          <w:sz w:val="28"/>
          <w:szCs w:val="28"/>
        </w:rPr>
        <w:t>K</w:t>
      </w:r>
      <w:r>
        <w:rPr>
          <w:iCs/>
          <w:color w:val="000000"/>
          <w:sz w:val="28"/>
          <w:szCs w:val="28"/>
        </w:rPr>
        <w:t xml:space="preserve">hoản 1 Điều 4 </w:t>
      </w:r>
      <w:r w:rsidRPr="00006E50">
        <w:rPr>
          <w:sz w:val="28"/>
          <w:szCs w:val="28"/>
          <w:lang w:val="nl-NL"/>
        </w:rPr>
        <w:t xml:space="preserve">Thông tư số </w:t>
      </w:r>
      <w:r w:rsidRPr="00006E50">
        <w:rPr>
          <w:sz w:val="28"/>
          <w:szCs w:val="28"/>
        </w:rPr>
        <w:t>71/2018/TT-BTC</w:t>
      </w:r>
      <w:r w:rsidRPr="00006E50">
        <w:rPr>
          <w:sz w:val="28"/>
          <w:szCs w:val="28"/>
          <w:lang w:val="nl-NL"/>
        </w:rPr>
        <w:t xml:space="preserve"> như sau:</w:t>
      </w:r>
    </w:p>
    <w:p w14:paraId="0DD1CBCF" w14:textId="77777777" w:rsidR="00096F3F" w:rsidRPr="00FF37E5" w:rsidRDefault="00096F3F"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“d) Mức chi đón tiếp khách quốc tế căn cứ theo quy định về nghi lễ đối ngoại tại Nghị định số 18/2022/NĐ-CP của Chính phủ, quy định tại Thông tư này và các quy định của pháp luật có liên quan”.</w:t>
      </w:r>
    </w:p>
    <w:p w14:paraId="44847F18" w14:textId="77777777" w:rsidR="007C4DAE" w:rsidRDefault="00096F3F" w:rsidP="00240C24">
      <w:pPr>
        <w:spacing w:before="60" w:after="0" w:line="240" w:lineRule="auto"/>
        <w:ind w:firstLine="720"/>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xml:space="preserve">3. </w:t>
      </w:r>
      <w:r w:rsidR="00FA607B">
        <w:rPr>
          <w:rFonts w:ascii="Times New Roman" w:eastAsia="Times New Roman" w:hAnsi="Times New Roman"/>
          <w:iCs/>
          <w:color w:val="000000"/>
          <w:sz w:val="28"/>
          <w:szCs w:val="28"/>
        </w:rPr>
        <w:t xml:space="preserve">Sửa đổi </w:t>
      </w:r>
      <w:r w:rsidR="00FF37E5">
        <w:rPr>
          <w:rFonts w:ascii="Times New Roman" w:eastAsia="Times New Roman" w:hAnsi="Times New Roman"/>
          <w:iCs/>
          <w:color w:val="000000"/>
          <w:sz w:val="28"/>
          <w:szCs w:val="28"/>
        </w:rPr>
        <w:t>K</w:t>
      </w:r>
      <w:r w:rsidR="00FA607B">
        <w:rPr>
          <w:rFonts w:ascii="Times New Roman" w:eastAsia="Times New Roman" w:hAnsi="Times New Roman"/>
          <w:iCs/>
          <w:color w:val="000000"/>
          <w:sz w:val="28"/>
          <w:szCs w:val="28"/>
        </w:rPr>
        <w:t>hoản 1 Điều 5 Thông tư số 71/2018/TT-BTC như sau:</w:t>
      </w:r>
    </w:p>
    <w:p w14:paraId="2A0C8CB8" w14:textId="77777777" w:rsidR="00FA607B" w:rsidRPr="00FF37E5" w:rsidRDefault="00FA607B"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“1. Chi tặng hoa</w:t>
      </w:r>
    </w:p>
    <w:p w14:paraId="3E7F2FE2" w14:textId="77777777" w:rsidR="00FA607B" w:rsidRPr="00FF37E5" w:rsidRDefault="00FA607B"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a) Đối với Trưởng đoàn và Phu nhân (Phu quân) đối với khách hạng đặc biệt: Thực hiện theo theo đề án đón tiếp do thủ trưởng cơ quan được giao nhiệm vụ tổ chức đón, tiếp khách theo nghi lễ đối ngoại phê duyệt; thanh toán theo hóa đơn hợp pháp, hợp lệ theo quy định của pháp luật.</w:t>
      </w:r>
    </w:p>
    <w:p w14:paraId="305CBE0E" w14:textId="77777777" w:rsidR="00FA607B" w:rsidRPr="00FF37E5" w:rsidRDefault="00FA607B"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b) Đối với Trưởng đoàn khách hạng A, hạng B: 750.000 đồng/1 người.”</w:t>
      </w:r>
    </w:p>
    <w:p w14:paraId="70F3E777" w14:textId="77777777" w:rsidR="00FA607B" w:rsidRDefault="00FA607B"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4. Sửa đổi </w:t>
      </w:r>
      <w:r w:rsidR="00FF37E5">
        <w:rPr>
          <w:rFonts w:ascii="Times New Roman" w:hAnsi="Times New Roman"/>
          <w:snapToGrid w:val="0"/>
          <w:sz w:val="28"/>
          <w:szCs w:val="28"/>
          <w:lang w:val="nl-NL"/>
        </w:rPr>
        <w:t>K</w:t>
      </w:r>
      <w:r>
        <w:rPr>
          <w:rFonts w:ascii="Times New Roman" w:hAnsi="Times New Roman"/>
          <w:snapToGrid w:val="0"/>
          <w:sz w:val="28"/>
          <w:szCs w:val="28"/>
          <w:lang w:val="nl-NL"/>
        </w:rPr>
        <w:t>hoản 4 Điều 6 Thông tư số 71/2018/TT-BTC như sau:</w:t>
      </w:r>
    </w:p>
    <w:p w14:paraId="5803ABE7" w14:textId="77777777" w:rsidR="00FA607B" w:rsidRPr="00FF37E5" w:rsidRDefault="00FA607B"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“4. Tiêu chuẩn xe hộ tống, xe cảnh sát dẫn đường: Thực hiện theo quy định tại Nghị định số 18/2022/NĐ-CP</w:t>
      </w:r>
      <w:r w:rsidR="00AD6F8C" w:rsidRPr="00FF37E5">
        <w:rPr>
          <w:rFonts w:ascii="Times New Roman" w:hAnsi="Times New Roman"/>
          <w:i/>
          <w:snapToGrid w:val="0"/>
          <w:sz w:val="28"/>
          <w:szCs w:val="28"/>
          <w:lang w:val="nl-NL"/>
        </w:rPr>
        <w:t>.”</w:t>
      </w:r>
      <w:r w:rsidRPr="00FF37E5">
        <w:rPr>
          <w:rFonts w:ascii="Times New Roman" w:hAnsi="Times New Roman"/>
          <w:i/>
          <w:snapToGrid w:val="0"/>
          <w:sz w:val="28"/>
          <w:szCs w:val="28"/>
          <w:lang w:val="nl-NL"/>
        </w:rPr>
        <w:t xml:space="preserve"> </w:t>
      </w:r>
    </w:p>
    <w:p w14:paraId="1FE69782" w14:textId="77777777" w:rsidR="00AD6F8C" w:rsidRDefault="00AD6F8C"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5. </w:t>
      </w:r>
      <w:r w:rsidRPr="00AD6F8C">
        <w:rPr>
          <w:rFonts w:ascii="Times New Roman" w:hAnsi="Times New Roman"/>
          <w:snapToGrid w:val="0"/>
          <w:sz w:val="28"/>
          <w:szCs w:val="28"/>
          <w:lang w:val="nl-NL"/>
        </w:rPr>
        <w:t>Sửa đổi Khoản 2, Khoản 3, Khoản 4, Khoản 5 Điều 7</w:t>
      </w:r>
      <w:r w:rsidRPr="00AD6F8C">
        <w:rPr>
          <w:rFonts w:ascii="Times New Roman" w:hAnsi="Times New Roman"/>
          <w:snapToGrid w:val="0"/>
          <w:lang w:val="nl-NL"/>
        </w:rPr>
        <w:t xml:space="preserve"> </w:t>
      </w:r>
      <w:r w:rsidRPr="00AD6F8C">
        <w:rPr>
          <w:rFonts w:ascii="Times New Roman" w:hAnsi="Times New Roman"/>
          <w:snapToGrid w:val="0"/>
          <w:sz w:val="28"/>
          <w:szCs w:val="28"/>
          <w:lang w:val="nl-NL"/>
        </w:rPr>
        <w:t>Thông tư số 71/2018/TT-BTC như sau:</w:t>
      </w:r>
    </w:p>
    <w:p w14:paraId="6C4F20DA" w14:textId="77777777" w:rsidR="00AD6F8C" w:rsidRPr="00FF37E5" w:rsidRDefault="00AD6F8C"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w:t>
      </w:r>
      <w:r w:rsidR="00FF37E5">
        <w:rPr>
          <w:rFonts w:ascii="Times New Roman" w:hAnsi="Times New Roman"/>
          <w:i/>
          <w:snapToGrid w:val="0"/>
          <w:sz w:val="28"/>
          <w:szCs w:val="28"/>
          <w:lang w:val="nl-NL"/>
        </w:rPr>
        <w:t xml:space="preserve"> </w:t>
      </w:r>
      <w:r w:rsidRPr="00FF37E5">
        <w:rPr>
          <w:rFonts w:ascii="Times New Roman" w:hAnsi="Times New Roman"/>
          <w:i/>
          <w:snapToGrid w:val="0"/>
          <w:sz w:val="28"/>
          <w:szCs w:val="28"/>
          <w:lang w:val="nl-NL"/>
        </w:rPr>
        <w:t>2. Đoàn là khách hạng A</w:t>
      </w:r>
    </w:p>
    <w:p w14:paraId="32AC481A" w14:textId="77777777" w:rsidR="00AD6F8C" w:rsidRPr="00FF37E5" w:rsidRDefault="00AD6F8C"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a) Trưở</w:t>
      </w:r>
      <w:r w:rsidR="00A16276" w:rsidRPr="00FF37E5">
        <w:rPr>
          <w:rFonts w:ascii="Times New Roman" w:hAnsi="Times New Roman"/>
          <w:i/>
          <w:snapToGrid w:val="0"/>
          <w:sz w:val="28"/>
          <w:szCs w:val="28"/>
          <w:lang w:val="nl-NL"/>
        </w:rPr>
        <w:t>ng đoàn: 8.3</w:t>
      </w:r>
      <w:r w:rsidRPr="00FF37E5">
        <w:rPr>
          <w:rFonts w:ascii="Times New Roman" w:hAnsi="Times New Roman"/>
          <w:i/>
          <w:snapToGrid w:val="0"/>
          <w:sz w:val="28"/>
          <w:szCs w:val="28"/>
          <w:lang w:val="nl-NL"/>
        </w:rPr>
        <w:t>00.000 đồng/người/ngày;</w:t>
      </w:r>
    </w:p>
    <w:p w14:paraId="1656DF7F" w14:textId="77777777" w:rsidR="00AD6F8C" w:rsidRPr="00FF37E5" w:rsidRDefault="00A16276"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b) Phó đoàn: 6.8</w:t>
      </w:r>
      <w:r w:rsidR="00AD6F8C" w:rsidRPr="00FF37E5">
        <w:rPr>
          <w:rFonts w:ascii="Times New Roman" w:hAnsi="Times New Roman"/>
          <w:i/>
          <w:snapToGrid w:val="0"/>
          <w:sz w:val="28"/>
          <w:szCs w:val="28"/>
          <w:lang w:val="nl-NL"/>
        </w:rPr>
        <w:t>00.000 đồng/người/ngày;</w:t>
      </w:r>
    </w:p>
    <w:p w14:paraId="1DC8BAA5" w14:textId="77777777" w:rsidR="00AD6F8C" w:rsidRPr="00FF37E5" w:rsidRDefault="00A16276"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c) Đoàn viên: 5.3</w:t>
      </w:r>
      <w:r w:rsidR="00AD6F8C" w:rsidRPr="00FF37E5">
        <w:rPr>
          <w:rFonts w:ascii="Times New Roman" w:hAnsi="Times New Roman"/>
          <w:i/>
          <w:snapToGrid w:val="0"/>
          <w:sz w:val="28"/>
          <w:szCs w:val="28"/>
          <w:lang w:val="nl-NL"/>
        </w:rPr>
        <w:t>00.000 đồng/người/ngày.</w:t>
      </w:r>
    </w:p>
    <w:p w14:paraId="38AD0590" w14:textId="77777777" w:rsidR="00EF34CE" w:rsidRPr="00FF37E5" w:rsidRDefault="00EF34CE"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3. Đoàn là khách hạng B</w:t>
      </w:r>
    </w:p>
    <w:p w14:paraId="60BB32F0" w14:textId="77777777" w:rsidR="00EF34CE" w:rsidRPr="00FF37E5" w:rsidRDefault="00EF34CE"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a) Trưởng đoàn</w:t>
      </w:r>
      <w:r w:rsidR="00A16276" w:rsidRPr="00FF37E5">
        <w:rPr>
          <w:rFonts w:ascii="Times New Roman" w:hAnsi="Times New Roman"/>
          <w:i/>
          <w:snapToGrid w:val="0"/>
          <w:sz w:val="28"/>
          <w:szCs w:val="28"/>
          <w:lang w:val="nl-NL"/>
        </w:rPr>
        <w:t>, Phó đoàn: 6.8</w:t>
      </w:r>
      <w:r w:rsidRPr="00FF37E5">
        <w:rPr>
          <w:rFonts w:ascii="Times New Roman" w:hAnsi="Times New Roman"/>
          <w:i/>
          <w:snapToGrid w:val="0"/>
          <w:sz w:val="28"/>
          <w:szCs w:val="28"/>
          <w:lang w:val="nl-NL"/>
        </w:rPr>
        <w:t>00.000 đồng/người/ngày;</w:t>
      </w:r>
    </w:p>
    <w:p w14:paraId="089E01EC" w14:textId="77777777" w:rsidR="00EF34CE" w:rsidRPr="00FF37E5" w:rsidRDefault="00EF34CE"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 xml:space="preserve">b) </w:t>
      </w:r>
      <w:r w:rsidR="00A16276" w:rsidRPr="00FF37E5">
        <w:rPr>
          <w:rFonts w:ascii="Times New Roman" w:hAnsi="Times New Roman"/>
          <w:i/>
          <w:snapToGrid w:val="0"/>
          <w:sz w:val="28"/>
          <w:szCs w:val="28"/>
          <w:lang w:val="nl-NL"/>
        </w:rPr>
        <w:t>Đoàn viên: 4.2</w:t>
      </w:r>
      <w:r w:rsidRPr="00FF37E5">
        <w:rPr>
          <w:rFonts w:ascii="Times New Roman" w:hAnsi="Times New Roman"/>
          <w:i/>
          <w:snapToGrid w:val="0"/>
          <w:sz w:val="28"/>
          <w:szCs w:val="28"/>
          <w:lang w:val="nl-NL"/>
        </w:rPr>
        <w:t>00.000 đồng/người/ngày.</w:t>
      </w:r>
    </w:p>
    <w:p w14:paraId="30BC8151" w14:textId="77777777" w:rsidR="00EF34CE" w:rsidRPr="00FF37E5" w:rsidRDefault="00A16276"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4</w:t>
      </w:r>
      <w:r w:rsidR="00EF34CE" w:rsidRPr="00FF37E5">
        <w:rPr>
          <w:rFonts w:ascii="Times New Roman" w:hAnsi="Times New Roman"/>
          <w:i/>
          <w:snapToGrid w:val="0"/>
          <w:sz w:val="28"/>
          <w:szCs w:val="28"/>
          <w:lang w:val="nl-NL"/>
        </w:rPr>
        <w:t>. Đoàn là khách hạ</w:t>
      </w:r>
      <w:r w:rsidRPr="00FF37E5">
        <w:rPr>
          <w:rFonts w:ascii="Times New Roman" w:hAnsi="Times New Roman"/>
          <w:i/>
          <w:snapToGrid w:val="0"/>
          <w:sz w:val="28"/>
          <w:szCs w:val="28"/>
          <w:lang w:val="nl-NL"/>
        </w:rPr>
        <w:t>ng C</w:t>
      </w:r>
    </w:p>
    <w:p w14:paraId="4AB9DE50" w14:textId="77777777" w:rsidR="00EF34CE" w:rsidRPr="00FF37E5" w:rsidRDefault="00EF34CE"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a) Trưở</w:t>
      </w:r>
      <w:r w:rsidR="00A16276" w:rsidRPr="00FF37E5">
        <w:rPr>
          <w:rFonts w:ascii="Times New Roman" w:hAnsi="Times New Roman"/>
          <w:i/>
          <w:snapToGrid w:val="0"/>
          <w:sz w:val="28"/>
          <w:szCs w:val="28"/>
          <w:lang w:val="nl-NL"/>
        </w:rPr>
        <w:t>ng đoàn: 3.8</w:t>
      </w:r>
      <w:r w:rsidRPr="00FF37E5">
        <w:rPr>
          <w:rFonts w:ascii="Times New Roman" w:hAnsi="Times New Roman"/>
          <w:i/>
          <w:snapToGrid w:val="0"/>
          <w:sz w:val="28"/>
          <w:szCs w:val="28"/>
          <w:lang w:val="nl-NL"/>
        </w:rPr>
        <w:t>00.000 đồng/người/ngày;</w:t>
      </w:r>
    </w:p>
    <w:p w14:paraId="57926D64" w14:textId="77777777" w:rsidR="00EF34CE" w:rsidRPr="00FF37E5" w:rsidRDefault="00EF34CE"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 xml:space="preserve">b) </w:t>
      </w:r>
      <w:r w:rsidR="00A16276" w:rsidRPr="00FF37E5">
        <w:rPr>
          <w:rFonts w:ascii="Times New Roman" w:hAnsi="Times New Roman"/>
          <w:i/>
          <w:snapToGrid w:val="0"/>
          <w:sz w:val="28"/>
          <w:szCs w:val="28"/>
          <w:lang w:val="nl-NL"/>
        </w:rPr>
        <w:t>Đoàn viên: 2.7</w:t>
      </w:r>
      <w:r w:rsidRPr="00FF37E5">
        <w:rPr>
          <w:rFonts w:ascii="Times New Roman" w:hAnsi="Times New Roman"/>
          <w:i/>
          <w:snapToGrid w:val="0"/>
          <w:sz w:val="28"/>
          <w:szCs w:val="28"/>
          <w:lang w:val="nl-NL"/>
        </w:rPr>
        <w:t>00.000 đồng/người/ngày.</w:t>
      </w:r>
    </w:p>
    <w:p w14:paraId="277B765D" w14:textId="77777777" w:rsidR="00A16276" w:rsidRPr="00FF37E5" w:rsidRDefault="00A16276"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5. Khách mời quốc tế khác: 1.200.000 đồng/người/ngày.”</w:t>
      </w:r>
    </w:p>
    <w:p w14:paraId="467889E1" w14:textId="77777777" w:rsidR="00FF37E5" w:rsidRDefault="00FF37E5"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5. </w:t>
      </w:r>
      <w:r w:rsidRPr="00AD6F8C">
        <w:rPr>
          <w:rFonts w:ascii="Times New Roman" w:hAnsi="Times New Roman"/>
          <w:snapToGrid w:val="0"/>
          <w:sz w:val="28"/>
          <w:szCs w:val="28"/>
          <w:lang w:val="nl-NL"/>
        </w:rPr>
        <w:t>Sửa đổi Khoả</w:t>
      </w:r>
      <w:r>
        <w:rPr>
          <w:rFonts w:ascii="Times New Roman" w:hAnsi="Times New Roman"/>
          <w:snapToGrid w:val="0"/>
          <w:sz w:val="28"/>
          <w:szCs w:val="28"/>
          <w:lang w:val="nl-NL"/>
        </w:rPr>
        <w:t>n 1</w:t>
      </w:r>
      <w:r w:rsidRPr="00AD6F8C">
        <w:rPr>
          <w:rFonts w:ascii="Times New Roman" w:hAnsi="Times New Roman"/>
          <w:snapToGrid w:val="0"/>
          <w:sz w:val="28"/>
          <w:szCs w:val="28"/>
          <w:lang w:val="nl-NL"/>
        </w:rPr>
        <w:t xml:space="preserve"> Điều </w:t>
      </w:r>
      <w:r>
        <w:rPr>
          <w:rFonts w:ascii="Times New Roman" w:hAnsi="Times New Roman"/>
          <w:snapToGrid w:val="0"/>
          <w:sz w:val="28"/>
          <w:szCs w:val="28"/>
          <w:lang w:val="nl-NL"/>
        </w:rPr>
        <w:t>8</w:t>
      </w:r>
      <w:r w:rsidRPr="00AD6F8C">
        <w:rPr>
          <w:rFonts w:ascii="Times New Roman" w:hAnsi="Times New Roman"/>
          <w:snapToGrid w:val="0"/>
          <w:lang w:val="nl-NL"/>
        </w:rPr>
        <w:t xml:space="preserve"> </w:t>
      </w:r>
      <w:r w:rsidRPr="00AD6F8C">
        <w:rPr>
          <w:rFonts w:ascii="Times New Roman" w:hAnsi="Times New Roman"/>
          <w:snapToGrid w:val="0"/>
          <w:sz w:val="28"/>
          <w:szCs w:val="28"/>
          <w:lang w:val="nl-NL"/>
        </w:rPr>
        <w:t>Thông tư số 71/2018/TT-BTC như sau:</w:t>
      </w:r>
    </w:p>
    <w:p w14:paraId="194E4A24" w14:textId="77777777" w:rsidR="00FF37E5" w:rsidRPr="00FF37E5" w:rsidRDefault="00FF37E5" w:rsidP="00240C24">
      <w:pPr>
        <w:spacing w:before="60" w:after="0" w:line="240" w:lineRule="auto"/>
        <w:ind w:firstLine="720"/>
        <w:jc w:val="both"/>
        <w:rPr>
          <w:rFonts w:ascii="Times New Roman" w:hAnsi="Times New Roman"/>
          <w:i/>
          <w:snapToGrid w:val="0"/>
          <w:sz w:val="28"/>
          <w:szCs w:val="28"/>
          <w:lang w:val="nl-NL"/>
        </w:rPr>
      </w:pPr>
      <w:r>
        <w:rPr>
          <w:rFonts w:ascii="Times New Roman" w:hAnsi="Times New Roman"/>
          <w:i/>
          <w:snapToGrid w:val="0"/>
          <w:sz w:val="28"/>
          <w:szCs w:val="28"/>
          <w:lang w:val="nl-NL"/>
        </w:rPr>
        <w:t>“</w:t>
      </w:r>
      <w:r w:rsidRPr="00FF37E5">
        <w:rPr>
          <w:rFonts w:ascii="Times New Roman" w:hAnsi="Times New Roman"/>
          <w:i/>
          <w:snapToGrid w:val="0"/>
          <w:sz w:val="28"/>
          <w:szCs w:val="28"/>
          <w:lang w:val="nl-NL"/>
        </w:rPr>
        <w:t>1. Mức chi ăn hàng ngày quy định tại Điều này đã bao gồm tiền đồ uống (khuyến khích sử dụng đồ uống sản xuất tại Việt Nam); cụ thể:</w:t>
      </w:r>
    </w:p>
    <w:p w14:paraId="6B7F12E7" w14:textId="77777777" w:rsidR="00FF37E5" w:rsidRPr="00FF37E5" w:rsidRDefault="00FF37E5"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a) Khách hạng đặc biệt: Thủ trưởng cơ quan, đơn vị được giao nhiệm vụ đón tiếp phê duyệt trong chương trình, đề án đón đoàn;</w:t>
      </w:r>
    </w:p>
    <w:p w14:paraId="0505213B" w14:textId="77777777" w:rsidR="00FF37E5" w:rsidRPr="00FF37E5" w:rsidRDefault="00FF37E5"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b) Đoàn là khách hạ</w:t>
      </w:r>
      <w:r>
        <w:rPr>
          <w:rFonts w:ascii="Times New Roman" w:hAnsi="Times New Roman"/>
          <w:i/>
          <w:snapToGrid w:val="0"/>
          <w:sz w:val="28"/>
          <w:szCs w:val="28"/>
          <w:lang w:val="nl-NL"/>
        </w:rPr>
        <w:t>ng A: 2.3</w:t>
      </w:r>
      <w:r w:rsidRPr="00FF37E5">
        <w:rPr>
          <w:rFonts w:ascii="Times New Roman" w:hAnsi="Times New Roman"/>
          <w:i/>
          <w:snapToGrid w:val="0"/>
          <w:sz w:val="28"/>
          <w:szCs w:val="28"/>
          <w:lang w:val="nl-NL"/>
        </w:rPr>
        <w:t>00.000 đồng/ngày/người;</w:t>
      </w:r>
    </w:p>
    <w:p w14:paraId="30D88AE8" w14:textId="77777777" w:rsidR="00FF37E5" w:rsidRPr="00FF37E5" w:rsidRDefault="00FF37E5"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lastRenderedPageBreak/>
        <w:t>c) Đoàn là khách hạ</w:t>
      </w:r>
      <w:r>
        <w:rPr>
          <w:rFonts w:ascii="Times New Roman" w:hAnsi="Times New Roman"/>
          <w:i/>
          <w:snapToGrid w:val="0"/>
          <w:sz w:val="28"/>
          <w:szCs w:val="28"/>
          <w:lang w:val="nl-NL"/>
        </w:rPr>
        <w:t>ng B: 1.5</w:t>
      </w:r>
      <w:r w:rsidRPr="00FF37E5">
        <w:rPr>
          <w:rFonts w:ascii="Times New Roman" w:hAnsi="Times New Roman"/>
          <w:i/>
          <w:snapToGrid w:val="0"/>
          <w:sz w:val="28"/>
          <w:szCs w:val="28"/>
          <w:lang w:val="nl-NL"/>
        </w:rPr>
        <w:t>00.000 đồng/ngày/người;</w:t>
      </w:r>
    </w:p>
    <w:p w14:paraId="7E55C224" w14:textId="77777777" w:rsidR="00FF37E5" w:rsidRPr="00FF37E5" w:rsidRDefault="00FF37E5"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d) Đoàn là khách hạ</w:t>
      </w:r>
      <w:r>
        <w:rPr>
          <w:rFonts w:ascii="Times New Roman" w:hAnsi="Times New Roman"/>
          <w:i/>
          <w:snapToGrid w:val="0"/>
          <w:sz w:val="28"/>
          <w:szCs w:val="28"/>
          <w:lang w:val="nl-NL"/>
        </w:rPr>
        <w:t>ng C: 1.2</w:t>
      </w:r>
      <w:r w:rsidRPr="00FF37E5">
        <w:rPr>
          <w:rFonts w:ascii="Times New Roman" w:hAnsi="Times New Roman"/>
          <w:i/>
          <w:snapToGrid w:val="0"/>
          <w:sz w:val="28"/>
          <w:szCs w:val="28"/>
          <w:lang w:val="nl-NL"/>
        </w:rPr>
        <w:t>00.000 đồng/ngày/người;</w:t>
      </w:r>
    </w:p>
    <w:p w14:paraId="3B05D371" w14:textId="77777777" w:rsidR="00FF37E5" w:rsidRPr="00FF37E5" w:rsidRDefault="00FF37E5" w:rsidP="00240C24">
      <w:pPr>
        <w:spacing w:before="60" w:after="0" w:line="240" w:lineRule="auto"/>
        <w:ind w:firstLine="720"/>
        <w:jc w:val="both"/>
        <w:rPr>
          <w:rFonts w:ascii="Times New Roman" w:hAnsi="Times New Roman"/>
          <w:i/>
          <w:snapToGrid w:val="0"/>
          <w:sz w:val="28"/>
          <w:szCs w:val="28"/>
          <w:lang w:val="nl-NL"/>
        </w:rPr>
      </w:pPr>
      <w:r w:rsidRPr="00FF37E5">
        <w:rPr>
          <w:rFonts w:ascii="Times New Roman" w:hAnsi="Times New Roman"/>
          <w:i/>
          <w:snapToGrid w:val="0"/>
          <w:sz w:val="28"/>
          <w:szCs w:val="28"/>
          <w:lang w:val="nl-NL"/>
        </w:rPr>
        <w:t>đ) Khách mời quốc tế</w:t>
      </w:r>
      <w:r>
        <w:rPr>
          <w:rFonts w:ascii="Times New Roman" w:hAnsi="Times New Roman"/>
          <w:i/>
          <w:snapToGrid w:val="0"/>
          <w:sz w:val="28"/>
          <w:szCs w:val="28"/>
          <w:lang w:val="nl-NL"/>
        </w:rPr>
        <w:t xml:space="preserve"> khác: 9</w:t>
      </w:r>
      <w:r w:rsidRPr="00FF37E5">
        <w:rPr>
          <w:rFonts w:ascii="Times New Roman" w:hAnsi="Times New Roman"/>
          <w:i/>
          <w:snapToGrid w:val="0"/>
          <w:sz w:val="28"/>
          <w:szCs w:val="28"/>
          <w:lang w:val="nl-NL"/>
        </w:rPr>
        <w:t>00.000 đồng/ngày/người.</w:t>
      </w:r>
      <w:r>
        <w:rPr>
          <w:rFonts w:ascii="Times New Roman" w:hAnsi="Times New Roman"/>
          <w:i/>
          <w:snapToGrid w:val="0"/>
          <w:sz w:val="28"/>
          <w:szCs w:val="28"/>
          <w:lang w:val="nl-NL"/>
        </w:rPr>
        <w:t>”</w:t>
      </w:r>
    </w:p>
    <w:p w14:paraId="698D7356" w14:textId="77777777" w:rsidR="001E7021" w:rsidRDefault="001E7021"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6. Sửa đổi Khoản 2 Điều 10 </w:t>
      </w:r>
      <w:r w:rsidRPr="00AD6F8C">
        <w:rPr>
          <w:rFonts w:ascii="Times New Roman" w:hAnsi="Times New Roman"/>
          <w:snapToGrid w:val="0"/>
          <w:sz w:val="28"/>
          <w:szCs w:val="28"/>
          <w:lang w:val="nl-NL"/>
        </w:rPr>
        <w:t>Thông tư số 71/2018/TT-BTC như sau:</w:t>
      </w:r>
    </w:p>
    <w:p w14:paraId="728E898C" w14:textId="77777777" w:rsidR="001E7021" w:rsidRPr="00946F92" w:rsidRDefault="001E7021" w:rsidP="00240C24">
      <w:pPr>
        <w:spacing w:before="60" w:after="0" w:line="240" w:lineRule="auto"/>
        <w:ind w:firstLine="720"/>
        <w:jc w:val="both"/>
        <w:rPr>
          <w:rFonts w:ascii="Times New Roman" w:hAnsi="Times New Roman"/>
          <w:i/>
          <w:snapToGrid w:val="0"/>
          <w:sz w:val="28"/>
          <w:szCs w:val="28"/>
          <w:lang w:val="nl-NL"/>
        </w:rPr>
      </w:pPr>
      <w:r>
        <w:rPr>
          <w:rFonts w:ascii="Times New Roman" w:hAnsi="Times New Roman"/>
          <w:i/>
          <w:snapToGrid w:val="0"/>
          <w:sz w:val="28"/>
          <w:szCs w:val="28"/>
          <w:lang w:val="nl-NL"/>
        </w:rPr>
        <w:t>“</w:t>
      </w:r>
      <w:r w:rsidRPr="00946F92">
        <w:rPr>
          <w:rFonts w:ascii="Times New Roman" w:hAnsi="Times New Roman"/>
          <w:i/>
          <w:snapToGrid w:val="0"/>
          <w:sz w:val="28"/>
          <w:szCs w:val="28"/>
          <w:lang w:val="nl-NL"/>
        </w:rPr>
        <w:t>2. Đối với các đoàn khách khác, mức chi tiếp xã giao và các buổi làm việc (đồ uống, hoa quả, bánh ngọt) thực hiện như sau:</w:t>
      </w:r>
    </w:p>
    <w:p w14:paraId="613FC1DC" w14:textId="77777777" w:rsidR="001E7021" w:rsidRPr="00946F92" w:rsidRDefault="001E7021" w:rsidP="00240C24">
      <w:pPr>
        <w:spacing w:before="60" w:after="0" w:line="240" w:lineRule="auto"/>
        <w:ind w:firstLine="720"/>
        <w:jc w:val="both"/>
        <w:rPr>
          <w:rFonts w:ascii="Times New Roman" w:hAnsi="Times New Roman"/>
          <w:i/>
          <w:snapToGrid w:val="0"/>
          <w:sz w:val="28"/>
          <w:szCs w:val="28"/>
          <w:lang w:val="nl-NL"/>
        </w:rPr>
      </w:pPr>
      <w:r w:rsidRPr="00946F92">
        <w:rPr>
          <w:rFonts w:ascii="Times New Roman" w:hAnsi="Times New Roman"/>
          <w:i/>
          <w:snapToGrid w:val="0"/>
          <w:sz w:val="28"/>
          <w:szCs w:val="28"/>
          <w:lang w:val="nl-NL"/>
        </w:rPr>
        <w:t>a) Đoàn là khách hạ</w:t>
      </w:r>
      <w:r>
        <w:rPr>
          <w:rFonts w:ascii="Times New Roman" w:hAnsi="Times New Roman"/>
          <w:i/>
          <w:snapToGrid w:val="0"/>
          <w:sz w:val="28"/>
          <w:szCs w:val="28"/>
          <w:lang w:val="nl-NL"/>
        </w:rPr>
        <w:t>ng A: 2</w:t>
      </w:r>
      <w:r w:rsidRPr="00946F92">
        <w:rPr>
          <w:rFonts w:ascii="Times New Roman" w:hAnsi="Times New Roman"/>
          <w:i/>
          <w:snapToGrid w:val="0"/>
          <w:sz w:val="28"/>
          <w:szCs w:val="28"/>
          <w:lang w:val="nl-NL"/>
        </w:rPr>
        <w:t>50.000 đồng/người/01 buổi làm việc (nửa ngày);</w:t>
      </w:r>
    </w:p>
    <w:p w14:paraId="65FCF474" w14:textId="77777777" w:rsidR="001E7021" w:rsidRPr="00946F92" w:rsidRDefault="001E7021" w:rsidP="00240C24">
      <w:pPr>
        <w:spacing w:before="60" w:after="0" w:line="240" w:lineRule="auto"/>
        <w:ind w:firstLine="720"/>
        <w:jc w:val="both"/>
        <w:rPr>
          <w:rFonts w:ascii="Times New Roman" w:hAnsi="Times New Roman"/>
          <w:i/>
          <w:snapToGrid w:val="0"/>
          <w:sz w:val="28"/>
          <w:szCs w:val="28"/>
          <w:lang w:val="nl-NL"/>
        </w:rPr>
      </w:pPr>
      <w:r w:rsidRPr="00946F92">
        <w:rPr>
          <w:rFonts w:ascii="Times New Roman" w:hAnsi="Times New Roman"/>
          <w:i/>
          <w:snapToGrid w:val="0"/>
          <w:sz w:val="28"/>
          <w:szCs w:val="28"/>
          <w:lang w:val="nl-NL"/>
        </w:rPr>
        <w:t xml:space="preserve">b) Đoàn là khách hạng B: </w:t>
      </w:r>
      <w:r>
        <w:rPr>
          <w:rFonts w:ascii="Times New Roman" w:hAnsi="Times New Roman"/>
          <w:i/>
          <w:snapToGrid w:val="0"/>
          <w:sz w:val="28"/>
          <w:szCs w:val="28"/>
          <w:lang w:val="nl-NL"/>
        </w:rPr>
        <w:t>12</w:t>
      </w:r>
      <w:r w:rsidRPr="00946F92">
        <w:rPr>
          <w:rFonts w:ascii="Times New Roman" w:hAnsi="Times New Roman"/>
          <w:i/>
          <w:snapToGrid w:val="0"/>
          <w:sz w:val="28"/>
          <w:szCs w:val="28"/>
          <w:lang w:val="nl-NL"/>
        </w:rPr>
        <w:t>0.000 đồng/người/01 buổi làm việc (nửa ngày);</w:t>
      </w:r>
    </w:p>
    <w:p w14:paraId="343AF6AF" w14:textId="77777777" w:rsidR="001E7021" w:rsidRPr="00946F92" w:rsidRDefault="001E7021" w:rsidP="00240C24">
      <w:pPr>
        <w:spacing w:before="60" w:after="0" w:line="240" w:lineRule="auto"/>
        <w:ind w:firstLine="720"/>
        <w:jc w:val="both"/>
        <w:rPr>
          <w:rFonts w:ascii="Times New Roman" w:hAnsi="Times New Roman"/>
          <w:i/>
          <w:snapToGrid w:val="0"/>
          <w:sz w:val="28"/>
          <w:szCs w:val="28"/>
          <w:lang w:val="nl-NL"/>
        </w:rPr>
      </w:pPr>
      <w:r w:rsidRPr="00946F92">
        <w:rPr>
          <w:rFonts w:ascii="Times New Roman" w:hAnsi="Times New Roman"/>
          <w:i/>
          <w:snapToGrid w:val="0"/>
          <w:sz w:val="28"/>
          <w:szCs w:val="28"/>
          <w:lang w:val="nl-NL"/>
        </w:rPr>
        <w:t>c) Đoàn là khách hạng C, khách quốc tế</w:t>
      </w:r>
      <w:r>
        <w:rPr>
          <w:rFonts w:ascii="Times New Roman" w:hAnsi="Times New Roman"/>
          <w:i/>
          <w:snapToGrid w:val="0"/>
          <w:sz w:val="28"/>
          <w:szCs w:val="28"/>
          <w:lang w:val="nl-NL"/>
        </w:rPr>
        <w:t xml:space="preserve"> khác: 10</w:t>
      </w:r>
      <w:r w:rsidRPr="00946F92">
        <w:rPr>
          <w:rFonts w:ascii="Times New Roman" w:hAnsi="Times New Roman"/>
          <w:i/>
          <w:snapToGrid w:val="0"/>
          <w:sz w:val="28"/>
          <w:szCs w:val="28"/>
          <w:lang w:val="nl-NL"/>
        </w:rPr>
        <w:t>0.000 đồng/người/01 buổi làm việc (nửa ngày).</w:t>
      </w:r>
      <w:r>
        <w:rPr>
          <w:rFonts w:ascii="Times New Roman" w:hAnsi="Times New Roman"/>
          <w:i/>
          <w:snapToGrid w:val="0"/>
          <w:sz w:val="28"/>
          <w:szCs w:val="28"/>
          <w:lang w:val="nl-NL"/>
        </w:rPr>
        <w:t>”</w:t>
      </w:r>
    </w:p>
    <w:p w14:paraId="55166AAB" w14:textId="77777777" w:rsidR="00FF37E5" w:rsidRDefault="001E7021"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7</w:t>
      </w:r>
      <w:r w:rsidR="0067254B">
        <w:rPr>
          <w:rFonts w:ascii="Times New Roman" w:hAnsi="Times New Roman"/>
          <w:snapToGrid w:val="0"/>
          <w:sz w:val="28"/>
          <w:szCs w:val="28"/>
          <w:lang w:val="nl-NL"/>
        </w:rPr>
        <w:t xml:space="preserve">. Sửa đổi điểm a và điểm b Khoản 1 Điều 11 </w:t>
      </w:r>
      <w:r w:rsidR="0067254B" w:rsidRPr="00AD6F8C">
        <w:rPr>
          <w:rFonts w:ascii="Times New Roman" w:hAnsi="Times New Roman"/>
          <w:snapToGrid w:val="0"/>
          <w:sz w:val="28"/>
          <w:szCs w:val="28"/>
          <w:lang w:val="nl-NL"/>
        </w:rPr>
        <w:t>Thông tư số 71/2018/TT-BTC như sau:</w:t>
      </w:r>
    </w:p>
    <w:p w14:paraId="58070CD1"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Pr>
          <w:rFonts w:ascii="Times New Roman" w:hAnsi="Times New Roman"/>
          <w:i/>
          <w:snapToGrid w:val="0"/>
          <w:sz w:val="28"/>
          <w:szCs w:val="28"/>
          <w:lang w:val="nl-NL"/>
        </w:rPr>
        <w:t>“</w:t>
      </w:r>
      <w:r w:rsidRPr="0067254B">
        <w:rPr>
          <w:rFonts w:ascii="Times New Roman" w:hAnsi="Times New Roman"/>
          <w:i/>
          <w:snapToGrid w:val="0"/>
          <w:sz w:val="28"/>
          <w:szCs w:val="28"/>
          <w:lang w:val="nl-NL"/>
        </w:rPr>
        <w:t xml:space="preserve">a) Biên dịch một trong 6 ngôn ngữ chính thức của Liên hợp quốc sang Tiếng Việt (gồm: tiếng Ả Rập, tiếng </w:t>
      </w:r>
      <w:r w:rsidR="007402BD" w:rsidRPr="007402BD">
        <w:rPr>
          <w:rFonts w:ascii="Times New Roman" w:hAnsi="Times New Roman"/>
          <w:i/>
          <w:snapToGrid w:val="0"/>
          <w:color w:val="0000FF"/>
          <w:sz w:val="28"/>
          <w:szCs w:val="28"/>
          <w:lang w:val="nl-NL"/>
        </w:rPr>
        <w:t>Trung</w:t>
      </w:r>
      <w:r w:rsidRPr="0067254B">
        <w:rPr>
          <w:rFonts w:ascii="Times New Roman" w:hAnsi="Times New Roman"/>
          <w:i/>
          <w:snapToGrid w:val="0"/>
          <w:sz w:val="28"/>
          <w:szCs w:val="28"/>
          <w:lang w:val="nl-NL"/>
        </w:rPr>
        <w:t>, tiếng Anh, tiếng Pháp, tiếng Nga và tiế</w:t>
      </w:r>
      <w:r>
        <w:rPr>
          <w:rFonts w:ascii="Times New Roman" w:hAnsi="Times New Roman"/>
          <w:i/>
          <w:snapToGrid w:val="0"/>
          <w:sz w:val="28"/>
          <w:szCs w:val="28"/>
          <w:lang w:val="nl-NL"/>
        </w:rPr>
        <w:t>ng Tây Ban Nha): 2</w:t>
      </w:r>
      <w:r w:rsidRPr="0067254B">
        <w:rPr>
          <w:rFonts w:ascii="Times New Roman" w:hAnsi="Times New Roman"/>
          <w:i/>
          <w:snapToGrid w:val="0"/>
          <w:sz w:val="28"/>
          <w:szCs w:val="28"/>
          <w:lang w:val="nl-NL"/>
        </w:rPr>
        <w:t>50.000 đồng/trang (350 từ);</w:t>
      </w:r>
    </w:p>
    <w:p w14:paraId="2183A0F1"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b) Biên dịch Tiếng Việt sang một trong 6 ngôn ngữ chính thức của Liên hợp quố</w:t>
      </w:r>
      <w:r>
        <w:rPr>
          <w:rFonts w:ascii="Times New Roman" w:hAnsi="Times New Roman"/>
          <w:i/>
          <w:snapToGrid w:val="0"/>
          <w:sz w:val="28"/>
          <w:szCs w:val="28"/>
          <w:lang w:val="nl-NL"/>
        </w:rPr>
        <w:t>c: 300</w:t>
      </w:r>
      <w:r w:rsidRPr="0067254B">
        <w:rPr>
          <w:rFonts w:ascii="Times New Roman" w:hAnsi="Times New Roman"/>
          <w:i/>
          <w:snapToGrid w:val="0"/>
          <w:sz w:val="28"/>
          <w:szCs w:val="28"/>
          <w:lang w:val="nl-NL"/>
        </w:rPr>
        <w:t>.000 đồng/trang (350 từ);</w:t>
      </w:r>
      <w:r>
        <w:rPr>
          <w:rFonts w:ascii="Times New Roman" w:hAnsi="Times New Roman"/>
          <w:i/>
          <w:snapToGrid w:val="0"/>
          <w:sz w:val="28"/>
          <w:szCs w:val="28"/>
          <w:lang w:val="nl-NL"/>
        </w:rPr>
        <w:t>”</w:t>
      </w:r>
    </w:p>
    <w:p w14:paraId="51C2106C" w14:textId="77777777" w:rsidR="0067254B" w:rsidRDefault="001E7021"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8</w:t>
      </w:r>
      <w:r w:rsidR="0067254B">
        <w:rPr>
          <w:rFonts w:ascii="Times New Roman" w:hAnsi="Times New Roman"/>
          <w:snapToGrid w:val="0"/>
          <w:sz w:val="28"/>
          <w:szCs w:val="28"/>
          <w:lang w:val="nl-NL"/>
        </w:rPr>
        <w:t xml:space="preserve">. Sửa đổi điểm a và điểm b khoản 2 Điều 11 </w:t>
      </w:r>
      <w:r w:rsidR="0067254B" w:rsidRPr="00AD6F8C">
        <w:rPr>
          <w:rFonts w:ascii="Times New Roman" w:hAnsi="Times New Roman"/>
          <w:snapToGrid w:val="0"/>
          <w:sz w:val="28"/>
          <w:szCs w:val="28"/>
          <w:lang w:val="nl-NL"/>
        </w:rPr>
        <w:t>Thông tư số 71/2018/TT-BTC như sau:</w:t>
      </w:r>
    </w:p>
    <w:p w14:paraId="1CFCD508"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Pr>
          <w:rFonts w:ascii="Times New Roman" w:hAnsi="Times New Roman"/>
          <w:i/>
          <w:snapToGrid w:val="0"/>
          <w:sz w:val="28"/>
          <w:szCs w:val="28"/>
          <w:lang w:val="nl-NL"/>
        </w:rPr>
        <w:t>“</w:t>
      </w:r>
      <w:r w:rsidRPr="0067254B">
        <w:rPr>
          <w:rFonts w:ascii="Times New Roman" w:hAnsi="Times New Roman"/>
          <w:i/>
          <w:snapToGrid w:val="0"/>
          <w:sz w:val="28"/>
          <w:szCs w:val="28"/>
          <w:lang w:val="nl-NL"/>
        </w:rPr>
        <w:t xml:space="preserve">a) Dịch </w:t>
      </w:r>
      <w:r w:rsidR="007C2A30">
        <w:rPr>
          <w:rFonts w:ascii="Times New Roman" w:hAnsi="Times New Roman"/>
          <w:i/>
          <w:snapToGrid w:val="0"/>
          <w:sz w:val="28"/>
          <w:szCs w:val="28"/>
          <w:lang w:val="nl-NL"/>
        </w:rPr>
        <w:t>nối tiếp</w:t>
      </w:r>
      <w:r>
        <w:rPr>
          <w:rFonts w:ascii="Times New Roman" w:hAnsi="Times New Roman"/>
          <w:i/>
          <w:snapToGrid w:val="0"/>
          <w:sz w:val="28"/>
          <w:szCs w:val="28"/>
          <w:lang w:val="nl-NL"/>
        </w:rPr>
        <w:t xml:space="preserve">: </w:t>
      </w:r>
      <w:r w:rsidRPr="0067254B">
        <w:rPr>
          <w:rFonts w:ascii="Times New Roman" w:hAnsi="Times New Roman"/>
          <w:i/>
          <w:snapToGrid w:val="0"/>
          <w:sz w:val="28"/>
          <w:szCs w:val="28"/>
          <w:lang w:val="nl-NL"/>
        </w:rPr>
        <w:t>50</w:t>
      </w:r>
      <w:r>
        <w:rPr>
          <w:rFonts w:ascii="Times New Roman" w:hAnsi="Times New Roman"/>
          <w:i/>
          <w:snapToGrid w:val="0"/>
          <w:sz w:val="28"/>
          <w:szCs w:val="28"/>
          <w:lang w:val="nl-NL"/>
        </w:rPr>
        <w:t>0</w:t>
      </w:r>
      <w:r w:rsidRPr="0067254B">
        <w:rPr>
          <w:rFonts w:ascii="Times New Roman" w:hAnsi="Times New Roman"/>
          <w:i/>
          <w:snapToGrid w:val="0"/>
          <w:sz w:val="28"/>
          <w:szCs w:val="28"/>
          <w:lang w:val="nl-NL"/>
        </w:rPr>
        <w:t>.000 đồng/giờ/người;</w:t>
      </w:r>
    </w:p>
    <w:p w14:paraId="2A85468F"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b) Dị</w:t>
      </w:r>
      <w:r w:rsidR="007C2A30">
        <w:rPr>
          <w:rFonts w:ascii="Times New Roman" w:hAnsi="Times New Roman"/>
          <w:i/>
          <w:snapToGrid w:val="0"/>
          <w:sz w:val="28"/>
          <w:szCs w:val="28"/>
          <w:lang w:val="nl-NL"/>
        </w:rPr>
        <w:t>ch song song</w:t>
      </w:r>
      <w:r w:rsidRPr="0067254B">
        <w:rPr>
          <w:rFonts w:ascii="Times New Roman" w:hAnsi="Times New Roman"/>
          <w:i/>
          <w:snapToGrid w:val="0"/>
          <w:sz w:val="28"/>
          <w:szCs w:val="28"/>
          <w:lang w:val="nl-NL"/>
        </w:rPr>
        <w:t xml:space="preserve"> (dịch </w:t>
      </w:r>
      <w:r w:rsidR="007C2A30">
        <w:rPr>
          <w:rFonts w:ascii="Times New Roman" w:hAnsi="Times New Roman"/>
          <w:i/>
          <w:snapToGrid w:val="0"/>
          <w:sz w:val="28"/>
          <w:szCs w:val="28"/>
          <w:lang w:val="nl-NL"/>
        </w:rPr>
        <w:t>cabin</w:t>
      </w:r>
      <w:r>
        <w:rPr>
          <w:rFonts w:ascii="Times New Roman" w:hAnsi="Times New Roman"/>
          <w:i/>
          <w:snapToGrid w:val="0"/>
          <w:sz w:val="28"/>
          <w:szCs w:val="28"/>
          <w:lang w:val="nl-NL"/>
        </w:rPr>
        <w:t>): 1.0</w:t>
      </w:r>
      <w:r w:rsidRPr="0067254B">
        <w:rPr>
          <w:rFonts w:ascii="Times New Roman" w:hAnsi="Times New Roman"/>
          <w:i/>
          <w:snapToGrid w:val="0"/>
          <w:sz w:val="28"/>
          <w:szCs w:val="28"/>
          <w:lang w:val="nl-NL"/>
        </w:rPr>
        <w:t>00.000 đồng/giờ/ngườ</w:t>
      </w:r>
      <w:r>
        <w:rPr>
          <w:rFonts w:ascii="Times New Roman" w:hAnsi="Times New Roman"/>
          <w:i/>
          <w:snapToGrid w:val="0"/>
          <w:sz w:val="28"/>
          <w:szCs w:val="28"/>
          <w:lang w:val="nl-NL"/>
        </w:rPr>
        <w:t>i;”</w:t>
      </w:r>
    </w:p>
    <w:p w14:paraId="55F0ADB2" w14:textId="77777777" w:rsidR="0067254B" w:rsidRDefault="0069013B"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9. </w:t>
      </w:r>
      <w:r w:rsidR="0067254B">
        <w:rPr>
          <w:rFonts w:ascii="Times New Roman" w:hAnsi="Times New Roman"/>
          <w:snapToGrid w:val="0"/>
          <w:sz w:val="28"/>
          <w:szCs w:val="28"/>
          <w:lang w:val="nl-NL"/>
        </w:rPr>
        <w:t>Sửa đổi Khoản 2 Điề</w:t>
      </w:r>
      <w:r w:rsidR="001E7021">
        <w:rPr>
          <w:rFonts w:ascii="Times New Roman" w:hAnsi="Times New Roman"/>
          <w:snapToGrid w:val="0"/>
          <w:sz w:val="28"/>
          <w:szCs w:val="28"/>
          <w:lang w:val="nl-NL"/>
        </w:rPr>
        <w:t>u 12</w:t>
      </w:r>
      <w:r w:rsidR="0067254B">
        <w:rPr>
          <w:rFonts w:ascii="Times New Roman" w:hAnsi="Times New Roman"/>
          <w:snapToGrid w:val="0"/>
          <w:sz w:val="28"/>
          <w:szCs w:val="28"/>
          <w:lang w:val="nl-NL"/>
        </w:rPr>
        <w:t xml:space="preserve"> </w:t>
      </w:r>
      <w:r w:rsidR="0067254B" w:rsidRPr="00AD6F8C">
        <w:rPr>
          <w:rFonts w:ascii="Times New Roman" w:hAnsi="Times New Roman"/>
          <w:snapToGrid w:val="0"/>
          <w:sz w:val="28"/>
          <w:szCs w:val="28"/>
          <w:lang w:val="nl-NL"/>
        </w:rPr>
        <w:t>Thông tư số 71/2018/TT-BTC như sau:</w:t>
      </w:r>
    </w:p>
    <w:p w14:paraId="0D446606"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Pr>
          <w:rFonts w:ascii="Times New Roman" w:hAnsi="Times New Roman"/>
          <w:i/>
          <w:snapToGrid w:val="0"/>
          <w:sz w:val="28"/>
          <w:szCs w:val="28"/>
          <w:lang w:val="nl-NL"/>
        </w:rPr>
        <w:t>“</w:t>
      </w:r>
      <w:r w:rsidRPr="0067254B">
        <w:rPr>
          <w:rFonts w:ascii="Times New Roman" w:hAnsi="Times New Roman"/>
          <w:i/>
          <w:snapToGrid w:val="0"/>
          <w:sz w:val="28"/>
          <w:szCs w:val="28"/>
          <w:lang w:val="nl-NL"/>
        </w:rPr>
        <w:t>2. Chi tặng phẩm</w:t>
      </w:r>
    </w:p>
    <w:p w14:paraId="140ABE49"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Tặng phẩm là sản phẩm do Việt Nam sản xuất và thể hiện bản sắc văn hoá dân tộc, mức mua quà tặng cụ thể như sau:</w:t>
      </w:r>
    </w:p>
    <w:p w14:paraId="7B32C2A5"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a) Đối với đoàn khách hạng đặc biệt: Thủ trưởng cơ quan được giao nhiệm vụ đón tiếp phê duyệt trong chương trình, đề án đón đoàn;</w:t>
      </w:r>
    </w:p>
    <w:p w14:paraId="656222C2"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b) Đối với đoàn khách hạng A:</w:t>
      </w:r>
    </w:p>
    <w:p w14:paraId="00DC5F32"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 Trưở</w:t>
      </w:r>
      <w:r>
        <w:rPr>
          <w:rFonts w:ascii="Times New Roman" w:hAnsi="Times New Roman"/>
          <w:i/>
          <w:snapToGrid w:val="0"/>
          <w:sz w:val="28"/>
          <w:szCs w:val="28"/>
          <w:lang w:val="nl-NL"/>
        </w:rPr>
        <w:t>ng đoàn khách: 2.0</w:t>
      </w:r>
      <w:r w:rsidRPr="0067254B">
        <w:rPr>
          <w:rFonts w:ascii="Times New Roman" w:hAnsi="Times New Roman"/>
          <w:i/>
          <w:snapToGrid w:val="0"/>
          <w:sz w:val="28"/>
          <w:szCs w:val="28"/>
          <w:lang w:val="nl-NL"/>
        </w:rPr>
        <w:t>00.000 đồng/người. Trường hợp có Phu nhân (Phu quân) của Trưởng đoàn đi cùng đoàn, mức chi tặng phẩm đối vớ</w:t>
      </w:r>
      <w:r>
        <w:rPr>
          <w:rFonts w:ascii="Times New Roman" w:hAnsi="Times New Roman"/>
          <w:i/>
          <w:snapToGrid w:val="0"/>
          <w:sz w:val="28"/>
          <w:szCs w:val="28"/>
          <w:lang w:val="nl-NL"/>
        </w:rPr>
        <w:t>i Phu nhân (Phu quân): 2.0</w:t>
      </w:r>
      <w:r w:rsidRPr="0067254B">
        <w:rPr>
          <w:rFonts w:ascii="Times New Roman" w:hAnsi="Times New Roman"/>
          <w:i/>
          <w:snapToGrid w:val="0"/>
          <w:sz w:val="28"/>
          <w:szCs w:val="28"/>
          <w:lang w:val="nl-NL"/>
        </w:rPr>
        <w:t>00.000 đồng/người.</w:t>
      </w:r>
    </w:p>
    <w:p w14:paraId="213CB82A"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 xml:space="preserve">-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w:t>
      </w:r>
      <w:r w:rsidR="00B24342">
        <w:rPr>
          <w:rFonts w:ascii="Times New Roman" w:hAnsi="Times New Roman"/>
          <w:i/>
          <w:snapToGrid w:val="0"/>
          <w:sz w:val="28"/>
          <w:szCs w:val="28"/>
          <w:lang w:val="nl-NL"/>
        </w:rPr>
        <w:t>750</w:t>
      </w:r>
      <w:r w:rsidRPr="0067254B">
        <w:rPr>
          <w:rFonts w:ascii="Times New Roman" w:hAnsi="Times New Roman"/>
          <w:i/>
          <w:snapToGrid w:val="0"/>
          <w:sz w:val="28"/>
          <w:szCs w:val="28"/>
          <w:lang w:val="nl-NL"/>
        </w:rPr>
        <w:t>.000 đồng/người.</w:t>
      </w:r>
    </w:p>
    <w:p w14:paraId="3171E32D"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c) Đối với đoàn khách hạng B:</w:t>
      </w:r>
    </w:p>
    <w:p w14:paraId="7924F200" w14:textId="77777777" w:rsidR="0067254B" w:rsidRP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 Trưở</w:t>
      </w:r>
      <w:r w:rsidR="00B24342">
        <w:rPr>
          <w:rFonts w:ascii="Times New Roman" w:hAnsi="Times New Roman"/>
          <w:i/>
          <w:snapToGrid w:val="0"/>
          <w:sz w:val="28"/>
          <w:szCs w:val="28"/>
          <w:lang w:val="nl-NL"/>
        </w:rPr>
        <w:t>ng đoàn khách: 1.4</w:t>
      </w:r>
      <w:r w:rsidRPr="0067254B">
        <w:rPr>
          <w:rFonts w:ascii="Times New Roman" w:hAnsi="Times New Roman"/>
          <w:i/>
          <w:snapToGrid w:val="0"/>
          <w:sz w:val="28"/>
          <w:szCs w:val="28"/>
          <w:lang w:val="nl-NL"/>
        </w:rPr>
        <w:t xml:space="preserve">00.000 đồng/người. Trường hợp có Phu nhân (Phu quân) của Trưởng đoàn đi cùng đoàn, mức chi tặng phẩm đối với Phu nhân (Phu quân): </w:t>
      </w:r>
      <w:r w:rsidR="00B24342">
        <w:rPr>
          <w:rFonts w:ascii="Times New Roman" w:hAnsi="Times New Roman"/>
          <w:i/>
          <w:snapToGrid w:val="0"/>
          <w:sz w:val="28"/>
          <w:szCs w:val="28"/>
          <w:lang w:val="nl-NL"/>
        </w:rPr>
        <w:t>1.4</w:t>
      </w:r>
      <w:r w:rsidRPr="0067254B">
        <w:rPr>
          <w:rFonts w:ascii="Times New Roman" w:hAnsi="Times New Roman"/>
          <w:i/>
          <w:snapToGrid w:val="0"/>
          <w:sz w:val="28"/>
          <w:szCs w:val="28"/>
          <w:lang w:val="nl-NL"/>
        </w:rPr>
        <w:t>00.000 đồng/người.</w:t>
      </w:r>
    </w:p>
    <w:p w14:paraId="1964D87C" w14:textId="77777777" w:rsidR="0067254B" w:rsidRDefault="0067254B" w:rsidP="00240C24">
      <w:pPr>
        <w:spacing w:before="60" w:after="0" w:line="240" w:lineRule="auto"/>
        <w:ind w:firstLine="720"/>
        <w:jc w:val="both"/>
        <w:rPr>
          <w:rFonts w:ascii="Times New Roman" w:hAnsi="Times New Roman"/>
          <w:i/>
          <w:snapToGrid w:val="0"/>
          <w:sz w:val="28"/>
          <w:szCs w:val="28"/>
          <w:lang w:val="nl-NL"/>
        </w:rPr>
      </w:pPr>
      <w:r w:rsidRPr="0067254B">
        <w:rPr>
          <w:rFonts w:ascii="Times New Roman" w:hAnsi="Times New Roman"/>
          <w:i/>
          <w:snapToGrid w:val="0"/>
          <w:sz w:val="28"/>
          <w:szCs w:val="28"/>
          <w:lang w:val="nl-NL"/>
        </w:rPr>
        <w:t xml:space="preserve">- Trường hợp đặc biệt theo yêu cầu đối ngoại hoặc theo thông lệ ngoại giao giữa hai nước, thủ trưởng cơ quan đón tiếp đoàn xem xét, quyết định việc tặng </w:t>
      </w:r>
      <w:r w:rsidRPr="0067254B">
        <w:rPr>
          <w:rFonts w:ascii="Times New Roman" w:hAnsi="Times New Roman"/>
          <w:i/>
          <w:snapToGrid w:val="0"/>
          <w:sz w:val="28"/>
          <w:szCs w:val="28"/>
          <w:lang w:val="nl-NL"/>
        </w:rPr>
        <w:lastRenderedPageBreak/>
        <w:t>phẩm tặng thành viên chính thức và quan chức tùy tùng trong kế hoạch, đề án đón đoàn, mứ</w:t>
      </w:r>
      <w:r w:rsidR="00B24342">
        <w:rPr>
          <w:rFonts w:ascii="Times New Roman" w:hAnsi="Times New Roman"/>
          <w:i/>
          <w:snapToGrid w:val="0"/>
          <w:sz w:val="28"/>
          <w:szCs w:val="28"/>
          <w:lang w:val="nl-NL"/>
        </w:rPr>
        <w:t>c chi: 75</w:t>
      </w:r>
      <w:r w:rsidRPr="0067254B">
        <w:rPr>
          <w:rFonts w:ascii="Times New Roman" w:hAnsi="Times New Roman"/>
          <w:i/>
          <w:snapToGrid w:val="0"/>
          <w:sz w:val="28"/>
          <w:szCs w:val="28"/>
          <w:lang w:val="nl-NL"/>
        </w:rPr>
        <w:t>0.000 đồng/người.</w:t>
      </w:r>
    </w:p>
    <w:p w14:paraId="4CD1CD1C" w14:textId="77777777" w:rsidR="00967218" w:rsidRPr="00967218" w:rsidRDefault="00967218" w:rsidP="00240C24">
      <w:pPr>
        <w:spacing w:before="60" w:after="0" w:line="240" w:lineRule="auto"/>
        <w:ind w:firstLine="720"/>
        <w:jc w:val="both"/>
        <w:rPr>
          <w:rFonts w:ascii="Times New Roman" w:hAnsi="Times New Roman"/>
          <w:i/>
          <w:snapToGrid w:val="0"/>
          <w:color w:val="0000FF"/>
          <w:sz w:val="28"/>
          <w:szCs w:val="28"/>
          <w:lang w:val="nl-NL"/>
        </w:rPr>
      </w:pPr>
      <w:r w:rsidRPr="00967218">
        <w:rPr>
          <w:rFonts w:ascii="Times New Roman" w:hAnsi="Times New Roman"/>
          <w:i/>
          <w:snapToGrid w:val="0"/>
          <w:color w:val="0000FF"/>
          <w:sz w:val="28"/>
          <w:szCs w:val="28"/>
          <w:lang w:val="nl-NL"/>
        </w:rPr>
        <w:t>d) Đối với đoàn khách hạng C</w:t>
      </w:r>
      <w:r>
        <w:rPr>
          <w:rFonts w:ascii="Times New Roman" w:hAnsi="Times New Roman"/>
          <w:i/>
          <w:snapToGrid w:val="0"/>
          <w:color w:val="0000FF"/>
          <w:sz w:val="28"/>
          <w:szCs w:val="28"/>
          <w:lang w:val="nl-NL"/>
        </w:rPr>
        <w:t xml:space="preserve"> và khách mời quốc tế khác</w:t>
      </w:r>
      <w:r w:rsidRPr="00967218">
        <w:rPr>
          <w:rFonts w:ascii="Times New Roman" w:hAnsi="Times New Roman"/>
          <w:i/>
          <w:snapToGrid w:val="0"/>
          <w:color w:val="0000FF"/>
          <w:sz w:val="28"/>
          <w:szCs w:val="28"/>
          <w:lang w:val="nl-NL"/>
        </w:rPr>
        <w:t xml:space="preserve">: </w:t>
      </w:r>
    </w:p>
    <w:p w14:paraId="27B690A0" w14:textId="77777777" w:rsidR="00967218" w:rsidRPr="00967218" w:rsidRDefault="00967218" w:rsidP="00240C24">
      <w:pPr>
        <w:spacing w:before="60" w:after="0" w:line="240" w:lineRule="auto"/>
        <w:ind w:firstLine="720"/>
        <w:jc w:val="both"/>
        <w:rPr>
          <w:rFonts w:ascii="Times New Roman" w:hAnsi="Times New Roman"/>
          <w:i/>
          <w:snapToGrid w:val="0"/>
          <w:color w:val="0000FF"/>
          <w:sz w:val="28"/>
          <w:szCs w:val="28"/>
          <w:lang w:val="nl-NL"/>
        </w:rPr>
      </w:pPr>
      <w:r w:rsidRPr="00967218">
        <w:rPr>
          <w:rFonts w:ascii="Times New Roman" w:hAnsi="Times New Roman"/>
          <w:i/>
          <w:snapToGrid w:val="0"/>
          <w:color w:val="0000FF"/>
          <w:sz w:val="28"/>
          <w:szCs w:val="28"/>
          <w:lang w:val="nl-NL"/>
        </w:rPr>
        <w:t>Trường hợp đặc biệt theo yêu cầu đối ngoại hoặc theo thông lệ ngoại giao giữa hai nước, thủ trưởng cơ quan đón tiếp đoàn xem xét, quyết định việc tặng phẩm tặng thành viên của đoàn khách trong kế hoạch, đề án đón đoàn, mức chi: 750.000 đồng/người.”</w:t>
      </w:r>
    </w:p>
    <w:p w14:paraId="21D721B8" w14:textId="77777777" w:rsidR="001E7021" w:rsidRDefault="001E7021"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10. Sửa đổi Điều 17 </w:t>
      </w:r>
      <w:r w:rsidRPr="00AD6F8C">
        <w:rPr>
          <w:rFonts w:ascii="Times New Roman" w:hAnsi="Times New Roman"/>
          <w:snapToGrid w:val="0"/>
          <w:sz w:val="28"/>
          <w:szCs w:val="28"/>
          <w:lang w:val="nl-NL"/>
        </w:rPr>
        <w:t>Thông tư số 71/2018/TT-BTC như sau:</w:t>
      </w:r>
    </w:p>
    <w:p w14:paraId="55355048" w14:textId="77777777" w:rsidR="001E7021" w:rsidRPr="001E7021" w:rsidRDefault="001E7021" w:rsidP="00240C24">
      <w:pPr>
        <w:pStyle w:val="NormalWeb"/>
        <w:shd w:val="clear" w:color="auto" w:fill="FFFFFF"/>
        <w:spacing w:before="60" w:beforeAutospacing="0" w:after="0" w:afterAutospacing="0"/>
        <w:ind w:firstLine="720"/>
        <w:jc w:val="both"/>
        <w:rPr>
          <w:rFonts w:eastAsia="Calibri"/>
          <w:b/>
          <w:i/>
          <w:snapToGrid w:val="0"/>
          <w:sz w:val="28"/>
          <w:szCs w:val="28"/>
          <w:lang w:val="nl-NL"/>
        </w:rPr>
      </w:pPr>
      <w:bookmarkStart w:id="5" w:name="dieu_17"/>
      <w:r>
        <w:rPr>
          <w:rFonts w:eastAsia="Calibri"/>
          <w:i/>
          <w:snapToGrid w:val="0"/>
          <w:sz w:val="28"/>
          <w:szCs w:val="28"/>
          <w:lang w:val="nl-NL"/>
        </w:rPr>
        <w:t>“</w:t>
      </w:r>
      <w:r w:rsidRPr="001E7021">
        <w:rPr>
          <w:rFonts w:eastAsia="Calibri"/>
          <w:b/>
          <w:i/>
          <w:snapToGrid w:val="0"/>
          <w:sz w:val="28"/>
          <w:szCs w:val="28"/>
          <w:lang w:val="nl-NL"/>
        </w:rPr>
        <w:t>Điều 17. Chế độ tiếp các đại sứ, trưởng đại diện các tổ chức quốc tế khi kết thúc nhiệm kỳ công tác tại Việt Nam</w:t>
      </w:r>
      <w:bookmarkEnd w:id="5"/>
    </w:p>
    <w:p w14:paraId="7955BC16" w14:textId="77777777" w:rsidR="001E7021" w:rsidRPr="001E7021" w:rsidRDefault="001E7021" w:rsidP="00240C24">
      <w:pPr>
        <w:pStyle w:val="NormalWeb"/>
        <w:shd w:val="clear" w:color="auto" w:fill="FFFFFF"/>
        <w:spacing w:before="60" w:beforeAutospacing="0" w:after="0" w:afterAutospacing="0"/>
        <w:ind w:firstLine="720"/>
        <w:jc w:val="both"/>
        <w:rPr>
          <w:rFonts w:eastAsia="Calibri"/>
          <w:i/>
          <w:snapToGrid w:val="0"/>
          <w:sz w:val="28"/>
          <w:szCs w:val="28"/>
          <w:lang w:val="nl-NL"/>
        </w:rPr>
      </w:pPr>
      <w:r w:rsidRPr="001E7021">
        <w:rPr>
          <w:rFonts w:eastAsia="Calibri"/>
          <w:i/>
          <w:snapToGrid w:val="0"/>
          <w:sz w:val="28"/>
          <w:szCs w:val="28"/>
          <w:lang w:val="nl-NL"/>
        </w:rPr>
        <w:t>Cơ quan, đơn vị được tổ chức mời cơm thân mật khi chia tay đại sứ, trưởng đại diện các tổ chức quốc tế khi kết thúc nhiệm kỳ công tác tại Việt Nam, mứ</w:t>
      </w:r>
      <w:r>
        <w:rPr>
          <w:rFonts w:eastAsia="Calibri"/>
          <w:i/>
          <w:snapToGrid w:val="0"/>
          <w:sz w:val="28"/>
          <w:szCs w:val="28"/>
          <w:lang w:val="nl-NL"/>
        </w:rPr>
        <w:t>c chi: 1.5</w:t>
      </w:r>
      <w:r w:rsidRPr="001E7021">
        <w:rPr>
          <w:rFonts w:eastAsia="Calibri"/>
          <w:i/>
          <w:snapToGrid w:val="0"/>
          <w:sz w:val="28"/>
          <w:szCs w:val="28"/>
          <w:lang w:val="nl-NL"/>
        </w:rPr>
        <w:t>00.000 đồng/người bao gồm cả đại diện phía Việt Nam, mức chi này bao gồm cả tiền đồ uống (khuyến khích sử dụng đồ uống sản xuất tại Việt Nam); tặng phẩm cho đại sứ, trưởng đại diện các tổ chức quốc tế</w:t>
      </w:r>
      <w:r>
        <w:rPr>
          <w:rFonts w:eastAsia="Calibri"/>
          <w:i/>
          <w:snapToGrid w:val="0"/>
          <w:sz w:val="28"/>
          <w:szCs w:val="28"/>
          <w:lang w:val="nl-NL"/>
        </w:rPr>
        <w:t>: 1.4</w:t>
      </w:r>
      <w:r w:rsidRPr="001E7021">
        <w:rPr>
          <w:rFonts w:eastAsia="Calibri"/>
          <w:i/>
          <w:snapToGrid w:val="0"/>
          <w:sz w:val="28"/>
          <w:szCs w:val="28"/>
          <w:lang w:val="nl-NL"/>
        </w:rPr>
        <w:t>00.000 đồng/người/suất tặng phẩm</w:t>
      </w:r>
      <w:r>
        <w:rPr>
          <w:rFonts w:eastAsia="Calibri"/>
          <w:i/>
          <w:snapToGrid w:val="0"/>
          <w:sz w:val="28"/>
          <w:szCs w:val="28"/>
          <w:lang w:val="nl-NL"/>
        </w:rPr>
        <w:t>”</w:t>
      </w:r>
    </w:p>
    <w:p w14:paraId="691D8157" w14:textId="77777777" w:rsidR="00EF4617" w:rsidRDefault="008772EC"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11. </w:t>
      </w:r>
      <w:r w:rsidR="00B205B3">
        <w:rPr>
          <w:rFonts w:ascii="Times New Roman" w:hAnsi="Times New Roman"/>
          <w:snapToGrid w:val="0"/>
          <w:sz w:val="28"/>
          <w:szCs w:val="28"/>
          <w:lang w:val="nl-NL"/>
        </w:rPr>
        <w:t>Sửa đổi điểm a khoản 2 Điề</w:t>
      </w:r>
      <w:r w:rsidR="0004571A">
        <w:rPr>
          <w:rFonts w:ascii="Times New Roman" w:hAnsi="Times New Roman"/>
          <w:snapToGrid w:val="0"/>
          <w:sz w:val="28"/>
          <w:szCs w:val="28"/>
          <w:lang w:val="nl-NL"/>
        </w:rPr>
        <w:t>u 20, điểm a</w:t>
      </w:r>
      <w:r w:rsidR="00EF4617">
        <w:rPr>
          <w:rFonts w:ascii="Times New Roman" w:hAnsi="Times New Roman"/>
          <w:snapToGrid w:val="0"/>
          <w:sz w:val="28"/>
          <w:szCs w:val="28"/>
          <w:lang w:val="nl-NL"/>
        </w:rPr>
        <w:t xml:space="preserve"> khoản 2 Điều 21, điểm a khoản 2 Điều 22 và điểm a khoản 2 Điều 23</w:t>
      </w:r>
      <w:r w:rsidR="00EF4617">
        <w:rPr>
          <w:rStyle w:val="FootnoteReference"/>
          <w:rFonts w:ascii="Times New Roman" w:hAnsi="Times New Roman"/>
          <w:snapToGrid w:val="0"/>
          <w:sz w:val="28"/>
          <w:szCs w:val="28"/>
          <w:lang w:val="nl-NL"/>
        </w:rPr>
        <w:footnoteReference w:id="1"/>
      </w:r>
      <w:r w:rsidR="00EF4617">
        <w:rPr>
          <w:rFonts w:ascii="Times New Roman" w:hAnsi="Times New Roman"/>
          <w:snapToGrid w:val="0"/>
          <w:sz w:val="28"/>
          <w:szCs w:val="28"/>
          <w:lang w:val="nl-NL"/>
        </w:rPr>
        <w:t xml:space="preserve"> </w:t>
      </w:r>
      <w:r w:rsidR="00EF4617" w:rsidRPr="00AD6F8C">
        <w:rPr>
          <w:rFonts w:ascii="Times New Roman" w:hAnsi="Times New Roman"/>
          <w:snapToGrid w:val="0"/>
          <w:sz w:val="28"/>
          <w:szCs w:val="28"/>
          <w:lang w:val="nl-NL"/>
        </w:rPr>
        <w:t>Thông tư số 71/2018/TT-BTC như sau:</w:t>
      </w:r>
    </w:p>
    <w:p w14:paraId="2BF7CF48" w14:textId="77777777" w:rsidR="00EF4617" w:rsidRPr="00EF4617" w:rsidRDefault="00EF4617" w:rsidP="00240C24">
      <w:pPr>
        <w:pStyle w:val="NormalWeb"/>
        <w:shd w:val="clear" w:color="auto" w:fill="FFFFFF"/>
        <w:spacing w:before="60" w:beforeAutospacing="0" w:after="0" w:afterAutospacing="0"/>
        <w:ind w:firstLine="720"/>
        <w:jc w:val="both"/>
        <w:rPr>
          <w:rFonts w:eastAsia="Calibri"/>
          <w:i/>
          <w:snapToGrid w:val="0"/>
          <w:sz w:val="28"/>
          <w:szCs w:val="28"/>
          <w:lang w:val="nl-NL"/>
        </w:rPr>
      </w:pPr>
      <w:r w:rsidRPr="00EF4617">
        <w:rPr>
          <w:rFonts w:eastAsia="Calibri"/>
          <w:i/>
          <w:snapToGrid w:val="0"/>
          <w:sz w:val="28"/>
          <w:szCs w:val="28"/>
          <w:lang w:val="nl-NL"/>
        </w:rPr>
        <w:t>“a) Tiền bồi dưỡng phục vụ hội nghị:</w:t>
      </w:r>
    </w:p>
    <w:p w14:paraId="5CD7CD7A" w14:textId="77777777" w:rsidR="00EF4617" w:rsidRPr="00EF4617" w:rsidRDefault="00EF4617" w:rsidP="00240C24">
      <w:pPr>
        <w:pStyle w:val="NormalWeb"/>
        <w:shd w:val="clear" w:color="auto" w:fill="FFFFFF"/>
        <w:spacing w:before="60" w:beforeAutospacing="0" w:after="0" w:afterAutospacing="0"/>
        <w:ind w:firstLine="720"/>
        <w:jc w:val="both"/>
        <w:rPr>
          <w:rFonts w:eastAsia="Calibri"/>
          <w:i/>
          <w:snapToGrid w:val="0"/>
          <w:sz w:val="28"/>
          <w:szCs w:val="28"/>
          <w:lang w:val="nl-NL"/>
        </w:rPr>
      </w:pPr>
      <w:r w:rsidRPr="00EF4617">
        <w:rPr>
          <w:rFonts w:eastAsia="Calibri"/>
          <w:i/>
          <w:snapToGrid w:val="0"/>
          <w:sz w:val="28"/>
          <w:szCs w:val="28"/>
          <w:lang w:val="nl-NL"/>
        </w:rPr>
        <w:t xml:space="preserve">- </w:t>
      </w:r>
      <w:r w:rsidRPr="00EF4617">
        <w:rPr>
          <w:rFonts w:eastAsia="Calibri"/>
          <w:b/>
          <w:i/>
          <w:snapToGrid w:val="0"/>
          <w:sz w:val="28"/>
          <w:szCs w:val="28"/>
          <w:lang w:val="nl-NL"/>
        </w:rPr>
        <w:t>Cán bộ, chiến sỹ công an nhân dân tham gia bảo đảm an ninh trật tự,</w:t>
      </w:r>
      <w:r>
        <w:rPr>
          <w:rFonts w:eastAsia="Calibri"/>
          <w:i/>
          <w:snapToGrid w:val="0"/>
          <w:sz w:val="28"/>
          <w:szCs w:val="28"/>
          <w:lang w:val="nl-NL"/>
        </w:rPr>
        <w:t xml:space="preserve"> </w:t>
      </w:r>
      <w:r w:rsidRPr="00EF4617">
        <w:rPr>
          <w:rFonts w:eastAsia="Calibri"/>
          <w:i/>
          <w:snapToGrid w:val="0"/>
          <w:sz w:val="28"/>
          <w:szCs w:val="28"/>
          <w:lang w:val="nl-NL"/>
        </w:rPr>
        <w:t xml:space="preserve">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w:t>
      </w:r>
      <w:r w:rsidR="00240C24">
        <w:rPr>
          <w:rFonts w:eastAsia="Calibri"/>
          <w:b/>
          <w:i/>
          <w:snapToGrid w:val="0"/>
          <w:sz w:val="28"/>
          <w:szCs w:val="28"/>
          <w:lang w:val="nl-NL"/>
        </w:rPr>
        <w:t>2</w:t>
      </w:r>
      <w:r w:rsidRPr="00EF4617">
        <w:rPr>
          <w:rFonts w:eastAsia="Calibri"/>
          <w:b/>
          <w:i/>
          <w:snapToGrid w:val="0"/>
          <w:sz w:val="28"/>
          <w:szCs w:val="28"/>
          <w:lang w:val="nl-NL"/>
        </w:rPr>
        <w:t>50.000 đồng/ngày/người đế</w:t>
      </w:r>
      <w:r w:rsidR="00240C24">
        <w:rPr>
          <w:rFonts w:eastAsia="Calibri"/>
          <w:b/>
          <w:i/>
          <w:snapToGrid w:val="0"/>
          <w:sz w:val="28"/>
          <w:szCs w:val="28"/>
          <w:lang w:val="nl-NL"/>
        </w:rPr>
        <w:t>n 5</w:t>
      </w:r>
      <w:r w:rsidRPr="00EF4617">
        <w:rPr>
          <w:rFonts w:eastAsia="Calibri"/>
          <w:b/>
          <w:i/>
          <w:snapToGrid w:val="0"/>
          <w:sz w:val="28"/>
          <w:szCs w:val="28"/>
          <w:lang w:val="nl-NL"/>
        </w:rPr>
        <w:t>00.000 đồng/ngày/người.</w:t>
      </w:r>
      <w:r w:rsidRPr="00EF4617">
        <w:rPr>
          <w:rFonts w:eastAsia="Calibri"/>
          <w:i/>
          <w:snapToGrid w:val="0"/>
          <w:sz w:val="28"/>
          <w:szCs w:val="28"/>
          <w:lang w:val="nl-NL"/>
        </w:rPr>
        <w:t xml:space="preserve"> Số lượng và mức chi cụ thể cho mỗi </w:t>
      </w:r>
      <w:r>
        <w:rPr>
          <w:rFonts w:eastAsia="Calibri"/>
          <w:b/>
          <w:i/>
          <w:snapToGrid w:val="0"/>
          <w:sz w:val="28"/>
          <w:szCs w:val="28"/>
          <w:lang w:val="nl-NL"/>
        </w:rPr>
        <w:t>c</w:t>
      </w:r>
      <w:r w:rsidRPr="00EF4617">
        <w:rPr>
          <w:rFonts w:eastAsia="Calibri"/>
          <w:b/>
          <w:i/>
          <w:snapToGrid w:val="0"/>
          <w:sz w:val="28"/>
          <w:szCs w:val="28"/>
          <w:lang w:val="nl-NL"/>
        </w:rPr>
        <w:t>án bộ, chiến sỹ công an nhân dân tham gia bảo đảm an ninh trật tự,</w:t>
      </w:r>
      <w:r>
        <w:rPr>
          <w:rFonts w:eastAsia="Calibri"/>
          <w:i/>
          <w:snapToGrid w:val="0"/>
          <w:sz w:val="28"/>
          <w:szCs w:val="28"/>
          <w:lang w:val="nl-NL"/>
        </w:rPr>
        <w:t xml:space="preserve"> </w:t>
      </w:r>
      <w:r w:rsidRPr="00EF4617">
        <w:rPr>
          <w:rFonts w:eastAsia="Calibri"/>
          <w:i/>
          <w:snapToGrid w:val="0"/>
          <w:sz w:val="28"/>
          <w:szCs w:val="28"/>
          <w:lang w:val="nl-NL"/>
        </w:rPr>
        <w:t>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14:paraId="5DF2B6BB" w14:textId="77777777" w:rsidR="00B205B3" w:rsidRPr="00240C24" w:rsidRDefault="00EF4617" w:rsidP="00240C24">
      <w:pPr>
        <w:pStyle w:val="NormalWeb"/>
        <w:shd w:val="clear" w:color="auto" w:fill="FFFFFF"/>
        <w:spacing w:before="60" w:beforeAutospacing="0" w:after="0" w:afterAutospacing="0"/>
        <w:ind w:firstLine="720"/>
        <w:jc w:val="both"/>
        <w:rPr>
          <w:rFonts w:ascii="Times New Roman Italic" w:hAnsi="Times New Roman Italic"/>
          <w:snapToGrid w:val="0"/>
          <w:spacing w:val="-4"/>
          <w:sz w:val="28"/>
          <w:szCs w:val="28"/>
          <w:lang w:val="nl-NL"/>
        </w:rPr>
      </w:pPr>
      <w:r w:rsidRPr="00240C24">
        <w:rPr>
          <w:rFonts w:ascii="Times New Roman Italic" w:eastAsia="Calibri" w:hAnsi="Times New Roman Italic"/>
          <w:i/>
          <w:snapToGrid w:val="0"/>
          <w:spacing w:val="-4"/>
          <w:sz w:val="28"/>
          <w:szCs w:val="28"/>
          <w:lang w:val="nl-NL"/>
        </w:rPr>
        <w:t>- 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Tổng thời gian thanh toán tối đa không quá 15 ngày; đồng thời không được thanh toán tiền lương làm việc vào ban đêm, làm thêm giờ.</w:t>
      </w:r>
      <w:r w:rsidR="00240C24" w:rsidRPr="00240C24">
        <w:rPr>
          <w:rFonts w:ascii="Times New Roman Italic" w:eastAsia="Calibri" w:hAnsi="Times New Roman Italic"/>
          <w:i/>
          <w:snapToGrid w:val="0"/>
          <w:spacing w:val="-4"/>
          <w:sz w:val="28"/>
          <w:szCs w:val="28"/>
          <w:lang w:val="nl-NL"/>
        </w:rPr>
        <w:t>”</w:t>
      </w:r>
    </w:p>
    <w:p w14:paraId="435915F9" w14:textId="77777777" w:rsidR="00D94C50" w:rsidRDefault="00240C24" w:rsidP="00957268">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 xml:space="preserve">12. </w:t>
      </w:r>
      <w:r w:rsidR="00D94C50">
        <w:rPr>
          <w:rFonts w:ascii="Times New Roman" w:hAnsi="Times New Roman"/>
          <w:snapToGrid w:val="0"/>
          <w:sz w:val="28"/>
          <w:szCs w:val="28"/>
          <w:lang w:val="nl-NL"/>
        </w:rPr>
        <w:t>Sửa đổi Khoản 1 Điều 24 Thông tư số 71/2018/TT-BTC như sau:</w:t>
      </w:r>
    </w:p>
    <w:p w14:paraId="4BACDCD4" w14:textId="77777777" w:rsidR="00D94C50" w:rsidRDefault="00D94C50" w:rsidP="00240C24">
      <w:pPr>
        <w:pStyle w:val="NormalWeb"/>
        <w:shd w:val="clear" w:color="auto" w:fill="FFFFFF"/>
        <w:spacing w:before="60" w:beforeAutospacing="0" w:after="0" w:afterAutospacing="0"/>
        <w:ind w:firstLine="720"/>
        <w:jc w:val="both"/>
        <w:rPr>
          <w:rFonts w:eastAsia="Calibri"/>
          <w:i/>
          <w:snapToGrid w:val="0"/>
          <w:sz w:val="28"/>
          <w:szCs w:val="28"/>
          <w:lang w:val="nl-NL"/>
        </w:rPr>
      </w:pPr>
      <w:r w:rsidRPr="00D94C50">
        <w:rPr>
          <w:rFonts w:eastAsia="Calibri"/>
          <w:i/>
          <w:snapToGrid w:val="0"/>
          <w:sz w:val="28"/>
          <w:szCs w:val="28"/>
          <w:lang w:val="nl-NL"/>
        </w:rPr>
        <w:t>“1. Chi xây dựng website phục vụ hội nghị: Thực hiện theo quy định của pháp luật về quản lý đầu tư ứng dụng công nghệ thông tin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14:paraId="41A09605" w14:textId="77777777" w:rsidR="00957268" w:rsidRDefault="00957268" w:rsidP="00957268">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lastRenderedPageBreak/>
        <w:t xml:space="preserve">13. Sửa đổi Điều 30 </w:t>
      </w:r>
      <w:r w:rsidRPr="00AD6F8C">
        <w:rPr>
          <w:rFonts w:ascii="Times New Roman" w:hAnsi="Times New Roman"/>
          <w:snapToGrid w:val="0"/>
          <w:sz w:val="28"/>
          <w:szCs w:val="28"/>
          <w:lang w:val="nl-NL"/>
        </w:rPr>
        <w:t>Thông tư số 71/2018/TT-BTC như sau:</w:t>
      </w:r>
    </w:p>
    <w:p w14:paraId="48A811F6" w14:textId="77777777" w:rsidR="00957268" w:rsidRPr="008772EC" w:rsidRDefault="00957268" w:rsidP="00957268">
      <w:pPr>
        <w:spacing w:before="60" w:after="0" w:line="240" w:lineRule="auto"/>
        <w:ind w:firstLine="720"/>
        <w:jc w:val="both"/>
        <w:rPr>
          <w:rFonts w:ascii="Times New Roman" w:hAnsi="Times New Roman"/>
          <w:i/>
          <w:snapToGrid w:val="0"/>
          <w:sz w:val="28"/>
          <w:szCs w:val="28"/>
          <w:lang w:val="nl-NL"/>
        </w:rPr>
      </w:pPr>
      <w:bookmarkStart w:id="6" w:name="dieu_30"/>
      <w:r>
        <w:rPr>
          <w:rFonts w:ascii="Arial" w:hAnsi="Arial" w:cs="Arial"/>
          <w:b/>
          <w:bCs/>
          <w:color w:val="000000"/>
          <w:sz w:val="20"/>
          <w:szCs w:val="20"/>
          <w:shd w:val="clear" w:color="auto" w:fill="FFFFFF"/>
          <w:lang w:val="nl-NL"/>
        </w:rPr>
        <w:t>“</w:t>
      </w:r>
      <w:r w:rsidRPr="008772EC">
        <w:rPr>
          <w:rFonts w:ascii="Times New Roman" w:hAnsi="Times New Roman"/>
          <w:b/>
          <w:i/>
          <w:snapToGrid w:val="0"/>
          <w:sz w:val="28"/>
          <w:szCs w:val="28"/>
          <w:lang w:val="nl-NL"/>
        </w:rPr>
        <w:t>Điều 30. Chi giải khát</w:t>
      </w:r>
      <w:bookmarkEnd w:id="6"/>
    </w:p>
    <w:p w14:paraId="72C5E387" w14:textId="77777777" w:rsidR="00957268" w:rsidRPr="008772EC" w:rsidRDefault="00957268" w:rsidP="00957268">
      <w:pPr>
        <w:spacing w:before="60" w:after="0" w:line="240" w:lineRule="auto"/>
        <w:ind w:firstLine="720"/>
        <w:jc w:val="both"/>
        <w:rPr>
          <w:rFonts w:ascii="Times New Roman" w:hAnsi="Times New Roman"/>
          <w:i/>
          <w:snapToGrid w:val="0"/>
          <w:sz w:val="28"/>
          <w:szCs w:val="28"/>
          <w:lang w:val="nl-NL"/>
        </w:rPr>
      </w:pPr>
      <w:r w:rsidRPr="008772EC">
        <w:rPr>
          <w:rFonts w:ascii="Times New Roman" w:hAnsi="Times New Roman"/>
          <w:i/>
          <w:snapToGrid w:val="0"/>
          <w:sz w:val="28"/>
          <w:szCs w:val="28"/>
          <w:lang w:val="nl-NL"/>
        </w:rPr>
        <w:t>Chi giải khát, mức chi: 50.000 đồng/buổi (nửa ngày</w:t>
      </w:r>
      <w:r>
        <w:rPr>
          <w:rFonts w:ascii="Times New Roman" w:hAnsi="Times New Roman"/>
          <w:i/>
          <w:snapToGrid w:val="0"/>
          <w:sz w:val="28"/>
          <w:szCs w:val="28"/>
          <w:lang w:val="nl-NL"/>
        </w:rPr>
        <w:t>)</w:t>
      </w:r>
      <w:r w:rsidRPr="008772EC">
        <w:rPr>
          <w:rFonts w:ascii="Times New Roman" w:hAnsi="Times New Roman"/>
          <w:i/>
          <w:snapToGrid w:val="0"/>
          <w:sz w:val="28"/>
          <w:szCs w:val="28"/>
          <w:lang w:val="nl-NL"/>
        </w:rPr>
        <w:t>/người.</w:t>
      </w:r>
      <w:r>
        <w:rPr>
          <w:rFonts w:ascii="Times New Roman" w:hAnsi="Times New Roman"/>
          <w:i/>
          <w:snapToGrid w:val="0"/>
          <w:sz w:val="28"/>
          <w:szCs w:val="28"/>
          <w:lang w:val="nl-NL"/>
        </w:rPr>
        <w:t>”</w:t>
      </w:r>
    </w:p>
    <w:p w14:paraId="2CB6B817" w14:textId="77777777" w:rsidR="008772EC" w:rsidRDefault="00240C24" w:rsidP="00240C24">
      <w:pPr>
        <w:spacing w:before="60" w:after="0" w:line="240" w:lineRule="auto"/>
        <w:ind w:firstLine="720"/>
        <w:jc w:val="both"/>
        <w:rPr>
          <w:rFonts w:ascii="Times New Roman" w:hAnsi="Times New Roman"/>
          <w:snapToGrid w:val="0"/>
          <w:sz w:val="28"/>
          <w:szCs w:val="28"/>
          <w:lang w:val="nl-NL"/>
        </w:rPr>
      </w:pPr>
      <w:r>
        <w:rPr>
          <w:rFonts w:ascii="Times New Roman" w:hAnsi="Times New Roman"/>
          <w:snapToGrid w:val="0"/>
          <w:sz w:val="28"/>
          <w:szCs w:val="28"/>
          <w:lang w:val="nl-NL"/>
        </w:rPr>
        <w:t>14</w:t>
      </w:r>
      <w:r w:rsidR="00D94C50">
        <w:rPr>
          <w:rFonts w:ascii="Times New Roman" w:hAnsi="Times New Roman"/>
          <w:snapToGrid w:val="0"/>
          <w:sz w:val="28"/>
          <w:szCs w:val="28"/>
          <w:lang w:val="nl-NL"/>
        </w:rPr>
        <w:t xml:space="preserve">. </w:t>
      </w:r>
      <w:r w:rsidR="008772EC">
        <w:rPr>
          <w:rFonts w:ascii="Times New Roman" w:hAnsi="Times New Roman"/>
          <w:snapToGrid w:val="0"/>
          <w:sz w:val="28"/>
          <w:szCs w:val="28"/>
          <w:lang w:val="nl-NL"/>
        </w:rPr>
        <w:t xml:space="preserve">Sửa đổi Khoản 1 Điều 31 </w:t>
      </w:r>
      <w:r w:rsidR="008772EC" w:rsidRPr="00AD6F8C">
        <w:rPr>
          <w:rFonts w:ascii="Times New Roman" w:hAnsi="Times New Roman"/>
          <w:snapToGrid w:val="0"/>
          <w:sz w:val="28"/>
          <w:szCs w:val="28"/>
          <w:lang w:val="nl-NL"/>
        </w:rPr>
        <w:t>Thông tư số 71/2018/TT-BTC như sau:</w:t>
      </w:r>
    </w:p>
    <w:p w14:paraId="78C1228B" w14:textId="77777777" w:rsidR="008772EC" w:rsidRDefault="008772EC" w:rsidP="00240C24">
      <w:pPr>
        <w:spacing w:before="60" w:after="0" w:line="240" w:lineRule="auto"/>
        <w:ind w:firstLine="720"/>
        <w:jc w:val="both"/>
        <w:rPr>
          <w:rFonts w:ascii="Times New Roman" w:hAnsi="Times New Roman"/>
          <w:i/>
          <w:snapToGrid w:val="0"/>
          <w:sz w:val="28"/>
          <w:szCs w:val="28"/>
          <w:lang w:val="nl-NL"/>
        </w:rPr>
      </w:pPr>
      <w:r w:rsidRPr="008772EC">
        <w:rPr>
          <w:rFonts w:ascii="Times New Roman" w:hAnsi="Times New Roman"/>
          <w:i/>
          <w:snapToGrid w:val="0"/>
          <w:sz w:val="28"/>
          <w:szCs w:val="28"/>
          <w:lang w:val="nl-NL"/>
        </w:rPr>
        <w:t>“1. Mức chi mời cơm: 450.000 đồng/suất (đã bao gồm đồ uống)”</w:t>
      </w:r>
    </w:p>
    <w:bookmarkEnd w:id="4"/>
    <w:p w14:paraId="245726AF" w14:textId="77777777" w:rsidR="008772EC" w:rsidRDefault="00240C24" w:rsidP="00240C24">
      <w:pPr>
        <w:spacing w:before="60" w:after="0" w:line="240" w:lineRule="auto"/>
        <w:ind w:firstLine="720"/>
        <w:jc w:val="both"/>
        <w:rPr>
          <w:rFonts w:ascii="Times New Roman" w:hAnsi="Times New Roman"/>
          <w:b/>
          <w:snapToGrid w:val="0"/>
          <w:sz w:val="28"/>
          <w:szCs w:val="28"/>
        </w:rPr>
      </w:pPr>
      <w:r>
        <w:rPr>
          <w:rFonts w:ascii="Times New Roman" w:hAnsi="Times New Roman"/>
          <w:snapToGrid w:val="0"/>
          <w:sz w:val="28"/>
          <w:szCs w:val="28"/>
        </w:rPr>
        <w:t>15</w:t>
      </w:r>
      <w:r w:rsidR="008772EC" w:rsidRPr="00D94C50">
        <w:rPr>
          <w:rFonts w:ascii="Times New Roman" w:hAnsi="Times New Roman"/>
          <w:snapToGrid w:val="0"/>
          <w:sz w:val="28"/>
          <w:szCs w:val="28"/>
        </w:rPr>
        <w:t>.</w:t>
      </w:r>
      <w:r w:rsidR="008772EC">
        <w:rPr>
          <w:rFonts w:ascii="Times New Roman" w:hAnsi="Times New Roman"/>
          <w:b/>
          <w:snapToGrid w:val="0"/>
          <w:sz w:val="28"/>
          <w:szCs w:val="28"/>
        </w:rPr>
        <w:t xml:space="preserve"> </w:t>
      </w:r>
      <w:r w:rsidR="008772EC" w:rsidRPr="008772EC">
        <w:rPr>
          <w:rFonts w:ascii="Times New Roman" w:hAnsi="Times New Roman"/>
          <w:snapToGrid w:val="0"/>
          <w:sz w:val="28"/>
          <w:szCs w:val="28"/>
        </w:rPr>
        <w:t>Sửa đổi phụ lục ban hành kèm theo Thông tư số 71/2018/TT-BTC về cấp hạng khách quốc tế theo phụ lục ban hành kèm theo Thông tư này.</w:t>
      </w:r>
    </w:p>
    <w:p w14:paraId="3E73C88A" w14:textId="77777777" w:rsidR="00252CE4" w:rsidRPr="005A7036" w:rsidRDefault="009B122E" w:rsidP="00240C24">
      <w:pPr>
        <w:spacing w:before="60" w:after="0" w:line="240" w:lineRule="auto"/>
        <w:ind w:firstLine="720"/>
        <w:jc w:val="both"/>
        <w:rPr>
          <w:rFonts w:ascii="Times New Roman" w:eastAsia="Times New Roman" w:hAnsi="Times New Roman"/>
          <w:color w:val="000000"/>
          <w:sz w:val="28"/>
          <w:szCs w:val="28"/>
        </w:rPr>
      </w:pPr>
      <w:r w:rsidRPr="005A7036">
        <w:rPr>
          <w:rFonts w:ascii="Times New Roman" w:hAnsi="Times New Roman"/>
          <w:b/>
          <w:snapToGrid w:val="0"/>
          <w:sz w:val="28"/>
          <w:szCs w:val="28"/>
        </w:rPr>
        <w:t xml:space="preserve">Điều 2. </w:t>
      </w:r>
      <w:bookmarkStart w:id="7" w:name="dieu_8"/>
      <w:bookmarkEnd w:id="3"/>
      <w:r w:rsidR="00260D8A" w:rsidRPr="005A7036">
        <w:rPr>
          <w:rFonts w:ascii="Times New Roman" w:eastAsia="Times New Roman" w:hAnsi="Times New Roman"/>
          <w:b/>
          <w:bCs/>
          <w:color w:val="000000"/>
          <w:sz w:val="28"/>
          <w:szCs w:val="28"/>
        </w:rPr>
        <w:t>Điều khoản</w:t>
      </w:r>
      <w:r w:rsidR="00252CE4" w:rsidRPr="005A7036">
        <w:rPr>
          <w:rFonts w:ascii="Times New Roman" w:eastAsia="Times New Roman" w:hAnsi="Times New Roman"/>
          <w:b/>
          <w:bCs/>
          <w:color w:val="000000"/>
          <w:sz w:val="28"/>
          <w:szCs w:val="28"/>
        </w:rPr>
        <w:t xml:space="preserve"> thi hành</w:t>
      </w:r>
      <w:bookmarkEnd w:id="7"/>
    </w:p>
    <w:p w14:paraId="7AE11C1D" w14:textId="77777777" w:rsidR="00252CE4" w:rsidRDefault="00A410BC" w:rsidP="00240C24">
      <w:pPr>
        <w:spacing w:before="60" w:after="0" w:line="240" w:lineRule="auto"/>
        <w:ind w:firstLine="720"/>
        <w:jc w:val="both"/>
        <w:rPr>
          <w:rFonts w:ascii="Times New Roman" w:eastAsia="Times New Roman" w:hAnsi="Times New Roman"/>
          <w:color w:val="000000"/>
          <w:sz w:val="28"/>
          <w:szCs w:val="28"/>
        </w:rPr>
      </w:pPr>
      <w:r w:rsidRPr="005A7036">
        <w:rPr>
          <w:rFonts w:ascii="Times New Roman" w:eastAsia="Times New Roman" w:hAnsi="Times New Roman"/>
          <w:color w:val="000000"/>
          <w:sz w:val="28"/>
          <w:szCs w:val="28"/>
        </w:rPr>
        <w:t xml:space="preserve">1. </w:t>
      </w:r>
      <w:r w:rsidR="00252CE4" w:rsidRPr="005A7036">
        <w:rPr>
          <w:rFonts w:ascii="Times New Roman" w:eastAsia="Times New Roman" w:hAnsi="Times New Roman"/>
          <w:color w:val="000000"/>
          <w:sz w:val="28"/>
          <w:szCs w:val="28"/>
          <w:lang w:val="vi-VN"/>
        </w:rPr>
        <w:t xml:space="preserve">Thông tư này có hiệu lực thi hành từ ngày </w:t>
      </w:r>
      <w:r w:rsidR="007B4BEB" w:rsidRPr="005A7036">
        <w:rPr>
          <w:rFonts w:ascii="Times New Roman" w:eastAsia="Times New Roman" w:hAnsi="Times New Roman"/>
          <w:color w:val="000000"/>
          <w:sz w:val="28"/>
          <w:szCs w:val="28"/>
        </w:rPr>
        <w:t xml:space="preserve">     </w:t>
      </w:r>
      <w:r w:rsidR="00723821" w:rsidRPr="005A7036">
        <w:rPr>
          <w:rFonts w:ascii="Times New Roman" w:eastAsia="Times New Roman" w:hAnsi="Times New Roman"/>
          <w:color w:val="000000"/>
          <w:sz w:val="28"/>
          <w:szCs w:val="28"/>
        </w:rPr>
        <w:t xml:space="preserve"> </w:t>
      </w:r>
      <w:r w:rsidR="00252CE4" w:rsidRPr="005A7036">
        <w:rPr>
          <w:rFonts w:ascii="Times New Roman" w:eastAsia="Times New Roman" w:hAnsi="Times New Roman"/>
          <w:color w:val="000000"/>
          <w:sz w:val="28"/>
          <w:szCs w:val="28"/>
          <w:lang w:val="vi-VN"/>
        </w:rPr>
        <w:t xml:space="preserve">tháng </w:t>
      </w:r>
      <w:r w:rsidR="008772EC">
        <w:rPr>
          <w:rFonts w:ascii="Times New Roman" w:eastAsia="Times New Roman" w:hAnsi="Times New Roman"/>
          <w:color w:val="000000"/>
          <w:sz w:val="28"/>
          <w:szCs w:val="28"/>
        </w:rPr>
        <w:t xml:space="preserve">    </w:t>
      </w:r>
      <w:r w:rsidR="00252CE4" w:rsidRPr="005A7036">
        <w:rPr>
          <w:rFonts w:ascii="Times New Roman" w:eastAsia="Times New Roman" w:hAnsi="Times New Roman"/>
          <w:color w:val="000000"/>
          <w:sz w:val="28"/>
          <w:szCs w:val="28"/>
          <w:lang w:val="vi-VN"/>
        </w:rPr>
        <w:t xml:space="preserve"> năm </w:t>
      </w:r>
      <w:r w:rsidR="00723821" w:rsidRPr="005A7036">
        <w:rPr>
          <w:rFonts w:ascii="Times New Roman" w:eastAsia="Times New Roman" w:hAnsi="Times New Roman"/>
          <w:color w:val="000000"/>
          <w:sz w:val="28"/>
          <w:szCs w:val="28"/>
        </w:rPr>
        <w:t>202</w:t>
      </w:r>
      <w:r w:rsidR="00FF41BD" w:rsidRPr="005A7036">
        <w:rPr>
          <w:rFonts w:ascii="Times New Roman" w:eastAsia="Times New Roman" w:hAnsi="Times New Roman"/>
          <w:color w:val="000000"/>
          <w:sz w:val="28"/>
          <w:szCs w:val="28"/>
        </w:rPr>
        <w:t>5</w:t>
      </w:r>
      <w:r w:rsidR="00723821" w:rsidRPr="005A7036">
        <w:rPr>
          <w:rFonts w:ascii="Times New Roman" w:eastAsia="Times New Roman" w:hAnsi="Times New Roman"/>
          <w:color w:val="000000"/>
          <w:sz w:val="28"/>
          <w:szCs w:val="28"/>
        </w:rPr>
        <w:t>.</w:t>
      </w:r>
    </w:p>
    <w:p w14:paraId="29007767" w14:textId="77777777" w:rsidR="007B4BEB" w:rsidRDefault="00EB4623" w:rsidP="00240C24">
      <w:pPr>
        <w:spacing w:before="60" w:after="0" w:line="240" w:lineRule="auto"/>
        <w:ind w:firstLine="720"/>
        <w:jc w:val="both"/>
        <w:rPr>
          <w:rFonts w:ascii="Times New Roman" w:hAnsi="Times New Roman"/>
          <w:sz w:val="28"/>
          <w:szCs w:val="28"/>
          <w:lang w:val="nl-NL"/>
        </w:rPr>
      </w:pPr>
      <w:r>
        <w:rPr>
          <w:rFonts w:ascii="Times New Roman" w:hAnsi="Times New Roman"/>
          <w:color w:val="000000"/>
          <w:sz w:val="28"/>
          <w:szCs w:val="28"/>
          <w:shd w:val="clear" w:color="auto" w:fill="FFFFFF"/>
        </w:rPr>
        <w:t xml:space="preserve">2. </w:t>
      </w:r>
      <w:r w:rsidR="007B4BEB" w:rsidRPr="005A7036">
        <w:rPr>
          <w:rFonts w:ascii="Times New Roman" w:hAnsi="Times New Roman"/>
          <w:sz w:val="28"/>
          <w:szCs w:val="28"/>
          <w:lang w:val="nl-NL"/>
        </w:rPr>
        <w:t xml:space="preserve">Khi các văn bản quy định về chế độ, định mức chi dẫn chiếu để áp dụng tại Thông tư này được sửa đổi, bổ sung hoặc thay thế bằng văn bản mới thì áp dụng theo các văn bản sửa đổi, bổ sung hoặc thay thế. </w:t>
      </w:r>
    </w:p>
    <w:p w14:paraId="11F16F6E" w14:textId="77777777" w:rsidR="00B37748" w:rsidRPr="00B37748" w:rsidRDefault="00B37748" w:rsidP="00240C24">
      <w:pPr>
        <w:spacing w:before="60" w:after="0" w:line="240" w:lineRule="auto"/>
        <w:ind w:firstLine="720"/>
        <w:jc w:val="both"/>
        <w:rPr>
          <w:rFonts w:ascii="Times New Roman" w:hAnsi="Times New Roman"/>
          <w:color w:val="0000FF"/>
          <w:sz w:val="28"/>
          <w:szCs w:val="28"/>
          <w:lang w:val="nl-NL"/>
        </w:rPr>
      </w:pPr>
      <w:r w:rsidRPr="00B37748">
        <w:rPr>
          <w:rFonts w:ascii="Times New Roman" w:hAnsi="Times New Roman"/>
          <w:color w:val="0000FF"/>
          <w:sz w:val="28"/>
          <w:szCs w:val="28"/>
          <w:lang w:val="nl-NL"/>
        </w:rPr>
        <w:t>3. Các mức chi quy định tại Thông tư này đối với chế độ thanh toán tiền thuê phòng nghỉ</w:t>
      </w:r>
      <w:r>
        <w:rPr>
          <w:rFonts w:ascii="Times New Roman" w:hAnsi="Times New Roman"/>
          <w:color w:val="0000FF"/>
          <w:sz w:val="28"/>
          <w:szCs w:val="28"/>
          <w:lang w:val="nl-NL"/>
        </w:rPr>
        <w:t>;</w:t>
      </w:r>
      <w:r w:rsidRPr="00B37748">
        <w:rPr>
          <w:rFonts w:ascii="Times New Roman" w:hAnsi="Times New Roman"/>
          <w:color w:val="0000FF"/>
          <w:sz w:val="28"/>
          <w:szCs w:val="28"/>
          <w:lang w:val="nl-NL"/>
        </w:rPr>
        <w:t xml:space="preserve"> thanh toán tiền ăn, giải khát</w:t>
      </w:r>
      <w:r>
        <w:rPr>
          <w:rFonts w:ascii="Times New Roman" w:hAnsi="Times New Roman"/>
          <w:color w:val="0000FF"/>
          <w:sz w:val="28"/>
          <w:szCs w:val="28"/>
          <w:lang w:val="nl-NL"/>
        </w:rPr>
        <w:t>; chi tặng hoa, tặng phẩm</w:t>
      </w:r>
      <w:r w:rsidRPr="00B37748">
        <w:rPr>
          <w:rFonts w:ascii="Times New Roman" w:hAnsi="Times New Roman"/>
          <w:color w:val="0000FF"/>
          <w:sz w:val="28"/>
          <w:szCs w:val="28"/>
          <w:lang w:val="nl-NL"/>
        </w:rPr>
        <w:t xml:space="preserve"> là </w:t>
      </w:r>
      <w:r w:rsidRPr="00B37748">
        <w:rPr>
          <w:rFonts w:ascii="Times New Roman" w:hAnsi="Times New Roman"/>
          <w:color w:val="0000FF"/>
          <w:sz w:val="28"/>
          <w:szCs w:val="28"/>
          <w:shd w:val="clear" w:color="auto" w:fill="FFFFFF"/>
        </w:rPr>
        <w:t>mức chi đã bao gồm các khoản thuế, phí (nếu có) theo quy định của pháp luật.</w:t>
      </w:r>
    </w:p>
    <w:p w14:paraId="764C8D99" w14:textId="77777777" w:rsidR="00486B1E" w:rsidRPr="00486B1E" w:rsidRDefault="00B37748" w:rsidP="00240C24">
      <w:pPr>
        <w:spacing w:before="60"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w:t>
      </w:r>
      <w:r w:rsidR="00486B1E" w:rsidRPr="00486B1E">
        <w:rPr>
          <w:rFonts w:ascii="Times New Roman" w:hAnsi="Times New Roman"/>
          <w:color w:val="000000"/>
          <w:sz w:val="28"/>
          <w:szCs w:val="28"/>
          <w:shd w:val="clear" w:color="auto" w:fill="FFFFFF"/>
        </w:rPr>
        <w:t>. Đối với dự toán ngân sách nhà nước năm 2025, các Bộ, cơ quan ở trung ương và các địa phương chủ động sắp xếp trong dự toán ngân sách đã được cấp có thẩm quyền giao để thực hiện.</w:t>
      </w:r>
    </w:p>
    <w:p w14:paraId="71E12116" w14:textId="77777777" w:rsidR="00D17B6B" w:rsidRPr="005A7036" w:rsidRDefault="00B37748" w:rsidP="00240C24">
      <w:pPr>
        <w:widowControl w:val="0"/>
        <w:pBdr>
          <w:top w:val="dotted" w:sz="4" w:space="0" w:color="FFFFFF"/>
          <w:left w:val="dotted" w:sz="4" w:space="0" w:color="FFFFFF"/>
          <w:bottom w:val="dotted" w:sz="4" w:space="31" w:color="FFFFFF"/>
          <w:right w:val="dotted" w:sz="4" w:space="0" w:color="FFFFFF"/>
        </w:pBdr>
        <w:spacing w:before="60" w:after="0" w:line="240" w:lineRule="auto"/>
        <w:ind w:firstLine="709"/>
        <w:jc w:val="both"/>
        <w:rPr>
          <w:rFonts w:ascii="Times New Roman" w:eastAsia="Times New Roman" w:hAnsi="Times New Roman"/>
          <w:color w:val="000000"/>
          <w:sz w:val="28"/>
          <w:szCs w:val="28"/>
        </w:rPr>
      </w:pPr>
      <w:r>
        <w:rPr>
          <w:rFonts w:ascii="Times New Roman" w:hAnsi="Times New Roman"/>
          <w:sz w:val="28"/>
          <w:szCs w:val="28"/>
          <w:lang w:val="nl-NL"/>
        </w:rPr>
        <w:t>5</w:t>
      </w:r>
      <w:r w:rsidR="007B4BEB" w:rsidRPr="005A7036">
        <w:rPr>
          <w:rFonts w:ascii="Times New Roman" w:hAnsi="Times New Roman"/>
          <w:sz w:val="28"/>
          <w:szCs w:val="28"/>
          <w:lang w:val="nl-NL"/>
        </w:rPr>
        <w:t>. Trong quá trình thực hiện nếu có vướng mắc, đề nghị phản ánh kịp thời về Bộ Tài chính để nghiên cứu giải quyết./.</w:t>
      </w:r>
      <w:r w:rsidR="00766E3B" w:rsidRPr="005A7036">
        <w:rPr>
          <w:rFonts w:ascii="Times New Roman" w:hAnsi="Times New Roman"/>
          <w:sz w:val="28"/>
          <w:szCs w:val="28"/>
          <w:lang w:val="nl-NL"/>
        </w:rPr>
        <w:t xml:space="preserve"> </w:t>
      </w:r>
    </w:p>
    <w:tbl>
      <w:tblPr>
        <w:tblW w:w="0" w:type="auto"/>
        <w:tblCellSpacing w:w="0" w:type="dxa"/>
        <w:tblCellMar>
          <w:left w:w="0" w:type="dxa"/>
          <w:right w:w="0" w:type="dxa"/>
        </w:tblCellMar>
        <w:tblLook w:val="04A0" w:firstRow="1" w:lastRow="0" w:firstColumn="1" w:lastColumn="0" w:noHBand="0" w:noVBand="1"/>
      </w:tblPr>
      <w:tblGrid>
        <w:gridCol w:w="9430"/>
      </w:tblGrid>
      <w:tr w:rsidR="00252CE4" w:rsidRPr="00417BCD" w14:paraId="24DF0E05" w14:textId="77777777" w:rsidTr="00406174">
        <w:trPr>
          <w:tblCellSpacing w:w="0" w:type="dxa"/>
        </w:trPr>
        <w:tc>
          <w:tcPr>
            <w:tcW w:w="9072" w:type="dxa"/>
            <w:tcMar>
              <w:top w:w="0" w:type="dxa"/>
              <w:left w:w="108" w:type="dxa"/>
              <w:bottom w:w="0" w:type="dxa"/>
              <w:right w:w="108" w:type="dxa"/>
            </w:tcMar>
            <w:hideMark/>
          </w:tcPr>
          <w:tbl>
            <w:tblPr>
              <w:tblW w:w="9214" w:type="dxa"/>
              <w:tblLook w:val="04A0" w:firstRow="1" w:lastRow="0" w:firstColumn="1" w:lastColumn="0" w:noHBand="0" w:noVBand="1"/>
            </w:tblPr>
            <w:tblGrid>
              <w:gridCol w:w="5670"/>
              <w:gridCol w:w="3544"/>
            </w:tblGrid>
            <w:tr w:rsidR="00252CE4" w:rsidRPr="00417BCD" w14:paraId="650E7F00" w14:textId="77777777" w:rsidTr="000968E3">
              <w:tc>
                <w:tcPr>
                  <w:tcW w:w="5670" w:type="dxa"/>
                </w:tcPr>
                <w:p w14:paraId="64BF4898" w14:textId="77777777" w:rsidR="00252CE4" w:rsidRPr="005A7036" w:rsidRDefault="00252CE4" w:rsidP="00240C24">
                  <w:pPr>
                    <w:spacing w:after="0" w:line="240" w:lineRule="auto"/>
                    <w:rPr>
                      <w:rFonts w:ascii="Times New Roman" w:eastAsia="Times New Roman" w:hAnsi="Times New Roman"/>
                      <w:b/>
                      <w:bCs/>
                      <w:i/>
                      <w:iCs/>
                      <w:color w:val="000000"/>
                      <w:sz w:val="24"/>
                      <w:szCs w:val="24"/>
                      <w:lang w:val="vi-VN"/>
                    </w:rPr>
                  </w:pPr>
                  <w:r w:rsidRPr="005A7036">
                    <w:rPr>
                      <w:rFonts w:ascii="Times New Roman" w:eastAsia="Times New Roman" w:hAnsi="Times New Roman"/>
                      <w:b/>
                      <w:bCs/>
                      <w:i/>
                      <w:iCs/>
                      <w:color w:val="000000"/>
                      <w:sz w:val="24"/>
                      <w:szCs w:val="24"/>
                    </w:rPr>
                    <w:t> </w:t>
                  </w:r>
                  <w:r w:rsidRPr="005A7036">
                    <w:rPr>
                      <w:rFonts w:ascii="Times New Roman" w:eastAsia="Times New Roman" w:hAnsi="Times New Roman"/>
                      <w:b/>
                      <w:bCs/>
                      <w:i/>
                      <w:iCs/>
                      <w:color w:val="000000"/>
                      <w:sz w:val="24"/>
                      <w:szCs w:val="24"/>
                      <w:lang w:val="vi-VN"/>
                    </w:rPr>
                    <w:t>Nơi nhận:</w:t>
                  </w:r>
                </w:p>
                <w:p w14:paraId="1950D5F3" w14:textId="77777777" w:rsidR="00252CE4" w:rsidRPr="00AA2AD7" w:rsidRDefault="00252CE4" w:rsidP="00240C24">
                  <w:pPr>
                    <w:spacing w:after="0" w:line="240" w:lineRule="auto"/>
                    <w:rPr>
                      <w:rFonts w:ascii="Times New Roman" w:eastAsia="Times New Roman" w:hAnsi="Times New Roman"/>
                      <w:b/>
                      <w:bCs/>
                      <w:i/>
                      <w:iCs/>
                      <w:color w:val="000000"/>
                    </w:rPr>
                  </w:pPr>
                  <w:r w:rsidRPr="005A7036">
                    <w:rPr>
                      <w:rFonts w:ascii="Times New Roman" w:eastAsia="Times New Roman" w:hAnsi="Times New Roman"/>
                      <w:color w:val="000000"/>
                      <w:lang w:val="vi-VN"/>
                    </w:rPr>
                    <w:t>- Ban B</w:t>
                  </w:r>
                  <w:r w:rsidRPr="005A7036">
                    <w:rPr>
                      <w:rFonts w:ascii="Times New Roman" w:eastAsia="Times New Roman" w:hAnsi="Times New Roman"/>
                      <w:color w:val="000000"/>
                    </w:rPr>
                    <w:t xml:space="preserve">í </w:t>
                  </w:r>
                  <w:r w:rsidRPr="005A7036">
                    <w:rPr>
                      <w:rFonts w:ascii="Times New Roman" w:eastAsia="Times New Roman" w:hAnsi="Times New Roman"/>
                      <w:color w:val="000000"/>
                      <w:lang w:val="vi-VN"/>
                    </w:rPr>
                    <w:t>thư Trung ương Đảng;</w:t>
                  </w:r>
                  <w:r w:rsidRPr="005A7036">
                    <w:rPr>
                      <w:rFonts w:ascii="Times New Roman" w:eastAsia="Times New Roman" w:hAnsi="Times New Roman"/>
                      <w:color w:val="000000"/>
                      <w:lang w:val="vi-VN"/>
                    </w:rPr>
                    <w:br/>
                    <w:t>- Văn phòng Tổng Bí thư;</w:t>
                  </w:r>
                  <w:r w:rsidRPr="005A7036">
                    <w:rPr>
                      <w:rFonts w:ascii="Times New Roman" w:eastAsia="Times New Roman" w:hAnsi="Times New Roman"/>
                      <w:color w:val="000000"/>
                      <w:lang w:val="vi-VN"/>
                    </w:rPr>
                    <w:br/>
                    <w:t>- Thủ tư</w:t>
                  </w:r>
                  <w:r w:rsidRPr="005A7036">
                    <w:rPr>
                      <w:rFonts w:ascii="Times New Roman" w:eastAsia="Times New Roman" w:hAnsi="Times New Roman"/>
                      <w:color w:val="000000"/>
                    </w:rPr>
                    <w:t>ớn</w:t>
                  </w:r>
                  <w:r w:rsidRPr="005A7036">
                    <w:rPr>
                      <w:rFonts w:ascii="Times New Roman" w:eastAsia="Times New Roman" w:hAnsi="Times New Roman"/>
                      <w:color w:val="000000"/>
                      <w:lang w:val="vi-VN"/>
                    </w:rPr>
                    <w:t>g, các Phó Thủ tướng Chính ph</w:t>
                  </w:r>
                  <w:r w:rsidRPr="005A7036">
                    <w:rPr>
                      <w:rFonts w:ascii="Times New Roman" w:eastAsia="Times New Roman" w:hAnsi="Times New Roman"/>
                      <w:color w:val="000000"/>
                    </w:rPr>
                    <w:t>ủ</w:t>
                  </w:r>
                  <w:r w:rsidRPr="005A7036">
                    <w:rPr>
                      <w:rFonts w:ascii="Times New Roman" w:eastAsia="Times New Roman" w:hAnsi="Times New Roman"/>
                      <w:color w:val="000000"/>
                      <w:lang w:val="vi-VN"/>
                    </w:rPr>
                    <w:t>;</w:t>
                  </w:r>
                  <w:r w:rsidRPr="005A7036">
                    <w:rPr>
                      <w:rFonts w:ascii="Times New Roman" w:eastAsia="Times New Roman" w:hAnsi="Times New Roman"/>
                      <w:color w:val="000000"/>
                      <w:lang w:val="vi-VN"/>
                    </w:rPr>
                    <w:br/>
                    <w:t>- Văn phòng Trung ương và các Ban của Đảng;</w:t>
                  </w:r>
                  <w:r w:rsidRPr="005A7036">
                    <w:rPr>
                      <w:rFonts w:ascii="Times New Roman" w:eastAsia="Times New Roman" w:hAnsi="Times New Roman"/>
                      <w:color w:val="000000"/>
                      <w:lang w:val="vi-VN"/>
                    </w:rPr>
                    <w:br/>
                    <w:t>- Hội đồng Dân tộc và các Ủy ban của Quốc hội;</w:t>
                  </w:r>
                  <w:r w:rsidRPr="005A7036">
                    <w:rPr>
                      <w:rFonts w:ascii="Times New Roman" w:eastAsia="Times New Roman" w:hAnsi="Times New Roman"/>
                      <w:color w:val="000000"/>
                      <w:lang w:val="vi-VN"/>
                    </w:rPr>
                    <w:br/>
                    <w:t>- Văn phòng Quốc hội;</w:t>
                  </w:r>
                  <w:r w:rsidRPr="005A7036">
                    <w:rPr>
                      <w:rFonts w:ascii="Times New Roman" w:eastAsia="Times New Roman" w:hAnsi="Times New Roman"/>
                      <w:color w:val="000000"/>
                      <w:lang w:val="vi-VN"/>
                    </w:rPr>
                    <w:br/>
                    <w:t>- Văn phòng Chủ tịch nước;</w:t>
                  </w:r>
                  <w:r w:rsidRPr="005A7036">
                    <w:rPr>
                      <w:rFonts w:ascii="Times New Roman" w:eastAsia="Times New Roman" w:hAnsi="Times New Roman"/>
                      <w:color w:val="000000"/>
                      <w:lang w:val="vi-VN"/>
                    </w:rPr>
                    <w:br/>
                    <w:t>- Viện Kiểm sát nhân dân tối cao;</w:t>
                  </w:r>
                  <w:r w:rsidRPr="005A7036">
                    <w:rPr>
                      <w:rFonts w:ascii="Times New Roman" w:eastAsia="Times New Roman" w:hAnsi="Times New Roman"/>
                      <w:color w:val="000000"/>
                      <w:lang w:val="vi-VN"/>
                    </w:rPr>
                    <w:br/>
                    <w:t>- Tòa án nhân dân tối cao;</w:t>
                  </w:r>
                  <w:r w:rsidRPr="005A7036">
                    <w:rPr>
                      <w:rFonts w:ascii="Times New Roman" w:eastAsia="Times New Roman" w:hAnsi="Times New Roman"/>
                      <w:color w:val="000000"/>
                      <w:lang w:val="vi-VN"/>
                    </w:rPr>
                    <w:br/>
                    <w:t>- Kiểm toán nhà nước;</w:t>
                  </w:r>
                  <w:r w:rsidRPr="005A7036">
                    <w:rPr>
                      <w:rFonts w:ascii="Times New Roman" w:eastAsia="Times New Roman" w:hAnsi="Times New Roman"/>
                      <w:color w:val="000000"/>
                      <w:lang w:val="vi-VN"/>
                    </w:rPr>
                    <w:br/>
                    <w:t>- Các Bộ, cơ quan ngang bộ, cơ quan thuộc Chính phủ;</w:t>
                  </w:r>
                  <w:r w:rsidRPr="005A7036">
                    <w:rPr>
                      <w:rFonts w:ascii="Times New Roman" w:eastAsia="Times New Roman" w:hAnsi="Times New Roman"/>
                      <w:color w:val="000000"/>
                      <w:lang w:val="vi-VN"/>
                    </w:rPr>
                    <w:br/>
                    <w:t>- Ủy ban Trung ương Mặt trận Tổ quốc Việt Nam;</w:t>
                  </w:r>
                  <w:r w:rsidRPr="005A7036">
                    <w:rPr>
                      <w:rFonts w:ascii="Times New Roman" w:eastAsia="Times New Roman" w:hAnsi="Times New Roman"/>
                      <w:color w:val="000000"/>
                      <w:lang w:val="vi-VN"/>
                    </w:rPr>
                    <w:br/>
                    <w:t>- HĐND, UBND các t</w:t>
                  </w:r>
                  <w:r w:rsidRPr="005A7036">
                    <w:rPr>
                      <w:rFonts w:ascii="Times New Roman" w:eastAsia="Times New Roman" w:hAnsi="Times New Roman"/>
                      <w:color w:val="000000"/>
                    </w:rPr>
                    <w:t>ỉ</w:t>
                  </w:r>
                  <w:r w:rsidRPr="005A7036">
                    <w:rPr>
                      <w:rFonts w:ascii="Times New Roman" w:eastAsia="Times New Roman" w:hAnsi="Times New Roman"/>
                      <w:color w:val="000000"/>
                      <w:lang w:val="vi-VN"/>
                    </w:rPr>
                    <w:t>nh, thành phố trực thuộc Trun</w:t>
                  </w:r>
                  <w:r w:rsidRPr="005A7036">
                    <w:rPr>
                      <w:rFonts w:ascii="Times New Roman" w:eastAsia="Times New Roman" w:hAnsi="Times New Roman"/>
                      <w:color w:val="000000"/>
                    </w:rPr>
                    <w:t xml:space="preserve">g </w:t>
                  </w:r>
                  <w:r w:rsidRPr="005A7036">
                    <w:rPr>
                      <w:rFonts w:ascii="Times New Roman" w:eastAsia="Times New Roman" w:hAnsi="Times New Roman"/>
                      <w:color w:val="000000"/>
                      <w:lang w:val="vi-VN"/>
                    </w:rPr>
                    <w:t>ương;</w:t>
                  </w:r>
                  <w:r w:rsidRPr="005A7036">
                    <w:rPr>
                      <w:rFonts w:ascii="Times New Roman" w:eastAsia="Times New Roman" w:hAnsi="Times New Roman"/>
                      <w:color w:val="000000"/>
                      <w:lang w:val="vi-VN"/>
                    </w:rPr>
                    <w:br/>
                    <w:t>- S</w:t>
                  </w:r>
                  <w:r w:rsidRPr="005A7036">
                    <w:rPr>
                      <w:rFonts w:ascii="Times New Roman" w:eastAsia="Times New Roman" w:hAnsi="Times New Roman"/>
                      <w:color w:val="000000"/>
                    </w:rPr>
                    <w:t xml:space="preserve">ở </w:t>
                  </w:r>
                  <w:r w:rsidRPr="005A7036">
                    <w:rPr>
                      <w:rFonts w:ascii="Times New Roman" w:eastAsia="Times New Roman" w:hAnsi="Times New Roman"/>
                      <w:color w:val="000000"/>
                      <w:lang w:val="vi-VN"/>
                    </w:rPr>
                    <w:t>TC, KBNN các tỉnh, thành phố trực thuộc Trung ương;</w:t>
                  </w:r>
                  <w:r w:rsidRPr="005A7036">
                    <w:rPr>
                      <w:rFonts w:ascii="Times New Roman" w:eastAsia="Times New Roman" w:hAnsi="Times New Roman"/>
                      <w:color w:val="000000"/>
                      <w:lang w:val="vi-VN"/>
                    </w:rPr>
                    <w:br/>
                    <w:t>- Cục Kiểm tra văn bản quy phạm pháp luật, Bộ Tư pháp;</w:t>
                  </w:r>
                  <w:r w:rsidRPr="005A7036">
                    <w:rPr>
                      <w:rFonts w:ascii="Times New Roman" w:eastAsia="Times New Roman" w:hAnsi="Times New Roman"/>
                      <w:color w:val="000000"/>
                      <w:lang w:val="vi-VN"/>
                    </w:rPr>
                    <w:br/>
                    <w:t>- Cổng TTĐT: Chính phủ, Bộ Tài chính;</w:t>
                  </w:r>
                  <w:r w:rsidRPr="005A7036">
                    <w:rPr>
                      <w:rFonts w:ascii="Times New Roman" w:eastAsia="Times New Roman" w:hAnsi="Times New Roman"/>
                      <w:color w:val="000000"/>
                      <w:lang w:val="vi-VN"/>
                    </w:rPr>
                    <w:br/>
                    <w:t>- Các đơn vị thuộc Bộ Tài chính;</w:t>
                  </w:r>
                  <w:r w:rsidRPr="005A7036">
                    <w:rPr>
                      <w:rFonts w:ascii="Times New Roman" w:eastAsia="Times New Roman" w:hAnsi="Times New Roman"/>
                      <w:color w:val="000000"/>
                      <w:lang w:val="vi-VN"/>
                    </w:rPr>
                    <w:br/>
                    <w:t xml:space="preserve">- Lưu: VT, </w:t>
                  </w:r>
                  <w:r w:rsidR="00AA2AD7">
                    <w:rPr>
                      <w:rFonts w:ascii="Times New Roman" w:eastAsia="Times New Roman" w:hAnsi="Times New Roman"/>
                      <w:color w:val="000000"/>
                    </w:rPr>
                    <w:t>KTN</w:t>
                  </w:r>
                  <w:r w:rsidRPr="005A7036">
                    <w:rPr>
                      <w:rFonts w:ascii="Times New Roman" w:eastAsia="Times New Roman" w:hAnsi="Times New Roman"/>
                      <w:color w:val="000000"/>
                      <w:lang w:val="vi-VN"/>
                    </w:rPr>
                    <w:t>.</w:t>
                  </w:r>
                  <w:r w:rsidR="00AA2AD7">
                    <w:rPr>
                      <w:rFonts w:ascii="Times New Roman" w:eastAsia="Times New Roman" w:hAnsi="Times New Roman"/>
                      <w:color w:val="000000"/>
                    </w:rPr>
                    <w:t xml:space="preserve"> (       b)</w:t>
                  </w:r>
                </w:p>
              </w:tc>
              <w:tc>
                <w:tcPr>
                  <w:tcW w:w="3544" w:type="dxa"/>
                </w:tcPr>
                <w:p w14:paraId="4D2C7FE0" w14:textId="77777777" w:rsidR="00252CE4" w:rsidRPr="005A7036" w:rsidRDefault="00A410BC" w:rsidP="00240C24">
                  <w:pPr>
                    <w:spacing w:after="0" w:line="240" w:lineRule="auto"/>
                    <w:jc w:val="center"/>
                    <w:rPr>
                      <w:rFonts w:ascii="Times New Roman" w:eastAsia="Times New Roman" w:hAnsi="Times New Roman"/>
                      <w:b/>
                      <w:bCs/>
                      <w:iCs/>
                      <w:color w:val="000000"/>
                      <w:sz w:val="26"/>
                      <w:szCs w:val="26"/>
                    </w:rPr>
                  </w:pPr>
                  <w:r w:rsidRPr="005A7036">
                    <w:rPr>
                      <w:rFonts w:ascii="Times New Roman" w:eastAsia="Times New Roman" w:hAnsi="Times New Roman"/>
                      <w:b/>
                      <w:bCs/>
                      <w:iCs/>
                      <w:color w:val="000000"/>
                      <w:sz w:val="26"/>
                      <w:szCs w:val="26"/>
                    </w:rPr>
                    <w:t xml:space="preserve">KT BỘ </w:t>
                  </w:r>
                  <w:r w:rsidR="00252CE4" w:rsidRPr="005A7036">
                    <w:rPr>
                      <w:rFonts w:ascii="Times New Roman" w:eastAsia="Times New Roman" w:hAnsi="Times New Roman"/>
                      <w:b/>
                      <w:bCs/>
                      <w:iCs/>
                      <w:color w:val="000000"/>
                      <w:sz w:val="26"/>
                      <w:szCs w:val="26"/>
                    </w:rPr>
                    <w:t>TRƯỞNG</w:t>
                  </w:r>
                </w:p>
                <w:p w14:paraId="3F32A1D8" w14:textId="77777777" w:rsidR="00A410BC" w:rsidRPr="005A7036" w:rsidRDefault="00A410BC" w:rsidP="00240C24">
                  <w:pPr>
                    <w:spacing w:after="0" w:line="240" w:lineRule="auto"/>
                    <w:jc w:val="center"/>
                    <w:rPr>
                      <w:rFonts w:ascii="Times New Roman" w:eastAsia="Times New Roman" w:hAnsi="Times New Roman"/>
                      <w:b/>
                      <w:bCs/>
                      <w:iCs/>
                      <w:color w:val="000000"/>
                      <w:sz w:val="26"/>
                      <w:szCs w:val="26"/>
                    </w:rPr>
                  </w:pPr>
                  <w:r w:rsidRPr="005A7036">
                    <w:rPr>
                      <w:rFonts w:ascii="Times New Roman" w:eastAsia="Times New Roman" w:hAnsi="Times New Roman"/>
                      <w:b/>
                      <w:bCs/>
                      <w:iCs/>
                      <w:color w:val="000000"/>
                      <w:sz w:val="26"/>
                      <w:szCs w:val="26"/>
                    </w:rPr>
                    <w:t>THỨ TRƯỞNG</w:t>
                  </w:r>
                </w:p>
                <w:p w14:paraId="1477C3C6" w14:textId="77777777" w:rsidR="0049781A" w:rsidRPr="005A7036" w:rsidRDefault="0049781A" w:rsidP="00240C24">
                  <w:pPr>
                    <w:spacing w:after="0" w:line="240" w:lineRule="auto"/>
                    <w:jc w:val="center"/>
                    <w:rPr>
                      <w:rFonts w:ascii="Times New Roman" w:eastAsia="Times New Roman" w:hAnsi="Times New Roman"/>
                      <w:b/>
                      <w:bCs/>
                      <w:iCs/>
                      <w:color w:val="000000"/>
                      <w:sz w:val="26"/>
                      <w:szCs w:val="26"/>
                    </w:rPr>
                  </w:pPr>
                </w:p>
                <w:p w14:paraId="519E3069" w14:textId="77777777" w:rsidR="0049781A" w:rsidRPr="005A7036" w:rsidRDefault="0049781A" w:rsidP="00240C24">
                  <w:pPr>
                    <w:spacing w:after="0" w:line="240" w:lineRule="auto"/>
                    <w:jc w:val="center"/>
                    <w:rPr>
                      <w:rFonts w:ascii="Times New Roman" w:eastAsia="Times New Roman" w:hAnsi="Times New Roman"/>
                      <w:b/>
                      <w:bCs/>
                      <w:iCs/>
                      <w:color w:val="000000"/>
                      <w:sz w:val="26"/>
                      <w:szCs w:val="26"/>
                    </w:rPr>
                  </w:pPr>
                </w:p>
                <w:p w14:paraId="3CB40FCD" w14:textId="77777777" w:rsidR="0049781A" w:rsidRPr="005A7036" w:rsidRDefault="0049781A" w:rsidP="00240C24">
                  <w:pPr>
                    <w:spacing w:after="0" w:line="240" w:lineRule="auto"/>
                    <w:jc w:val="center"/>
                    <w:rPr>
                      <w:rFonts w:ascii="Times New Roman" w:eastAsia="Times New Roman" w:hAnsi="Times New Roman"/>
                      <w:b/>
                      <w:bCs/>
                      <w:iCs/>
                      <w:color w:val="000000"/>
                      <w:sz w:val="26"/>
                      <w:szCs w:val="26"/>
                    </w:rPr>
                  </w:pPr>
                </w:p>
                <w:p w14:paraId="62CEF546" w14:textId="77777777" w:rsidR="0049781A" w:rsidRPr="005A7036" w:rsidRDefault="0049781A" w:rsidP="00240C24">
                  <w:pPr>
                    <w:spacing w:after="0" w:line="240" w:lineRule="auto"/>
                    <w:jc w:val="center"/>
                    <w:rPr>
                      <w:rFonts w:ascii="Times New Roman" w:eastAsia="Times New Roman" w:hAnsi="Times New Roman"/>
                      <w:b/>
                      <w:bCs/>
                      <w:iCs/>
                      <w:color w:val="000000"/>
                      <w:sz w:val="26"/>
                      <w:szCs w:val="26"/>
                    </w:rPr>
                  </w:pPr>
                </w:p>
                <w:p w14:paraId="38A47B69" w14:textId="77777777" w:rsidR="0049781A" w:rsidRPr="005A7036" w:rsidRDefault="0049781A" w:rsidP="00240C24">
                  <w:pPr>
                    <w:spacing w:after="0" w:line="240" w:lineRule="auto"/>
                    <w:jc w:val="center"/>
                    <w:rPr>
                      <w:rFonts w:ascii="Times New Roman" w:eastAsia="Times New Roman" w:hAnsi="Times New Roman"/>
                      <w:b/>
                      <w:bCs/>
                      <w:iCs/>
                      <w:color w:val="000000"/>
                      <w:sz w:val="26"/>
                      <w:szCs w:val="26"/>
                    </w:rPr>
                  </w:pPr>
                </w:p>
                <w:p w14:paraId="191F4416" w14:textId="77777777" w:rsidR="0049781A" w:rsidRPr="005A7036" w:rsidRDefault="0049781A" w:rsidP="00240C24">
                  <w:pPr>
                    <w:spacing w:after="0" w:line="240" w:lineRule="auto"/>
                    <w:jc w:val="center"/>
                    <w:rPr>
                      <w:rFonts w:ascii="Times New Roman" w:eastAsia="Times New Roman" w:hAnsi="Times New Roman"/>
                      <w:b/>
                      <w:bCs/>
                      <w:iCs/>
                      <w:color w:val="000000"/>
                      <w:sz w:val="26"/>
                      <w:szCs w:val="26"/>
                    </w:rPr>
                  </w:pPr>
                </w:p>
                <w:p w14:paraId="5F83CAC5" w14:textId="77777777" w:rsidR="0049781A" w:rsidRPr="00417BCD" w:rsidRDefault="00417FEA" w:rsidP="00240C24">
                  <w:pPr>
                    <w:spacing w:after="0" w:line="240" w:lineRule="auto"/>
                    <w:jc w:val="center"/>
                    <w:rPr>
                      <w:rFonts w:ascii="Times New Roman" w:eastAsia="Times New Roman" w:hAnsi="Times New Roman"/>
                      <w:b/>
                      <w:bCs/>
                      <w:iCs/>
                      <w:color w:val="000000"/>
                      <w:sz w:val="28"/>
                      <w:szCs w:val="28"/>
                    </w:rPr>
                  </w:pPr>
                  <w:r w:rsidRPr="005A7036">
                    <w:rPr>
                      <w:rFonts w:ascii="Times New Roman" w:eastAsia="Times New Roman" w:hAnsi="Times New Roman"/>
                      <w:b/>
                      <w:bCs/>
                      <w:iCs/>
                      <w:color w:val="000000"/>
                      <w:sz w:val="28"/>
                      <w:szCs w:val="28"/>
                    </w:rPr>
                    <w:t>Bùi Văn Khắng</w:t>
                  </w:r>
                </w:p>
                <w:p w14:paraId="5E06CC0B" w14:textId="77777777" w:rsidR="00252CE4" w:rsidRPr="00417BCD" w:rsidRDefault="00252CE4" w:rsidP="00240C24">
                  <w:pPr>
                    <w:spacing w:after="0" w:line="240" w:lineRule="auto"/>
                    <w:jc w:val="right"/>
                    <w:rPr>
                      <w:rFonts w:ascii="Times New Roman" w:eastAsia="Times New Roman" w:hAnsi="Times New Roman"/>
                      <w:b/>
                      <w:bCs/>
                      <w:i/>
                      <w:iCs/>
                      <w:color w:val="000000"/>
                      <w:sz w:val="24"/>
                      <w:szCs w:val="24"/>
                    </w:rPr>
                  </w:pPr>
                </w:p>
                <w:p w14:paraId="45CEB217" w14:textId="77777777" w:rsidR="00252CE4" w:rsidRPr="00417BCD" w:rsidRDefault="00252CE4" w:rsidP="00240C24">
                  <w:pPr>
                    <w:spacing w:after="0" w:line="240" w:lineRule="auto"/>
                    <w:jc w:val="right"/>
                    <w:rPr>
                      <w:rFonts w:ascii="Times New Roman" w:eastAsia="Times New Roman" w:hAnsi="Times New Roman"/>
                      <w:b/>
                      <w:bCs/>
                      <w:i/>
                      <w:iCs/>
                      <w:color w:val="000000"/>
                      <w:sz w:val="24"/>
                      <w:szCs w:val="24"/>
                    </w:rPr>
                  </w:pPr>
                </w:p>
                <w:p w14:paraId="2592EC02" w14:textId="77777777" w:rsidR="00252CE4" w:rsidRPr="00417BCD" w:rsidRDefault="00252CE4" w:rsidP="00240C24">
                  <w:pPr>
                    <w:spacing w:after="0" w:line="240" w:lineRule="auto"/>
                    <w:jc w:val="right"/>
                    <w:rPr>
                      <w:rFonts w:ascii="Times New Roman" w:eastAsia="Times New Roman" w:hAnsi="Times New Roman"/>
                      <w:b/>
                      <w:bCs/>
                      <w:i/>
                      <w:iCs/>
                      <w:color w:val="000000"/>
                      <w:sz w:val="24"/>
                      <w:szCs w:val="24"/>
                    </w:rPr>
                  </w:pPr>
                </w:p>
                <w:p w14:paraId="1074BF6D" w14:textId="77777777" w:rsidR="00252CE4" w:rsidRPr="00417BCD" w:rsidRDefault="00252CE4" w:rsidP="00240C24">
                  <w:pPr>
                    <w:spacing w:after="0" w:line="240" w:lineRule="auto"/>
                    <w:jc w:val="right"/>
                    <w:rPr>
                      <w:rFonts w:ascii="Times New Roman" w:eastAsia="Times New Roman" w:hAnsi="Times New Roman"/>
                      <w:b/>
                      <w:bCs/>
                      <w:i/>
                      <w:iCs/>
                      <w:color w:val="000000"/>
                      <w:sz w:val="24"/>
                      <w:szCs w:val="24"/>
                    </w:rPr>
                  </w:pPr>
                </w:p>
                <w:p w14:paraId="69E08300" w14:textId="77777777" w:rsidR="00252CE4" w:rsidRPr="00417BCD" w:rsidRDefault="00252CE4" w:rsidP="00240C24">
                  <w:pPr>
                    <w:spacing w:after="0" w:line="240" w:lineRule="auto"/>
                    <w:jc w:val="right"/>
                    <w:rPr>
                      <w:rFonts w:ascii="Times New Roman" w:eastAsia="Times New Roman" w:hAnsi="Times New Roman"/>
                      <w:b/>
                      <w:bCs/>
                      <w:i/>
                      <w:iCs/>
                      <w:color w:val="000000"/>
                      <w:sz w:val="24"/>
                      <w:szCs w:val="24"/>
                    </w:rPr>
                  </w:pPr>
                </w:p>
              </w:tc>
            </w:tr>
          </w:tbl>
          <w:p w14:paraId="782B0155" w14:textId="77777777" w:rsidR="00252CE4" w:rsidRPr="00417BCD" w:rsidRDefault="00252CE4" w:rsidP="00240C24">
            <w:pPr>
              <w:spacing w:after="0" w:line="240" w:lineRule="auto"/>
              <w:rPr>
                <w:rFonts w:ascii="Times New Roman" w:eastAsia="Times New Roman" w:hAnsi="Times New Roman"/>
                <w:color w:val="000000"/>
                <w:sz w:val="24"/>
                <w:szCs w:val="24"/>
              </w:rPr>
            </w:pPr>
          </w:p>
        </w:tc>
      </w:tr>
    </w:tbl>
    <w:p w14:paraId="1C299E20" w14:textId="77777777" w:rsidR="008772EC" w:rsidRDefault="008772EC" w:rsidP="00417FEA">
      <w:pPr>
        <w:spacing w:after="0" w:line="240" w:lineRule="auto"/>
        <w:rPr>
          <w:color w:val="000000"/>
        </w:rPr>
      </w:pPr>
    </w:p>
    <w:p w14:paraId="03A3EFF8" w14:textId="77777777" w:rsidR="008772EC" w:rsidRPr="001E0A5F" w:rsidRDefault="008772EC" w:rsidP="008772EC">
      <w:pPr>
        <w:spacing w:before="60" w:after="60" w:line="240" w:lineRule="auto"/>
        <w:jc w:val="center"/>
        <w:rPr>
          <w:rFonts w:ascii="Times New Roman" w:eastAsia="Times New Roman" w:hAnsi="Times New Roman"/>
          <w:i/>
          <w:color w:val="000000"/>
          <w:sz w:val="28"/>
          <w:szCs w:val="28"/>
        </w:rPr>
      </w:pPr>
      <w:r w:rsidRPr="001E0A5F">
        <w:rPr>
          <w:color w:val="000000"/>
        </w:rPr>
        <w:br w:type="page"/>
      </w:r>
      <w:bookmarkStart w:id="8" w:name="chuong_pl_1"/>
      <w:r w:rsidRPr="001E0A5F">
        <w:rPr>
          <w:rFonts w:ascii="Times New Roman" w:eastAsia="Times New Roman" w:hAnsi="Times New Roman"/>
          <w:b/>
          <w:color w:val="000000"/>
          <w:sz w:val="28"/>
          <w:szCs w:val="28"/>
          <w:lang w:val="vi-VN"/>
        </w:rPr>
        <w:lastRenderedPageBreak/>
        <w:t>PHỤ LỤC</w:t>
      </w:r>
      <w:bookmarkEnd w:id="8"/>
      <w:r w:rsidR="001E0A5F" w:rsidRPr="001E0A5F">
        <w:rPr>
          <w:rFonts w:ascii="Times New Roman" w:eastAsia="Times New Roman" w:hAnsi="Times New Roman"/>
          <w:b/>
          <w:color w:val="000000"/>
          <w:sz w:val="28"/>
          <w:szCs w:val="28"/>
        </w:rPr>
        <w:t xml:space="preserve"> </w:t>
      </w:r>
      <w:bookmarkStart w:id="9" w:name="chuong_pl_1_name"/>
      <w:r w:rsidRPr="008772EC">
        <w:rPr>
          <w:rFonts w:ascii="Times New Roman" w:eastAsia="Times New Roman" w:hAnsi="Times New Roman"/>
          <w:b/>
          <w:color w:val="000000"/>
          <w:sz w:val="28"/>
          <w:szCs w:val="28"/>
          <w:lang w:val="vi-VN"/>
        </w:rPr>
        <w:t>VỀ CẤP HẠNG KHÁCH QUỐC TẾ</w:t>
      </w:r>
      <w:bookmarkEnd w:id="9"/>
      <w:r w:rsidRPr="008772EC">
        <w:rPr>
          <w:rFonts w:ascii="Times New Roman" w:eastAsia="Times New Roman" w:hAnsi="Times New Roman"/>
          <w:b/>
          <w:color w:val="000000"/>
          <w:sz w:val="28"/>
          <w:szCs w:val="28"/>
          <w:lang w:val="vi-VN"/>
        </w:rPr>
        <w:br/>
      </w:r>
      <w:r w:rsidRPr="008772EC">
        <w:rPr>
          <w:rFonts w:ascii="Times New Roman" w:eastAsia="Times New Roman" w:hAnsi="Times New Roman"/>
          <w:i/>
          <w:color w:val="000000"/>
          <w:sz w:val="28"/>
          <w:szCs w:val="28"/>
          <w:lang w:val="vi-VN"/>
        </w:rPr>
        <w:t>(Ban hành kèm theo Thôn</w:t>
      </w:r>
      <w:r w:rsidRPr="001E0A5F">
        <w:rPr>
          <w:rFonts w:ascii="Times New Roman" w:eastAsia="Times New Roman" w:hAnsi="Times New Roman"/>
          <w:i/>
          <w:color w:val="000000"/>
          <w:sz w:val="28"/>
          <w:szCs w:val="28"/>
          <w:lang w:val="vi-VN"/>
        </w:rPr>
        <w:t xml:space="preserve">g tư số </w:t>
      </w:r>
      <w:r w:rsidRPr="001E0A5F">
        <w:rPr>
          <w:rFonts w:ascii="Times New Roman" w:eastAsia="Times New Roman" w:hAnsi="Times New Roman"/>
          <w:i/>
          <w:color w:val="000000"/>
          <w:sz w:val="28"/>
          <w:szCs w:val="28"/>
        </w:rPr>
        <w:t xml:space="preserve">     </w:t>
      </w:r>
      <w:r w:rsidRPr="001E0A5F">
        <w:rPr>
          <w:rFonts w:ascii="Times New Roman" w:eastAsia="Times New Roman" w:hAnsi="Times New Roman"/>
          <w:i/>
          <w:color w:val="000000"/>
          <w:sz w:val="28"/>
          <w:szCs w:val="28"/>
          <w:lang w:val="vi-VN"/>
        </w:rPr>
        <w:t>/20</w:t>
      </w:r>
      <w:r w:rsidRPr="001E0A5F">
        <w:rPr>
          <w:rFonts w:ascii="Times New Roman" w:eastAsia="Times New Roman" w:hAnsi="Times New Roman"/>
          <w:i/>
          <w:color w:val="000000"/>
          <w:sz w:val="28"/>
          <w:szCs w:val="28"/>
        </w:rPr>
        <w:t>25</w:t>
      </w:r>
      <w:r w:rsidRPr="001E0A5F">
        <w:rPr>
          <w:rFonts w:ascii="Times New Roman" w:eastAsia="Times New Roman" w:hAnsi="Times New Roman"/>
          <w:i/>
          <w:color w:val="000000"/>
          <w:sz w:val="28"/>
          <w:szCs w:val="28"/>
          <w:lang w:val="vi-VN"/>
        </w:rPr>
        <w:t xml:space="preserve">/TT-BTC ngày </w:t>
      </w:r>
      <w:r w:rsidRPr="001E0A5F">
        <w:rPr>
          <w:rFonts w:ascii="Times New Roman" w:eastAsia="Times New Roman" w:hAnsi="Times New Roman"/>
          <w:i/>
          <w:color w:val="000000"/>
          <w:sz w:val="28"/>
          <w:szCs w:val="28"/>
        </w:rPr>
        <w:t xml:space="preserve">   tháng   năm </w:t>
      </w:r>
      <w:r w:rsidRPr="001E0A5F">
        <w:rPr>
          <w:rFonts w:ascii="Times New Roman" w:eastAsia="Times New Roman" w:hAnsi="Times New Roman"/>
          <w:i/>
          <w:color w:val="000000"/>
          <w:sz w:val="28"/>
          <w:szCs w:val="28"/>
          <w:lang w:val="vi-VN"/>
        </w:rPr>
        <w:t>20</w:t>
      </w:r>
      <w:r w:rsidRPr="001E0A5F">
        <w:rPr>
          <w:rFonts w:ascii="Times New Roman" w:eastAsia="Times New Roman" w:hAnsi="Times New Roman"/>
          <w:i/>
          <w:color w:val="000000"/>
          <w:sz w:val="28"/>
          <w:szCs w:val="28"/>
        </w:rPr>
        <w:t>25</w:t>
      </w:r>
      <w:r w:rsidRPr="008772EC">
        <w:rPr>
          <w:rFonts w:ascii="Times New Roman" w:eastAsia="Times New Roman" w:hAnsi="Times New Roman"/>
          <w:i/>
          <w:color w:val="000000"/>
          <w:sz w:val="28"/>
          <w:szCs w:val="28"/>
          <w:lang w:val="vi-VN"/>
        </w:rPr>
        <w:t xml:space="preserve"> của Bộ Tài chính)</w:t>
      </w:r>
    </w:p>
    <w:p w14:paraId="4339B55D" w14:textId="77777777" w:rsidR="00B67EFF" w:rsidRPr="008772EC" w:rsidRDefault="00B67EFF" w:rsidP="008772EC">
      <w:pPr>
        <w:spacing w:before="60" w:after="60" w:line="240" w:lineRule="auto"/>
        <w:jc w:val="center"/>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w:t>
      </w:r>
    </w:p>
    <w:p w14:paraId="17EF9A70"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1. Đoàn khách đặc biệt:</w:t>
      </w:r>
    </w:p>
    <w:p w14:paraId="5E047282"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rPr>
      </w:pPr>
      <w:r w:rsidRPr="008772EC">
        <w:rPr>
          <w:rFonts w:ascii="Times New Roman" w:eastAsia="Times New Roman" w:hAnsi="Times New Roman"/>
          <w:color w:val="000000"/>
          <w:sz w:val="28"/>
          <w:szCs w:val="28"/>
          <w:lang w:val="vi-VN"/>
        </w:rPr>
        <w:t xml:space="preserve">Trưởng đoàn gồm các vị: Nguyên thủ Quốc gia; Nguyên thủ quốc gia đồng thời là Người đứng đầu Đảng cầm quyền có quan hệ chính thức với Đảng Cộng sản Việt Nam mang danh nghĩa Đoàn đại biểu Đảng - Nhà nước hoặc Đoàn đại biểu Đảng - Chính phủ; </w:t>
      </w:r>
      <w:r w:rsidR="001E0A5F">
        <w:rPr>
          <w:rFonts w:ascii="Times New Roman" w:eastAsia="Times New Roman" w:hAnsi="Times New Roman"/>
          <w:b/>
          <w:i/>
          <w:color w:val="000000"/>
          <w:sz w:val="28"/>
          <w:szCs w:val="28"/>
          <w:lang w:val="vi-VN"/>
        </w:rPr>
        <w:t xml:space="preserve">Người đứng đầu </w:t>
      </w:r>
      <w:r w:rsidR="001E0A5F">
        <w:rPr>
          <w:rFonts w:ascii="Times New Roman" w:eastAsia="Times New Roman" w:hAnsi="Times New Roman"/>
          <w:b/>
          <w:i/>
          <w:color w:val="000000"/>
          <w:sz w:val="28"/>
          <w:szCs w:val="28"/>
        </w:rPr>
        <w:t>C</w:t>
      </w:r>
      <w:r w:rsidRPr="008772EC">
        <w:rPr>
          <w:rFonts w:ascii="Times New Roman" w:eastAsia="Times New Roman" w:hAnsi="Times New Roman"/>
          <w:b/>
          <w:i/>
          <w:color w:val="000000"/>
          <w:sz w:val="28"/>
          <w:szCs w:val="28"/>
          <w:lang w:val="vi-VN"/>
        </w:rPr>
        <w:t>hính phủ</w:t>
      </w:r>
      <w:r w:rsidR="001E0A5F">
        <w:rPr>
          <w:rFonts w:ascii="Times New Roman" w:eastAsia="Times New Roman" w:hAnsi="Times New Roman"/>
          <w:b/>
          <w:i/>
          <w:color w:val="000000"/>
          <w:sz w:val="28"/>
          <w:szCs w:val="28"/>
        </w:rPr>
        <w:t xml:space="preserve"> đồng thời là Chủ tịch đảng cầm quyền</w:t>
      </w:r>
      <w:r w:rsidR="00CD5B33">
        <w:rPr>
          <w:rStyle w:val="FootnoteReference"/>
          <w:rFonts w:ascii="Times New Roman" w:eastAsia="Times New Roman" w:hAnsi="Times New Roman"/>
          <w:color w:val="000000"/>
          <w:sz w:val="28"/>
          <w:szCs w:val="28"/>
          <w:lang w:val="vi-VN"/>
        </w:rPr>
        <w:footnoteReference w:id="2"/>
      </w:r>
      <w:r w:rsidRPr="008772EC">
        <w:rPr>
          <w:rFonts w:ascii="Times New Roman" w:eastAsia="Times New Roman" w:hAnsi="Times New Roman"/>
          <w:color w:val="000000"/>
          <w:sz w:val="28"/>
          <w:szCs w:val="28"/>
          <w:lang w:val="vi-VN"/>
        </w:rPr>
        <w:t>, Phó Nguyên thủ Quốc gia; Phó Nguyên thủ quốc gia đồng thời là lãnh đạo Đảng cầm quyền; Chủ tịch Quốc hội; Chủ tịch Thượng Nghị viện; Chủ tịch Hạ Nghị viện; Chủ tịch Liên minh Nghị viện Thế giới; Chủ tịch Liên minh Nghị viện (Chủ tịch Nghị viện Châu Âu...); Chủ tịch Nghị viện khu vực (</w:t>
      </w:r>
      <w:r w:rsidRPr="008772EC">
        <w:rPr>
          <w:rFonts w:ascii="Times New Roman" w:eastAsia="Times New Roman" w:hAnsi="Times New Roman"/>
          <w:b/>
          <w:i/>
          <w:color w:val="000000"/>
          <w:sz w:val="28"/>
          <w:szCs w:val="28"/>
          <w:lang w:val="vi-VN"/>
        </w:rPr>
        <w:t xml:space="preserve">Chủ tịch </w:t>
      </w:r>
      <w:r w:rsidR="001E0A5F" w:rsidRPr="001E0A5F">
        <w:rPr>
          <w:rFonts w:ascii="Times New Roman" w:eastAsia="Times New Roman" w:hAnsi="Times New Roman"/>
          <w:b/>
          <w:i/>
          <w:color w:val="000000"/>
          <w:sz w:val="28"/>
          <w:szCs w:val="28"/>
        </w:rPr>
        <w:t>Hội đồng</w:t>
      </w:r>
      <w:r w:rsidRPr="008772EC">
        <w:rPr>
          <w:rFonts w:ascii="Times New Roman" w:eastAsia="Times New Roman" w:hAnsi="Times New Roman"/>
          <w:b/>
          <w:i/>
          <w:color w:val="000000"/>
          <w:sz w:val="28"/>
          <w:szCs w:val="28"/>
          <w:lang w:val="vi-VN"/>
        </w:rPr>
        <w:t xml:space="preserve"> liên Nghị viện </w:t>
      </w:r>
      <w:r w:rsidR="001E0A5F" w:rsidRPr="001E0A5F">
        <w:rPr>
          <w:rFonts w:ascii="Times New Roman" w:eastAsia="Times New Roman" w:hAnsi="Times New Roman"/>
          <w:b/>
          <w:i/>
          <w:color w:val="000000"/>
          <w:sz w:val="28"/>
          <w:szCs w:val="28"/>
        </w:rPr>
        <w:t>ASEAN</w:t>
      </w:r>
      <w:r w:rsidR="001E0A5F">
        <w:rPr>
          <w:rFonts w:ascii="Times New Roman" w:eastAsia="Times New Roman" w:hAnsi="Times New Roman"/>
          <w:color w:val="000000"/>
          <w:sz w:val="28"/>
          <w:szCs w:val="28"/>
          <w:lang w:val="vi-VN"/>
        </w:rPr>
        <w:t>...)</w:t>
      </w:r>
      <w:r w:rsidR="001E0A5F">
        <w:rPr>
          <w:rFonts w:ascii="Times New Roman" w:eastAsia="Times New Roman" w:hAnsi="Times New Roman"/>
          <w:color w:val="000000"/>
          <w:sz w:val="28"/>
          <w:szCs w:val="28"/>
        </w:rPr>
        <w:t xml:space="preserve">; </w:t>
      </w:r>
      <w:r w:rsidR="001E0A5F" w:rsidRPr="001E0A5F">
        <w:rPr>
          <w:rFonts w:ascii="Times New Roman" w:eastAsia="Times New Roman" w:hAnsi="Times New Roman"/>
          <w:b/>
          <w:i/>
          <w:color w:val="000000"/>
          <w:sz w:val="28"/>
          <w:szCs w:val="28"/>
        </w:rPr>
        <w:t>Chủ tịch Hội đồng Châu Âu; Chủ tịch Ủy ban Châu Âu; Tổng Thư ký Liên hợp quốc</w:t>
      </w:r>
      <w:r w:rsidR="001E0A5F">
        <w:rPr>
          <w:rStyle w:val="FootnoteReference"/>
          <w:rFonts w:ascii="Times New Roman" w:eastAsia="Times New Roman" w:hAnsi="Times New Roman"/>
          <w:b/>
          <w:i/>
          <w:color w:val="000000"/>
          <w:sz w:val="28"/>
          <w:szCs w:val="28"/>
        </w:rPr>
        <w:footnoteReference w:id="3"/>
      </w:r>
      <w:r w:rsidR="001E0A5F">
        <w:rPr>
          <w:rFonts w:ascii="Times New Roman" w:eastAsia="Times New Roman" w:hAnsi="Times New Roman"/>
          <w:b/>
          <w:i/>
          <w:color w:val="000000"/>
          <w:sz w:val="28"/>
          <w:szCs w:val="28"/>
        </w:rPr>
        <w:t>.</w:t>
      </w:r>
    </w:p>
    <w:p w14:paraId="6BA9CB6D"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2. Đoàn khách Hạng A:</w:t>
      </w:r>
    </w:p>
    <w:p w14:paraId="6BEE0B82"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Trưởng đoàn gồm các vị: Phó Thủ tướng Chính phủ; Phó Chủ tịch Quốc hội và những chức vụ tương đương như: Phó Chủ tịch Thượng Nghị viện; Phó Chủ tịch Hạ Nghị viện; Phó Chủ tịch Liên minh Nghị viện Thế giới; Phó Chủ tịch Liên minh Nghị viện (Phó Chủ tịch Nghị viện Châu Âu...); Phó Chủ tịch Nghị viện khu vực (</w:t>
      </w:r>
      <w:r w:rsidRPr="000A23B8">
        <w:rPr>
          <w:rFonts w:ascii="Times New Roman" w:eastAsia="Times New Roman" w:hAnsi="Times New Roman"/>
          <w:b/>
          <w:i/>
          <w:color w:val="000000"/>
          <w:sz w:val="28"/>
          <w:szCs w:val="28"/>
          <w:lang w:val="vi-VN"/>
        </w:rPr>
        <w:t xml:space="preserve">Phó Chủ tịch </w:t>
      </w:r>
      <w:r w:rsidR="000A23B8">
        <w:rPr>
          <w:rFonts w:ascii="Times New Roman" w:eastAsia="Times New Roman" w:hAnsi="Times New Roman"/>
          <w:b/>
          <w:i/>
          <w:color w:val="000000"/>
          <w:sz w:val="28"/>
          <w:szCs w:val="28"/>
        </w:rPr>
        <w:t>Hội đồng</w:t>
      </w:r>
      <w:r w:rsidRPr="000A23B8">
        <w:rPr>
          <w:rFonts w:ascii="Times New Roman" w:eastAsia="Times New Roman" w:hAnsi="Times New Roman"/>
          <w:b/>
          <w:i/>
          <w:color w:val="000000"/>
          <w:sz w:val="28"/>
          <w:szCs w:val="28"/>
          <w:lang w:val="vi-VN"/>
        </w:rPr>
        <w:t xml:space="preserve"> liên Nghị viện </w:t>
      </w:r>
      <w:r w:rsidR="000A23B8">
        <w:rPr>
          <w:rFonts w:ascii="Times New Roman" w:eastAsia="Times New Roman" w:hAnsi="Times New Roman"/>
          <w:b/>
          <w:i/>
          <w:color w:val="000000"/>
          <w:sz w:val="28"/>
          <w:szCs w:val="28"/>
        </w:rPr>
        <w:t>ASEAN</w:t>
      </w:r>
      <w:r w:rsidR="000A23B8">
        <w:rPr>
          <w:rFonts w:ascii="Times New Roman" w:eastAsia="Times New Roman" w:hAnsi="Times New Roman"/>
          <w:color w:val="000000"/>
          <w:sz w:val="28"/>
          <w:szCs w:val="28"/>
          <w:lang w:val="vi-VN"/>
        </w:rPr>
        <w:t>...)</w:t>
      </w:r>
      <w:r w:rsidR="000A23B8">
        <w:rPr>
          <w:rFonts w:ascii="Times New Roman" w:eastAsia="Times New Roman" w:hAnsi="Times New Roman"/>
          <w:color w:val="000000"/>
          <w:sz w:val="28"/>
          <w:szCs w:val="28"/>
        </w:rPr>
        <w:t xml:space="preserve">; </w:t>
      </w:r>
      <w:r w:rsidR="000A23B8" w:rsidRPr="000A23B8">
        <w:rPr>
          <w:rFonts w:ascii="Times New Roman" w:eastAsia="Times New Roman" w:hAnsi="Times New Roman"/>
          <w:b/>
          <w:i/>
          <w:color w:val="000000"/>
          <w:sz w:val="28"/>
          <w:szCs w:val="28"/>
        </w:rPr>
        <w:t>Phó Chủ tịch Ủy ban Châu Âu; Phó Tổng Thư ký Liên hợp q</w:t>
      </w:r>
      <w:r w:rsidR="00115F41">
        <w:rPr>
          <w:rFonts w:ascii="Times New Roman" w:eastAsia="Times New Roman" w:hAnsi="Times New Roman"/>
          <w:b/>
          <w:i/>
          <w:color w:val="000000"/>
          <w:sz w:val="28"/>
          <w:szCs w:val="28"/>
        </w:rPr>
        <w:t>uốc</w:t>
      </w:r>
      <w:r w:rsidR="000A23B8">
        <w:rPr>
          <w:rStyle w:val="FootnoteReference"/>
          <w:rFonts w:ascii="Times New Roman" w:eastAsia="Times New Roman" w:hAnsi="Times New Roman"/>
          <w:b/>
          <w:i/>
          <w:color w:val="000000"/>
          <w:sz w:val="28"/>
          <w:szCs w:val="28"/>
        </w:rPr>
        <w:footnoteReference w:id="4"/>
      </w:r>
      <w:r w:rsidR="00115F41">
        <w:rPr>
          <w:rFonts w:ascii="Times New Roman" w:eastAsia="Times New Roman" w:hAnsi="Times New Roman"/>
          <w:b/>
          <w:i/>
          <w:color w:val="000000"/>
          <w:sz w:val="28"/>
          <w:szCs w:val="28"/>
        </w:rPr>
        <w:t xml:space="preserve">; </w:t>
      </w:r>
      <w:r w:rsidRPr="008772EC">
        <w:rPr>
          <w:rFonts w:ascii="Times New Roman" w:eastAsia="Times New Roman" w:hAnsi="Times New Roman"/>
          <w:color w:val="000000"/>
          <w:sz w:val="28"/>
          <w:szCs w:val="28"/>
          <w:lang w:val="vi-VN"/>
        </w:rPr>
        <w:t xml:space="preserve"> </w:t>
      </w:r>
      <w:r w:rsidRPr="00115F41">
        <w:rPr>
          <w:rFonts w:ascii="Times New Roman" w:eastAsia="Times New Roman" w:hAnsi="Times New Roman"/>
          <w:strike/>
          <w:color w:val="000000"/>
          <w:sz w:val="28"/>
          <w:szCs w:val="28"/>
          <w:lang w:val="vi-VN"/>
        </w:rPr>
        <w:t>Chủ tịch và Phó Chủ tịch Liên hiệp thanh niên và sinh viên thế giới; Chủ tịch và Phó Chủ tịch Liên hiệp phụ nữ thế giới; Chủ tịch Ủy ban Bảo vệ Hoà bình thế giới; Chủ tịch, Phó Chủ tịch và Tổng thư ký Liên hiệp công đoàn thế giới; Chủ tịch và Phó chủ tịch Liên đoàn Cựu chiến binh...;</w:t>
      </w:r>
      <w:r w:rsidRPr="008772EC">
        <w:rPr>
          <w:rFonts w:ascii="Times New Roman" w:eastAsia="Times New Roman" w:hAnsi="Times New Roman"/>
          <w:color w:val="000000"/>
          <w:sz w:val="28"/>
          <w:szCs w:val="28"/>
          <w:lang w:val="vi-VN"/>
        </w:rPr>
        <w:t xml:space="preserve"> Người kế vị Vua hoặc người kế vị Nữ Hoàng; </w:t>
      </w:r>
      <w:r w:rsidRPr="00115F41">
        <w:rPr>
          <w:rFonts w:ascii="Times New Roman" w:eastAsia="Times New Roman" w:hAnsi="Times New Roman"/>
          <w:strike/>
          <w:color w:val="000000"/>
          <w:sz w:val="28"/>
          <w:szCs w:val="28"/>
          <w:lang w:val="vi-VN"/>
        </w:rPr>
        <w:t>Tổng thư ký Liên hợp quốc</w:t>
      </w:r>
      <w:r w:rsidR="00115F41">
        <w:rPr>
          <w:rFonts w:ascii="Times New Roman" w:eastAsia="Times New Roman" w:hAnsi="Times New Roman"/>
          <w:color w:val="000000"/>
          <w:sz w:val="28"/>
          <w:szCs w:val="28"/>
          <w:lang w:val="vi-VN"/>
        </w:rPr>
        <w:t>; Bộ trưởng Bộ Ngoại giao</w:t>
      </w:r>
      <w:r w:rsidR="00115F41">
        <w:rPr>
          <w:rFonts w:ascii="Times New Roman" w:eastAsia="Times New Roman" w:hAnsi="Times New Roman"/>
          <w:color w:val="000000"/>
          <w:sz w:val="28"/>
          <w:szCs w:val="28"/>
        </w:rPr>
        <w:t>;</w:t>
      </w:r>
      <w:r w:rsidRPr="008772EC">
        <w:rPr>
          <w:rFonts w:ascii="Times New Roman" w:eastAsia="Times New Roman" w:hAnsi="Times New Roman"/>
          <w:color w:val="000000"/>
          <w:sz w:val="28"/>
          <w:szCs w:val="28"/>
          <w:lang w:val="vi-VN"/>
        </w:rPr>
        <w:t xml:space="preserve"> </w:t>
      </w:r>
      <w:r w:rsidRPr="00115F41">
        <w:rPr>
          <w:rFonts w:ascii="Times New Roman" w:eastAsia="Times New Roman" w:hAnsi="Times New Roman"/>
          <w:strike/>
          <w:color w:val="000000"/>
          <w:sz w:val="28"/>
          <w:szCs w:val="28"/>
          <w:lang w:val="vi-VN"/>
        </w:rPr>
        <w:t>Chủ tịch hoặc Tổng thư ký các tổ chức liên Chính phủ (EU, EC, ASEAN, APEC...)</w:t>
      </w:r>
      <w:r w:rsidRPr="008772EC">
        <w:rPr>
          <w:rFonts w:ascii="Times New Roman" w:eastAsia="Times New Roman" w:hAnsi="Times New Roman"/>
          <w:color w:val="000000"/>
          <w:sz w:val="28"/>
          <w:szCs w:val="28"/>
          <w:lang w:val="vi-VN"/>
        </w:rPr>
        <w:t>; Chủ tịch hoặc Tổng thư ký các tổ chức tài chính quốc tế (WB, IMF, ADB, MIB, MBES...); Chủ tịch ủy ban hỗn hợp.</w:t>
      </w:r>
    </w:p>
    <w:p w14:paraId="263C5E42"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3. Đoàn khách Hạng B:</w:t>
      </w:r>
    </w:p>
    <w:p w14:paraId="74F8D055" w14:textId="77777777" w:rsidR="008772EC" w:rsidRPr="00347594" w:rsidRDefault="008772EC" w:rsidP="008772EC">
      <w:pPr>
        <w:spacing w:before="60" w:after="60" w:line="240" w:lineRule="auto"/>
        <w:ind w:firstLine="720"/>
        <w:jc w:val="both"/>
        <w:rPr>
          <w:rFonts w:ascii="Times New Roman" w:eastAsia="Times New Roman" w:hAnsi="Times New Roman"/>
          <w:b/>
          <w:i/>
          <w:color w:val="000000"/>
          <w:sz w:val="28"/>
          <w:szCs w:val="28"/>
        </w:rPr>
      </w:pPr>
      <w:r w:rsidRPr="008772EC">
        <w:rPr>
          <w:rFonts w:ascii="Times New Roman" w:eastAsia="Times New Roman" w:hAnsi="Times New Roman"/>
          <w:color w:val="000000"/>
          <w:sz w:val="28"/>
          <w:szCs w:val="28"/>
          <w:lang w:val="vi-VN"/>
        </w:rPr>
        <w:t>Trưở</w:t>
      </w:r>
      <w:r w:rsidR="00115F41">
        <w:rPr>
          <w:rFonts w:ascii="Times New Roman" w:eastAsia="Times New Roman" w:hAnsi="Times New Roman"/>
          <w:color w:val="000000"/>
          <w:sz w:val="28"/>
          <w:szCs w:val="28"/>
          <w:lang w:val="vi-VN"/>
        </w:rPr>
        <w:t xml:space="preserve">ng đoàn gồm các vị: Bộ trưởng; </w:t>
      </w:r>
      <w:r w:rsidR="00115F41">
        <w:rPr>
          <w:rFonts w:ascii="Times New Roman" w:eastAsia="Times New Roman" w:hAnsi="Times New Roman"/>
          <w:color w:val="000000"/>
          <w:sz w:val="28"/>
          <w:szCs w:val="28"/>
        </w:rPr>
        <w:t>T</w:t>
      </w:r>
      <w:r w:rsidRPr="008772EC">
        <w:rPr>
          <w:rFonts w:ascii="Times New Roman" w:eastAsia="Times New Roman" w:hAnsi="Times New Roman"/>
          <w:color w:val="000000"/>
          <w:sz w:val="28"/>
          <w:szCs w:val="28"/>
          <w:lang w:val="vi-VN"/>
        </w:rPr>
        <w:t xml:space="preserve">hứ trưởng và những chức vụ tương đương như: </w:t>
      </w:r>
      <w:r w:rsidRPr="00115F41">
        <w:rPr>
          <w:rFonts w:ascii="Times New Roman" w:eastAsia="Times New Roman" w:hAnsi="Times New Roman"/>
          <w:strike/>
          <w:color w:val="000000"/>
          <w:sz w:val="28"/>
          <w:szCs w:val="28"/>
          <w:lang w:val="vi-VN"/>
        </w:rPr>
        <w:t>Chủ tịch Tổng Công đoàn; Chủ tịch Trung ương Hội Liên hiệp thanh niên; Chủ tịch Trung ương Hội Liên hiệp phụ nữ; Chủ tịch và tổng thư ký Ủy ban Olympic thế giới; Chủ tịch Hội Cựu chiến binh các nước...Khách là</w:t>
      </w:r>
      <w:r w:rsidRPr="008772EC">
        <w:rPr>
          <w:rFonts w:ascii="Times New Roman" w:eastAsia="Times New Roman" w:hAnsi="Times New Roman"/>
          <w:color w:val="000000"/>
          <w:sz w:val="28"/>
          <w:szCs w:val="28"/>
          <w:lang w:val="vi-VN"/>
        </w:rPr>
        <w:t xml:space="preserve"> Phó tổng thư ký các tổ chức liên Chính phủ; cấp Phó Chủ tịch các tổ chức tài chính quốc </w:t>
      </w:r>
      <w:r w:rsidR="00115F41">
        <w:rPr>
          <w:rFonts w:ascii="Times New Roman" w:eastAsia="Times New Roman" w:hAnsi="Times New Roman"/>
          <w:color w:val="000000"/>
          <w:sz w:val="28"/>
          <w:szCs w:val="28"/>
          <w:lang w:val="vi-VN"/>
        </w:rPr>
        <w:t>tế (WB, IMF, ADB, MIB, MBES...)</w:t>
      </w:r>
      <w:r w:rsidR="00115F41">
        <w:rPr>
          <w:rFonts w:ascii="Times New Roman" w:eastAsia="Times New Roman" w:hAnsi="Times New Roman"/>
          <w:color w:val="000000"/>
          <w:sz w:val="28"/>
          <w:szCs w:val="28"/>
        </w:rPr>
        <w:t xml:space="preserve">; </w:t>
      </w:r>
      <w:r w:rsidR="00F8305C">
        <w:rPr>
          <w:rFonts w:ascii="Times New Roman" w:eastAsia="Times New Roman" w:hAnsi="Times New Roman"/>
          <w:b/>
          <w:i/>
          <w:color w:val="000000"/>
          <w:sz w:val="28"/>
          <w:szCs w:val="28"/>
        </w:rPr>
        <w:t>Thành viên Hoàng gia</w:t>
      </w:r>
      <w:r w:rsidR="00F8305C">
        <w:rPr>
          <w:rStyle w:val="FootnoteReference"/>
          <w:rFonts w:ascii="Times New Roman" w:eastAsia="Times New Roman" w:hAnsi="Times New Roman"/>
          <w:b/>
          <w:i/>
          <w:color w:val="000000"/>
          <w:sz w:val="28"/>
          <w:szCs w:val="28"/>
        </w:rPr>
        <w:footnoteReference w:id="5"/>
      </w:r>
      <w:r w:rsidR="00F8305C">
        <w:rPr>
          <w:rFonts w:ascii="Times New Roman" w:eastAsia="Times New Roman" w:hAnsi="Times New Roman"/>
          <w:b/>
          <w:i/>
          <w:color w:val="000000"/>
          <w:sz w:val="28"/>
          <w:szCs w:val="28"/>
        </w:rPr>
        <w:t xml:space="preserve">; </w:t>
      </w:r>
      <w:r w:rsidR="008E2537" w:rsidRPr="00347594">
        <w:rPr>
          <w:rFonts w:ascii="Times New Roman" w:eastAsia="Times New Roman" w:hAnsi="Times New Roman"/>
          <w:b/>
          <w:i/>
          <w:color w:val="000000"/>
          <w:sz w:val="28"/>
          <w:szCs w:val="28"/>
        </w:rPr>
        <w:t>Quan chức cao cấp ASEAN (Trưởng SOM)</w:t>
      </w:r>
      <w:r w:rsidR="00347594" w:rsidRPr="00347594">
        <w:rPr>
          <w:rFonts w:ascii="Times New Roman" w:eastAsia="Times New Roman" w:hAnsi="Times New Roman"/>
          <w:b/>
          <w:i/>
          <w:color w:val="000000"/>
          <w:sz w:val="28"/>
          <w:szCs w:val="28"/>
        </w:rPr>
        <w:t>, Phó Tổng Thư ký ASEAN</w:t>
      </w:r>
      <w:r w:rsidR="00347594">
        <w:rPr>
          <w:rFonts w:ascii="Times New Roman" w:eastAsia="Times New Roman" w:hAnsi="Times New Roman"/>
          <w:b/>
          <w:i/>
          <w:color w:val="000000"/>
          <w:sz w:val="28"/>
          <w:szCs w:val="28"/>
        </w:rPr>
        <w:t>; Tổng thư ký</w:t>
      </w:r>
      <w:r w:rsidR="00F8305C">
        <w:rPr>
          <w:rFonts w:ascii="Times New Roman" w:eastAsia="Times New Roman" w:hAnsi="Times New Roman"/>
          <w:b/>
          <w:i/>
          <w:color w:val="000000"/>
          <w:sz w:val="28"/>
          <w:szCs w:val="28"/>
        </w:rPr>
        <w:t xml:space="preserve"> Hội đồng liên Nghị viện ASEAN</w:t>
      </w:r>
      <w:r w:rsidR="00E14252">
        <w:rPr>
          <w:rStyle w:val="FootnoteReference"/>
          <w:rFonts w:ascii="Times New Roman" w:eastAsia="Times New Roman" w:hAnsi="Times New Roman"/>
          <w:b/>
          <w:i/>
          <w:color w:val="000000"/>
          <w:sz w:val="28"/>
          <w:szCs w:val="28"/>
        </w:rPr>
        <w:footnoteReference w:id="6"/>
      </w:r>
      <w:r w:rsidR="00F8305C">
        <w:rPr>
          <w:rFonts w:ascii="Times New Roman" w:eastAsia="Times New Roman" w:hAnsi="Times New Roman"/>
          <w:b/>
          <w:i/>
          <w:color w:val="000000"/>
          <w:sz w:val="28"/>
          <w:szCs w:val="28"/>
        </w:rPr>
        <w:t>.</w:t>
      </w:r>
    </w:p>
    <w:p w14:paraId="085D3C3A"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4. Đoàn khách Hạng C:</w:t>
      </w:r>
    </w:p>
    <w:p w14:paraId="7BDC2D65" w14:textId="77777777" w:rsidR="008772EC" w:rsidRPr="00E14252" w:rsidRDefault="00F8305C" w:rsidP="008772EC">
      <w:pPr>
        <w:spacing w:before="60" w:after="60" w:line="240" w:lineRule="auto"/>
        <w:ind w:firstLine="720"/>
        <w:jc w:val="both"/>
        <w:rPr>
          <w:rFonts w:ascii="Times New Roman" w:eastAsia="Times New Roman" w:hAnsi="Times New Roman"/>
          <w:strike/>
          <w:color w:val="000000"/>
          <w:sz w:val="28"/>
          <w:szCs w:val="28"/>
          <w:lang w:val="vi-VN"/>
        </w:rPr>
      </w:pPr>
      <w:r w:rsidRPr="00E14252">
        <w:rPr>
          <w:rFonts w:ascii="Times New Roman" w:eastAsia="Times New Roman" w:hAnsi="Times New Roman"/>
          <w:b/>
          <w:i/>
          <w:color w:val="000000"/>
          <w:sz w:val="28"/>
          <w:szCs w:val="28"/>
        </w:rPr>
        <w:lastRenderedPageBreak/>
        <w:t xml:space="preserve">Đại sứ, Trưởng phái đoàn Đại diện thường trực </w:t>
      </w:r>
      <w:r w:rsidR="00E14252">
        <w:rPr>
          <w:rFonts w:ascii="Times New Roman" w:eastAsia="Times New Roman" w:hAnsi="Times New Roman"/>
          <w:b/>
          <w:i/>
          <w:color w:val="000000"/>
          <w:sz w:val="28"/>
          <w:szCs w:val="28"/>
        </w:rPr>
        <w:t xml:space="preserve">các nước ASEAN; Tổng Vụ trưởng Ban Thư ký ASEAN; Người đứng đầu các cơ quan, trung tâm ASEAN; </w:t>
      </w:r>
      <w:r w:rsidR="00E14252">
        <w:rPr>
          <w:rFonts w:ascii="Times New Roman" w:eastAsia="Times New Roman" w:hAnsi="Times New Roman"/>
          <w:color w:val="000000"/>
          <w:sz w:val="28"/>
          <w:szCs w:val="28"/>
        </w:rPr>
        <w:t>C</w:t>
      </w:r>
      <w:r w:rsidR="008772EC" w:rsidRPr="008772EC">
        <w:rPr>
          <w:rFonts w:ascii="Times New Roman" w:eastAsia="Times New Roman" w:hAnsi="Times New Roman"/>
          <w:color w:val="000000"/>
          <w:sz w:val="28"/>
          <w:szCs w:val="28"/>
          <w:lang w:val="vi-VN"/>
        </w:rPr>
        <w:t xml:space="preserve">ác khách từ cấp Vụ, Cục trở xuống và những chức vụ tương đương; </w:t>
      </w:r>
      <w:r w:rsidR="008772EC" w:rsidRPr="00E14252">
        <w:rPr>
          <w:rFonts w:ascii="Times New Roman" w:eastAsia="Times New Roman" w:hAnsi="Times New Roman"/>
          <w:strike/>
          <w:color w:val="000000"/>
          <w:sz w:val="28"/>
          <w:szCs w:val="28"/>
          <w:lang w:val="vi-VN"/>
        </w:rPr>
        <w:t>phi công, hoa tiêu, các đoàn nghệ thuật và thể dục thể thao.</w:t>
      </w:r>
    </w:p>
    <w:p w14:paraId="48C681F6" w14:textId="77777777" w:rsidR="008772EC" w:rsidRPr="00E14252" w:rsidRDefault="008772EC" w:rsidP="008772EC">
      <w:pPr>
        <w:spacing w:before="60" w:after="60" w:line="240" w:lineRule="auto"/>
        <w:ind w:firstLine="720"/>
        <w:jc w:val="both"/>
        <w:rPr>
          <w:rFonts w:ascii="Times New Roman" w:eastAsia="Times New Roman" w:hAnsi="Times New Roman"/>
          <w:strike/>
          <w:color w:val="000000"/>
          <w:sz w:val="28"/>
          <w:szCs w:val="28"/>
          <w:lang w:val="vi-VN"/>
        </w:rPr>
      </w:pPr>
      <w:r w:rsidRPr="00E14252">
        <w:rPr>
          <w:rFonts w:ascii="Times New Roman" w:eastAsia="Times New Roman" w:hAnsi="Times New Roman"/>
          <w:strike/>
          <w:color w:val="000000"/>
          <w:sz w:val="28"/>
          <w:szCs w:val="28"/>
          <w:lang w:val="vi-VN"/>
        </w:rPr>
        <w:t>Khách là Phó chủ tịch các tổ chức; Phó Chủ tịch Ủy ban Olympic thế giới, Phó chủ tịch và Tổng thư ký Hội đồng thể thao Châu Á.</w:t>
      </w:r>
    </w:p>
    <w:p w14:paraId="0274A764" w14:textId="77777777" w:rsidR="008772EC" w:rsidRPr="00E14252" w:rsidRDefault="008772EC" w:rsidP="008772EC">
      <w:pPr>
        <w:spacing w:before="60" w:after="60" w:line="240" w:lineRule="auto"/>
        <w:ind w:firstLine="720"/>
        <w:jc w:val="both"/>
        <w:rPr>
          <w:rFonts w:ascii="Times New Roman" w:eastAsia="Times New Roman" w:hAnsi="Times New Roman"/>
          <w:strike/>
          <w:color w:val="000000"/>
          <w:sz w:val="28"/>
          <w:szCs w:val="28"/>
          <w:lang w:val="vi-VN"/>
        </w:rPr>
      </w:pPr>
      <w:r w:rsidRPr="00E14252">
        <w:rPr>
          <w:rFonts w:ascii="Times New Roman" w:eastAsia="Times New Roman" w:hAnsi="Times New Roman"/>
          <w:strike/>
          <w:color w:val="000000"/>
          <w:sz w:val="28"/>
          <w:szCs w:val="28"/>
          <w:lang w:val="vi-VN"/>
        </w:rPr>
        <w:t>Riêng các đoàn nghệ thuật, thể dục thể thao ăn theo tiêu chuẩn loại B; hoa tiêu và phi công ăn theo tiêu chuẩn loại A.</w:t>
      </w:r>
    </w:p>
    <w:p w14:paraId="504665D1" w14:textId="77777777" w:rsidR="008772EC" w:rsidRPr="008772EC" w:rsidRDefault="008772EC" w:rsidP="00E14252">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5. Khách mời quốc tế khác:</w:t>
      </w:r>
      <w:r w:rsidR="00E14252">
        <w:rPr>
          <w:rFonts w:ascii="Times New Roman" w:eastAsia="Times New Roman" w:hAnsi="Times New Roman"/>
          <w:color w:val="000000"/>
          <w:sz w:val="28"/>
          <w:szCs w:val="28"/>
        </w:rPr>
        <w:t xml:space="preserve"> Gồm các khách mời quốc tế </w:t>
      </w:r>
      <w:r w:rsidRPr="008772EC">
        <w:rPr>
          <w:rFonts w:ascii="Times New Roman" w:eastAsia="Times New Roman" w:hAnsi="Times New Roman"/>
          <w:color w:val="000000"/>
          <w:sz w:val="28"/>
          <w:szCs w:val="28"/>
          <w:lang w:val="vi-VN"/>
        </w:rPr>
        <w:t>không thuộc các đối tượng quy định tại khoản 1, 2, 3, 4 Phụ lục nêu trên.</w:t>
      </w:r>
    </w:p>
    <w:p w14:paraId="37BCEF80" w14:textId="77777777" w:rsidR="008772EC" w:rsidRPr="008772EC" w:rsidRDefault="008772EC" w:rsidP="008772EC">
      <w:pPr>
        <w:spacing w:before="60" w:after="60" w:line="240" w:lineRule="auto"/>
        <w:ind w:firstLine="720"/>
        <w:jc w:val="both"/>
        <w:rPr>
          <w:rFonts w:ascii="Times New Roman" w:eastAsia="Times New Roman" w:hAnsi="Times New Roman"/>
          <w:color w:val="000000"/>
          <w:sz w:val="28"/>
          <w:szCs w:val="28"/>
          <w:lang w:val="vi-VN"/>
        </w:rPr>
      </w:pPr>
      <w:r w:rsidRPr="008772EC">
        <w:rPr>
          <w:rFonts w:ascii="Times New Roman" w:eastAsia="Times New Roman" w:hAnsi="Times New Roman"/>
          <w:color w:val="000000"/>
          <w:sz w:val="28"/>
          <w:szCs w:val="28"/>
          <w:lang w:val="vi-VN"/>
        </w:rPr>
        <w:t>Đối với học viên quốc tế do Việt Nam mời theo quy định tại Hiệp định song phương giữa hai nước thì thực hiện theo Hiệp định./.</w:t>
      </w:r>
    </w:p>
    <w:p w14:paraId="663CD38B" w14:textId="77777777" w:rsidR="00071DDB" w:rsidRPr="008772EC" w:rsidRDefault="00071DDB" w:rsidP="008772EC">
      <w:pPr>
        <w:spacing w:before="60" w:after="60" w:line="240" w:lineRule="auto"/>
        <w:ind w:firstLine="720"/>
        <w:jc w:val="both"/>
        <w:rPr>
          <w:rFonts w:ascii="Times New Roman" w:eastAsia="Times New Roman" w:hAnsi="Times New Roman"/>
          <w:color w:val="000000"/>
          <w:sz w:val="28"/>
          <w:szCs w:val="28"/>
          <w:lang w:val="vi-VN"/>
        </w:rPr>
      </w:pPr>
    </w:p>
    <w:sectPr w:rsidR="00071DDB" w:rsidRPr="008772EC" w:rsidSect="00240C24">
      <w:headerReference w:type="default" r:id="rId9"/>
      <w:pgSz w:w="11907" w:h="16840" w:code="9"/>
      <w:pgMar w:top="907" w:right="1134" w:bottom="907" w:left="1418" w:header="397"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BB236" w14:textId="77777777" w:rsidR="008979EE" w:rsidRDefault="008979EE" w:rsidP="00252CE4">
      <w:pPr>
        <w:spacing w:after="0" w:line="240" w:lineRule="auto"/>
      </w:pPr>
      <w:r>
        <w:separator/>
      </w:r>
    </w:p>
  </w:endnote>
  <w:endnote w:type="continuationSeparator" w:id="0">
    <w:p w14:paraId="3BEBD9EA" w14:textId="77777777" w:rsidR="008979EE" w:rsidRDefault="008979EE" w:rsidP="0025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B7739" w14:textId="77777777" w:rsidR="008979EE" w:rsidRDefault="008979EE" w:rsidP="00252CE4">
      <w:pPr>
        <w:spacing w:after="0" w:line="240" w:lineRule="auto"/>
      </w:pPr>
      <w:r>
        <w:separator/>
      </w:r>
    </w:p>
  </w:footnote>
  <w:footnote w:type="continuationSeparator" w:id="0">
    <w:p w14:paraId="4CE1C8BC" w14:textId="77777777" w:rsidR="008979EE" w:rsidRDefault="008979EE" w:rsidP="00252CE4">
      <w:pPr>
        <w:spacing w:after="0" w:line="240" w:lineRule="auto"/>
      </w:pPr>
      <w:r>
        <w:continuationSeparator/>
      </w:r>
    </w:p>
  </w:footnote>
  <w:footnote w:id="1">
    <w:p w14:paraId="7D1E1D85" w14:textId="77777777" w:rsidR="00EF4617" w:rsidRPr="00EF4617" w:rsidRDefault="00EF4617">
      <w:pPr>
        <w:pStyle w:val="FootnoteText"/>
        <w:rPr>
          <w:rFonts w:ascii="Times New Roman" w:hAnsi="Times New Roman"/>
          <w:lang w:val="en-US"/>
        </w:rPr>
      </w:pPr>
      <w:r w:rsidRPr="00EF4617">
        <w:rPr>
          <w:rStyle w:val="FootnoteReference"/>
          <w:rFonts w:ascii="Times New Roman" w:hAnsi="Times New Roman"/>
        </w:rPr>
        <w:footnoteRef/>
      </w:r>
      <w:r w:rsidRPr="00EF4617">
        <w:rPr>
          <w:rFonts w:ascii="Times New Roman" w:hAnsi="Times New Roman"/>
        </w:rPr>
        <w:t xml:space="preserve"> </w:t>
      </w:r>
      <w:r w:rsidRPr="00EF4617">
        <w:rPr>
          <w:rFonts w:ascii="Times New Roman" w:hAnsi="Times New Roman"/>
          <w:lang w:val="en-US"/>
        </w:rPr>
        <w:t>Tiếp thu ý kiến Bộ Công an tại văn bản 3111/BCA-H01 ngày 14/7/2025</w:t>
      </w:r>
    </w:p>
  </w:footnote>
  <w:footnote w:id="2">
    <w:p w14:paraId="075F69BC" w14:textId="77777777" w:rsidR="00CD5B33" w:rsidRPr="00115F41" w:rsidRDefault="00CD5B33">
      <w:pPr>
        <w:pStyle w:val="FootnoteText"/>
        <w:rPr>
          <w:rFonts w:ascii="Times New Roman" w:hAnsi="Times New Roman"/>
          <w:lang w:val="en-US"/>
        </w:rPr>
      </w:pPr>
      <w:r w:rsidRPr="00115F41">
        <w:rPr>
          <w:rStyle w:val="FootnoteReference"/>
          <w:rFonts w:ascii="Times New Roman" w:hAnsi="Times New Roman"/>
        </w:rPr>
        <w:footnoteRef/>
      </w:r>
      <w:r w:rsidRPr="00115F41">
        <w:rPr>
          <w:rFonts w:ascii="Times New Roman" w:hAnsi="Times New Roman"/>
        </w:rPr>
        <w:t xml:space="preserve"> </w:t>
      </w:r>
      <w:r w:rsidRPr="00115F41">
        <w:rPr>
          <w:rFonts w:ascii="Times New Roman" w:hAnsi="Times New Roman"/>
          <w:lang w:val="en-US"/>
        </w:rPr>
        <w:t>Khoản 1 Điều 5 Nghị định 18/2022/NĐ-CP</w:t>
      </w:r>
    </w:p>
  </w:footnote>
  <w:footnote w:id="3">
    <w:p w14:paraId="726812DB" w14:textId="77777777" w:rsidR="001E0A5F" w:rsidRPr="00115F41" w:rsidRDefault="001E0A5F">
      <w:pPr>
        <w:pStyle w:val="FootnoteText"/>
        <w:rPr>
          <w:rFonts w:ascii="Times New Roman" w:hAnsi="Times New Roman"/>
          <w:lang w:val="en-US"/>
        </w:rPr>
      </w:pPr>
      <w:r w:rsidRPr="00115F41">
        <w:rPr>
          <w:rStyle w:val="FootnoteReference"/>
          <w:rFonts w:ascii="Times New Roman" w:hAnsi="Times New Roman"/>
        </w:rPr>
        <w:footnoteRef/>
      </w:r>
      <w:r w:rsidRPr="00115F41">
        <w:rPr>
          <w:rFonts w:ascii="Times New Roman" w:hAnsi="Times New Roman"/>
        </w:rPr>
        <w:t xml:space="preserve"> </w:t>
      </w:r>
      <w:r w:rsidRPr="00115F41">
        <w:rPr>
          <w:rFonts w:ascii="Times New Roman" w:hAnsi="Times New Roman"/>
          <w:lang w:val="en-US"/>
        </w:rPr>
        <w:t>Khoản 1, 2, 3 Điều 21 Nghị định 18/2022/NĐ-CP</w:t>
      </w:r>
    </w:p>
  </w:footnote>
  <w:footnote w:id="4">
    <w:p w14:paraId="1DA8594A" w14:textId="77777777" w:rsidR="000A23B8" w:rsidRPr="000A23B8" w:rsidRDefault="000A23B8">
      <w:pPr>
        <w:pStyle w:val="FootnoteText"/>
        <w:rPr>
          <w:lang w:val="en-US"/>
        </w:rPr>
      </w:pPr>
      <w:r w:rsidRPr="00115F41">
        <w:rPr>
          <w:rStyle w:val="FootnoteReference"/>
          <w:rFonts w:ascii="Times New Roman" w:hAnsi="Times New Roman"/>
        </w:rPr>
        <w:footnoteRef/>
      </w:r>
      <w:r w:rsidRPr="00115F41">
        <w:rPr>
          <w:rFonts w:ascii="Times New Roman" w:hAnsi="Times New Roman"/>
        </w:rPr>
        <w:t xml:space="preserve"> </w:t>
      </w:r>
      <w:r w:rsidRPr="00115F41">
        <w:rPr>
          <w:rFonts w:ascii="Times New Roman" w:hAnsi="Times New Roman"/>
          <w:lang w:val="en-US"/>
        </w:rPr>
        <w:t>Khoản 2, 3 Điều 21 Nghị định 18/2022/NĐ-CP</w:t>
      </w:r>
    </w:p>
  </w:footnote>
  <w:footnote w:id="5">
    <w:p w14:paraId="5E763DC7" w14:textId="77777777" w:rsidR="00F8305C" w:rsidRPr="00F8305C" w:rsidRDefault="00F8305C">
      <w:pPr>
        <w:pStyle w:val="FootnoteText"/>
        <w:rPr>
          <w:lang w:val="en-US"/>
        </w:rPr>
      </w:pPr>
      <w:r>
        <w:rPr>
          <w:rStyle w:val="FootnoteReference"/>
        </w:rPr>
        <w:footnoteRef/>
      </w:r>
      <w:r>
        <w:t xml:space="preserve"> </w:t>
      </w:r>
      <w:r w:rsidRPr="00F8305C">
        <w:rPr>
          <w:rFonts w:ascii="Times New Roman" w:hAnsi="Times New Roman"/>
          <w:lang w:val="en-US"/>
        </w:rPr>
        <w:t>Khoản 7 Điều 21 Nghị định 18/2022/NĐ-CP</w:t>
      </w:r>
    </w:p>
  </w:footnote>
  <w:footnote w:id="6">
    <w:p w14:paraId="792CE996" w14:textId="77777777" w:rsidR="00E14252" w:rsidRPr="00E14252" w:rsidRDefault="00E14252">
      <w:pPr>
        <w:pStyle w:val="FootnoteText"/>
        <w:rPr>
          <w:rFonts w:ascii="Times New Roman" w:hAnsi="Times New Roman"/>
          <w:lang w:val="en-US"/>
        </w:rPr>
      </w:pPr>
      <w:r w:rsidRPr="00E14252">
        <w:rPr>
          <w:rStyle w:val="FootnoteReference"/>
          <w:rFonts w:ascii="Times New Roman" w:hAnsi="Times New Roman"/>
        </w:rPr>
        <w:footnoteRef/>
      </w:r>
      <w:r w:rsidRPr="00E14252">
        <w:rPr>
          <w:rFonts w:ascii="Times New Roman" w:hAnsi="Times New Roman"/>
        </w:rPr>
        <w:t xml:space="preserve"> </w:t>
      </w:r>
      <w:r w:rsidRPr="00E14252">
        <w:rPr>
          <w:rFonts w:ascii="Times New Roman" w:hAnsi="Times New Roman"/>
          <w:lang w:val="en-US"/>
        </w:rPr>
        <w:t xml:space="preserve">Theo Đề nghị của Bộ Ngoại giao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DB0B" w14:textId="77777777" w:rsidR="00E50B26" w:rsidRPr="00A77132" w:rsidRDefault="00E50B26">
    <w:pPr>
      <w:pStyle w:val="Header"/>
      <w:jc w:val="center"/>
      <w:rPr>
        <w:rFonts w:ascii="Times New Roman" w:hAnsi="Times New Roman"/>
      </w:rPr>
    </w:pPr>
    <w:r w:rsidRPr="00A77132">
      <w:rPr>
        <w:rFonts w:ascii="Times New Roman" w:hAnsi="Times New Roman"/>
      </w:rPr>
      <w:fldChar w:fldCharType="begin"/>
    </w:r>
    <w:r w:rsidRPr="00A77132">
      <w:rPr>
        <w:rFonts w:ascii="Times New Roman" w:hAnsi="Times New Roman"/>
      </w:rPr>
      <w:instrText xml:space="preserve"> PAGE   \* MERGEFORMAT </w:instrText>
    </w:r>
    <w:r w:rsidRPr="00A77132">
      <w:rPr>
        <w:rFonts w:ascii="Times New Roman" w:hAnsi="Times New Roman"/>
      </w:rPr>
      <w:fldChar w:fldCharType="separate"/>
    </w:r>
    <w:r w:rsidR="008E5BBB">
      <w:rPr>
        <w:rFonts w:ascii="Times New Roman" w:hAnsi="Times New Roman"/>
        <w:noProof/>
      </w:rPr>
      <w:t>7</w:t>
    </w:r>
    <w:r w:rsidRPr="00A77132">
      <w:rPr>
        <w:rFonts w:ascii="Times New Roman" w:hAnsi="Times New Roman"/>
      </w:rPr>
      <w:fldChar w:fldCharType="end"/>
    </w:r>
  </w:p>
  <w:p w14:paraId="40821D85" w14:textId="77777777" w:rsidR="00E50B26" w:rsidRDefault="00E50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5BCE"/>
    <w:multiLevelType w:val="hybridMultilevel"/>
    <w:tmpl w:val="F83016A6"/>
    <w:lvl w:ilvl="0" w:tplc="07D00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D274C2"/>
    <w:multiLevelType w:val="hybridMultilevel"/>
    <w:tmpl w:val="F046380E"/>
    <w:lvl w:ilvl="0" w:tplc="8DDA4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E4"/>
    <w:rsid w:val="00002FB0"/>
    <w:rsid w:val="0000507E"/>
    <w:rsid w:val="000112AC"/>
    <w:rsid w:val="000159AD"/>
    <w:rsid w:val="0002287E"/>
    <w:rsid w:val="00032BEE"/>
    <w:rsid w:val="000330A0"/>
    <w:rsid w:val="000359AE"/>
    <w:rsid w:val="0004571A"/>
    <w:rsid w:val="000574E0"/>
    <w:rsid w:val="00071DDB"/>
    <w:rsid w:val="0008196F"/>
    <w:rsid w:val="00086CE2"/>
    <w:rsid w:val="00090699"/>
    <w:rsid w:val="000906DC"/>
    <w:rsid w:val="000946BC"/>
    <w:rsid w:val="000968E3"/>
    <w:rsid w:val="00096ED0"/>
    <w:rsid w:val="00096F3F"/>
    <w:rsid w:val="000A0721"/>
    <w:rsid w:val="000A23B8"/>
    <w:rsid w:val="000A33BD"/>
    <w:rsid w:val="000A35CB"/>
    <w:rsid w:val="000A51A1"/>
    <w:rsid w:val="000D1E87"/>
    <w:rsid w:val="000D466E"/>
    <w:rsid w:val="000E2081"/>
    <w:rsid w:val="000E4AA2"/>
    <w:rsid w:val="000E7DDA"/>
    <w:rsid w:val="000F6206"/>
    <w:rsid w:val="001041C7"/>
    <w:rsid w:val="00107064"/>
    <w:rsid w:val="0011129E"/>
    <w:rsid w:val="00115F41"/>
    <w:rsid w:val="00120DBB"/>
    <w:rsid w:val="00124044"/>
    <w:rsid w:val="00163EB9"/>
    <w:rsid w:val="00175B3B"/>
    <w:rsid w:val="00183714"/>
    <w:rsid w:val="00184A63"/>
    <w:rsid w:val="0019538A"/>
    <w:rsid w:val="001A10BD"/>
    <w:rsid w:val="001B15FD"/>
    <w:rsid w:val="001C6B66"/>
    <w:rsid w:val="001D5A2E"/>
    <w:rsid w:val="001E0A5F"/>
    <w:rsid w:val="001E7021"/>
    <w:rsid w:val="001E7AEC"/>
    <w:rsid w:val="001F00EC"/>
    <w:rsid w:val="001F263D"/>
    <w:rsid w:val="001F52D8"/>
    <w:rsid w:val="001F571A"/>
    <w:rsid w:val="00205611"/>
    <w:rsid w:val="00214157"/>
    <w:rsid w:val="00220F08"/>
    <w:rsid w:val="00222A7A"/>
    <w:rsid w:val="00240263"/>
    <w:rsid w:val="00240C24"/>
    <w:rsid w:val="0024173A"/>
    <w:rsid w:val="002447D8"/>
    <w:rsid w:val="00252CE4"/>
    <w:rsid w:val="00253269"/>
    <w:rsid w:val="00253A64"/>
    <w:rsid w:val="00260D8A"/>
    <w:rsid w:val="002638D4"/>
    <w:rsid w:val="00263935"/>
    <w:rsid w:val="00263DEF"/>
    <w:rsid w:val="00266BC2"/>
    <w:rsid w:val="0027348E"/>
    <w:rsid w:val="00273993"/>
    <w:rsid w:val="0027523D"/>
    <w:rsid w:val="00275317"/>
    <w:rsid w:val="00291B2D"/>
    <w:rsid w:val="00293C89"/>
    <w:rsid w:val="002A0285"/>
    <w:rsid w:val="002A11C9"/>
    <w:rsid w:val="002A6BCD"/>
    <w:rsid w:val="002A7619"/>
    <w:rsid w:val="002C21F4"/>
    <w:rsid w:val="002C3C61"/>
    <w:rsid w:val="002C3CA4"/>
    <w:rsid w:val="002C47CE"/>
    <w:rsid w:val="002D0616"/>
    <w:rsid w:val="002D56FE"/>
    <w:rsid w:val="002E7F42"/>
    <w:rsid w:val="00321E3D"/>
    <w:rsid w:val="00331314"/>
    <w:rsid w:val="00334F38"/>
    <w:rsid w:val="0033554F"/>
    <w:rsid w:val="00344022"/>
    <w:rsid w:val="003462F0"/>
    <w:rsid w:val="0034695B"/>
    <w:rsid w:val="00347594"/>
    <w:rsid w:val="00366A8D"/>
    <w:rsid w:val="00371DAD"/>
    <w:rsid w:val="00376CC1"/>
    <w:rsid w:val="00381118"/>
    <w:rsid w:val="00386FF2"/>
    <w:rsid w:val="00391223"/>
    <w:rsid w:val="00393339"/>
    <w:rsid w:val="003A1AED"/>
    <w:rsid w:val="003A5D79"/>
    <w:rsid w:val="003B2AB9"/>
    <w:rsid w:val="003B3698"/>
    <w:rsid w:val="003C2C69"/>
    <w:rsid w:val="003D49F7"/>
    <w:rsid w:val="003D5916"/>
    <w:rsid w:val="003E54FC"/>
    <w:rsid w:val="003F2638"/>
    <w:rsid w:val="003F2E93"/>
    <w:rsid w:val="003F51E9"/>
    <w:rsid w:val="00402449"/>
    <w:rsid w:val="00406174"/>
    <w:rsid w:val="004071A4"/>
    <w:rsid w:val="00417BCD"/>
    <w:rsid w:val="00417FEA"/>
    <w:rsid w:val="00420288"/>
    <w:rsid w:val="00422763"/>
    <w:rsid w:val="00422E13"/>
    <w:rsid w:val="004407DF"/>
    <w:rsid w:val="00441997"/>
    <w:rsid w:val="00455279"/>
    <w:rsid w:val="004658F8"/>
    <w:rsid w:val="004706D2"/>
    <w:rsid w:val="00484446"/>
    <w:rsid w:val="00486B1E"/>
    <w:rsid w:val="00487E73"/>
    <w:rsid w:val="0049153D"/>
    <w:rsid w:val="0049688A"/>
    <w:rsid w:val="0049781A"/>
    <w:rsid w:val="004C6BE7"/>
    <w:rsid w:val="004D219C"/>
    <w:rsid w:val="004D5B57"/>
    <w:rsid w:val="004E6F10"/>
    <w:rsid w:val="004F00C5"/>
    <w:rsid w:val="004F0D69"/>
    <w:rsid w:val="004F5629"/>
    <w:rsid w:val="00521300"/>
    <w:rsid w:val="005420AE"/>
    <w:rsid w:val="005453C4"/>
    <w:rsid w:val="00550B32"/>
    <w:rsid w:val="005533B7"/>
    <w:rsid w:val="005706B6"/>
    <w:rsid w:val="005708FD"/>
    <w:rsid w:val="005719C0"/>
    <w:rsid w:val="00571F5C"/>
    <w:rsid w:val="0059342C"/>
    <w:rsid w:val="00594358"/>
    <w:rsid w:val="005A65BF"/>
    <w:rsid w:val="005A7036"/>
    <w:rsid w:val="005C6632"/>
    <w:rsid w:val="005E06B5"/>
    <w:rsid w:val="005E7A97"/>
    <w:rsid w:val="005F2E62"/>
    <w:rsid w:val="00601581"/>
    <w:rsid w:val="006024B5"/>
    <w:rsid w:val="00613E74"/>
    <w:rsid w:val="006269F4"/>
    <w:rsid w:val="0063429D"/>
    <w:rsid w:val="00652ED9"/>
    <w:rsid w:val="00657CD5"/>
    <w:rsid w:val="00665C57"/>
    <w:rsid w:val="00666631"/>
    <w:rsid w:val="0067254B"/>
    <w:rsid w:val="006755C3"/>
    <w:rsid w:val="00677C52"/>
    <w:rsid w:val="00684E00"/>
    <w:rsid w:val="00687262"/>
    <w:rsid w:val="0069013B"/>
    <w:rsid w:val="00693C38"/>
    <w:rsid w:val="006A1200"/>
    <w:rsid w:val="006A262D"/>
    <w:rsid w:val="006A268E"/>
    <w:rsid w:val="006A45E3"/>
    <w:rsid w:val="006C113B"/>
    <w:rsid w:val="006D2E20"/>
    <w:rsid w:val="006E24EA"/>
    <w:rsid w:val="006F3142"/>
    <w:rsid w:val="006F330A"/>
    <w:rsid w:val="00715F5F"/>
    <w:rsid w:val="00717AFE"/>
    <w:rsid w:val="00717D14"/>
    <w:rsid w:val="00720EDD"/>
    <w:rsid w:val="00723821"/>
    <w:rsid w:val="00724F1C"/>
    <w:rsid w:val="007402BD"/>
    <w:rsid w:val="00740351"/>
    <w:rsid w:val="007430F9"/>
    <w:rsid w:val="00746591"/>
    <w:rsid w:val="00747640"/>
    <w:rsid w:val="00751184"/>
    <w:rsid w:val="00756652"/>
    <w:rsid w:val="00756A6D"/>
    <w:rsid w:val="00766E3B"/>
    <w:rsid w:val="00772810"/>
    <w:rsid w:val="00773CC8"/>
    <w:rsid w:val="00776AD4"/>
    <w:rsid w:val="007861ED"/>
    <w:rsid w:val="007A44EE"/>
    <w:rsid w:val="007A71EC"/>
    <w:rsid w:val="007B4BEB"/>
    <w:rsid w:val="007C0CF7"/>
    <w:rsid w:val="007C2A30"/>
    <w:rsid w:val="007C437E"/>
    <w:rsid w:val="007C4DAE"/>
    <w:rsid w:val="007C6FCC"/>
    <w:rsid w:val="007D124D"/>
    <w:rsid w:val="008035FA"/>
    <w:rsid w:val="00806F74"/>
    <w:rsid w:val="00820F21"/>
    <w:rsid w:val="008251BA"/>
    <w:rsid w:val="008300A9"/>
    <w:rsid w:val="00833B63"/>
    <w:rsid w:val="0083415C"/>
    <w:rsid w:val="008421AD"/>
    <w:rsid w:val="008421CE"/>
    <w:rsid w:val="00842208"/>
    <w:rsid w:val="0087712A"/>
    <w:rsid w:val="008772EC"/>
    <w:rsid w:val="00887EED"/>
    <w:rsid w:val="008962AD"/>
    <w:rsid w:val="008979EE"/>
    <w:rsid w:val="008A09C2"/>
    <w:rsid w:val="008A716F"/>
    <w:rsid w:val="008C0776"/>
    <w:rsid w:val="008C2984"/>
    <w:rsid w:val="008C3B53"/>
    <w:rsid w:val="008C7210"/>
    <w:rsid w:val="008C7435"/>
    <w:rsid w:val="008D0188"/>
    <w:rsid w:val="008E0730"/>
    <w:rsid w:val="008E2537"/>
    <w:rsid w:val="008E5BBB"/>
    <w:rsid w:val="008F20E2"/>
    <w:rsid w:val="008F270A"/>
    <w:rsid w:val="008F542F"/>
    <w:rsid w:val="00906779"/>
    <w:rsid w:val="00912590"/>
    <w:rsid w:val="0091698F"/>
    <w:rsid w:val="00922BB4"/>
    <w:rsid w:val="00922E78"/>
    <w:rsid w:val="00946F92"/>
    <w:rsid w:val="0095349A"/>
    <w:rsid w:val="00954630"/>
    <w:rsid w:val="00954674"/>
    <w:rsid w:val="00957268"/>
    <w:rsid w:val="009605E6"/>
    <w:rsid w:val="0096649F"/>
    <w:rsid w:val="00967218"/>
    <w:rsid w:val="00970F1E"/>
    <w:rsid w:val="0097179E"/>
    <w:rsid w:val="00987B73"/>
    <w:rsid w:val="009B122E"/>
    <w:rsid w:val="009B24F8"/>
    <w:rsid w:val="009B5FAC"/>
    <w:rsid w:val="00A15236"/>
    <w:rsid w:val="00A16276"/>
    <w:rsid w:val="00A17B5C"/>
    <w:rsid w:val="00A2085B"/>
    <w:rsid w:val="00A32FB8"/>
    <w:rsid w:val="00A36CDC"/>
    <w:rsid w:val="00A410BC"/>
    <w:rsid w:val="00A42243"/>
    <w:rsid w:val="00A53B63"/>
    <w:rsid w:val="00A53E3B"/>
    <w:rsid w:val="00A578BB"/>
    <w:rsid w:val="00A61D16"/>
    <w:rsid w:val="00A63994"/>
    <w:rsid w:val="00A7012F"/>
    <w:rsid w:val="00A77132"/>
    <w:rsid w:val="00A81EE5"/>
    <w:rsid w:val="00A82177"/>
    <w:rsid w:val="00AA10CD"/>
    <w:rsid w:val="00AA2AD7"/>
    <w:rsid w:val="00AB01E0"/>
    <w:rsid w:val="00AC187B"/>
    <w:rsid w:val="00AD6F8C"/>
    <w:rsid w:val="00AE2424"/>
    <w:rsid w:val="00B014EE"/>
    <w:rsid w:val="00B11DB6"/>
    <w:rsid w:val="00B205B3"/>
    <w:rsid w:val="00B24342"/>
    <w:rsid w:val="00B2655E"/>
    <w:rsid w:val="00B330D4"/>
    <w:rsid w:val="00B37748"/>
    <w:rsid w:val="00B42436"/>
    <w:rsid w:val="00B61503"/>
    <w:rsid w:val="00B67EFF"/>
    <w:rsid w:val="00B7040E"/>
    <w:rsid w:val="00B760B8"/>
    <w:rsid w:val="00B84AD7"/>
    <w:rsid w:val="00B971D5"/>
    <w:rsid w:val="00BA21B4"/>
    <w:rsid w:val="00BC4D56"/>
    <w:rsid w:val="00BD0C84"/>
    <w:rsid w:val="00BE0226"/>
    <w:rsid w:val="00BE4170"/>
    <w:rsid w:val="00C010C4"/>
    <w:rsid w:val="00C07756"/>
    <w:rsid w:val="00C10514"/>
    <w:rsid w:val="00C105F0"/>
    <w:rsid w:val="00C16770"/>
    <w:rsid w:val="00C16A46"/>
    <w:rsid w:val="00C25B17"/>
    <w:rsid w:val="00C35035"/>
    <w:rsid w:val="00C374E4"/>
    <w:rsid w:val="00C40D45"/>
    <w:rsid w:val="00C4379D"/>
    <w:rsid w:val="00C44A99"/>
    <w:rsid w:val="00C53280"/>
    <w:rsid w:val="00C55D9D"/>
    <w:rsid w:val="00C5690E"/>
    <w:rsid w:val="00C576DF"/>
    <w:rsid w:val="00C635C1"/>
    <w:rsid w:val="00C85E26"/>
    <w:rsid w:val="00CA2B0E"/>
    <w:rsid w:val="00CA3A6B"/>
    <w:rsid w:val="00CA4833"/>
    <w:rsid w:val="00CB5C86"/>
    <w:rsid w:val="00CC429E"/>
    <w:rsid w:val="00CD010C"/>
    <w:rsid w:val="00CD1B7B"/>
    <w:rsid w:val="00CD32D5"/>
    <w:rsid w:val="00CD5B33"/>
    <w:rsid w:val="00CD77E3"/>
    <w:rsid w:val="00CD7936"/>
    <w:rsid w:val="00CE2D89"/>
    <w:rsid w:val="00CE3228"/>
    <w:rsid w:val="00CE5D65"/>
    <w:rsid w:val="00CF06F7"/>
    <w:rsid w:val="00D06EBB"/>
    <w:rsid w:val="00D15324"/>
    <w:rsid w:val="00D17B6B"/>
    <w:rsid w:val="00D2085B"/>
    <w:rsid w:val="00D233CB"/>
    <w:rsid w:val="00D3692B"/>
    <w:rsid w:val="00D5544F"/>
    <w:rsid w:val="00D56886"/>
    <w:rsid w:val="00D605E1"/>
    <w:rsid w:val="00D65200"/>
    <w:rsid w:val="00D71F41"/>
    <w:rsid w:val="00D74646"/>
    <w:rsid w:val="00D74D27"/>
    <w:rsid w:val="00D85769"/>
    <w:rsid w:val="00D857D4"/>
    <w:rsid w:val="00D85C70"/>
    <w:rsid w:val="00D86D4A"/>
    <w:rsid w:val="00D94C50"/>
    <w:rsid w:val="00DA689C"/>
    <w:rsid w:val="00DB23A7"/>
    <w:rsid w:val="00DB5E7E"/>
    <w:rsid w:val="00DB73C9"/>
    <w:rsid w:val="00DB7C4D"/>
    <w:rsid w:val="00DC0240"/>
    <w:rsid w:val="00DC07A8"/>
    <w:rsid w:val="00DC2067"/>
    <w:rsid w:val="00DC44A6"/>
    <w:rsid w:val="00DD1F3C"/>
    <w:rsid w:val="00DD67FF"/>
    <w:rsid w:val="00DD71AD"/>
    <w:rsid w:val="00E010DF"/>
    <w:rsid w:val="00E0411D"/>
    <w:rsid w:val="00E10452"/>
    <w:rsid w:val="00E10A59"/>
    <w:rsid w:val="00E14252"/>
    <w:rsid w:val="00E1430B"/>
    <w:rsid w:val="00E264D7"/>
    <w:rsid w:val="00E35F9A"/>
    <w:rsid w:val="00E50B26"/>
    <w:rsid w:val="00E50B5A"/>
    <w:rsid w:val="00E606EF"/>
    <w:rsid w:val="00E63096"/>
    <w:rsid w:val="00E639D8"/>
    <w:rsid w:val="00E644C1"/>
    <w:rsid w:val="00E736B1"/>
    <w:rsid w:val="00E81D3D"/>
    <w:rsid w:val="00E84C95"/>
    <w:rsid w:val="00E955C5"/>
    <w:rsid w:val="00EA3797"/>
    <w:rsid w:val="00EB3F52"/>
    <w:rsid w:val="00EB4623"/>
    <w:rsid w:val="00EB4A4A"/>
    <w:rsid w:val="00EC7DAC"/>
    <w:rsid w:val="00ED474C"/>
    <w:rsid w:val="00EF05DB"/>
    <w:rsid w:val="00EF34CE"/>
    <w:rsid w:val="00EF4617"/>
    <w:rsid w:val="00F07874"/>
    <w:rsid w:val="00F16665"/>
    <w:rsid w:val="00F80EB6"/>
    <w:rsid w:val="00F8305C"/>
    <w:rsid w:val="00F87204"/>
    <w:rsid w:val="00F87CFE"/>
    <w:rsid w:val="00FA607B"/>
    <w:rsid w:val="00FB50E1"/>
    <w:rsid w:val="00FC420D"/>
    <w:rsid w:val="00FD22E5"/>
    <w:rsid w:val="00FD5BB8"/>
    <w:rsid w:val="00FD6411"/>
    <w:rsid w:val="00FF27E0"/>
    <w:rsid w:val="00FF37E5"/>
    <w:rsid w:val="00FF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E4"/>
    <w:pPr>
      <w:spacing w:after="200" w:line="276" w:lineRule="auto"/>
    </w:pPr>
    <w:rPr>
      <w:sz w:val="22"/>
      <w:szCs w:val="22"/>
    </w:rPr>
  </w:style>
  <w:style w:type="paragraph" w:styleId="Heading3">
    <w:name w:val="heading 3"/>
    <w:basedOn w:val="Normal"/>
    <w:link w:val="Heading3Char"/>
    <w:uiPriority w:val="9"/>
    <w:qFormat/>
    <w:rsid w:val="008772E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CE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52CE4"/>
    <w:rPr>
      <w:rFonts w:ascii="Tahoma" w:hAnsi="Tahoma" w:cs="Tahoma"/>
      <w:sz w:val="16"/>
      <w:szCs w:val="16"/>
    </w:rPr>
  </w:style>
  <w:style w:type="paragraph" w:styleId="NormalWeb">
    <w:name w:val="Normal (Web)"/>
    <w:basedOn w:val="Normal"/>
    <w:uiPriority w:val="99"/>
    <w:unhideWhenUsed/>
    <w:rsid w:val="00252CE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52CE4"/>
    <w:pPr>
      <w:ind w:left="720"/>
      <w:contextualSpacing/>
    </w:pPr>
  </w:style>
  <w:style w:type="paragraph" w:styleId="FootnoteText">
    <w:name w:val="footnote text"/>
    <w:basedOn w:val="Normal"/>
    <w:link w:val="FootnoteTextChar"/>
    <w:uiPriority w:val="99"/>
    <w:semiHidden/>
    <w:unhideWhenUsed/>
    <w:rsid w:val="00252CE4"/>
    <w:pPr>
      <w:spacing w:after="0" w:line="240" w:lineRule="auto"/>
    </w:pPr>
    <w:rPr>
      <w:sz w:val="20"/>
      <w:szCs w:val="20"/>
      <w:lang w:val="x-none" w:eastAsia="x-none"/>
    </w:rPr>
  </w:style>
  <w:style w:type="character" w:customStyle="1" w:styleId="FootnoteTextChar">
    <w:name w:val="Footnote Text Char"/>
    <w:link w:val="FootnoteText"/>
    <w:uiPriority w:val="99"/>
    <w:semiHidden/>
    <w:rsid w:val="00252CE4"/>
    <w:rPr>
      <w:sz w:val="20"/>
      <w:szCs w:val="20"/>
    </w:rPr>
  </w:style>
  <w:style w:type="character" w:styleId="FootnoteReference">
    <w:name w:val="footnote reference"/>
    <w:aliases w:val="Footnote,Ref,de nota al pie,Footnote text + 13 pt,Footnote text,ftref,Footnote Text1,BearingPoint,16 Point,Superscript 6 Point,fr,(NECG) Footnote Reference,BVI fnr,footnote ref,10 p,Footnote + Arial,10 pt,4_,E FNZ,4_G,Footnote di,4,f1"/>
    <w:unhideWhenUsed/>
    <w:qFormat/>
    <w:rsid w:val="00252CE4"/>
    <w:rPr>
      <w:vertAlign w:val="superscript"/>
    </w:rPr>
  </w:style>
  <w:style w:type="table" w:styleId="TableGrid">
    <w:name w:val="Table Grid"/>
    <w:basedOn w:val="TableNormal"/>
    <w:uiPriority w:val="59"/>
    <w:rsid w:val="00252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2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E4"/>
  </w:style>
  <w:style w:type="paragraph" w:styleId="Footer">
    <w:name w:val="footer"/>
    <w:basedOn w:val="Normal"/>
    <w:link w:val="FooterChar"/>
    <w:uiPriority w:val="99"/>
    <w:unhideWhenUsed/>
    <w:rsid w:val="00252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E4"/>
  </w:style>
  <w:style w:type="character" w:styleId="Strong">
    <w:name w:val="Strong"/>
    <w:uiPriority w:val="22"/>
    <w:qFormat/>
    <w:rsid w:val="00252CE4"/>
    <w:rPr>
      <w:b/>
      <w:bCs/>
    </w:rPr>
  </w:style>
  <w:style w:type="paragraph" w:styleId="CommentText">
    <w:name w:val="annotation text"/>
    <w:basedOn w:val="Normal"/>
    <w:link w:val="CommentTextChar"/>
    <w:uiPriority w:val="99"/>
    <w:semiHidden/>
    <w:unhideWhenUsed/>
    <w:rsid w:val="00252CE4"/>
    <w:pPr>
      <w:spacing w:line="240" w:lineRule="auto"/>
    </w:pPr>
    <w:rPr>
      <w:sz w:val="20"/>
      <w:szCs w:val="20"/>
      <w:lang w:val="x-none" w:eastAsia="x-none"/>
    </w:rPr>
  </w:style>
  <w:style w:type="character" w:customStyle="1" w:styleId="CommentTextChar">
    <w:name w:val="Comment Text Char"/>
    <w:link w:val="CommentText"/>
    <w:uiPriority w:val="99"/>
    <w:semiHidden/>
    <w:rsid w:val="00252CE4"/>
    <w:rPr>
      <w:sz w:val="20"/>
      <w:szCs w:val="20"/>
    </w:rPr>
  </w:style>
  <w:style w:type="paragraph" w:styleId="CommentSubject">
    <w:name w:val="annotation subject"/>
    <w:basedOn w:val="CommentText"/>
    <w:next w:val="CommentText"/>
    <w:link w:val="CommentSubjectChar"/>
    <w:uiPriority w:val="99"/>
    <w:semiHidden/>
    <w:unhideWhenUsed/>
    <w:rsid w:val="00252CE4"/>
    <w:rPr>
      <w:b/>
      <w:bCs/>
    </w:rPr>
  </w:style>
  <w:style w:type="character" w:customStyle="1" w:styleId="CommentSubjectChar">
    <w:name w:val="Comment Subject Char"/>
    <w:link w:val="CommentSubject"/>
    <w:uiPriority w:val="99"/>
    <w:semiHidden/>
    <w:rsid w:val="00252CE4"/>
    <w:rPr>
      <w:b/>
      <w:bCs/>
      <w:sz w:val="20"/>
      <w:szCs w:val="20"/>
    </w:rPr>
  </w:style>
  <w:style w:type="paragraph" w:styleId="Revision">
    <w:name w:val="Revision"/>
    <w:hidden/>
    <w:uiPriority w:val="99"/>
    <w:semiHidden/>
    <w:rsid w:val="00252CE4"/>
    <w:rPr>
      <w:sz w:val="22"/>
      <w:szCs w:val="22"/>
    </w:rPr>
  </w:style>
  <w:style w:type="paragraph" w:customStyle="1" w:styleId="list0020paragraph">
    <w:name w:val="list_0020paragraph"/>
    <w:basedOn w:val="Normal"/>
    <w:rsid w:val="007C4DAE"/>
    <w:pPr>
      <w:spacing w:before="100" w:beforeAutospacing="1" w:after="100" w:afterAutospacing="1" w:line="240" w:lineRule="auto"/>
    </w:pPr>
    <w:rPr>
      <w:rFonts w:ascii="Times New Roman" w:eastAsia="Times New Roman" w:hAnsi="Times New Roman"/>
      <w:sz w:val="24"/>
      <w:szCs w:val="24"/>
    </w:rPr>
  </w:style>
  <w:style w:type="character" w:customStyle="1" w:styleId="list0020paragraphchar">
    <w:name w:val="list_0020paragraph__char"/>
    <w:basedOn w:val="DefaultParagraphFont"/>
    <w:rsid w:val="00FA607B"/>
  </w:style>
  <w:style w:type="character" w:customStyle="1" w:styleId="Heading3Char">
    <w:name w:val="Heading 3 Char"/>
    <w:basedOn w:val="DefaultParagraphFont"/>
    <w:link w:val="Heading3"/>
    <w:uiPriority w:val="9"/>
    <w:rsid w:val="008772EC"/>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E4"/>
    <w:pPr>
      <w:spacing w:after="200" w:line="276" w:lineRule="auto"/>
    </w:pPr>
    <w:rPr>
      <w:sz w:val="22"/>
      <w:szCs w:val="22"/>
    </w:rPr>
  </w:style>
  <w:style w:type="paragraph" w:styleId="Heading3">
    <w:name w:val="heading 3"/>
    <w:basedOn w:val="Normal"/>
    <w:link w:val="Heading3Char"/>
    <w:uiPriority w:val="9"/>
    <w:qFormat/>
    <w:rsid w:val="008772E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CE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52CE4"/>
    <w:rPr>
      <w:rFonts w:ascii="Tahoma" w:hAnsi="Tahoma" w:cs="Tahoma"/>
      <w:sz w:val="16"/>
      <w:szCs w:val="16"/>
    </w:rPr>
  </w:style>
  <w:style w:type="paragraph" w:styleId="NormalWeb">
    <w:name w:val="Normal (Web)"/>
    <w:basedOn w:val="Normal"/>
    <w:uiPriority w:val="99"/>
    <w:unhideWhenUsed/>
    <w:rsid w:val="00252CE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52CE4"/>
    <w:pPr>
      <w:ind w:left="720"/>
      <w:contextualSpacing/>
    </w:pPr>
  </w:style>
  <w:style w:type="paragraph" w:styleId="FootnoteText">
    <w:name w:val="footnote text"/>
    <w:basedOn w:val="Normal"/>
    <w:link w:val="FootnoteTextChar"/>
    <w:uiPriority w:val="99"/>
    <w:semiHidden/>
    <w:unhideWhenUsed/>
    <w:rsid w:val="00252CE4"/>
    <w:pPr>
      <w:spacing w:after="0" w:line="240" w:lineRule="auto"/>
    </w:pPr>
    <w:rPr>
      <w:sz w:val="20"/>
      <w:szCs w:val="20"/>
      <w:lang w:val="x-none" w:eastAsia="x-none"/>
    </w:rPr>
  </w:style>
  <w:style w:type="character" w:customStyle="1" w:styleId="FootnoteTextChar">
    <w:name w:val="Footnote Text Char"/>
    <w:link w:val="FootnoteText"/>
    <w:uiPriority w:val="99"/>
    <w:semiHidden/>
    <w:rsid w:val="00252CE4"/>
    <w:rPr>
      <w:sz w:val="20"/>
      <w:szCs w:val="20"/>
    </w:rPr>
  </w:style>
  <w:style w:type="character" w:styleId="FootnoteReference">
    <w:name w:val="footnote reference"/>
    <w:aliases w:val="Footnote,Ref,de nota al pie,Footnote text + 13 pt,Footnote text,ftref,Footnote Text1,BearingPoint,16 Point,Superscript 6 Point,fr,(NECG) Footnote Reference,BVI fnr,footnote ref,10 p,Footnote + Arial,10 pt,4_,E FNZ,4_G,Footnote di,4,f1"/>
    <w:unhideWhenUsed/>
    <w:qFormat/>
    <w:rsid w:val="00252CE4"/>
    <w:rPr>
      <w:vertAlign w:val="superscript"/>
    </w:rPr>
  </w:style>
  <w:style w:type="table" w:styleId="TableGrid">
    <w:name w:val="Table Grid"/>
    <w:basedOn w:val="TableNormal"/>
    <w:uiPriority w:val="59"/>
    <w:rsid w:val="00252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2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E4"/>
  </w:style>
  <w:style w:type="paragraph" w:styleId="Footer">
    <w:name w:val="footer"/>
    <w:basedOn w:val="Normal"/>
    <w:link w:val="FooterChar"/>
    <w:uiPriority w:val="99"/>
    <w:unhideWhenUsed/>
    <w:rsid w:val="00252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E4"/>
  </w:style>
  <w:style w:type="character" w:styleId="Strong">
    <w:name w:val="Strong"/>
    <w:uiPriority w:val="22"/>
    <w:qFormat/>
    <w:rsid w:val="00252CE4"/>
    <w:rPr>
      <w:b/>
      <w:bCs/>
    </w:rPr>
  </w:style>
  <w:style w:type="paragraph" w:styleId="CommentText">
    <w:name w:val="annotation text"/>
    <w:basedOn w:val="Normal"/>
    <w:link w:val="CommentTextChar"/>
    <w:uiPriority w:val="99"/>
    <w:semiHidden/>
    <w:unhideWhenUsed/>
    <w:rsid w:val="00252CE4"/>
    <w:pPr>
      <w:spacing w:line="240" w:lineRule="auto"/>
    </w:pPr>
    <w:rPr>
      <w:sz w:val="20"/>
      <w:szCs w:val="20"/>
      <w:lang w:val="x-none" w:eastAsia="x-none"/>
    </w:rPr>
  </w:style>
  <w:style w:type="character" w:customStyle="1" w:styleId="CommentTextChar">
    <w:name w:val="Comment Text Char"/>
    <w:link w:val="CommentText"/>
    <w:uiPriority w:val="99"/>
    <w:semiHidden/>
    <w:rsid w:val="00252CE4"/>
    <w:rPr>
      <w:sz w:val="20"/>
      <w:szCs w:val="20"/>
    </w:rPr>
  </w:style>
  <w:style w:type="paragraph" w:styleId="CommentSubject">
    <w:name w:val="annotation subject"/>
    <w:basedOn w:val="CommentText"/>
    <w:next w:val="CommentText"/>
    <w:link w:val="CommentSubjectChar"/>
    <w:uiPriority w:val="99"/>
    <w:semiHidden/>
    <w:unhideWhenUsed/>
    <w:rsid w:val="00252CE4"/>
    <w:rPr>
      <w:b/>
      <w:bCs/>
    </w:rPr>
  </w:style>
  <w:style w:type="character" w:customStyle="1" w:styleId="CommentSubjectChar">
    <w:name w:val="Comment Subject Char"/>
    <w:link w:val="CommentSubject"/>
    <w:uiPriority w:val="99"/>
    <w:semiHidden/>
    <w:rsid w:val="00252CE4"/>
    <w:rPr>
      <w:b/>
      <w:bCs/>
      <w:sz w:val="20"/>
      <w:szCs w:val="20"/>
    </w:rPr>
  </w:style>
  <w:style w:type="paragraph" w:styleId="Revision">
    <w:name w:val="Revision"/>
    <w:hidden/>
    <w:uiPriority w:val="99"/>
    <w:semiHidden/>
    <w:rsid w:val="00252CE4"/>
    <w:rPr>
      <w:sz w:val="22"/>
      <w:szCs w:val="22"/>
    </w:rPr>
  </w:style>
  <w:style w:type="paragraph" w:customStyle="1" w:styleId="list0020paragraph">
    <w:name w:val="list_0020paragraph"/>
    <w:basedOn w:val="Normal"/>
    <w:rsid w:val="007C4DAE"/>
    <w:pPr>
      <w:spacing w:before="100" w:beforeAutospacing="1" w:after="100" w:afterAutospacing="1" w:line="240" w:lineRule="auto"/>
    </w:pPr>
    <w:rPr>
      <w:rFonts w:ascii="Times New Roman" w:eastAsia="Times New Roman" w:hAnsi="Times New Roman"/>
      <w:sz w:val="24"/>
      <w:szCs w:val="24"/>
    </w:rPr>
  </w:style>
  <w:style w:type="character" w:customStyle="1" w:styleId="list0020paragraphchar">
    <w:name w:val="list_0020paragraph__char"/>
    <w:basedOn w:val="DefaultParagraphFont"/>
    <w:rsid w:val="00FA607B"/>
  </w:style>
  <w:style w:type="character" w:customStyle="1" w:styleId="Heading3Char">
    <w:name w:val="Heading 3 Char"/>
    <w:basedOn w:val="DefaultParagraphFont"/>
    <w:link w:val="Heading3"/>
    <w:uiPriority w:val="9"/>
    <w:rsid w:val="008772EC"/>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6191">
      <w:bodyDiv w:val="1"/>
      <w:marLeft w:val="0"/>
      <w:marRight w:val="0"/>
      <w:marTop w:val="0"/>
      <w:marBottom w:val="0"/>
      <w:divBdr>
        <w:top w:val="none" w:sz="0" w:space="0" w:color="auto"/>
        <w:left w:val="none" w:sz="0" w:space="0" w:color="auto"/>
        <w:bottom w:val="none" w:sz="0" w:space="0" w:color="auto"/>
        <w:right w:val="none" w:sz="0" w:space="0" w:color="auto"/>
      </w:divBdr>
    </w:div>
    <w:div w:id="109320043">
      <w:bodyDiv w:val="1"/>
      <w:marLeft w:val="0"/>
      <w:marRight w:val="0"/>
      <w:marTop w:val="0"/>
      <w:marBottom w:val="0"/>
      <w:divBdr>
        <w:top w:val="none" w:sz="0" w:space="0" w:color="auto"/>
        <w:left w:val="none" w:sz="0" w:space="0" w:color="auto"/>
        <w:bottom w:val="none" w:sz="0" w:space="0" w:color="auto"/>
        <w:right w:val="none" w:sz="0" w:space="0" w:color="auto"/>
      </w:divBdr>
    </w:div>
    <w:div w:id="389503622">
      <w:bodyDiv w:val="1"/>
      <w:marLeft w:val="0"/>
      <w:marRight w:val="0"/>
      <w:marTop w:val="0"/>
      <w:marBottom w:val="0"/>
      <w:divBdr>
        <w:top w:val="none" w:sz="0" w:space="0" w:color="auto"/>
        <w:left w:val="none" w:sz="0" w:space="0" w:color="auto"/>
        <w:bottom w:val="none" w:sz="0" w:space="0" w:color="auto"/>
        <w:right w:val="none" w:sz="0" w:space="0" w:color="auto"/>
      </w:divBdr>
    </w:div>
    <w:div w:id="508520219">
      <w:bodyDiv w:val="1"/>
      <w:marLeft w:val="0"/>
      <w:marRight w:val="0"/>
      <w:marTop w:val="0"/>
      <w:marBottom w:val="0"/>
      <w:divBdr>
        <w:top w:val="none" w:sz="0" w:space="0" w:color="auto"/>
        <w:left w:val="none" w:sz="0" w:space="0" w:color="auto"/>
        <w:bottom w:val="none" w:sz="0" w:space="0" w:color="auto"/>
        <w:right w:val="none" w:sz="0" w:space="0" w:color="auto"/>
      </w:divBdr>
    </w:div>
    <w:div w:id="1242326779">
      <w:bodyDiv w:val="1"/>
      <w:marLeft w:val="0"/>
      <w:marRight w:val="0"/>
      <w:marTop w:val="0"/>
      <w:marBottom w:val="0"/>
      <w:divBdr>
        <w:top w:val="none" w:sz="0" w:space="0" w:color="auto"/>
        <w:left w:val="none" w:sz="0" w:space="0" w:color="auto"/>
        <w:bottom w:val="none" w:sz="0" w:space="0" w:color="auto"/>
        <w:right w:val="none" w:sz="0" w:space="0" w:color="auto"/>
      </w:divBdr>
    </w:div>
    <w:div w:id="1274442252">
      <w:bodyDiv w:val="1"/>
      <w:marLeft w:val="0"/>
      <w:marRight w:val="0"/>
      <w:marTop w:val="0"/>
      <w:marBottom w:val="0"/>
      <w:divBdr>
        <w:top w:val="none" w:sz="0" w:space="0" w:color="auto"/>
        <w:left w:val="none" w:sz="0" w:space="0" w:color="auto"/>
        <w:bottom w:val="none" w:sz="0" w:space="0" w:color="auto"/>
        <w:right w:val="none" w:sz="0" w:space="0" w:color="auto"/>
      </w:divBdr>
    </w:div>
    <w:div w:id="1323965847">
      <w:bodyDiv w:val="1"/>
      <w:marLeft w:val="0"/>
      <w:marRight w:val="0"/>
      <w:marTop w:val="0"/>
      <w:marBottom w:val="0"/>
      <w:divBdr>
        <w:top w:val="none" w:sz="0" w:space="0" w:color="auto"/>
        <w:left w:val="none" w:sz="0" w:space="0" w:color="auto"/>
        <w:bottom w:val="none" w:sz="0" w:space="0" w:color="auto"/>
        <w:right w:val="none" w:sz="0" w:space="0" w:color="auto"/>
      </w:divBdr>
    </w:div>
    <w:div w:id="1505977994">
      <w:bodyDiv w:val="1"/>
      <w:marLeft w:val="0"/>
      <w:marRight w:val="0"/>
      <w:marTop w:val="0"/>
      <w:marBottom w:val="0"/>
      <w:divBdr>
        <w:top w:val="none" w:sz="0" w:space="0" w:color="auto"/>
        <w:left w:val="none" w:sz="0" w:space="0" w:color="auto"/>
        <w:bottom w:val="none" w:sz="0" w:space="0" w:color="auto"/>
        <w:right w:val="none" w:sz="0" w:space="0" w:color="auto"/>
      </w:divBdr>
    </w:div>
    <w:div w:id="1626353452">
      <w:bodyDiv w:val="1"/>
      <w:marLeft w:val="0"/>
      <w:marRight w:val="0"/>
      <w:marTop w:val="0"/>
      <w:marBottom w:val="0"/>
      <w:divBdr>
        <w:top w:val="none" w:sz="0" w:space="0" w:color="auto"/>
        <w:left w:val="none" w:sz="0" w:space="0" w:color="auto"/>
        <w:bottom w:val="none" w:sz="0" w:space="0" w:color="auto"/>
        <w:right w:val="none" w:sz="0" w:space="0" w:color="auto"/>
      </w:divBdr>
    </w:div>
    <w:div w:id="1643774116">
      <w:bodyDiv w:val="1"/>
      <w:marLeft w:val="0"/>
      <w:marRight w:val="0"/>
      <w:marTop w:val="0"/>
      <w:marBottom w:val="0"/>
      <w:divBdr>
        <w:top w:val="none" w:sz="0" w:space="0" w:color="auto"/>
        <w:left w:val="none" w:sz="0" w:space="0" w:color="auto"/>
        <w:bottom w:val="none" w:sz="0" w:space="0" w:color="auto"/>
        <w:right w:val="none" w:sz="0" w:space="0" w:color="auto"/>
      </w:divBdr>
    </w:div>
    <w:div w:id="1656370516">
      <w:bodyDiv w:val="1"/>
      <w:marLeft w:val="0"/>
      <w:marRight w:val="0"/>
      <w:marTop w:val="0"/>
      <w:marBottom w:val="0"/>
      <w:divBdr>
        <w:top w:val="none" w:sz="0" w:space="0" w:color="auto"/>
        <w:left w:val="none" w:sz="0" w:space="0" w:color="auto"/>
        <w:bottom w:val="none" w:sz="0" w:space="0" w:color="auto"/>
        <w:right w:val="none" w:sz="0" w:space="0" w:color="auto"/>
      </w:divBdr>
    </w:div>
    <w:div w:id="1705516896">
      <w:bodyDiv w:val="1"/>
      <w:marLeft w:val="0"/>
      <w:marRight w:val="0"/>
      <w:marTop w:val="0"/>
      <w:marBottom w:val="0"/>
      <w:divBdr>
        <w:top w:val="none" w:sz="0" w:space="0" w:color="auto"/>
        <w:left w:val="none" w:sz="0" w:space="0" w:color="auto"/>
        <w:bottom w:val="none" w:sz="0" w:space="0" w:color="auto"/>
        <w:right w:val="none" w:sz="0" w:space="0" w:color="auto"/>
      </w:divBdr>
    </w:div>
    <w:div w:id="1806003054">
      <w:bodyDiv w:val="1"/>
      <w:marLeft w:val="0"/>
      <w:marRight w:val="0"/>
      <w:marTop w:val="0"/>
      <w:marBottom w:val="0"/>
      <w:divBdr>
        <w:top w:val="none" w:sz="0" w:space="0" w:color="auto"/>
        <w:left w:val="none" w:sz="0" w:space="0" w:color="auto"/>
        <w:bottom w:val="none" w:sz="0" w:space="0" w:color="auto"/>
        <w:right w:val="none" w:sz="0" w:space="0" w:color="auto"/>
      </w:divBdr>
    </w:div>
    <w:div w:id="1840465565">
      <w:bodyDiv w:val="1"/>
      <w:marLeft w:val="0"/>
      <w:marRight w:val="0"/>
      <w:marTop w:val="0"/>
      <w:marBottom w:val="0"/>
      <w:divBdr>
        <w:top w:val="none" w:sz="0" w:space="0" w:color="auto"/>
        <w:left w:val="none" w:sz="0" w:space="0" w:color="auto"/>
        <w:bottom w:val="none" w:sz="0" w:space="0" w:color="auto"/>
        <w:right w:val="none" w:sz="0" w:space="0" w:color="auto"/>
      </w:divBdr>
    </w:div>
    <w:div w:id="1848864258">
      <w:bodyDiv w:val="1"/>
      <w:marLeft w:val="0"/>
      <w:marRight w:val="0"/>
      <w:marTop w:val="0"/>
      <w:marBottom w:val="0"/>
      <w:divBdr>
        <w:top w:val="none" w:sz="0" w:space="0" w:color="auto"/>
        <w:left w:val="none" w:sz="0" w:space="0" w:color="auto"/>
        <w:bottom w:val="none" w:sz="0" w:space="0" w:color="auto"/>
        <w:right w:val="none" w:sz="0" w:space="0" w:color="auto"/>
      </w:divBdr>
    </w:div>
    <w:div w:id="19979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92602-E002-4735-9F23-488792A9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Linh</dc:creator>
  <cp:lastModifiedBy>hoaittdl</cp:lastModifiedBy>
  <cp:revision>2</cp:revision>
  <cp:lastPrinted>2025-08-21T03:09:00Z</cp:lastPrinted>
  <dcterms:created xsi:type="dcterms:W3CDTF">2025-12-04T07:28:00Z</dcterms:created>
  <dcterms:modified xsi:type="dcterms:W3CDTF">2025-12-04T07:28:00Z</dcterms:modified>
</cp:coreProperties>
</file>