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9" w:type="dxa"/>
        <w:tblInd w:w="-72" w:type="dxa"/>
        <w:tblLayout w:type="fixed"/>
        <w:tblLook w:val="0000"/>
      </w:tblPr>
      <w:tblGrid>
        <w:gridCol w:w="3060"/>
        <w:gridCol w:w="282"/>
        <w:gridCol w:w="6336"/>
        <w:gridCol w:w="991"/>
      </w:tblGrid>
      <w:tr w:rsidR="003B7DDA" w:rsidRPr="00E9745B" w:rsidTr="00F964C8">
        <w:trPr>
          <w:gridAfter w:val="1"/>
          <w:wAfter w:w="991" w:type="dxa"/>
        </w:trPr>
        <w:tc>
          <w:tcPr>
            <w:tcW w:w="3060" w:type="dxa"/>
          </w:tcPr>
          <w:p w:rsidR="003B7DDA" w:rsidRPr="00576AF8" w:rsidRDefault="003B7DDA" w:rsidP="00F964C8">
            <w:pPr>
              <w:widowControl w:val="0"/>
              <w:jc w:val="center"/>
              <w:rPr>
                <w:b/>
                <w:sz w:val="26"/>
                <w:szCs w:val="24"/>
                <w:lang w:val="nl-NL"/>
              </w:rPr>
            </w:pPr>
            <w:r w:rsidRPr="00576AF8">
              <w:rPr>
                <w:b/>
                <w:sz w:val="26"/>
                <w:szCs w:val="24"/>
                <w:lang w:val="nl-NL"/>
              </w:rPr>
              <w:t>BỘ TÀI CHÍNH</w:t>
            </w:r>
          </w:p>
          <w:p w:rsidR="003B7DDA" w:rsidRPr="00712F5E" w:rsidRDefault="003B7DDA" w:rsidP="00F964C8">
            <w:pPr>
              <w:widowControl w:val="0"/>
              <w:jc w:val="center"/>
              <w:rPr>
                <w:rFonts w:ascii="VnPalatino" w:hAnsi="VnPalatino"/>
                <w:lang w:val="nl-NL"/>
              </w:rPr>
            </w:pPr>
            <w:r w:rsidRPr="00712F5E">
              <w:rPr>
                <w:rFonts w:ascii="VnPalatino" w:hAnsi="VnPalatino"/>
                <w:vertAlign w:val="superscript"/>
                <w:lang w:val="nl-NL"/>
              </w:rPr>
              <w:t>_____</w:t>
            </w:r>
          </w:p>
        </w:tc>
        <w:tc>
          <w:tcPr>
            <w:tcW w:w="282" w:type="dxa"/>
          </w:tcPr>
          <w:p w:rsidR="003B7DDA" w:rsidRPr="00712F5E" w:rsidRDefault="003B7DDA" w:rsidP="00F964C8">
            <w:pPr>
              <w:widowControl w:val="0"/>
              <w:jc w:val="center"/>
              <w:rPr>
                <w:sz w:val="26"/>
                <w:lang w:val="nl-NL"/>
              </w:rPr>
            </w:pPr>
          </w:p>
        </w:tc>
        <w:tc>
          <w:tcPr>
            <w:tcW w:w="6336" w:type="dxa"/>
          </w:tcPr>
          <w:p w:rsidR="003B7DDA" w:rsidRPr="00576AF8" w:rsidRDefault="003B7DDA" w:rsidP="00F964C8">
            <w:pPr>
              <w:widowControl w:val="0"/>
              <w:ind w:left="-9" w:right="-786"/>
              <w:rPr>
                <w:b/>
                <w:sz w:val="26"/>
                <w:szCs w:val="24"/>
                <w:lang w:val="nl-NL"/>
              </w:rPr>
            </w:pPr>
            <w:r>
              <w:rPr>
                <w:b/>
                <w:sz w:val="26"/>
                <w:szCs w:val="24"/>
                <w:lang w:val="nl-NL"/>
              </w:rPr>
              <w:t xml:space="preserve">     </w:t>
            </w:r>
            <w:r w:rsidRPr="00576AF8">
              <w:rPr>
                <w:b/>
                <w:sz w:val="26"/>
                <w:szCs w:val="24"/>
                <w:lang w:val="nl-NL"/>
              </w:rPr>
              <w:t>CỘNG HOÀ XÃ HỘI CHỦ NGHĨA VIỆT NAM</w:t>
            </w:r>
          </w:p>
          <w:p w:rsidR="003B7DDA" w:rsidRPr="00E9745B" w:rsidRDefault="003B7DDA" w:rsidP="00F964C8">
            <w:pPr>
              <w:widowControl w:val="0"/>
              <w:jc w:val="center"/>
              <w:rPr>
                <w:rFonts w:ascii="VnPalatino" w:hAnsi="VnPalatino"/>
                <w:lang w:val="nl-NL"/>
              </w:rPr>
            </w:pPr>
            <w:r w:rsidRPr="00E9745B">
              <w:rPr>
                <w:b/>
                <w:lang w:val="nl-NL"/>
              </w:rPr>
              <w:t>Độc lập - Tự do - Hạnh phúc</w:t>
            </w:r>
          </w:p>
        </w:tc>
      </w:tr>
      <w:tr w:rsidR="003B7DDA" w:rsidRPr="00712F5E" w:rsidTr="00F964C8">
        <w:tc>
          <w:tcPr>
            <w:tcW w:w="3060" w:type="dxa"/>
          </w:tcPr>
          <w:p w:rsidR="003B7DDA" w:rsidRPr="0040078C" w:rsidRDefault="003B7DDA" w:rsidP="00F964C8">
            <w:pPr>
              <w:widowControl w:val="0"/>
              <w:jc w:val="center"/>
              <w:rPr>
                <w:b/>
                <w:sz w:val="26"/>
                <w:szCs w:val="26"/>
                <w:lang w:val="nl-NL"/>
              </w:rPr>
            </w:pPr>
          </w:p>
        </w:tc>
        <w:tc>
          <w:tcPr>
            <w:tcW w:w="282" w:type="dxa"/>
          </w:tcPr>
          <w:p w:rsidR="003B7DDA" w:rsidRPr="00712F5E" w:rsidRDefault="003B7DDA" w:rsidP="00F964C8">
            <w:pPr>
              <w:widowControl w:val="0"/>
              <w:jc w:val="center"/>
              <w:rPr>
                <w:sz w:val="26"/>
                <w:lang w:val="nl-NL"/>
              </w:rPr>
            </w:pPr>
          </w:p>
        </w:tc>
        <w:tc>
          <w:tcPr>
            <w:tcW w:w="6336" w:type="dxa"/>
          </w:tcPr>
          <w:p w:rsidR="003B7DDA" w:rsidRPr="00712F5E" w:rsidRDefault="003B7DDA" w:rsidP="00214652">
            <w:pPr>
              <w:widowControl w:val="0"/>
              <w:jc w:val="center"/>
              <w:rPr>
                <w:rFonts w:ascii=".VnCentury SchoolbookH" w:hAnsi=".VnCentury SchoolbookH"/>
                <w:b/>
                <w:sz w:val="22"/>
                <w:lang w:val="nl-NL"/>
              </w:rPr>
            </w:pPr>
            <w:r w:rsidRPr="00712F5E">
              <w:rPr>
                <w:b/>
                <w:sz w:val="22"/>
                <w:vertAlign w:val="superscript"/>
                <w:lang w:val="nl-NL"/>
              </w:rPr>
              <w:t>________________________________________________</w:t>
            </w:r>
          </w:p>
        </w:tc>
        <w:tc>
          <w:tcPr>
            <w:tcW w:w="991" w:type="dxa"/>
          </w:tcPr>
          <w:p w:rsidR="003B7DDA" w:rsidRPr="00712F5E" w:rsidRDefault="003B7DDA" w:rsidP="00F964C8">
            <w:pPr>
              <w:widowControl w:val="0"/>
              <w:rPr>
                <w:b/>
                <w:sz w:val="16"/>
                <w:lang w:val="nl-NL"/>
              </w:rPr>
            </w:pPr>
          </w:p>
        </w:tc>
      </w:tr>
      <w:tr w:rsidR="003B7DDA" w:rsidRPr="00050CCB" w:rsidTr="00F964C8">
        <w:trPr>
          <w:gridAfter w:val="1"/>
          <w:wAfter w:w="991" w:type="dxa"/>
        </w:trPr>
        <w:tc>
          <w:tcPr>
            <w:tcW w:w="3060" w:type="dxa"/>
          </w:tcPr>
          <w:p w:rsidR="003B7DDA" w:rsidRPr="00712F5E" w:rsidRDefault="003B7DDA" w:rsidP="008D35BA">
            <w:pPr>
              <w:widowControl w:val="0"/>
              <w:jc w:val="center"/>
              <w:rPr>
                <w:sz w:val="24"/>
                <w:lang w:val="nl-NL"/>
              </w:rPr>
            </w:pPr>
            <w:r>
              <w:rPr>
                <w:sz w:val="26"/>
                <w:szCs w:val="26"/>
                <w:lang w:val="nl-NL"/>
              </w:rPr>
              <w:t xml:space="preserve">Số: </w:t>
            </w:r>
            <w:r w:rsidR="008D35BA">
              <w:rPr>
                <w:sz w:val="26"/>
                <w:szCs w:val="26"/>
                <w:lang w:val="nl-NL"/>
              </w:rPr>
              <w:t xml:space="preserve">         </w:t>
            </w:r>
            <w:r w:rsidRPr="0040078C">
              <w:rPr>
                <w:sz w:val="26"/>
                <w:szCs w:val="26"/>
                <w:lang w:val="nl-NL"/>
              </w:rPr>
              <w:t>/TTr-BTC</w:t>
            </w:r>
          </w:p>
        </w:tc>
        <w:tc>
          <w:tcPr>
            <w:tcW w:w="282" w:type="dxa"/>
          </w:tcPr>
          <w:p w:rsidR="003B7DDA" w:rsidRPr="00712F5E" w:rsidRDefault="003B7DDA" w:rsidP="00F964C8">
            <w:pPr>
              <w:widowControl w:val="0"/>
              <w:jc w:val="center"/>
              <w:rPr>
                <w:sz w:val="26"/>
                <w:lang w:val="nl-NL"/>
              </w:rPr>
            </w:pPr>
          </w:p>
        </w:tc>
        <w:tc>
          <w:tcPr>
            <w:tcW w:w="6336" w:type="dxa"/>
          </w:tcPr>
          <w:p w:rsidR="003B7DDA" w:rsidRDefault="003B7DDA" w:rsidP="009A34B7">
            <w:pPr>
              <w:widowControl w:val="0"/>
              <w:jc w:val="center"/>
              <w:rPr>
                <w:i/>
                <w:lang w:val="nl-NL"/>
              </w:rPr>
            </w:pPr>
            <w:r>
              <w:rPr>
                <w:i/>
                <w:lang w:val="nl-NL"/>
              </w:rPr>
              <w:t>H</w:t>
            </w:r>
            <w:r w:rsidRPr="0040078C">
              <w:rPr>
                <w:i/>
                <w:lang w:val="nl-NL"/>
              </w:rPr>
              <w:t xml:space="preserve">à Nội, ngày </w:t>
            </w:r>
            <w:r w:rsidR="008D35BA">
              <w:rPr>
                <w:i/>
                <w:lang w:val="nl-NL"/>
              </w:rPr>
              <w:t xml:space="preserve">      </w:t>
            </w:r>
            <w:r w:rsidRPr="0040078C">
              <w:rPr>
                <w:i/>
                <w:lang w:val="nl-NL"/>
              </w:rPr>
              <w:t xml:space="preserve"> tháng</w:t>
            </w:r>
            <w:r w:rsidR="00E01E54">
              <w:rPr>
                <w:i/>
                <w:lang w:val="nl-NL"/>
              </w:rPr>
              <w:t xml:space="preserve">  </w:t>
            </w:r>
            <w:r>
              <w:rPr>
                <w:i/>
                <w:lang w:val="nl-NL"/>
              </w:rPr>
              <w:t xml:space="preserve"> </w:t>
            </w:r>
            <w:r w:rsidR="002B1B7D">
              <w:rPr>
                <w:i/>
                <w:lang w:val="nl-NL"/>
              </w:rPr>
              <w:t xml:space="preserve"> </w:t>
            </w:r>
            <w:r>
              <w:rPr>
                <w:i/>
                <w:lang w:val="nl-NL"/>
              </w:rPr>
              <w:t xml:space="preserve"> </w:t>
            </w:r>
            <w:r w:rsidRPr="0040078C">
              <w:rPr>
                <w:i/>
                <w:lang w:val="nl-NL"/>
              </w:rPr>
              <w:t>năm 20</w:t>
            </w:r>
            <w:r w:rsidR="00852ABB">
              <w:rPr>
                <w:i/>
                <w:lang w:val="nl-NL"/>
              </w:rPr>
              <w:t>2</w:t>
            </w:r>
            <w:r w:rsidR="00F93FDA">
              <w:rPr>
                <w:i/>
                <w:lang w:val="nl-NL"/>
              </w:rPr>
              <w:t>5</w:t>
            </w:r>
          </w:p>
          <w:p w:rsidR="003F4BCB" w:rsidRPr="0040078C" w:rsidRDefault="003F4BCB" w:rsidP="009A34B7">
            <w:pPr>
              <w:widowControl w:val="0"/>
              <w:jc w:val="center"/>
              <w:rPr>
                <w:b/>
                <w:lang w:val="nl-NL"/>
              </w:rPr>
            </w:pPr>
          </w:p>
        </w:tc>
      </w:tr>
    </w:tbl>
    <w:p w:rsidR="003B7DDA" w:rsidRDefault="003B7DDA" w:rsidP="003B7DDA">
      <w:pPr>
        <w:widowControl w:val="0"/>
        <w:jc w:val="both"/>
        <w:rPr>
          <w:lang w:val="nl-NL"/>
        </w:rPr>
      </w:pPr>
    </w:p>
    <w:p w:rsidR="003B7DDA" w:rsidRPr="00AF6C05" w:rsidRDefault="003B7DDA" w:rsidP="009F0B7C">
      <w:pPr>
        <w:widowControl w:val="0"/>
        <w:spacing w:before="120" w:after="120"/>
        <w:jc w:val="center"/>
        <w:outlineLvl w:val="0"/>
        <w:rPr>
          <w:b/>
          <w:sz w:val="26"/>
          <w:lang w:val="nl-NL"/>
        </w:rPr>
      </w:pPr>
      <w:r w:rsidRPr="00AF6C05">
        <w:rPr>
          <w:b/>
          <w:sz w:val="26"/>
          <w:lang w:val="nl-NL"/>
        </w:rPr>
        <w:t xml:space="preserve">TỜ TRÌNH </w:t>
      </w:r>
    </w:p>
    <w:p w:rsidR="00E0598E" w:rsidRDefault="007C6CBE" w:rsidP="00486069">
      <w:pPr>
        <w:widowControl w:val="0"/>
        <w:ind w:firstLine="709"/>
        <w:jc w:val="center"/>
        <w:rPr>
          <w:b/>
        </w:rPr>
      </w:pPr>
      <w:r>
        <w:rPr>
          <w:b/>
          <w:lang w:val="nl-NL"/>
        </w:rPr>
        <w:t xml:space="preserve">Về việc ban hành </w:t>
      </w:r>
      <w:r w:rsidR="008D35BA">
        <w:rPr>
          <w:b/>
        </w:rPr>
        <w:t xml:space="preserve">Nghị định </w:t>
      </w:r>
      <w:r w:rsidR="00486069">
        <w:rPr>
          <w:b/>
        </w:rPr>
        <w:t>quy định về bảo hiểm hưu trí bổ sung</w:t>
      </w:r>
    </w:p>
    <w:p w:rsidR="003B7DDA" w:rsidRDefault="003B7DDA" w:rsidP="003B7DDA">
      <w:pPr>
        <w:widowControl w:val="0"/>
        <w:jc w:val="center"/>
        <w:rPr>
          <w:b/>
          <w:sz w:val="22"/>
          <w:vertAlign w:val="superscript"/>
          <w:lang w:val="nl-NL"/>
        </w:rPr>
      </w:pPr>
      <w:r w:rsidRPr="00712F5E">
        <w:rPr>
          <w:b/>
          <w:sz w:val="22"/>
          <w:vertAlign w:val="superscript"/>
          <w:lang w:val="nl-NL"/>
        </w:rPr>
        <w:t>_____________________________________</w:t>
      </w:r>
    </w:p>
    <w:p w:rsidR="00A30788" w:rsidRDefault="00A30788" w:rsidP="00226680">
      <w:pPr>
        <w:widowControl w:val="0"/>
        <w:spacing w:before="240" w:after="240" w:line="340" w:lineRule="exact"/>
        <w:jc w:val="center"/>
        <w:outlineLvl w:val="0"/>
        <w:rPr>
          <w:lang w:val="nl-NL"/>
        </w:rPr>
      </w:pPr>
      <w:r w:rsidRPr="00FC63B6">
        <w:rPr>
          <w:lang w:val="nl-NL"/>
        </w:rPr>
        <w:t>Kính gửi: Chính phủ</w:t>
      </w:r>
      <w:r w:rsidR="00EC1F9D">
        <w:rPr>
          <w:lang w:val="nl-NL"/>
        </w:rPr>
        <w:t>.</w:t>
      </w:r>
    </w:p>
    <w:p w:rsidR="00F123E4" w:rsidRDefault="00F24E0D" w:rsidP="00D00524">
      <w:pPr>
        <w:widowControl w:val="0"/>
        <w:spacing w:before="100" w:after="100" w:line="330" w:lineRule="exact"/>
        <w:ind w:firstLine="697"/>
        <w:jc w:val="both"/>
        <w:rPr>
          <w:rFonts w:eastAsia="Calibri"/>
        </w:rPr>
      </w:pPr>
      <w:r w:rsidRPr="00335288">
        <w:rPr>
          <w:rFonts w:eastAsia="Calibri"/>
        </w:rPr>
        <w:t>Ngày 29/6/2024, Quốc hội đã thông qua Luật B</w:t>
      </w:r>
      <w:r w:rsidR="003769B2" w:rsidRPr="00335288">
        <w:rPr>
          <w:rFonts w:eastAsia="Calibri"/>
        </w:rPr>
        <w:t>ảo hiểm xã hội</w:t>
      </w:r>
      <w:r w:rsidRPr="00335288">
        <w:rPr>
          <w:rFonts w:eastAsia="Calibri"/>
        </w:rPr>
        <w:t xml:space="preserve"> (</w:t>
      </w:r>
      <w:r w:rsidR="003769B2" w:rsidRPr="00335288">
        <w:rPr>
          <w:rFonts w:eastAsia="Calibri"/>
        </w:rPr>
        <w:t>BHXH</w:t>
      </w:r>
      <w:r w:rsidR="00C27FE3" w:rsidRPr="00335288">
        <w:rPr>
          <w:rFonts w:eastAsia="Calibri"/>
        </w:rPr>
        <w:t xml:space="preserve">), trong đó </w:t>
      </w:r>
      <w:r w:rsidRPr="00335288">
        <w:rPr>
          <w:rFonts w:eastAsia="Calibri"/>
        </w:rPr>
        <w:t>quy định</w:t>
      </w:r>
      <w:r w:rsidR="003D2811" w:rsidRPr="00335288">
        <w:rPr>
          <w:rFonts w:eastAsia="Calibri"/>
        </w:rPr>
        <w:t xml:space="preserve"> các</w:t>
      </w:r>
      <w:r w:rsidRPr="00335288">
        <w:rPr>
          <w:rFonts w:eastAsia="Calibri"/>
        </w:rPr>
        <w:t xml:space="preserve"> nguyên tắc</w:t>
      </w:r>
      <w:r w:rsidR="00C27FE3" w:rsidRPr="00335288">
        <w:rPr>
          <w:rFonts w:eastAsia="Calibri"/>
        </w:rPr>
        <w:t xml:space="preserve"> triển khai</w:t>
      </w:r>
      <w:r w:rsidRPr="00335288">
        <w:rPr>
          <w:rFonts w:eastAsia="Calibri"/>
        </w:rPr>
        <w:t xml:space="preserve"> bảo hiểm hưu trí bổ sung</w:t>
      </w:r>
      <w:r w:rsidR="00C27FE3" w:rsidRPr="00335288">
        <w:rPr>
          <w:rFonts w:eastAsia="Calibri"/>
        </w:rPr>
        <w:t xml:space="preserve"> </w:t>
      </w:r>
      <w:r w:rsidR="003769B2" w:rsidRPr="00335288">
        <w:rPr>
          <w:rFonts w:eastAsia="Calibri"/>
        </w:rPr>
        <w:t>và giao Chính phủ quy định</w:t>
      </w:r>
      <w:r w:rsidR="00C27FE3" w:rsidRPr="00335288">
        <w:rPr>
          <w:rFonts w:eastAsia="Calibri"/>
        </w:rPr>
        <w:t xml:space="preserve"> về bảo hiểm</w:t>
      </w:r>
      <w:r w:rsidR="003D2811" w:rsidRPr="00335288">
        <w:rPr>
          <w:rFonts w:eastAsia="Calibri"/>
        </w:rPr>
        <w:t xml:space="preserve"> hưu trí bổ sung. </w:t>
      </w:r>
    </w:p>
    <w:p w:rsidR="00F123E4" w:rsidRDefault="00F24E0D" w:rsidP="00D00524">
      <w:pPr>
        <w:widowControl w:val="0"/>
        <w:spacing w:before="100" w:after="100" w:line="330" w:lineRule="exact"/>
        <w:ind w:firstLine="697"/>
        <w:jc w:val="both"/>
      </w:pPr>
      <w:r w:rsidRPr="00335288">
        <w:t>Ngày 27/7/2024, Thủ tướng Chính phủ đã ban hành Quyết định số 717/QĐ-TTg về Danh mục phân công cơ quan chủ trì soạn thảo văn bản quy định chi tiết thi hành các luật, nghị quyết được Quốc hội khóa XV thông qua tại Kỳ họp 7</w:t>
      </w:r>
      <w:r w:rsidR="00E01E54" w:rsidRPr="00335288">
        <w:t>,</w:t>
      </w:r>
      <w:r w:rsidRPr="00335288">
        <w:t xml:space="preserve"> </w:t>
      </w:r>
      <w:r w:rsidR="00E01E54" w:rsidRPr="00335288">
        <w:t>t</w:t>
      </w:r>
      <w:r w:rsidRPr="00335288">
        <w:t>rong đó giao Bộ Tài chính chủ trì, phối hợp với các Bộ, ngành xây dựng, trình Chính phủ ban hành Nghị định quy định về bảo hiểm hưu trí bổ sung</w:t>
      </w:r>
      <w:r w:rsidR="003D2811" w:rsidRPr="00335288">
        <w:t>.</w:t>
      </w:r>
    </w:p>
    <w:p w:rsidR="005C057C" w:rsidRDefault="00B92A01" w:rsidP="00D00524">
      <w:pPr>
        <w:widowControl w:val="0"/>
        <w:spacing w:before="100" w:after="100" w:line="330" w:lineRule="exact"/>
        <w:ind w:firstLine="697"/>
        <w:jc w:val="both"/>
        <w:rPr>
          <w:bCs/>
        </w:rPr>
      </w:pPr>
      <w:r>
        <w:rPr>
          <w:bCs/>
        </w:rPr>
        <w:t>T</w:t>
      </w:r>
      <w:r w:rsidR="001A2FE0">
        <w:rPr>
          <w:bCs/>
        </w:rPr>
        <w:t xml:space="preserve">rên cơ sở đánh giá kết quả triển khai hệ thống quỹ hưu trí bổ sung tự nguyện, tình hình hoạt động các quỹ hưu trí trên thế giới và diễn biến thị trường tài chính trong nước, </w:t>
      </w:r>
      <w:r w:rsidR="001A2FE0" w:rsidRPr="001A2FE0">
        <w:rPr>
          <w:bCs/>
        </w:rPr>
        <w:t xml:space="preserve">Bộ Tài chính đã báo cáo Lãnh đạo Chính phủ về việc triển khai xây dựng Nghị định về bảo hiểm hưu trí bổ sung tại các </w:t>
      </w:r>
      <w:r w:rsidR="00DE7C56">
        <w:rPr>
          <w:bCs/>
        </w:rPr>
        <w:t xml:space="preserve">Công </w:t>
      </w:r>
      <w:r w:rsidR="001A2FE0" w:rsidRPr="001A2FE0">
        <w:rPr>
          <w:bCs/>
        </w:rPr>
        <w:t>văn số 6668/BTC</w:t>
      </w:r>
      <w:r w:rsidR="00320B8E">
        <w:rPr>
          <w:bCs/>
        </w:rPr>
        <w:t>-</w:t>
      </w:r>
      <w:r w:rsidR="001A2FE0" w:rsidRPr="001A2FE0">
        <w:rPr>
          <w:bCs/>
        </w:rPr>
        <w:t>ĐCTC ngày 16</w:t>
      </w:r>
      <w:r w:rsidR="00DE7C56">
        <w:rPr>
          <w:bCs/>
        </w:rPr>
        <w:t>/</w:t>
      </w:r>
      <w:r w:rsidR="001A2FE0" w:rsidRPr="001A2FE0">
        <w:rPr>
          <w:bCs/>
        </w:rPr>
        <w:t>5</w:t>
      </w:r>
      <w:r w:rsidR="00DE7C56">
        <w:rPr>
          <w:bCs/>
        </w:rPr>
        <w:t>/</w:t>
      </w:r>
      <w:r w:rsidR="001A2FE0" w:rsidRPr="001A2FE0">
        <w:rPr>
          <w:bCs/>
        </w:rPr>
        <w:t>2025 và số 10388/BTC-ĐCTC ngày 10</w:t>
      </w:r>
      <w:r w:rsidR="00DE7C56">
        <w:rPr>
          <w:bCs/>
        </w:rPr>
        <w:t>/</w:t>
      </w:r>
      <w:r w:rsidR="001A2FE0" w:rsidRPr="001A2FE0">
        <w:rPr>
          <w:bCs/>
        </w:rPr>
        <w:t>7</w:t>
      </w:r>
      <w:r w:rsidR="00DE7C56">
        <w:rPr>
          <w:bCs/>
        </w:rPr>
        <w:t>/</w:t>
      </w:r>
      <w:r w:rsidR="00426D3D">
        <w:rPr>
          <w:bCs/>
        </w:rPr>
        <w:t>2025</w:t>
      </w:r>
      <w:r w:rsidR="001A2FE0" w:rsidRPr="001A2FE0">
        <w:rPr>
          <w:bCs/>
        </w:rPr>
        <w:t>.</w:t>
      </w:r>
      <w:r w:rsidR="001A2FE0">
        <w:rPr>
          <w:bCs/>
        </w:rPr>
        <w:t xml:space="preserve"> </w:t>
      </w:r>
      <w:r w:rsidR="001A2FE0" w:rsidRPr="001A2FE0">
        <w:rPr>
          <w:bCs/>
        </w:rPr>
        <w:t>Ngày 18/8/2025, V</w:t>
      </w:r>
      <w:r w:rsidR="00426D3D">
        <w:rPr>
          <w:bCs/>
        </w:rPr>
        <w:t>ăn phòng Chính phủ</w:t>
      </w:r>
      <w:r w:rsidR="001A2FE0" w:rsidRPr="001A2FE0">
        <w:rPr>
          <w:bCs/>
        </w:rPr>
        <w:t xml:space="preserve"> có Công văn số 7685/VPCP-KTTH thông báo ý kiến chỉ đạo của Phó Thủ tướng Hồ Đức Phớc giao Bộ Tài chính chủ trì, phối hợp với các Bộ, cơ quan liên quan hoàn thiện dự thảo Nghị định của Chính phủ về bảo hiểm hưu trí bổ sung bảo đảm khả thi, hiệu quả, phù hợp với thông lệ quốc tế và thực tiễn của Việt Nam, đúng quy định của Luật Bảo hiểm xã hội năm 2024, Luật Ban hành văn bản quy phạm pháp luật và các quy định có liên quan; trình Chính phủ trong quý IV năm 2025</w:t>
      </w:r>
      <w:r w:rsidR="001A2FE0">
        <w:rPr>
          <w:bCs/>
        </w:rPr>
        <w:t xml:space="preserve">. </w:t>
      </w:r>
    </w:p>
    <w:p w:rsidR="00F123E4" w:rsidRDefault="003D2811" w:rsidP="00D00524">
      <w:pPr>
        <w:widowControl w:val="0"/>
        <w:spacing w:before="100" w:after="100" w:line="330" w:lineRule="exact"/>
        <w:ind w:firstLine="697"/>
        <w:jc w:val="both"/>
        <w:rPr>
          <w:lang w:val="nl-NL"/>
        </w:rPr>
      </w:pPr>
      <w:r w:rsidRPr="00335288">
        <w:t>Triển khai nhiệm vụ được giao, s</w:t>
      </w:r>
      <w:r w:rsidR="0090345F" w:rsidRPr="00335288">
        <w:rPr>
          <w:bCs/>
          <w:lang w:val="nl-NL"/>
        </w:rPr>
        <w:t>au khi lấy ý kiến</w:t>
      </w:r>
      <w:r w:rsidR="0090345F" w:rsidRPr="00335288">
        <w:t xml:space="preserve"> các Bộ, ngành có liên quan, đối tượng chịu tác động</w:t>
      </w:r>
      <w:r w:rsidR="00610333" w:rsidRPr="00335288">
        <w:t>,</w:t>
      </w:r>
      <w:r w:rsidR="0090345F" w:rsidRPr="00335288">
        <w:t xml:space="preserve"> các chuyên gia, nhà khoa học</w:t>
      </w:r>
      <w:r w:rsidR="00610333" w:rsidRPr="00335288">
        <w:t xml:space="preserve"> </w:t>
      </w:r>
      <w:r w:rsidR="0090345F" w:rsidRPr="00335288">
        <w:t>theo quy trình soạn thảo văn bản quy phạm pháp luật</w:t>
      </w:r>
      <w:r w:rsidR="001A2FE0">
        <w:t>,</w:t>
      </w:r>
      <w:r w:rsidR="0090345F" w:rsidRPr="00335288">
        <w:t xml:space="preserve"> </w:t>
      </w:r>
      <w:r w:rsidR="0090345F" w:rsidRPr="00335288">
        <w:rPr>
          <w:bCs/>
          <w:lang w:val="nl-NL"/>
        </w:rPr>
        <w:t xml:space="preserve">Bộ Tài chính </w:t>
      </w:r>
      <w:r w:rsidR="00000546">
        <w:rPr>
          <w:bCs/>
          <w:lang w:val="nl-NL"/>
        </w:rPr>
        <w:t>đã tổng hợp, hoàn thiện dự thảo</w:t>
      </w:r>
      <w:r w:rsidR="0090345F" w:rsidRPr="00335288">
        <w:rPr>
          <w:bCs/>
          <w:lang w:val="nl-NL"/>
        </w:rPr>
        <w:t xml:space="preserve"> Nghị định </w:t>
      </w:r>
      <w:r w:rsidR="00D57C39" w:rsidRPr="00335288">
        <w:rPr>
          <w:bCs/>
          <w:lang w:val="nl-NL"/>
        </w:rPr>
        <w:t>quy định về bảo hiểm hưu trí bổ sung</w:t>
      </w:r>
      <w:r w:rsidR="00426D3D">
        <w:rPr>
          <w:bCs/>
          <w:lang w:val="nl-NL"/>
        </w:rPr>
        <w:t xml:space="preserve"> và báo cáo Chính phủ</w:t>
      </w:r>
      <w:r w:rsidR="00D57C39" w:rsidRPr="00335288">
        <w:rPr>
          <w:bCs/>
          <w:lang w:val="nl-NL"/>
        </w:rPr>
        <w:t xml:space="preserve"> như sau</w:t>
      </w:r>
      <w:r w:rsidR="00D86E71" w:rsidRPr="00335288">
        <w:rPr>
          <w:lang w:val="nl-NL"/>
        </w:rPr>
        <w:t xml:space="preserve">:  </w:t>
      </w:r>
      <w:r w:rsidR="00E045DA" w:rsidRPr="00335288">
        <w:rPr>
          <w:lang w:val="nl-NL"/>
        </w:rPr>
        <w:t xml:space="preserve"> </w:t>
      </w:r>
    </w:p>
    <w:p w:rsidR="00F123E4" w:rsidRDefault="005F7B96" w:rsidP="00D00524">
      <w:pPr>
        <w:widowControl w:val="0"/>
        <w:spacing w:before="100" w:after="100" w:line="330" w:lineRule="exact"/>
        <w:ind w:firstLine="697"/>
        <w:jc w:val="both"/>
        <w:outlineLvl w:val="0"/>
        <w:rPr>
          <w:b/>
          <w:lang w:val="pt-BR"/>
        </w:rPr>
      </w:pPr>
      <w:r w:rsidRPr="00335288">
        <w:rPr>
          <w:b/>
          <w:lang w:val="pt-BR"/>
        </w:rPr>
        <w:t xml:space="preserve">I. </w:t>
      </w:r>
      <w:r w:rsidR="00486069" w:rsidRPr="00335288">
        <w:rPr>
          <w:b/>
          <w:lang w:val="pt-BR"/>
        </w:rPr>
        <w:t>SỰ CẦN THIẾT BAN HÀNH NGHỊ ĐỊNH</w:t>
      </w:r>
      <w:r w:rsidR="001C0892" w:rsidRPr="00335288">
        <w:rPr>
          <w:b/>
          <w:lang w:val="pt-BR"/>
        </w:rPr>
        <w:t xml:space="preserve"> </w:t>
      </w:r>
    </w:p>
    <w:p w:rsidR="00F123E4" w:rsidRDefault="0003179D" w:rsidP="00D00524">
      <w:pPr>
        <w:widowControl w:val="0"/>
        <w:spacing w:before="100" w:after="100" w:line="330" w:lineRule="exact"/>
        <w:ind w:firstLine="720"/>
        <w:jc w:val="both"/>
        <w:rPr>
          <w:rFonts w:eastAsia="Calibri"/>
          <w:b/>
        </w:rPr>
      </w:pPr>
      <w:r w:rsidRPr="00335288">
        <w:rPr>
          <w:rFonts w:eastAsia="Calibri"/>
          <w:b/>
        </w:rPr>
        <w:t>1. C</w:t>
      </w:r>
      <w:r w:rsidR="001A2FE0">
        <w:rPr>
          <w:rFonts w:eastAsia="Calibri"/>
          <w:b/>
        </w:rPr>
        <w:t>ơ sở</w:t>
      </w:r>
      <w:r w:rsidRPr="00335288">
        <w:rPr>
          <w:rFonts w:eastAsia="Calibri"/>
          <w:b/>
        </w:rPr>
        <w:t xml:space="preserve"> cứ </w:t>
      </w:r>
      <w:r w:rsidR="001A2FE0">
        <w:rPr>
          <w:rFonts w:eastAsia="Calibri"/>
          <w:b/>
        </w:rPr>
        <w:t xml:space="preserve">chính trị, </w:t>
      </w:r>
      <w:r w:rsidRPr="00335288">
        <w:rPr>
          <w:rFonts w:eastAsia="Calibri"/>
          <w:b/>
        </w:rPr>
        <w:t>pháp lý:</w:t>
      </w:r>
    </w:p>
    <w:p w:rsidR="001A2FE0" w:rsidRPr="00320B8E" w:rsidRDefault="001A2FE0" w:rsidP="00D00524">
      <w:pPr>
        <w:widowControl w:val="0"/>
        <w:spacing w:before="100" w:after="100" w:line="330" w:lineRule="exact"/>
        <w:ind w:firstLine="720"/>
        <w:jc w:val="both"/>
        <w:rPr>
          <w:b/>
          <w:bCs/>
          <w:i/>
          <w:iCs/>
          <w:lang w:val="nl-NL"/>
        </w:rPr>
      </w:pPr>
      <w:r w:rsidRPr="00320B8E">
        <w:rPr>
          <w:b/>
          <w:bCs/>
          <w:i/>
          <w:iCs/>
          <w:lang w:val="nl-NL"/>
        </w:rPr>
        <w:t>1.1. Cơ sở chính trị</w:t>
      </w:r>
    </w:p>
    <w:p w:rsidR="001A2FE0" w:rsidRDefault="001A2FE0" w:rsidP="001A2FE0">
      <w:pPr>
        <w:widowControl w:val="0"/>
        <w:spacing w:before="100" w:after="100" w:line="330" w:lineRule="exact"/>
        <w:ind w:firstLine="720"/>
        <w:jc w:val="both"/>
        <w:rPr>
          <w:bCs/>
          <w:iCs/>
          <w:lang w:val="nl-NL"/>
        </w:rPr>
      </w:pPr>
      <w:r w:rsidRPr="00335288">
        <w:rPr>
          <w:rFonts w:eastAsia="Calibri"/>
        </w:rPr>
        <w:t xml:space="preserve">- </w:t>
      </w:r>
      <w:r w:rsidRPr="00335288">
        <w:t xml:space="preserve">Nghị quyết số </w:t>
      </w:r>
      <w:r w:rsidR="00F36255">
        <w:rPr>
          <w:lang w:val="vi-VN"/>
        </w:rPr>
        <w:t>28-</w:t>
      </w:r>
      <w:r w:rsidRPr="00335288">
        <w:t>NQ</w:t>
      </w:r>
      <w:r w:rsidR="00F36255">
        <w:rPr>
          <w:lang w:val="vi-VN"/>
        </w:rPr>
        <w:t>/</w:t>
      </w:r>
      <w:r w:rsidRPr="00335288">
        <w:t xml:space="preserve">TW </w:t>
      </w:r>
      <w:r w:rsidRPr="00335288">
        <w:rPr>
          <w:bCs/>
          <w:iCs/>
        </w:rPr>
        <w:t>ngày 23/5/2018 của Ban Chấp hành Trung ương khóa XII về cải cách chính sách bảo hiểm xã hội (Nghị quyết số 28)</w:t>
      </w:r>
      <w:r w:rsidRPr="00335288">
        <w:rPr>
          <w:bCs/>
          <w:iCs/>
          <w:lang w:val="nl-NL"/>
        </w:rPr>
        <w:t xml:space="preserve"> </w:t>
      </w:r>
      <w:r w:rsidR="0003220B">
        <w:rPr>
          <w:bCs/>
          <w:iCs/>
          <w:lang w:val="nl-NL"/>
        </w:rPr>
        <w:t xml:space="preserve">chủ </w:t>
      </w:r>
      <w:r w:rsidR="0003220B">
        <w:rPr>
          <w:bCs/>
          <w:iCs/>
          <w:lang w:val="nl-NL"/>
        </w:rPr>
        <w:lastRenderedPageBreak/>
        <w:t>trương</w:t>
      </w:r>
      <w:r w:rsidRPr="00335288">
        <w:rPr>
          <w:bCs/>
          <w:iCs/>
          <w:lang w:val="nl-NL"/>
        </w:rPr>
        <w:t xml:space="preserve"> một trong các nội dung cải cách là xây dựng hệ thống bảo hiểm xã hội đa tầng, bao gồm bảo hiểm hưu trí bổ sung để hướng tới mục tiêu “</w:t>
      </w:r>
      <w:r w:rsidRPr="00335288">
        <w:rPr>
          <w:bCs/>
          <w:i/>
          <w:lang w:val="nl-NL"/>
        </w:rPr>
        <w:t>từng bước mở rộng vững chắc diện bao phủ bảo hiểm xã hội, hướng tới mục tiêu bảo hiểm xã hội toàn dân</w:t>
      </w:r>
      <w:r w:rsidRPr="00335288">
        <w:rPr>
          <w:bCs/>
          <w:iCs/>
          <w:lang w:val="nl-NL"/>
        </w:rPr>
        <w:t>”; “</w:t>
      </w:r>
      <w:r w:rsidRPr="00335288">
        <w:rPr>
          <w:bCs/>
          <w:i/>
          <w:lang w:val="nl-NL"/>
        </w:rPr>
        <w:t>phát triển hệ thống bảo hiểm xã hội linh hoạt, đa dạng, đa tầng, hiện đại và hội nhập quốc tế”</w:t>
      </w:r>
      <w:r w:rsidRPr="00335288">
        <w:rPr>
          <w:bCs/>
          <w:iCs/>
          <w:lang w:val="nl-NL"/>
        </w:rPr>
        <w:t xml:space="preserve">, đảm bảo tính an toàn, bền vững trong dài hạn của hệ thống bảo hiểm xã hội và các chính sách bảo hiểm xã hội. Trong đó, bảo hiểm hưu trí bổ sung là </w:t>
      </w:r>
      <w:r w:rsidRPr="00335288">
        <w:rPr>
          <w:bCs/>
          <w:i/>
          <w:lang w:val="nl-NL"/>
        </w:rPr>
        <w:t>chế độ hưu trí tự nguyện theo nguyên tắc thị trường, tạo điều kiện cho người sử dụng lao động và người lao động có thêm sự lựa chọn tham gia đóng góp để được hưởng mức lương hưu cao hơn</w:t>
      </w:r>
      <w:r w:rsidRPr="00335288">
        <w:rPr>
          <w:bCs/>
          <w:iCs/>
          <w:lang w:val="nl-NL"/>
        </w:rPr>
        <w:t>.</w:t>
      </w:r>
    </w:p>
    <w:p w:rsidR="00426D3D" w:rsidRDefault="00426D3D" w:rsidP="00D00524">
      <w:pPr>
        <w:widowControl w:val="0"/>
        <w:spacing w:before="100" w:after="100" w:line="330" w:lineRule="exact"/>
        <w:ind w:firstLine="720"/>
        <w:jc w:val="both"/>
        <w:rPr>
          <w:bCs/>
          <w:iCs/>
          <w:spacing w:val="-2"/>
        </w:rPr>
      </w:pPr>
      <w:r>
        <w:rPr>
          <w:bCs/>
          <w:iCs/>
          <w:spacing w:val="-2"/>
        </w:rPr>
        <w:t xml:space="preserve">- Nghị quyết số </w:t>
      </w:r>
      <w:r w:rsidR="00F36255">
        <w:rPr>
          <w:bCs/>
          <w:iCs/>
          <w:spacing w:val="-2"/>
          <w:lang w:val="vi-VN"/>
        </w:rPr>
        <w:t>68-</w:t>
      </w:r>
      <w:r>
        <w:rPr>
          <w:bCs/>
          <w:iCs/>
          <w:spacing w:val="-2"/>
        </w:rPr>
        <w:t>NQ</w:t>
      </w:r>
      <w:r w:rsidR="00F36255">
        <w:rPr>
          <w:bCs/>
          <w:iCs/>
          <w:spacing w:val="-2"/>
          <w:lang w:val="vi-VN"/>
        </w:rPr>
        <w:t>/</w:t>
      </w:r>
      <w:r>
        <w:rPr>
          <w:bCs/>
          <w:iCs/>
          <w:spacing w:val="-2"/>
        </w:rPr>
        <w:t xml:space="preserve">TW ngày 4/5/2025 của Bộ Chính trị về phát triển kinh tế tư nhân </w:t>
      </w:r>
      <w:r w:rsidR="0003220B">
        <w:rPr>
          <w:bCs/>
          <w:iCs/>
          <w:spacing w:val="-2"/>
        </w:rPr>
        <w:t>chủ trương</w:t>
      </w:r>
      <w:r>
        <w:rPr>
          <w:bCs/>
          <w:iCs/>
          <w:spacing w:val="-2"/>
        </w:rPr>
        <w:t xml:space="preserve"> “</w:t>
      </w:r>
      <w:r w:rsidRPr="007C0404">
        <w:rPr>
          <w:bCs/>
          <w:i/>
          <w:spacing w:val="-2"/>
        </w:rPr>
        <w:t>nghiên cứu cho phép các định chế đầu tư tài chính mở rộng khả năng huy động vốn từ các nguồn như quỹ bảo hiểm xã hội, quỹ hưu trí tự nguyện để phát triển thị trường vốn, đặc biệt là vốn trung và dài hạn cho doanh nghiệp tư nhân</w:t>
      </w:r>
      <w:r>
        <w:rPr>
          <w:bCs/>
          <w:i/>
          <w:spacing w:val="-2"/>
        </w:rPr>
        <w:t>”</w:t>
      </w:r>
      <w:r w:rsidRPr="007C0404">
        <w:rPr>
          <w:bCs/>
          <w:iCs/>
          <w:spacing w:val="-2"/>
        </w:rPr>
        <w:t>.</w:t>
      </w:r>
    </w:p>
    <w:p w:rsidR="007C0404" w:rsidRDefault="007C0404" w:rsidP="00D00524">
      <w:pPr>
        <w:widowControl w:val="0"/>
        <w:spacing w:before="100" w:after="100" w:line="330" w:lineRule="exact"/>
        <w:ind w:firstLine="720"/>
        <w:jc w:val="both"/>
        <w:rPr>
          <w:bCs/>
          <w:iCs/>
          <w:spacing w:val="-2"/>
        </w:rPr>
      </w:pPr>
      <w:r>
        <w:rPr>
          <w:bCs/>
          <w:iCs/>
          <w:spacing w:val="-2"/>
        </w:rPr>
        <w:t xml:space="preserve">- Nghị quyết số 66-NQ/TW ngày 30/4/2025 của Bộ Chính trị về đổi mới công tác xây dựng và thi hành pháp luật đáp ứng yêu cầu phát triển đất nước trong kỷ nguyên mới </w:t>
      </w:r>
      <w:r w:rsidR="0003220B">
        <w:rPr>
          <w:bCs/>
          <w:iCs/>
          <w:spacing w:val="-2"/>
        </w:rPr>
        <w:t>chủ trương</w:t>
      </w:r>
      <w:r>
        <w:rPr>
          <w:bCs/>
          <w:iCs/>
          <w:spacing w:val="-2"/>
        </w:rPr>
        <w:t xml:space="preserve"> “</w:t>
      </w:r>
      <w:r w:rsidRPr="007C0404">
        <w:rPr>
          <w:bCs/>
          <w:i/>
          <w:spacing w:val="-2"/>
        </w:rPr>
        <w:t>triệt để cắt giảm, đơn giản hóa điều kiện đầu tư, kinh doanh, ngành nghề, thủ tục hành chính bất hợp lý</w:t>
      </w:r>
      <w:r>
        <w:rPr>
          <w:bCs/>
          <w:iCs/>
          <w:spacing w:val="-2"/>
        </w:rPr>
        <w:t>”.</w:t>
      </w:r>
    </w:p>
    <w:p w:rsidR="007C0404" w:rsidRPr="00320B8E" w:rsidRDefault="007C0404" w:rsidP="00D00524">
      <w:pPr>
        <w:widowControl w:val="0"/>
        <w:spacing w:before="100" w:after="100" w:line="330" w:lineRule="exact"/>
        <w:ind w:firstLine="720"/>
        <w:jc w:val="both"/>
        <w:rPr>
          <w:b/>
          <w:i/>
          <w:spacing w:val="-2"/>
        </w:rPr>
      </w:pPr>
      <w:r w:rsidRPr="00320B8E">
        <w:rPr>
          <w:b/>
          <w:i/>
          <w:spacing w:val="-2"/>
        </w:rPr>
        <w:t>1.2. Cơ sở pháp lý</w:t>
      </w:r>
    </w:p>
    <w:p w:rsidR="00F123E4" w:rsidRDefault="007C0404" w:rsidP="00D00524">
      <w:pPr>
        <w:widowControl w:val="0"/>
        <w:spacing w:before="100" w:after="100" w:line="330" w:lineRule="exact"/>
        <w:ind w:firstLine="720"/>
        <w:jc w:val="both"/>
        <w:rPr>
          <w:rFonts w:eastAsia="Calibri"/>
        </w:rPr>
      </w:pPr>
      <w:r>
        <w:rPr>
          <w:bCs/>
          <w:iCs/>
          <w:spacing w:val="-2"/>
        </w:rPr>
        <w:t xml:space="preserve">- </w:t>
      </w:r>
      <w:r w:rsidR="00BA7D44" w:rsidRPr="00335288">
        <w:rPr>
          <w:lang w:val="nl-NL"/>
        </w:rPr>
        <w:t xml:space="preserve">Luật BHXH năm 2014 quy định sản phẩm hưu trí bổ sung là </w:t>
      </w:r>
      <w:r w:rsidR="00BA7D44" w:rsidRPr="00335288">
        <w:rPr>
          <w:i/>
          <w:lang w:val="nl-NL"/>
        </w:rPr>
        <w:t>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w:t>
      </w:r>
      <w:r w:rsidR="00BA7D44" w:rsidRPr="00335288">
        <w:rPr>
          <w:lang w:val="nl-NL"/>
        </w:rPr>
        <w:t xml:space="preserve"> (khoản 7 Điều 3); và giao </w:t>
      </w:r>
      <w:r w:rsidR="00BA7D44" w:rsidRPr="00335288">
        <w:rPr>
          <w:i/>
          <w:lang w:val="nl-NL"/>
        </w:rPr>
        <w:t xml:space="preserve">Chính phủ quy định về bảo hiểm hưu trí bổ sung </w:t>
      </w:r>
      <w:r w:rsidR="00BA7D44" w:rsidRPr="00335288">
        <w:rPr>
          <w:lang w:val="nl-NL"/>
        </w:rPr>
        <w:t>(khoản 3 Điều 4). Luật Đầu tư năm 2014 quy định danh mục ngành nghề kinh doanh có điều kiện (phụ lục 4), trong đó bao gồm ngành nghề “</w:t>
      </w:r>
      <w:r w:rsidR="00BA7D44" w:rsidRPr="00335288">
        <w:rPr>
          <w:i/>
          <w:lang w:val="nl-NL"/>
        </w:rPr>
        <w:t>kinh doanh dịch vụ quản lý quỹ hưu trí tự nguyện</w:t>
      </w:r>
      <w:r w:rsidR="00BA7D44" w:rsidRPr="00335288">
        <w:rPr>
          <w:lang w:val="nl-NL"/>
        </w:rPr>
        <w:t>”.</w:t>
      </w:r>
      <w:r w:rsidR="001D3A6C" w:rsidRPr="00335288">
        <w:rPr>
          <w:lang w:val="nl-NL"/>
        </w:rPr>
        <w:t xml:space="preserve"> </w:t>
      </w:r>
      <w:r w:rsidR="003769B2" w:rsidRPr="00335288">
        <w:rPr>
          <w:rFonts w:eastAsia="Calibri"/>
        </w:rPr>
        <w:t xml:space="preserve">Triển khai Luật </w:t>
      </w:r>
      <w:r w:rsidR="00926899" w:rsidRPr="00335288">
        <w:rPr>
          <w:rFonts w:eastAsia="Calibri"/>
        </w:rPr>
        <w:t>BHXH</w:t>
      </w:r>
      <w:r w:rsidR="003769B2" w:rsidRPr="00335288">
        <w:rPr>
          <w:rFonts w:eastAsia="Calibri"/>
        </w:rPr>
        <w:t xml:space="preserve"> năm 2014, Luật Đầu tư năm 2014, Bộ Tài chính đã trình Chính phủ ban hành Nghị định số 88/2016/NĐ-CP ngày 01/7/2016 về chương trình hưu trí bổ sung tự nguyện (Nghị định số 88).</w:t>
      </w:r>
      <w:r w:rsidR="00926899" w:rsidRPr="00335288">
        <w:rPr>
          <w:rFonts w:eastAsia="Calibri"/>
        </w:rPr>
        <w:t xml:space="preserve"> </w:t>
      </w:r>
    </w:p>
    <w:p w:rsidR="00F123E4" w:rsidRDefault="00FD52F8" w:rsidP="00D00524">
      <w:pPr>
        <w:widowControl w:val="0"/>
        <w:spacing w:before="100" w:after="100" w:line="330" w:lineRule="exact"/>
        <w:ind w:firstLine="720"/>
        <w:jc w:val="both"/>
      </w:pPr>
      <w:r w:rsidRPr="00335288">
        <w:rPr>
          <w:rFonts w:eastAsia="Calibri"/>
        </w:rPr>
        <w:t xml:space="preserve">- Căn cứ định hướng tại Nghị quyết số 28, </w:t>
      </w:r>
      <w:r w:rsidR="00926899" w:rsidRPr="00335288">
        <w:rPr>
          <w:rFonts w:eastAsia="Calibri"/>
        </w:rPr>
        <w:t xml:space="preserve">Luật BHXH năm 2024 đã </w:t>
      </w:r>
      <w:r w:rsidR="005D5ED0" w:rsidRPr="00335288">
        <w:rPr>
          <w:rFonts w:eastAsia="Calibri"/>
        </w:rPr>
        <w:t>quy định</w:t>
      </w:r>
      <w:r w:rsidR="00926899" w:rsidRPr="00335288">
        <w:rPr>
          <w:rFonts w:eastAsia="Calibri"/>
        </w:rPr>
        <w:t xml:space="preserve"> một chương về bảo hiểm hưu trí bổ sung</w:t>
      </w:r>
      <w:r w:rsidR="005D5ED0" w:rsidRPr="00335288">
        <w:rPr>
          <w:rFonts w:eastAsia="Calibri"/>
        </w:rPr>
        <w:t xml:space="preserve"> bao gồm các</w:t>
      </w:r>
      <w:r w:rsidRPr="00335288">
        <w:rPr>
          <w:rFonts w:eastAsia="Calibri"/>
        </w:rPr>
        <w:t xml:space="preserve"> </w:t>
      </w:r>
      <w:r w:rsidR="000D29F3" w:rsidRPr="00335288">
        <w:rPr>
          <w:rFonts w:eastAsia="Calibri"/>
        </w:rPr>
        <w:t xml:space="preserve">nội dung </w:t>
      </w:r>
      <w:r w:rsidRPr="00335288">
        <w:rPr>
          <w:rFonts w:eastAsia="Calibri"/>
        </w:rPr>
        <w:t>về</w:t>
      </w:r>
      <w:r w:rsidR="00A33059" w:rsidRPr="00335288">
        <w:rPr>
          <w:rFonts w:eastAsia="Calibri"/>
        </w:rPr>
        <w:t>:</w:t>
      </w:r>
      <w:r w:rsidR="0009063A" w:rsidRPr="00335288">
        <w:rPr>
          <w:rFonts w:eastAsia="Calibri"/>
        </w:rPr>
        <w:t xml:space="preserve"> (i) đối tượng tham gia, (ii) nguyên tắc triển khai, </w:t>
      </w:r>
      <w:r w:rsidR="00D757EE" w:rsidRPr="00335288">
        <w:rPr>
          <w:rFonts w:eastAsia="Calibri"/>
        </w:rPr>
        <w:t>(iii) quỹ bảo hiểm hưu trí bổ sung</w:t>
      </w:r>
      <w:r w:rsidR="001C4E7C" w:rsidRPr="00335288">
        <w:rPr>
          <w:rFonts w:eastAsia="Calibri"/>
        </w:rPr>
        <w:t>,</w:t>
      </w:r>
      <w:r w:rsidR="00D757EE" w:rsidRPr="00335288">
        <w:rPr>
          <w:rFonts w:eastAsia="Calibri"/>
        </w:rPr>
        <w:t xml:space="preserve"> và (iv) chính sách của Nhà nước đối với bảo hiểm hưu trí bổ sung.</w:t>
      </w:r>
      <w:r w:rsidR="000D29F3" w:rsidRPr="00335288">
        <w:rPr>
          <w:rFonts w:eastAsia="Calibri"/>
        </w:rPr>
        <w:t xml:space="preserve"> </w:t>
      </w:r>
      <w:r w:rsidR="004E0524" w:rsidRPr="00335288">
        <w:t xml:space="preserve">Luật </w:t>
      </w:r>
      <w:r w:rsidR="00A33059" w:rsidRPr="00335288">
        <w:t xml:space="preserve">BHXH năm 2024 </w:t>
      </w:r>
      <w:r w:rsidR="004E0524" w:rsidRPr="00335288">
        <w:t xml:space="preserve">giao Chính phủ </w:t>
      </w:r>
      <w:r w:rsidR="004E0524" w:rsidRPr="00335288">
        <w:rPr>
          <w:i/>
        </w:rPr>
        <w:t>quy định về bảo hiểm hưu trí bổ sung</w:t>
      </w:r>
      <w:r w:rsidR="004E0524" w:rsidRPr="00335288">
        <w:t xml:space="preserve"> (Khoản 3 Điều 127) và giao Bộ Tài chính </w:t>
      </w:r>
      <w:r w:rsidR="004E0524" w:rsidRPr="00335288">
        <w:rPr>
          <w:i/>
        </w:rPr>
        <w:t xml:space="preserve">xây dựng, trình cấp có thẩm quyền ban hành hoặc ban hành theo thẩm quyền chính sách, pháp luật về bảo hiểm hưu trí bổ sung; chỉ đạo, hướng dẫn tổ chức triển khai thực hiện chính sách, pháp luật về bảo hiểm hưu trí bổ sung; theo dõi, đánh giá, thanh tra, kiểm tra tình hình thực hiện bảo hiểm hưu trí bổ sung; xử lý vi phạm pháp luật và giải quyết khiếu nại, tố cáo về bảo hiểm hưu trí bổ sung; thực hiện công tác thống kê, thông tin về bảo </w:t>
      </w:r>
      <w:r w:rsidR="004E0524" w:rsidRPr="00335288">
        <w:rPr>
          <w:i/>
        </w:rPr>
        <w:lastRenderedPageBreak/>
        <w:t>hiểm hưu trí bổ sung</w:t>
      </w:r>
      <w:r w:rsidR="004E0524" w:rsidRPr="00335288">
        <w:t xml:space="preserve"> (Khoản 6 Điều 137). </w:t>
      </w:r>
    </w:p>
    <w:p w:rsidR="00F123E4" w:rsidRDefault="005A2943" w:rsidP="00D00524">
      <w:pPr>
        <w:widowControl w:val="0"/>
        <w:spacing w:before="100" w:after="100" w:line="330" w:lineRule="exact"/>
        <w:ind w:firstLine="720"/>
        <w:jc w:val="both"/>
      </w:pPr>
      <w:r w:rsidRPr="00335288">
        <w:t>Triển khai Luật BHXH năm 2024 và Quyết định số 717/QĐ-TTg</w:t>
      </w:r>
      <w:r w:rsidR="00A33059" w:rsidRPr="00335288">
        <w:t xml:space="preserve"> của Thủ tướng Chính phủ</w:t>
      </w:r>
      <w:r w:rsidRPr="00335288">
        <w:t xml:space="preserve">, Nghị định quy định về bảo hiểm hưu trí bổ sung là một trong các văn bản </w:t>
      </w:r>
      <w:r w:rsidR="00F967DE" w:rsidRPr="00335288">
        <w:t xml:space="preserve">quy định chi tiết thi hành Luật </w:t>
      </w:r>
      <w:r w:rsidR="00D1310F" w:rsidRPr="00335288">
        <w:t>được Thủ tướng Chính phủ giao Bộ Tài chính chủ trì, phối hợp với các Bộ, ngành xây dựng.</w:t>
      </w:r>
      <w:r w:rsidR="006F6592" w:rsidRPr="00335288">
        <w:t xml:space="preserve"> </w:t>
      </w:r>
    </w:p>
    <w:p w:rsidR="00F123E4" w:rsidRDefault="0051136F" w:rsidP="00D00524">
      <w:pPr>
        <w:widowControl w:val="0"/>
        <w:spacing w:before="100" w:after="100" w:line="330" w:lineRule="exact"/>
        <w:ind w:firstLine="720"/>
        <w:jc w:val="both"/>
        <w:rPr>
          <w:b/>
        </w:rPr>
      </w:pPr>
      <w:r w:rsidRPr="00335288">
        <w:rPr>
          <w:b/>
        </w:rPr>
        <w:t>2. Căn cứ thực tiễn:</w:t>
      </w:r>
    </w:p>
    <w:p w:rsidR="00F123E4" w:rsidRDefault="000D29F3" w:rsidP="00D00524">
      <w:pPr>
        <w:spacing w:before="100" w:after="100" w:line="330" w:lineRule="exact"/>
        <w:ind w:firstLine="706"/>
        <w:jc w:val="both"/>
        <w:rPr>
          <w:lang w:val="nl-NL"/>
        </w:rPr>
      </w:pPr>
      <w:r w:rsidRPr="00335288">
        <w:rPr>
          <w:lang w:val="nl-NL"/>
        </w:rPr>
        <w:t xml:space="preserve">- </w:t>
      </w:r>
      <w:r w:rsidR="007F0904">
        <w:rPr>
          <w:lang w:val="nl-NL"/>
        </w:rPr>
        <w:t>Căn cứ</w:t>
      </w:r>
      <w:r w:rsidRPr="00335288">
        <w:rPr>
          <w:lang w:val="nl-NL"/>
        </w:rPr>
        <w:t xml:space="preserve"> Luật BHXH năm 2014</w:t>
      </w:r>
      <w:r w:rsidR="00112ECD">
        <w:rPr>
          <w:lang w:val="nl-NL"/>
        </w:rPr>
        <w:t xml:space="preserve"> và Luật Đầu tư năm 2014</w:t>
      </w:r>
      <w:r w:rsidRPr="00335288">
        <w:rPr>
          <w:lang w:val="nl-NL"/>
        </w:rPr>
        <w:t xml:space="preserve">, </w:t>
      </w:r>
      <w:r w:rsidR="00895A77" w:rsidRPr="00335288">
        <w:rPr>
          <w:lang w:val="nl-NL"/>
        </w:rPr>
        <w:t>Nghị định số 88 và Nghị định số 151/2018/NĐ-CP sửa đổi, bổ sung</w:t>
      </w:r>
      <w:r w:rsidR="00895A77" w:rsidRPr="00335288">
        <w:rPr>
          <w:vertAlign w:val="superscript"/>
        </w:rPr>
        <w:footnoteReference w:id="1"/>
      </w:r>
      <w:r w:rsidR="00895A77" w:rsidRPr="00335288">
        <w:rPr>
          <w:lang w:val="nl-NL"/>
        </w:rPr>
        <w:t xml:space="preserve"> đã </w:t>
      </w:r>
      <w:r w:rsidR="006D6CB0" w:rsidRPr="00335288">
        <w:rPr>
          <w:lang w:val="nl-NL"/>
        </w:rPr>
        <w:t>quy định</w:t>
      </w:r>
      <w:r w:rsidR="00D25458" w:rsidRPr="00335288">
        <w:rPr>
          <w:lang w:val="nl-NL"/>
        </w:rPr>
        <w:t xml:space="preserve"> </w:t>
      </w:r>
      <w:r w:rsidR="00895A77" w:rsidRPr="00335288">
        <w:rPr>
          <w:bCs/>
          <w:iCs/>
          <w:lang w:val="nl-NL"/>
        </w:rPr>
        <w:t xml:space="preserve">triển khai “bảo hiểm hưu trí bổ sung” theo </w:t>
      </w:r>
      <w:r w:rsidR="006D6CB0" w:rsidRPr="00335288">
        <w:rPr>
          <w:bCs/>
          <w:iCs/>
          <w:lang w:val="nl-NL"/>
        </w:rPr>
        <w:t>cơ chế</w:t>
      </w:r>
      <w:r w:rsidR="00D25458" w:rsidRPr="00335288">
        <w:rPr>
          <w:bCs/>
          <w:iCs/>
          <w:lang w:val="nl-NL"/>
        </w:rPr>
        <w:t>:</w:t>
      </w:r>
      <w:r w:rsidR="00895A77" w:rsidRPr="00335288">
        <w:rPr>
          <w:bCs/>
          <w:iCs/>
          <w:lang w:val="nl-NL"/>
        </w:rPr>
        <w:t xml:space="preserve"> </w:t>
      </w:r>
      <w:r w:rsidR="00895A77" w:rsidRPr="00335288">
        <w:rPr>
          <w:b/>
          <w:bCs/>
          <w:iCs/>
          <w:lang w:val="nl-NL"/>
        </w:rPr>
        <w:t>(i)</w:t>
      </w:r>
      <w:r w:rsidR="00895A77" w:rsidRPr="00335288">
        <w:rPr>
          <w:bCs/>
          <w:iCs/>
          <w:lang w:val="nl-NL"/>
        </w:rPr>
        <w:t xml:space="preserve"> </w:t>
      </w:r>
      <w:r w:rsidR="00895A77" w:rsidRPr="00335288">
        <w:rPr>
          <w:lang w:val="nl-NL"/>
        </w:rPr>
        <w:t xml:space="preserve">hình thành quỹ hưu trí bổ sung tự nguyện từ sự đóng góp tự nguyện của người tham gia quỹ và người sử dụng lao động dưới hình thức tài khoản hưu trí cá nhân; </w:t>
      </w:r>
      <w:r w:rsidR="00895A77" w:rsidRPr="00335288">
        <w:rPr>
          <w:b/>
          <w:lang w:val="nl-NL"/>
        </w:rPr>
        <w:t>(ii)</w:t>
      </w:r>
      <w:r w:rsidR="00895A77" w:rsidRPr="00335288">
        <w:rPr>
          <w:lang w:val="nl-NL"/>
        </w:rPr>
        <w:t xml:space="preserve"> </w:t>
      </w:r>
      <w:r w:rsidR="00895A77" w:rsidRPr="00335288">
        <w:rPr>
          <w:bCs/>
          <w:iCs/>
          <w:lang w:val="nl-NL"/>
        </w:rPr>
        <w:t>quỹ hưu trí bổ sung tự nguyện do các doanh nghiệp bảo hiểm, công ty quản lý quỹ</w:t>
      </w:r>
      <w:r w:rsidR="005D5ED0" w:rsidRPr="00335288">
        <w:rPr>
          <w:bCs/>
          <w:iCs/>
          <w:lang w:val="nl-NL"/>
        </w:rPr>
        <w:t xml:space="preserve"> đầu tư chứng khoán</w:t>
      </w:r>
      <w:r w:rsidR="00895A77" w:rsidRPr="00335288">
        <w:rPr>
          <w:bCs/>
          <w:iCs/>
          <w:lang w:val="nl-NL"/>
        </w:rPr>
        <w:t xml:space="preserve"> được cấp phép quản lý. </w:t>
      </w:r>
      <w:r w:rsidR="00AD6A9E" w:rsidRPr="00335288">
        <w:rPr>
          <w:lang w:val="nl-NL"/>
        </w:rPr>
        <w:t>Căn cứ</w:t>
      </w:r>
      <w:r w:rsidR="00895A77" w:rsidRPr="00335288">
        <w:rPr>
          <w:lang w:val="nl-NL"/>
        </w:rPr>
        <w:t xml:space="preserve"> quy định tại Nghị định, Bộ Tài chính đã ban hành Thông tư số 86/2017/TT-BTC ngày 15/8/2017 hướng dẫn một số điều của Nghị định số 88; Bộ </w:t>
      </w:r>
      <w:r w:rsidR="00F50A5A" w:rsidRPr="00335288">
        <w:rPr>
          <w:lang w:val="nl-NL"/>
        </w:rPr>
        <w:t xml:space="preserve">Lao động </w:t>
      </w:r>
      <w:r w:rsidR="005179F5" w:rsidRPr="00335288">
        <w:rPr>
          <w:lang w:val="nl-NL"/>
        </w:rPr>
        <w:t>-</w:t>
      </w:r>
      <w:r w:rsidR="00F50A5A" w:rsidRPr="00335288">
        <w:rPr>
          <w:lang w:val="nl-NL"/>
        </w:rPr>
        <w:t xml:space="preserve"> Thương binh và Xã hội (</w:t>
      </w:r>
      <w:r w:rsidR="00112ECD">
        <w:rPr>
          <w:lang w:val="nl-NL"/>
        </w:rPr>
        <w:t>nay là Bộ Nội vụ</w:t>
      </w:r>
      <w:r w:rsidR="00F50A5A" w:rsidRPr="00335288">
        <w:rPr>
          <w:lang w:val="nl-NL"/>
        </w:rPr>
        <w:t>)</w:t>
      </w:r>
      <w:r w:rsidR="00895A77" w:rsidRPr="00335288">
        <w:rPr>
          <w:lang w:val="nl-NL"/>
        </w:rPr>
        <w:t xml:space="preserve"> đã ban hành Thông tư số 19/2018/TT-BLĐTBXH ngày 30/10/2018 hướng dẫn xây dựng văn bản thỏa thuận tham gia chương trình hưu trí bổ sung tự nguyện tại doanh nghiệp. </w:t>
      </w:r>
    </w:p>
    <w:p w:rsidR="007F0904" w:rsidRPr="007F0904" w:rsidRDefault="00895A77" w:rsidP="007F0904">
      <w:pPr>
        <w:widowControl w:val="0"/>
        <w:spacing w:before="100" w:after="100" w:line="330" w:lineRule="exact"/>
        <w:ind w:firstLine="720"/>
        <w:jc w:val="both"/>
      </w:pPr>
      <w:r w:rsidRPr="00335288">
        <w:rPr>
          <w:lang w:val="nl-NL"/>
        </w:rPr>
        <w:t xml:space="preserve">- </w:t>
      </w:r>
      <w:r w:rsidR="00AD6A9E" w:rsidRPr="00335288">
        <w:rPr>
          <w:lang w:val="nl-NL"/>
        </w:rPr>
        <w:t>Từ năm 2016, c</w:t>
      </w:r>
      <w:r w:rsidRPr="00335288">
        <w:rPr>
          <w:lang w:val="nl-NL"/>
        </w:rPr>
        <w:t>ăn cứ quy định của pháp luật, Bộ Tài chính đã phối hợp với các Bộ: LĐTBXH, KH&amp;ĐT, Tư pháp rà soát hồ sơ và cấp Giấy chứng nhận đủ điều kiện kinh doanh dịch vụ quản lý quỹ hưu trí bổ sung tự nguyện cho 04 doanh nghiệp</w:t>
      </w:r>
      <w:r w:rsidRPr="00335288">
        <w:rPr>
          <w:rStyle w:val="FootnoteReference"/>
          <w:lang w:val="nl-NL"/>
        </w:rPr>
        <w:footnoteReference w:id="2"/>
      </w:r>
      <w:r w:rsidRPr="00335288">
        <w:rPr>
          <w:lang w:val="nl-NL"/>
        </w:rPr>
        <w:t xml:space="preserve">. Các doanh nghiệp quản lý quỹ hưu trí bắt đầu thành lập quỹ hưu trí từ năm 2021 và đến nay có </w:t>
      </w:r>
      <w:r w:rsidR="005D5ED0" w:rsidRPr="00335288">
        <w:rPr>
          <w:lang w:val="nl-NL"/>
        </w:rPr>
        <w:t>0</w:t>
      </w:r>
      <w:r w:rsidR="00B67756" w:rsidRPr="00335288">
        <w:rPr>
          <w:lang w:val="nl-NL"/>
        </w:rPr>
        <w:t>7</w:t>
      </w:r>
      <w:r w:rsidRPr="00335288">
        <w:rPr>
          <w:lang w:val="nl-NL"/>
        </w:rPr>
        <w:t xml:space="preserve"> quỹ được thành lập </w:t>
      </w:r>
      <w:r w:rsidR="000237BB" w:rsidRPr="00452ADF">
        <w:rPr>
          <w:lang w:val="nl-NL"/>
        </w:rPr>
        <w:t xml:space="preserve">với tổng trị giá tài sản </w:t>
      </w:r>
      <w:r w:rsidR="007F0904" w:rsidRPr="007F0904">
        <w:t xml:space="preserve">của hệ thống quỹ hưu trí </w:t>
      </w:r>
      <w:r w:rsidR="007F0904">
        <w:t xml:space="preserve">tính đến cuối năm 2024 </w:t>
      </w:r>
      <w:r w:rsidR="007F0904" w:rsidRPr="007F0904">
        <w:t>đạt 1.549 tỷ đồng, tăng 68,7% so với năm 2023 và tăng gấp 18 lần so với năm 2021; tổng giá trị tài sản ròng là 1.444 tỷ đồng, tăng 68,4% so với cuối năm 2023 và gấp 17 lần so với năm 2021.</w:t>
      </w:r>
    </w:p>
    <w:p w:rsidR="00F123E4" w:rsidRDefault="007F0904" w:rsidP="007F0904">
      <w:pPr>
        <w:widowControl w:val="0"/>
        <w:spacing w:before="100" w:after="100" w:line="330" w:lineRule="exact"/>
        <w:ind w:firstLine="720"/>
        <w:jc w:val="both"/>
      </w:pPr>
      <w:r w:rsidRPr="007F0904">
        <w:t>Tổng giá trị danh mục đầu tư của hệ thống quỹ hưu trí đến hết năm 2024 đạt 1.549 tỷ đồng, tăng 68,7% so với cuối năm 2023. Trong đó, cơ cấu tài sản bao gồm: (i) 50,7% là trái phiếu Chính phủ (TPCP</w:t>
      </w:r>
      <w:r>
        <w:t>)</w:t>
      </w:r>
      <w:r w:rsidRPr="007F0904">
        <w:t>; (ii) 11,9% là tiền và tương đương tiền; (iii) 15% là chứng chỉ quỹ đầu tư chứng khoán; (iv) 22,4% là khoản phải thu từ lãi, cổ tức được nhận.</w:t>
      </w:r>
      <w:r w:rsidRPr="007F0904">
        <w:rPr>
          <w:i/>
        </w:rPr>
        <w:t xml:space="preserve"> </w:t>
      </w:r>
      <w:r>
        <w:rPr>
          <w:iCs/>
        </w:rPr>
        <w:t>Toàn hệ thống quỹ hưu trí đ</w:t>
      </w:r>
      <w:r w:rsidRPr="007F0904">
        <w:t>ến cuối năm 2024 có 24.367 người tham gia, bao gồm người lao động của 30 doanh nghiệp sử dụng lao động và 85 cá nhân trực tiếp tham gia quỹ hưu trí</w:t>
      </w:r>
      <w:r w:rsidR="00A429DA">
        <w:rPr>
          <w:rStyle w:val="FootnoteReference"/>
        </w:rPr>
        <w:footnoteReference w:id="3"/>
      </w:r>
      <w:r w:rsidR="00A429DA">
        <w:t xml:space="preserve">; tổng số tài khoản người tham gia quỹ được quản trị tại Tổng công ty Lưu ký và Bù trừ chứng khoán Việt Nam </w:t>
      </w:r>
      <w:r w:rsidR="00A879CE">
        <w:t>tại thời điểm cuối năm 2024 là 24.744 tài khoản</w:t>
      </w:r>
      <w:r w:rsidRPr="007F0904">
        <w:t xml:space="preserve">. </w:t>
      </w:r>
      <w:r w:rsidR="0003220B">
        <w:t>R</w:t>
      </w:r>
      <w:r w:rsidR="00A429DA">
        <w:t xml:space="preserve">iêng trong </w:t>
      </w:r>
      <w:r w:rsidR="00A429DA">
        <w:lastRenderedPageBreak/>
        <w:t xml:space="preserve">năm 2024, tổng số tiền đóng góp vào các quỹ hưu trí là 570,9 tỷ đồng, tổng số tiền chi trả là gần 33,2 tỷ đồng. </w:t>
      </w:r>
    </w:p>
    <w:p w:rsidR="004A56F1" w:rsidRDefault="00F31D84" w:rsidP="00555B1E">
      <w:pPr>
        <w:widowControl w:val="0"/>
        <w:spacing w:before="100" w:after="100" w:line="330" w:lineRule="exact"/>
        <w:ind w:firstLine="720"/>
        <w:jc w:val="both"/>
        <w:rPr>
          <w:lang w:val="nl-NL"/>
        </w:rPr>
      </w:pPr>
      <w:r w:rsidRPr="00335288">
        <w:rPr>
          <w:bCs/>
          <w:iCs/>
          <w:lang w:val="nl-NL"/>
        </w:rPr>
        <w:t xml:space="preserve">- </w:t>
      </w:r>
      <w:r w:rsidR="007E04F0" w:rsidRPr="00335288">
        <w:rPr>
          <w:bCs/>
          <w:iCs/>
          <w:lang w:val="nl-NL"/>
        </w:rPr>
        <w:t>T</w:t>
      </w:r>
      <w:r w:rsidRPr="00335288">
        <w:rPr>
          <w:bCs/>
          <w:iCs/>
          <w:lang w:val="nl-NL"/>
        </w:rPr>
        <w:t xml:space="preserve">rên cơ sở rà soát, đánh giá tình hình hoạt động của hệ thống quỹ hưu trí bổ sung tự nguyện trong </w:t>
      </w:r>
      <w:r w:rsidR="0003220B">
        <w:rPr>
          <w:bCs/>
          <w:iCs/>
          <w:lang w:val="nl-NL"/>
        </w:rPr>
        <w:t>bối cảnh</w:t>
      </w:r>
      <w:r w:rsidRPr="00335288">
        <w:rPr>
          <w:bCs/>
          <w:iCs/>
          <w:lang w:val="nl-NL"/>
        </w:rPr>
        <w:t xml:space="preserve"> kinh tế vĩ mô </w:t>
      </w:r>
      <w:r w:rsidR="0003220B">
        <w:rPr>
          <w:bCs/>
          <w:iCs/>
          <w:lang w:val="nl-NL"/>
        </w:rPr>
        <w:t>cũng như</w:t>
      </w:r>
      <w:r w:rsidRPr="00335288">
        <w:rPr>
          <w:bCs/>
          <w:iCs/>
          <w:lang w:val="nl-NL"/>
        </w:rPr>
        <w:t xml:space="preserve"> diễn biến thị trường tài chính</w:t>
      </w:r>
      <w:r w:rsidR="0003220B">
        <w:rPr>
          <w:bCs/>
          <w:iCs/>
          <w:lang w:val="nl-NL"/>
        </w:rPr>
        <w:t xml:space="preserve"> và kinh nghiệm quốc tế về hoạt động của quỹ hưu trí</w:t>
      </w:r>
      <w:r w:rsidRPr="00335288">
        <w:rPr>
          <w:bCs/>
          <w:iCs/>
          <w:lang w:val="nl-NL"/>
        </w:rPr>
        <w:t>, Bộ Tài chính đã báo cáo Lãnh đạo Chính phủ về hoạt động của hệ thống các quỹ hưu trí bổ sung tự nguyện</w:t>
      </w:r>
      <w:r w:rsidR="009A7A98" w:rsidRPr="00335288">
        <w:rPr>
          <w:rStyle w:val="FootnoteReference"/>
          <w:bCs/>
          <w:iCs/>
          <w:lang w:val="nl-NL"/>
        </w:rPr>
        <w:footnoteReference w:id="4"/>
      </w:r>
      <w:r w:rsidRPr="00335288">
        <w:rPr>
          <w:bCs/>
          <w:iCs/>
          <w:lang w:val="nl-NL"/>
        </w:rPr>
        <w:t xml:space="preserve">. </w:t>
      </w:r>
      <w:r w:rsidR="0003220B">
        <w:rPr>
          <w:bCs/>
          <w:iCs/>
          <w:lang w:val="nl-NL"/>
        </w:rPr>
        <w:t>Tuy nhiên, từ cuối năm 2024</w:t>
      </w:r>
      <w:r w:rsidR="007F0904">
        <w:rPr>
          <w:lang w:val="nl-NL"/>
        </w:rPr>
        <w:t xml:space="preserve"> đến nay, thị trường tài chính nói chung và thị trường vốn (chứng khoán, trái phiếu) nói riêng đã có nhiều diễn biến tích cực, </w:t>
      </w:r>
      <w:r w:rsidR="0003220B">
        <w:rPr>
          <w:lang w:val="nl-NL"/>
        </w:rPr>
        <w:t>hoạt động của hệ thống quỹ hưu trí tại một số khu vực trên thế giới đã vượt qua giai đoạn khó khăn và hoạt động ổn định</w:t>
      </w:r>
      <w:r w:rsidR="007F0904">
        <w:rPr>
          <w:lang w:val="nl-NL"/>
        </w:rPr>
        <w:t xml:space="preserve">. </w:t>
      </w:r>
    </w:p>
    <w:p w:rsidR="00F123E4" w:rsidRDefault="004A56F1" w:rsidP="00555B1E">
      <w:pPr>
        <w:widowControl w:val="0"/>
        <w:spacing w:before="100" w:after="100" w:line="330" w:lineRule="exact"/>
        <w:ind w:firstLine="720"/>
        <w:jc w:val="both"/>
        <w:rPr>
          <w:lang w:val="nl-NL"/>
        </w:rPr>
      </w:pPr>
      <w:r>
        <w:rPr>
          <w:lang w:val="nl-NL"/>
        </w:rPr>
        <w:t>- T</w:t>
      </w:r>
      <w:r w:rsidR="007F0904">
        <w:rPr>
          <w:lang w:val="nl-NL"/>
        </w:rPr>
        <w:t>ại Quyết định của Thủ tướng Chính phủ phê duyệt Chiến lược phát triển thị trường chứng khoán đến năm 2030 đã đặt ra giải pháp mở rộng cơ sở nhà đầu tư, đa dạng hóa các loại hình quỹ đầu tư</w:t>
      </w:r>
      <w:r w:rsidR="00555B1E">
        <w:rPr>
          <w:lang w:val="nl-NL"/>
        </w:rPr>
        <w:t xml:space="preserve">. Theo đó, để thực hiện các mục tiêu trên, cần thiết tiếp tục </w:t>
      </w:r>
      <w:r w:rsidR="0003220B">
        <w:rPr>
          <w:lang w:val="nl-NL"/>
        </w:rPr>
        <w:t xml:space="preserve">phát triển </w:t>
      </w:r>
      <w:r w:rsidR="00555B1E">
        <w:rPr>
          <w:lang w:val="nl-NL"/>
        </w:rPr>
        <w:t>hệ thống quỹ hưu trí để vừa góp phần bổ sung chế độ an sinh cho người tham gia, vừa hỗ trợ thúc đẩy phát triển thị trường vốn. Do đó, để đáp ứng nhu cầu của người lao động và thị trường</w:t>
      </w:r>
      <w:r w:rsidR="00320B8E">
        <w:rPr>
          <w:lang w:val="nl-NL"/>
        </w:rPr>
        <w:t xml:space="preserve">, yêu cầu </w:t>
      </w:r>
      <w:r>
        <w:rPr>
          <w:lang w:val="nl-NL"/>
        </w:rPr>
        <w:t>về phát triển</w:t>
      </w:r>
      <w:r w:rsidR="00320B8E" w:rsidRPr="00335288">
        <w:rPr>
          <w:lang w:val="nl-NL"/>
        </w:rPr>
        <w:t xml:space="preserve"> an sinh xã hội</w:t>
      </w:r>
      <w:r w:rsidR="00320B8E">
        <w:rPr>
          <w:lang w:val="nl-NL"/>
        </w:rPr>
        <w:t xml:space="preserve">, cần thiết phải rà soát, sửa đổi, hoàn thiện chính sách về bảo hiểm hưu trí bổ sung theo quy định của Luật BHXH năm 2024 </w:t>
      </w:r>
      <w:r w:rsidR="00FE23EB">
        <w:rPr>
          <w:lang w:val="nl-NL"/>
        </w:rPr>
        <w:t xml:space="preserve">để </w:t>
      </w:r>
      <w:r w:rsidR="00320B8E">
        <w:rPr>
          <w:lang w:val="nl-NL"/>
        </w:rPr>
        <w:t>vừa khuyến khích</w:t>
      </w:r>
      <w:r w:rsidR="00FE23EB">
        <w:rPr>
          <w:lang w:val="nl-NL"/>
        </w:rPr>
        <w:t>, thúc đẩy</w:t>
      </w:r>
      <w:r w:rsidR="00320B8E">
        <w:rPr>
          <w:lang w:val="nl-NL"/>
        </w:rPr>
        <w:t xml:space="preserve"> sự tham gia của khu vực tư nhân</w:t>
      </w:r>
      <w:r w:rsidR="00FE23EB">
        <w:rPr>
          <w:lang w:val="nl-NL"/>
        </w:rPr>
        <w:t xml:space="preserve"> vào an sinh xã hội</w:t>
      </w:r>
      <w:r w:rsidR="00320B8E">
        <w:rPr>
          <w:lang w:val="nl-NL"/>
        </w:rPr>
        <w:t xml:space="preserve">, vừa nâng cao chất lượng hoạt động, tăng cường quản lý giám sát </w:t>
      </w:r>
      <w:r w:rsidR="0003220B">
        <w:rPr>
          <w:lang w:val="nl-NL"/>
        </w:rPr>
        <w:t xml:space="preserve">để các </w:t>
      </w:r>
      <w:r w:rsidR="00FE23EB">
        <w:rPr>
          <w:lang w:val="nl-NL"/>
        </w:rPr>
        <w:t xml:space="preserve">quỹ bảo hiểm hưu trí bổ sung hoạt động </w:t>
      </w:r>
      <w:r w:rsidR="00F31D84" w:rsidRPr="00335288">
        <w:rPr>
          <w:lang w:val="nl-NL"/>
        </w:rPr>
        <w:t>an toàn, bền vững, đảm bảo quyền lợi của người tham gia.</w:t>
      </w:r>
    </w:p>
    <w:p w:rsidR="00F123E4" w:rsidRDefault="00A852B3" w:rsidP="00D00524">
      <w:pPr>
        <w:widowControl w:val="0"/>
        <w:spacing w:before="100" w:after="100" w:line="330" w:lineRule="exact"/>
        <w:ind w:firstLine="720"/>
        <w:jc w:val="both"/>
        <w:rPr>
          <w:b/>
          <w:lang w:val="pt-BR"/>
        </w:rPr>
      </w:pPr>
      <w:r w:rsidRPr="00335288">
        <w:rPr>
          <w:b/>
          <w:lang w:val="pt-BR"/>
        </w:rPr>
        <w:t xml:space="preserve">II. </w:t>
      </w:r>
      <w:r w:rsidR="00486069" w:rsidRPr="00335288">
        <w:rPr>
          <w:b/>
          <w:lang w:val="pt-BR"/>
        </w:rPr>
        <w:t xml:space="preserve">MỤC ĐÍCH, QUAN ĐIỂM XÂY DỰNG </w:t>
      </w:r>
      <w:r w:rsidR="00336B2D" w:rsidRPr="00335288">
        <w:rPr>
          <w:b/>
          <w:lang w:val="pt-BR"/>
        </w:rPr>
        <w:t xml:space="preserve">DỰ THẢO </w:t>
      </w:r>
      <w:r w:rsidR="00486069" w:rsidRPr="00335288">
        <w:rPr>
          <w:b/>
          <w:lang w:val="pt-BR"/>
        </w:rPr>
        <w:t>NGHỊ ĐỊNH</w:t>
      </w:r>
    </w:p>
    <w:p w:rsidR="00F123E4" w:rsidRDefault="00FC3BA0" w:rsidP="00D00524">
      <w:pPr>
        <w:widowControl w:val="0"/>
        <w:spacing w:before="100" w:after="100" w:line="330" w:lineRule="exact"/>
        <w:ind w:firstLine="720"/>
        <w:jc w:val="both"/>
        <w:rPr>
          <w:b/>
          <w:lang w:val="pt-BR"/>
        </w:rPr>
      </w:pPr>
      <w:r w:rsidRPr="00335288">
        <w:rPr>
          <w:b/>
          <w:lang w:val="pt-BR"/>
        </w:rPr>
        <w:t>1. Mục đích</w:t>
      </w:r>
    </w:p>
    <w:p w:rsidR="00F123E4" w:rsidRDefault="009A7A98" w:rsidP="00D00524">
      <w:pPr>
        <w:widowControl w:val="0"/>
        <w:spacing w:before="100" w:after="100" w:line="330" w:lineRule="exact"/>
        <w:ind w:firstLine="700"/>
        <w:jc w:val="both"/>
        <w:rPr>
          <w:lang w:val="da-DK"/>
        </w:rPr>
      </w:pPr>
      <w:r w:rsidRPr="00335288">
        <w:rPr>
          <w:lang w:val="nl-NL"/>
        </w:rPr>
        <w:t xml:space="preserve">Việc xây dựng và ban hành Nghị định hướng tới các mục tiêu </w:t>
      </w:r>
      <w:r w:rsidRPr="00335288">
        <w:rPr>
          <w:rFonts w:eastAsia="MS Mincho"/>
          <w:b/>
          <w:lang w:val="nl-NL" w:eastAsia="ja-JP"/>
        </w:rPr>
        <w:t>(i)</w:t>
      </w:r>
      <w:r w:rsidRPr="00335288">
        <w:rPr>
          <w:rFonts w:eastAsia="MS Mincho"/>
          <w:lang w:val="vi-VN" w:eastAsia="ja-JP"/>
        </w:rPr>
        <w:t xml:space="preserve"> tạo khuôn khổ pháp lý</w:t>
      </w:r>
      <w:r w:rsidRPr="00335288">
        <w:rPr>
          <w:rFonts w:eastAsia="MS Mincho"/>
          <w:lang w:val="nl-NL" w:eastAsia="ja-JP"/>
        </w:rPr>
        <w:t xml:space="preserve"> triển khai hiệu quả</w:t>
      </w:r>
      <w:r w:rsidR="00895B61" w:rsidRPr="00335288">
        <w:rPr>
          <w:rFonts w:eastAsia="MS Mincho"/>
          <w:lang w:val="nl-NL" w:eastAsia="ja-JP"/>
        </w:rPr>
        <w:t>, bền vững</w:t>
      </w:r>
      <w:r w:rsidRPr="00335288">
        <w:rPr>
          <w:rFonts w:eastAsia="MS Mincho"/>
          <w:lang w:val="nl-NL" w:eastAsia="ja-JP"/>
        </w:rPr>
        <w:t xml:space="preserve"> chính sách bảo hiểm </w:t>
      </w:r>
      <w:r w:rsidRPr="00335288">
        <w:rPr>
          <w:rFonts w:eastAsia="MS Mincho"/>
          <w:lang w:val="vi-VN" w:eastAsia="ja-JP"/>
        </w:rPr>
        <w:t>hưu trí</w:t>
      </w:r>
      <w:r w:rsidRPr="00335288">
        <w:rPr>
          <w:rFonts w:eastAsia="MS Mincho"/>
          <w:lang w:val="nl-NL" w:eastAsia="ja-JP"/>
        </w:rPr>
        <w:t xml:space="preserve"> bổ sung theo quy định tại Luật BHXH năm 2024 tại Việt Nam nhằm đa dạng hóa các chương trình an sinh xã hội, giảm gánh nặng của ngân sách nhà nước cho công tác an sinh xã hội trong dài hạn; </w:t>
      </w:r>
      <w:r w:rsidRPr="00335288">
        <w:rPr>
          <w:rFonts w:eastAsia="MS Mincho"/>
          <w:b/>
          <w:lang w:val="nl-NL" w:eastAsia="ja-JP"/>
        </w:rPr>
        <w:t>(ii)</w:t>
      </w:r>
      <w:r w:rsidRPr="00335288">
        <w:rPr>
          <w:rFonts w:eastAsia="MS Mincho"/>
          <w:lang w:val="nl-NL" w:eastAsia="ja-JP"/>
        </w:rPr>
        <w:t xml:space="preserve"> công khai, minh bạch chủ trương chính sách của Nhà nước để thu hút sự tham gia của đông đảo người lao động, người sử dụng lao động </w:t>
      </w:r>
      <w:r w:rsidR="00792281" w:rsidRPr="00335288">
        <w:rPr>
          <w:rFonts w:eastAsia="MS Mincho"/>
          <w:lang w:val="nl-NL" w:eastAsia="ja-JP"/>
        </w:rPr>
        <w:t>đối với sản phẩm</w:t>
      </w:r>
      <w:r w:rsidRPr="00335288">
        <w:rPr>
          <w:rFonts w:eastAsia="MS Mincho"/>
          <w:lang w:val="nl-NL" w:eastAsia="ja-JP"/>
        </w:rPr>
        <w:t xml:space="preserve"> </w:t>
      </w:r>
      <w:r w:rsidR="00895B61" w:rsidRPr="00335288">
        <w:rPr>
          <w:rFonts w:eastAsia="MS Mincho"/>
          <w:lang w:val="nl-NL" w:eastAsia="ja-JP"/>
        </w:rPr>
        <w:t>bảo hiểm</w:t>
      </w:r>
      <w:r w:rsidRPr="00335288">
        <w:rPr>
          <w:rFonts w:eastAsia="MS Mincho"/>
          <w:lang w:val="nl-NL" w:eastAsia="ja-JP"/>
        </w:rPr>
        <w:t xml:space="preserve"> hưu trí </w:t>
      </w:r>
      <w:r w:rsidR="00895B61" w:rsidRPr="00335288">
        <w:rPr>
          <w:rFonts w:eastAsia="MS Mincho"/>
          <w:lang w:val="nl-NL" w:eastAsia="ja-JP"/>
        </w:rPr>
        <w:t>bổ sung</w:t>
      </w:r>
      <w:r w:rsidRPr="00335288">
        <w:rPr>
          <w:rFonts w:eastAsia="MS Mincho"/>
          <w:lang w:val="nl-NL" w:eastAsia="ja-JP"/>
        </w:rPr>
        <w:t xml:space="preserve">; </w:t>
      </w:r>
      <w:r w:rsidRPr="00335288">
        <w:rPr>
          <w:rFonts w:eastAsia="MS Mincho"/>
          <w:b/>
          <w:lang w:val="nl-NL" w:eastAsia="ja-JP"/>
        </w:rPr>
        <w:t>(iii)</w:t>
      </w:r>
      <w:r w:rsidRPr="00335288">
        <w:rPr>
          <w:rFonts w:eastAsia="MS Mincho"/>
          <w:lang w:val="nl-NL" w:eastAsia="ja-JP"/>
        </w:rPr>
        <w:t xml:space="preserve"> hỗ trợ </w:t>
      </w:r>
      <w:r w:rsidRPr="00335288">
        <w:rPr>
          <w:lang w:val="af-ZA"/>
        </w:rPr>
        <w:t xml:space="preserve">phát triển thị trường vốn, thị trường trái phiếu </w:t>
      </w:r>
      <w:r w:rsidRPr="00335288">
        <w:rPr>
          <w:lang w:val="da-DK"/>
        </w:rPr>
        <w:t>thông qua việc củng cố cơ sở nhà đầu tư vốn dài hạn.</w:t>
      </w:r>
    </w:p>
    <w:p w:rsidR="00F123E4" w:rsidRDefault="00FC3BA0" w:rsidP="00D00524">
      <w:pPr>
        <w:widowControl w:val="0"/>
        <w:spacing w:before="100" w:after="100" w:line="330" w:lineRule="exact"/>
        <w:ind w:firstLine="720"/>
        <w:jc w:val="both"/>
        <w:rPr>
          <w:b/>
          <w:lang w:val="pt-BR"/>
        </w:rPr>
      </w:pPr>
      <w:r w:rsidRPr="00335288">
        <w:rPr>
          <w:b/>
          <w:lang w:val="pt-BR"/>
        </w:rPr>
        <w:t>2. Quan điểm</w:t>
      </w:r>
    </w:p>
    <w:p w:rsidR="008C0890" w:rsidRDefault="00577303" w:rsidP="008C0890">
      <w:pPr>
        <w:widowControl w:val="0"/>
        <w:spacing w:after="120" w:line="340" w:lineRule="exact"/>
        <w:ind w:firstLine="720"/>
        <w:jc w:val="both"/>
        <w:rPr>
          <w:bCs/>
          <w:lang w:val="nl-NL"/>
        </w:rPr>
      </w:pPr>
      <w:r>
        <w:rPr>
          <w:lang w:val="nl-NL"/>
        </w:rPr>
        <w:t xml:space="preserve">Nghị quyết số 28 đã xác định việc triển khai bảo hiểm hưu trí bổ sung trên cơ sở việc thí điểm từ </w:t>
      </w:r>
      <w:r w:rsidR="008C0890" w:rsidRPr="008C0890">
        <w:rPr>
          <w:lang w:val="nl-NL"/>
        </w:rPr>
        <w:t>Nghị quyết số 21-NQ/TW</w:t>
      </w:r>
      <w:r w:rsidRPr="00FD23F5">
        <w:rPr>
          <w:bCs/>
          <w:lang w:val="nl-NL"/>
        </w:rPr>
        <w:t xml:space="preserve"> ngày 22/11/2012 của Bộ Chính trị về tăng cường sự lãnh đạo của Đảng đối với công tác bảo hiểm xã hội, bảo </w:t>
      </w:r>
      <w:r w:rsidRPr="00FD23F5">
        <w:rPr>
          <w:bCs/>
          <w:lang w:val="nl-NL"/>
        </w:rPr>
        <w:lastRenderedPageBreak/>
        <w:t>hiểm y tế giai đoạn 2012-2020</w:t>
      </w:r>
      <w:r>
        <w:rPr>
          <w:rStyle w:val="FootnoteReference"/>
          <w:bCs/>
          <w:lang w:val="nl-NL"/>
        </w:rPr>
        <w:footnoteReference w:id="5"/>
      </w:r>
      <w:r>
        <w:rPr>
          <w:bCs/>
          <w:lang w:val="nl-NL"/>
        </w:rPr>
        <w:t xml:space="preserve"> được cụ thể hóa tại Nghị định số 88. Đồng thời, quán triệt định hướng của Nghị quyết số 28, Luật BHXH năm 2024 đã luật hóa các quy định về nguyên tắc triển khai </w:t>
      </w:r>
      <w:r>
        <w:t xml:space="preserve">“bảo hiểm hưu trí bổ sung” là một sản phẩm do người lao động và người sử dụng lao động </w:t>
      </w:r>
      <w:r w:rsidRPr="00A442B5">
        <w:rPr>
          <w:u w:val="single"/>
        </w:rPr>
        <w:t>tự nguyện lựa chọn tham gia</w:t>
      </w:r>
      <w:r>
        <w:rPr>
          <w:u w:val="single"/>
        </w:rPr>
        <w:t xml:space="preserve"> thông qua việc đóng góp vào quỹ hưu trí</w:t>
      </w:r>
      <w:r>
        <w:t xml:space="preserve"> và hoạt động theo </w:t>
      </w:r>
      <w:r w:rsidRPr="00A442B5">
        <w:rPr>
          <w:u w:val="single"/>
        </w:rPr>
        <w:t>nguyên tắc thị trường</w:t>
      </w:r>
      <w:r>
        <w:t>. Trên cơ sở đánh giá tình hình triển khai Nghị định số 88, diễn biến thị trường tài chính trong và ngoài nước, đặc biệt là hoạt động của hệ thống quỹ hưu trí và định hướng phát triển cơ sở nhà đầu tư tổ chức dài hạn trên thị trường vốn, việc xây dựng Nghị định về bảo hiểm hưu trí bổ sung được thực hiện với các quan điểm sau:</w:t>
      </w:r>
    </w:p>
    <w:p w:rsidR="00F123E4" w:rsidRDefault="00D911C8" w:rsidP="00D00524">
      <w:pPr>
        <w:widowControl w:val="0"/>
        <w:spacing w:before="100" w:after="100" w:line="330" w:lineRule="exact"/>
        <w:ind w:firstLine="700"/>
        <w:jc w:val="both"/>
        <w:rPr>
          <w:lang w:val="nl-NL"/>
        </w:rPr>
      </w:pPr>
      <w:r w:rsidRPr="00335288">
        <w:rPr>
          <w:lang w:val="nl-NL"/>
        </w:rPr>
        <w:t xml:space="preserve">- </w:t>
      </w:r>
      <w:r w:rsidRPr="00335288">
        <w:rPr>
          <w:i/>
          <w:lang w:val="nl-NL"/>
        </w:rPr>
        <w:t>Thứ nhất</w:t>
      </w:r>
      <w:r w:rsidRPr="00335288">
        <w:rPr>
          <w:lang w:val="nl-NL"/>
        </w:rPr>
        <w:t xml:space="preserve">, tuân thủ định hướng phát triển hệ thống bảo hiểm xã hội đa tầng theo Nghị quyết số 28, trong đó, bảo hiểm hưu trí bổ sung là sản phẩm tài chính dài hạn được thực hiện thông qua quỹ bảo hiểm hưu trí bổ sung để bổ sung cho chính sách bảo hiểm xã hội cơ bản hiện nay, tạo điều kiện cho người tham gia (người lao động và doanh nghiệp sử dụng lao động) có thêm thu nhập sau khi nghỉ hưu trên nguyên tắc hoàn toàn tự nguyện. </w:t>
      </w:r>
    </w:p>
    <w:p w:rsidR="00F123E4" w:rsidRDefault="003073F7" w:rsidP="00D00524">
      <w:pPr>
        <w:widowControl w:val="0"/>
        <w:spacing w:before="100" w:after="100" w:line="330" w:lineRule="exact"/>
        <w:ind w:firstLine="700"/>
        <w:jc w:val="both"/>
        <w:rPr>
          <w:lang w:val="nl-NL"/>
        </w:rPr>
      </w:pPr>
      <w:r w:rsidRPr="00335288">
        <w:rPr>
          <w:lang w:val="nl-NL"/>
        </w:rPr>
        <w:t xml:space="preserve">- </w:t>
      </w:r>
      <w:r w:rsidRPr="00335288">
        <w:rPr>
          <w:i/>
          <w:lang w:val="nl-NL"/>
        </w:rPr>
        <w:t>Thứ hai</w:t>
      </w:r>
      <w:r w:rsidRPr="00335288">
        <w:rPr>
          <w:lang w:val="nl-NL"/>
        </w:rPr>
        <w:t xml:space="preserve">, </w:t>
      </w:r>
      <w:r w:rsidR="00FE23EB">
        <w:rPr>
          <w:lang w:val="nl-NL"/>
        </w:rPr>
        <w:t xml:space="preserve">vận hành, quản lý quỹ </w:t>
      </w:r>
      <w:r w:rsidRPr="00335288">
        <w:rPr>
          <w:lang w:val="nl-NL"/>
        </w:rPr>
        <w:t>bảo hiểm hưu trí bổ sung an toàn, bền vững</w:t>
      </w:r>
      <w:r w:rsidR="000F5009" w:rsidRPr="00335288">
        <w:rPr>
          <w:lang w:val="nl-NL"/>
        </w:rPr>
        <w:t>; hoàn thiện các chính sách về tổ chức thực hiện bảo hiểm hưu trí bổ sung</w:t>
      </w:r>
      <w:r w:rsidR="00FE23EB">
        <w:rPr>
          <w:lang w:val="nl-NL"/>
        </w:rPr>
        <w:t xml:space="preserve"> theo hướng</w:t>
      </w:r>
      <w:r w:rsidR="000F5009" w:rsidRPr="00335288">
        <w:rPr>
          <w:lang w:val="nl-NL"/>
        </w:rPr>
        <w:t xml:space="preserve"> chuyên nghiệp, công khai, minh bạch.</w:t>
      </w:r>
    </w:p>
    <w:p w:rsidR="00320B8E" w:rsidRDefault="003073F7" w:rsidP="00260AE7">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720"/>
        <w:jc w:val="both"/>
        <w:rPr>
          <w:lang w:val="nl-NL"/>
        </w:rPr>
      </w:pPr>
      <w:r w:rsidRPr="00335288">
        <w:rPr>
          <w:lang w:val="nl-NL"/>
        </w:rPr>
        <w:t xml:space="preserve">- </w:t>
      </w:r>
      <w:r w:rsidRPr="00335288">
        <w:rPr>
          <w:i/>
          <w:lang w:val="nl-NL"/>
        </w:rPr>
        <w:t>Thứ ba</w:t>
      </w:r>
      <w:r w:rsidRPr="00335288">
        <w:rPr>
          <w:lang w:val="nl-NL"/>
        </w:rPr>
        <w:t xml:space="preserve">, </w:t>
      </w:r>
      <w:r w:rsidR="00320B8E">
        <w:rPr>
          <w:lang w:val="nl-NL"/>
        </w:rPr>
        <w:t>khuyến khích sự tham gia của khu vực kinh tế tư nhân, tháo gỡ những vướng mắc, khơi thông và phát huy nguồn lực cho phát triển kinh tế - xã hội; cắt giảm và đơn giản hóa điều kiện đầu tư kinh doanh, thủ tục hành chính</w:t>
      </w:r>
      <w:r w:rsidR="00FE23EB">
        <w:rPr>
          <w:lang w:val="nl-NL"/>
        </w:rPr>
        <w:t xml:space="preserve"> theo chủ trương của Đảng, Chính phủ</w:t>
      </w:r>
      <w:r w:rsidR="00320B8E">
        <w:rPr>
          <w:lang w:val="nl-NL"/>
        </w:rPr>
        <w:t>.</w:t>
      </w:r>
    </w:p>
    <w:p w:rsidR="00260AE7" w:rsidRDefault="00320B8E" w:rsidP="00260AE7">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720"/>
        <w:jc w:val="both"/>
        <w:rPr>
          <w:spacing w:val="4"/>
          <w:lang w:val="es-ES"/>
        </w:rPr>
      </w:pPr>
      <w:r w:rsidRPr="00320B8E">
        <w:rPr>
          <w:i/>
          <w:iCs/>
          <w:lang w:val="nl-NL"/>
        </w:rPr>
        <w:t xml:space="preserve">- Thứ tư, </w:t>
      </w:r>
      <w:r w:rsidR="00260AE7">
        <w:rPr>
          <w:spacing w:val="4"/>
          <w:lang w:val="es-ES"/>
        </w:rPr>
        <w:t>tuân thủ</w:t>
      </w:r>
      <w:r w:rsidR="00260AE7" w:rsidRPr="004954C4">
        <w:rPr>
          <w:spacing w:val="4"/>
          <w:lang w:val="es-ES"/>
        </w:rPr>
        <w:t xml:space="preserve"> Luật Ban hành văn bản quy phạm pháp luật</w:t>
      </w:r>
      <w:r w:rsidR="00260AE7">
        <w:rPr>
          <w:spacing w:val="4"/>
          <w:lang w:val="es-ES"/>
        </w:rPr>
        <w:t xml:space="preserve"> và quy định pháp luật liên quan, </w:t>
      </w:r>
      <w:r w:rsidR="00260AE7" w:rsidRPr="004954C4">
        <w:rPr>
          <w:spacing w:val="4"/>
          <w:lang w:val="es-ES"/>
        </w:rPr>
        <w:t>việc xây dựng Nghị định thực hiện</w:t>
      </w:r>
      <w:r w:rsidR="00260AE7">
        <w:rPr>
          <w:spacing w:val="4"/>
          <w:lang w:val="es-ES"/>
        </w:rPr>
        <w:t xml:space="preserve"> </w:t>
      </w:r>
      <w:r w:rsidR="00260AE7" w:rsidRPr="004954C4">
        <w:rPr>
          <w:spacing w:val="4"/>
          <w:lang w:val="es-ES"/>
        </w:rPr>
        <w:t>theo đúng quy định</w:t>
      </w:r>
      <w:r w:rsidR="00260AE7">
        <w:rPr>
          <w:spacing w:val="4"/>
          <w:lang w:val="es-ES"/>
        </w:rPr>
        <w:t xml:space="preserve"> </w:t>
      </w:r>
      <w:r w:rsidR="00260AE7" w:rsidRPr="004954C4">
        <w:rPr>
          <w:spacing w:val="4"/>
          <w:lang w:val="es-ES"/>
        </w:rPr>
        <w:t xml:space="preserve">đảm bảo công khai, minh bạch, không cài cắm lợi ích nhóm, </w:t>
      </w:r>
      <w:r w:rsidR="00FE23EB">
        <w:rPr>
          <w:spacing w:val="4"/>
          <w:lang w:val="es-ES"/>
        </w:rPr>
        <w:t xml:space="preserve">không có </w:t>
      </w:r>
      <w:r w:rsidR="00260AE7" w:rsidRPr="004954C4">
        <w:rPr>
          <w:spacing w:val="4"/>
          <w:lang w:val="es-ES"/>
        </w:rPr>
        <w:t>lợi ích cục bộ.</w:t>
      </w:r>
    </w:p>
    <w:p w:rsidR="00320B8E" w:rsidRDefault="00320B8E" w:rsidP="00260AE7">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720"/>
        <w:jc w:val="both"/>
        <w:rPr>
          <w:spacing w:val="4"/>
          <w:lang w:val="es-ES"/>
        </w:rPr>
      </w:pPr>
      <w:r w:rsidRPr="00320B8E">
        <w:rPr>
          <w:i/>
          <w:iCs/>
          <w:spacing w:val="4"/>
          <w:lang w:val="es-ES"/>
        </w:rPr>
        <w:t>- Thứ năm,</w:t>
      </w:r>
      <w:r>
        <w:rPr>
          <w:spacing w:val="4"/>
          <w:lang w:val="es-ES"/>
        </w:rPr>
        <w:t xml:space="preserve"> </w:t>
      </w:r>
      <w:r w:rsidRPr="00320B8E">
        <w:rPr>
          <w:spacing w:val="4"/>
          <w:lang w:val="nl-NL"/>
        </w:rPr>
        <w:t xml:space="preserve">tiếp tục duy trì các quy định còn phù hợp tại </w:t>
      </w:r>
      <w:r>
        <w:rPr>
          <w:spacing w:val="4"/>
          <w:lang w:val="nl-NL"/>
        </w:rPr>
        <w:t>Nghị định số 88</w:t>
      </w:r>
      <w:r w:rsidRPr="00320B8E">
        <w:rPr>
          <w:bCs/>
          <w:spacing w:val="4"/>
          <w:lang w:val="nl-NL"/>
        </w:rPr>
        <w:t>, sửa đổi các quy định chưa phù hợp để</w:t>
      </w:r>
      <w:r w:rsidRPr="00320B8E">
        <w:rPr>
          <w:spacing w:val="4"/>
          <w:lang w:val="nl-NL"/>
        </w:rPr>
        <w:t xml:space="preserve"> </w:t>
      </w:r>
      <w:r w:rsidRPr="00320B8E">
        <w:rPr>
          <w:spacing w:val="4"/>
        </w:rPr>
        <w:t xml:space="preserve">khắc phục </w:t>
      </w:r>
      <w:r w:rsidR="00FE23EB">
        <w:rPr>
          <w:spacing w:val="4"/>
        </w:rPr>
        <w:t xml:space="preserve">một số </w:t>
      </w:r>
      <w:r w:rsidRPr="00320B8E">
        <w:rPr>
          <w:spacing w:val="4"/>
        </w:rPr>
        <w:t>hạn chế trong thực tế triển khai thời gian qua.</w:t>
      </w:r>
    </w:p>
    <w:p w:rsidR="00F123E4" w:rsidRDefault="00486069" w:rsidP="00D00524">
      <w:pPr>
        <w:widowControl w:val="0"/>
        <w:spacing w:before="100" w:after="100" w:line="330" w:lineRule="exact"/>
        <w:ind w:firstLine="700"/>
        <w:jc w:val="both"/>
        <w:rPr>
          <w:b/>
          <w:lang w:val="nl-NL"/>
        </w:rPr>
      </w:pPr>
      <w:r w:rsidRPr="00335288">
        <w:rPr>
          <w:b/>
          <w:lang w:val="nl-NL"/>
        </w:rPr>
        <w:t xml:space="preserve">III. </w:t>
      </w:r>
      <w:r w:rsidR="00336B2D" w:rsidRPr="00335288">
        <w:rPr>
          <w:b/>
          <w:lang w:val="nl-NL"/>
        </w:rPr>
        <w:t>QUÁ TRÌNH XÂY DỰNG DỰ THẢO NGHỊ ĐỊNH</w:t>
      </w:r>
    </w:p>
    <w:p w:rsidR="00F123E4" w:rsidRDefault="007739A4" w:rsidP="00D00524">
      <w:pPr>
        <w:spacing w:before="100" w:after="100" w:line="330" w:lineRule="exact"/>
        <w:ind w:firstLine="706"/>
        <w:jc w:val="both"/>
      </w:pPr>
      <w:r w:rsidRPr="007739A4">
        <w:rPr>
          <w:b/>
        </w:rPr>
        <w:t>1.</w:t>
      </w:r>
      <w:r w:rsidR="003145C5" w:rsidRPr="00335288">
        <w:t xml:space="preserve"> Ngày </w:t>
      </w:r>
      <w:r w:rsidR="007C3501" w:rsidRPr="00335288">
        <w:t>0</w:t>
      </w:r>
      <w:r w:rsidR="003145C5" w:rsidRPr="00335288">
        <w:t xml:space="preserve">3/5/2024, Bộ Tài chính có Công văn số 4541/BTC-TCNH báo cáo Lãnh đạo Chính phủ về chính sách bảo hiểm hưu trí bổ sung tại dự thảo Luật BHXH (sửa đổi) trong đó </w:t>
      </w:r>
      <w:r w:rsidR="00FB44E8" w:rsidRPr="00335288">
        <w:t xml:space="preserve">kèm theo </w:t>
      </w:r>
      <w:r w:rsidR="00912F12" w:rsidRPr="00335288">
        <w:rPr>
          <w:lang w:val="nl-NL"/>
        </w:rPr>
        <w:t xml:space="preserve">Báo cáo đánh giá tác động đề xuất chính sách về bảo hiểm hưu trí bổ sung và Dự thảo đề cương, dự thảo sơ bộ Nghị định về bảo hiểm hưu trí bổ sung. </w:t>
      </w:r>
    </w:p>
    <w:p w:rsidR="005C3DBD" w:rsidRDefault="007739A4" w:rsidP="00D00524">
      <w:pPr>
        <w:spacing w:before="100" w:after="100" w:line="330" w:lineRule="exact"/>
        <w:ind w:firstLine="706"/>
        <w:jc w:val="both"/>
      </w:pPr>
      <w:r w:rsidRPr="007739A4">
        <w:rPr>
          <w:b/>
        </w:rPr>
        <w:lastRenderedPageBreak/>
        <w:t>2.</w:t>
      </w:r>
      <w:r w:rsidR="00320B8E">
        <w:t xml:space="preserve"> </w:t>
      </w:r>
      <w:r w:rsidR="005C3DBD">
        <w:t>Ngày 16/5/2025 và ngày 10/7/2025, B</w:t>
      </w:r>
      <w:r w:rsidR="00320B8E" w:rsidRPr="00320B8E">
        <w:t xml:space="preserve">ộ Tài chính đã báo cáo Lãnh đạo Chính phủ về việc triển khai xây dựng Nghị định về bảo hiểm hưu trí bổ sung tại các </w:t>
      </w:r>
      <w:r w:rsidR="005C3DBD">
        <w:t xml:space="preserve">Công </w:t>
      </w:r>
      <w:r w:rsidR="00320B8E" w:rsidRPr="00320B8E">
        <w:t>văn số 6668/BTCĐCTC và số 10388/BTC-ĐCTC</w:t>
      </w:r>
      <w:r w:rsidR="005C3DBD">
        <w:t>.</w:t>
      </w:r>
      <w:r w:rsidR="00F15A2B">
        <w:t xml:space="preserve"> </w:t>
      </w:r>
      <w:r w:rsidR="005C3DBD" w:rsidRPr="005C3DBD">
        <w:t>Ngày 18/8/2025, V</w:t>
      </w:r>
      <w:r w:rsidR="005C3DBD">
        <w:t xml:space="preserve">ăn phòng Chính phủ </w:t>
      </w:r>
      <w:r w:rsidR="005C3DBD" w:rsidRPr="005C3DBD">
        <w:t>có Công văn số 7685/VPCP-KTTH thông báo ý kiến chỉ đạo của Phó Thủ tướng Hồ Đức Phớc giao Bộ Tài chính chủ trì, phối hợp với các Bộ, cơ quan liên quan nghiên cứu, đánh giá kỹ lưỡng, toàn diện các nội dung báo cáo, đề xuất tại các văn bản số 6668/BTC-ĐCTC và số 10388/BTC-ĐCTC; khẩn trương hoàn thiện dự thảo Nghị định của Chính phủ về bảo hiểm hưu trí bổ sung bảo đảm khả thi, hiệu quả, phù hợp với thông lệ quốc tế và thực tiễn của Việt Nam, đúng quy định của Luật Bảo hiểm xã hội năm 2024, Luật Ban hành văn bản quy phạm pháp luật và các quy định có liên quan; trình Chính phủ trong quý IV năm 2025</w:t>
      </w:r>
      <w:r>
        <w:t>.</w:t>
      </w:r>
    </w:p>
    <w:p w:rsidR="00F123E4" w:rsidRDefault="007739A4" w:rsidP="00D00524">
      <w:pPr>
        <w:widowControl w:val="0"/>
        <w:spacing w:before="100" w:after="100" w:line="330" w:lineRule="exact"/>
        <w:ind w:firstLine="709"/>
        <w:jc w:val="both"/>
      </w:pPr>
      <w:r w:rsidRPr="007739A4">
        <w:rPr>
          <w:b/>
        </w:rPr>
        <w:t>3.</w:t>
      </w:r>
      <w:r w:rsidR="00AD07A8" w:rsidRPr="00335288">
        <w:t xml:space="preserve"> </w:t>
      </w:r>
      <w:r w:rsidR="003145C5" w:rsidRPr="00335288">
        <w:t xml:space="preserve">Ngày </w:t>
      </w:r>
      <w:r w:rsidR="00F90DFA" w:rsidRPr="00335288">
        <w:t>.../.../202</w:t>
      </w:r>
      <w:r w:rsidR="00335288" w:rsidRPr="00335288">
        <w:t>5</w:t>
      </w:r>
      <w:r w:rsidR="00F90DFA" w:rsidRPr="00335288">
        <w:t>, Bộ Tài chính có Công văn số .../BTC-</w:t>
      </w:r>
      <w:r w:rsidR="00C36AA1">
        <w:t>ĐCTC</w:t>
      </w:r>
      <w:r w:rsidR="00C36AA1" w:rsidRPr="00335288">
        <w:t xml:space="preserve"> </w:t>
      </w:r>
      <w:r w:rsidR="00F90DFA" w:rsidRPr="00335288">
        <w:t xml:space="preserve">lấy ý kiến các Bộ, ngành </w:t>
      </w:r>
      <w:r w:rsidR="00D87124" w:rsidRPr="00335288">
        <w:t xml:space="preserve">đối với dự thảo Nghị định quy định về bảo hiểm hưu trí bổ sung và </w:t>
      </w:r>
      <w:r w:rsidR="00FE23EB">
        <w:t>đăng tải hồ sơ lên</w:t>
      </w:r>
      <w:r w:rsidR="00D87124" w:rsidRPr="00335288">
        <w:t xml:space="preserve"> Cổng thông tin điện tử </w:t>
      </w:r>
      <w:r w:rsidR="00FE23EB">
        <w:t>Bộ Tài chính</w:t>
      </w:r>
      <w:r w:rsidR="00D87124" w:rsidRPr="00335288">
        <w:t xml:space="preserve"> để đăng lấy ý kiến rộng rãi công chúng đối với dự thảo Nghị định.</w:t>
      </w:r>
    </w:p>
    <w:p w:rsidR="00F123E4" w:rsidRDefault="00F15A2B" w:rsidP="00D00524">
      <w:pPr>
        <w:widowControl w:val="0"/>
        <w:spacing w:before="100" w:after="100" w:line="330" w:lineRule="exact"/>
        <w:ind w:firstLine="697"/>
        <w:jc w:val="both"/>
        <w:rPr>
          <w:b/>
          <w:lang w:val="nl-NL"/>
        </w:rPr>
      </w:pPr>
      <w:r>
        <w:rPr>
          <w:b/>
          <w:lang w:val="nl-NL"/>
        </w:rPr>
        <w:t xml:space="preserve">4. </w:t>
      </w:r>
      <w:r w:rsidR="003145C5" w:rsidRPr="00335288">
        <w:rPr>
          <w:lang w:val="nl-NL"/>
        </w:rPr>
        <w:t xml:space="preserve">Trên cơ sở tổng hợp ý kiến các Bộ, ngành, chuyên gia, nhà khoa học, ngày </w:t>
      </w:r>
      <w:r w:rsidR="00B205B7" w:rsidRPr="00335288">
        <w:rPr>
          <w:lang w:val="nl-NL"/>
        </w:rPr>
        <w:t>.../.../202</w:t>
      </w:r>
      <w:r w:rsidR="00F93FDA" w:rsidRPr="00335288">
        <w:rPr>
          <w:lang w:val="nl-NL"/>
        </w:rPr>
        <w:t>5</w:t>
      </w:r>
      <w:r w:rsidR="003145C5" w:rsidRPr="00335288">
        <w:rPr>
          <w:lang w:val="nl-NL"/>
        </w:rPr>
        <w:t xml:space="preserve">, Bộ Tài chính đã có Công văn số </w:t>
      </w:r>
      <w:r w:rsidR="00B205B7" w:rsidRPr="00335288">
        <w:rPr>
          <w:rFonts w:eastAsia="Calibri"/>
          <w:bCs/>
          <w:lang w:val="nl-NL"/>
        </w:rPr>
        <w:t>...</w:t>
      </w:r>
      <w:r w:rsidR="003145C5" w:rsidRPr="00335288">
        <w:rPr>
          <w:rFonts w:eastAsia="Calibri"/>
          <w:bCs/>
          <w:lang w:val="nl-NL"/>
        </w:rPr>
        <w:t>/BTC-</w:t>
      </w:r>
      <w:r w:rsidR="00C36AA1">
        <w:rPr>
          <w:rFonts w:eastAsia="Calibri"/>
          <w:bCs/>
          <w:lang w:val="nl-NL"/>
        </w:rPr>
        <w:t>ĐCTC</w:t>
      </w:r>
      <w:r w:rsidR="00C36AA1" w:rsidRPr="00335288">
        <w:rPr>
          <w:lang w:val="nl-NL"/>
        </w:rPr>
        <w:t xml:space="preserve"> </w:t>
      </w:r>
      <w:r w:rsidR="003145C5" w:rsidRPr="00335288">
        <w:rPr>
          <w:lang w:val="nl-NL"/>
        </w:rPr>
        <w:t xml:space="preserve">gửi lấy ý kiến thẩm định của Bộ Tư pháp. Ngày </w:t>
      </w:r>
      <w:r w:rsidR="00B205B7" w:rsidRPr="00335288">
        <w:rPr>
          <w:lang w:val="nl-NL"/>
        </w:rPr>
        <w:t>.../.../...</w:t>
      </w:r>
      <w:r w:rsidR="003145C5" w:rsidRPr="00335288">
        <w:rPr>
          <w:lang w:val="nl-NL"/>
        </w:rPr>
        <w:t xml:space="preserve">, Bộ Tư pháp có ý kiến thẩm định tại Báo cáo số </w:t>
      </w:r>
      <w:r w:rsidR="00BD7D70" w:rsidRPr="00335288">
        <w:rPr>
          <w:lang w:val="nl-NL"/>
        </w:rPr>
        <w:t>...</w:t>
      </w:r>
      <w:r w:rsidR="003145C5" w:rsidRPr="00335288">
        <w:rPr>
          <w:lang w:val="nl-NL"/>
        </w:rPr>
        <w:t>/BCTĐ-BTP đối với dự thảo Nghị định.</w:t>
      </w:r>
    </w:p>
    <w:p w:rsidR="00F123E4" w:rsidRDefault="00336B2D" w:rsidP="00D00524">
      <w:pPr>
        <w:widowControl w:val="0"/>
        <w:spacing w:before="100" w:after="100" w:line="330" w:lineRule="exact"/>
        <w:ind w:firstLine="720"/>
        <w:jc w:val="both"/>
        <w:rPr>
          <w:b/>
          <w:lang w:val="nl-NL"/>
        </w:rPr>
      </w:pPr>
      <w:r w:rsidRPr="00335288">
        <w:rPr>
          <w:b/>
          <w:lang w:val="nl-NL"/>
        </w:rPr>
        <w:t xml:space="preserve">IV. BỐ CỤC VÀ NỘI DUNG CƠ BẢN CỦA DỰ THẢO NGHỊ ĐỊNH </w:t>
      </w:r>
    </w:p>
    <w:p w:rsidR="003D38C1" w:rsidRPr="003D38C1" w:rsidRDefault="003D38C1" w:rsidP="003D38C1">
      <w:pPr>
        <w:widowControl w:val="0"/>
        <w:spacing w:before="100" w:after="100" w:line="330" w:lineRule="exact"/>
        <w:ind w:firstLine="720"/>
        <w:jc w:val="both"/>
        <w:rPr>
          <w:b/>
          <w:lang w:val="es-ES"/>
        </w:rPr>
      </w:pPr>
      <w:r w:rsidRPr="003D38C1">
        <w:rPr>
          <w:b/>
          <w:lang w:val="es-ES"/>
        </w:rPr>
        <w:t>1. Phạm vi điều chỉnh, đối tượng áp dụng</w:t>
      </w:r>
    </w:p>
    <w:p w:rsidR="003D38C1" w:rsidRDefault="003D38C1" w:rsidP="003D38C1">
      <w:pPr>
        <w:widowControl w:val="0"/>
        <w:spacing w:before="100" w:after="100" w:line="330" w:lineRule="exact"/>
        <w:ind w:firstLine="720"/>
        <w:jc w:val="both"/>
        <w:rPr>
          <w:bCs/>
        </w:rPr>
      </w:pPr>
      <w:r>
        <w:rPr>
          <w:bCs/>
        </w:rPr>
        <w:t xml:space="preserve">- Căn cứ Luật BHXH năm 2024, </w:t>
      </w:r>
      <w:r w:rsidRPr="003D38C1">
        <w:rPr>
          <w:bCs/>
        </w:rPr>
        <w:t xml:space="preserve">bảo hiểm hưu trí bổ sung </w:t>
      </w:r>
      <w:r>
        <w:rPr>
          <w:bCs/>
        </w:rPr>
        <w:t xml:space="preserve">là chế độ bảo hiểm xã hội </w:t>
      </w:r>
      <w:r w:rsidRPr="003D38C1">
        <w:rPr>
          <w:bCs/>
        </w:rPr>
        <w:t>mang tính chất tự nguyện theo nguyên tắc thị trường nhằm bổ sung cho chế độ hưu trí trong bảo hiểm xã hội bắt buộc, có cơ chế tạo lập quỹ từ đóng góp của người sử dụng lao động hoặc của người sử dụng lao động và người lao động.</w:t>
      </w:r>
      <w:r>
        <w:rPr>
          <w:bCs/>
        </w:rPr>
        <w:t xml:space="preserve"> Theo đó, Nghị định </w:t>
      </w:r>
      <w:r w:rsidRPr="003D38C1">
        <w:rPr>
          <w:bCs/>
          <w:lang w:val="vi-VN"/>
        </w:rPr>
        <w:t xml:space="preserve">không điều chỉnh </w:t>
      </w:r>
      <w:r>
        <w:rPr>
          <w:bCs/>
        </w:rPr>
        <w:t>chế độ hưu trí trong BHXH bắt buộc, BHXH tự nguyện</w:t>
      </w:r>
      <w:r w:rsidR="00405D32">
        <w:rPr>
          <w:bCs/>
        </w:rPr>
        <w:t>; không điều chỉnh</w:t>
      </w:r>
      <w:r>
        <w:rPr>
          <w:bCs/>
        </w:rPr>
        <w:t xml:space="preserve"> h</w:t>
      </w:r>
      <w:r w:rsidRPr="003D38C1">
        <w:rPr>
          <w:bCs/>
          <w:lang w:val="vi-VN"/>
        </w:rPr>
        <w:t xml:space="preserve">oạt động cung cấp sản phẩm bảo hiểm hưu trí của các doanh nghiệp bảo hiểm theo quy định của Luật </w:t>
      </w:r>
      <w:r w:rsidRPr="003D38C1">
        <w:rPr>
          <w:bCs/>
        </w:rPr>
        <w:t>K</w:t>
      </w:r>
      <w:r w:rsidRPr="003D38C1">
        <w:rPr>
          <w:bCs/>
          <w:lang w:val="vi-VN"/>
        </w:rPr>
        <w:t>inh doanh bảo hiểm</w:t>
      </w:r>
      <w:r w:rsidR="00405D32">
        <w:rPr>
          <w:bCs/>
        </w:rPr>
        <w:t xml:space="preserve"> và không điều chỉnh </w:t>
      </w:r>
      <w:r w:rsidR="00405D32">
        <w:t>hoạt động quản lý quỹ đầu tư chứng khoán của các công ty quản lý quỹ đầu tư chứng khoán theo quy định của pháp luật chứng khoán</w:t>
      </w:r>
      <w:r w:rsidRPr="003D38C1">
        <w:rPr>
          <w:bCs/>
          <w:lang w:val="vi-VN"/>
        </w:rPr>
        <w:t>.</w:t>
      </w:r>
    </w:p>
    <w:p w:rsidR="003D38C1" w:rsidRPr="003D38C1" w:rsidRDefault="003D38C1" w:rsidP="003D38C1">
      <w:pPr>
        <w:widowControl w:val="0"/>
        <w:spacing w:before="100" w:after="100" w:line="330" w:lineRule="exact"/>
        <w:ind w:firstLine="720"/>
        <w:jc w:val="both"/>
        <w:rPr>
          <w:bCs/>
        </w:rPr>
      </w:pPr>
      <w:r>
        <w:rPr>
          <w:bCs/>
        </w:rPr>
        <w:t>- Đối tượng áp dụng của Nghị định là n</w:t>
      </w:r>
      <w:r w:rsidRPr="003D38C1">
        <w:rPr>
          <w:bCs/>
          <w:lang w:val="vi-VN"/>
        </w:rPr>
        <w:t xml:space="preserve">gười lao động, người sử dụng lao động tham gia </w:t>
      </w:r>
      <w:r w:rsidR="00B36B6A">
        <w:rPr>
          <w:bCs/>
        </w:rPr>
        <w:t>bảo hiểm hưu trí bổ sung</w:t>
      </w:r>
      <w:r>
        <w:rPr>
          <w:bCs/>
        </w:rPr>
        <w:t>; các d</w:t>
      </w:r>
      <w:r w:rsidRPr="003D38C1">
        <w:rPr>
          <w:bCs/>
        </w:rPr>
        <w:t>oanh nghiệp quản lý quỹ bảo hiểm hưu trí bổ sung</w:t>
      </w:r>
      <w:r>
        <w:rPr>
          <w:bCs/>
        </w:rPr>
        <w:t xml:space="preserve"> và c</w:t>
      </w:r>
      <w:r w:rsidRPr="003D38C1">
        <w:rPr>
          <w:bCs/>
          <w:lang w:val="vi-VN"/>
        </w:rPr>
        <w:t>ác tổ chức cung cấp dịch vụ liên quan tới</w:t>
      </w:r>
      <w:r w:rsidRPr="003D38C1">
        <w:rPr>
          <w:bCs/>
        </w:rPr>
        <w:t xml:space="preserve"> việc thiết lập,</w:t>
      </w:r>
      <w:r w:rsidRPr="003D38C1">
        <w:rPr>
          <w:bCs/>
          <w:lang w:val="vi-VN"/>
        </w:rPr>
        <w:t xml:space="preserve"> hoạt động, quản lý, đầu tư</w:t>
      </w:r>
      <w:r w:rsidRPr="003D38C1">
        <w:rPr>
          <w:bCs/>
        </w:rPr>
        <w:t>, giám sát quỹ</w:t>
      </w:r>
      <w:r w:rsidRPr="003D38C1">
        <w:rPr>
          <w:bCs/>
          <w:lang w:val="vi-VN"/>
        </w:rPr>
        <w:t xml:space="preserve"> bảo hiểm hưu trí bổ sung</w:t>
      </w:r>
      <w:r>
        <w:rPr>
          <w:bCs/>
        </w:rPr>
        <w:t>.</w:t>
      </w:r>
    </w:p>
    <w:p w:rsidR="00F123E4" w:rsidRDefault="003D38C1" w:rsidP="00D00524">
      <w:pPr>
        <w:widowControl w:val="0"/>
        <w:spacing w:before="100" w:after="100" w:line="330" w:lineRule="exact"/>
        <w:ind w:firstLine="720"/>
        <w:jc w:val="both"/>
        <w:rPr>
          <w:lang w:val="nl-NL"/>
        </w:rPr>
      </w:pPr>
      <w:r>
        <w:rPr>
          <w:b/>
          <w:lang w:val="nl-NL"/>
        </w:rPr>
        <w:t>2</w:t>
      </w:r>
      <w:r w:rsidR="00661B35" w:rsidRPr="00335288">
        <w:rPr>
          <w:b/>
          <w:lang w:val="nl-NL"/>
        </w:rPr>
        <w:t xml:space="preserve">. Về bố cục: </w:t>
      </w:r>
    </w:p>
    <w:p w:rsidR="00F123E4" w:rsidRDefault="00FA0448" w:rsidP="00D00524">
      <w:pPr>
        <w:widowControl w:val="0"/>
        <w:spacing w:before="100" w:after="100" w:line="330" w:lineRule="exact"/>
        <w:ind w:firstLine="720"/>
        <w:jc w:val="both"/>
        <w:rPr>
          <w:bCs/>
          <w:lang w:val="nl-NL"/>
        </w:rPr>
      </w:pPr>
      <w:r w:rsidRPr="00335288">
        <w:rPr>
          <w:bCs/>
          <w:lang w:val="nl-NL"/>
        </w:rPr>
        <w:t xml:space="preserve">Dự thảo Nghị định gồm </w:t>
      </w:r>
      <w:r w:rsidR="005C3DBD">
        <w:rPr>
          <w:bCs/>
          <w:lang w:val="nl-NL"/>
        </w:rPr>
        <w:t>5</w:t>
      </w:r>
      <w:r w:rsidRPr="00335288">
        <w:rPr>
          <w:bCs/>
          <w:lang w:val="nl-NL"/>
        </w:rPr>
        <w:t xml:space="preserve"> chương và </w:t>
      </w:r>
      <w:r w:rsidR="005C3DBD">
        <w:rPr>
          <w:bCs/>
          <w:lang w:val="nl-NL"/>
        </w:rPr>
        <w:t>4</w:t>
      </w:r>
      <w:r w:rsidR="00190430">
        <w:rPr>
          <w:bCs/>
          <w:lang w:val="vi-VN"/>
        </w:rPr>
        <w:t>5</w:t>
      </w:r>
      <w:r w:rsidR="00DA3303" w:rsidRPr="00335288">
        <w:rPr>
          <w:bCs/>
          <w:lang w:val="nl-NL"/>
        </w:rPr>
        <w:t xml:space="preserve"> </w:t>
      </w:r>
      <w:r w:rsidRPr="00335288">
        <w:rPr>
          <w:bCs/>
          <w:lang w:val="nl-NL"/>
        </w:rPr>
        <w:t>điều với bố cục như sau:</w:t>
      </w:r>
    </w:p>
    <w:p w:rsidR="00F123E4" w:rsidRDefault="00FA0448" w:rsidP="00D00524">
      <w:pPr>
        <w:widowControl w:val="0"/>
        <w:spacing w:before="100" w:after="100" w:line="330" w:lineRule="exact"/>
        <w:ind w:firstLine="720"/>
        <w:jc w:val="both"/>
        <w:rPr>
          <w:bCs/>
          <w:lang w:val="nl-NL"/>
        </w:rPr>
      </w:pPr>
      <w:r w:rsidRPr="00335288">
        <w:rPr>
          <w:bCs/>
          <w:lang w:val="nl-NL"/>
        </w:rPr>
        <w:t xml:space="preserve">- Chương I gồm </w:t>
      </w:r>
      <w:r w:rsidR="00DA3303" w:rsidRPr="00335288">
        <w:rPr>
          <w:bCs/>
          <w:lang w:val="nl-NL"/>
        </w:rPr>
        <w:t>3</w:t>
      </w:r>
      <w:r w:rsidRPr="00335288">
        <w:rPr>
          <w:bCs/>
          <w:lang w:val="nl-NL"/>
        </w:rPr>
        <w:t xml:space="preserve"> điều quy định chung về phạm vi điều chỉnh, đối tượng áp dụng</w:t>
      </w:r>
      <w:r w:rsidR="00DA3303" w:rsidRPr="00335288">
        <w:rPr>
          <w:bCs/>
          <w:lang w:val="nl-NL"/>
        </w:rPr>
        <w:t xml:space="preserve"> và giải thích thuật ngữ</w:t>
      </w:r>
      <w:r w:rsidRPr="00335288">
        <w:rPr>
          <w:bCs/>
          <w:lang w:val="nl-NL"/>
        </w:rPr>
        <w:t>.</w:t>
      </w:r>
    </w:p>
    <w:p w:rsidR="00F123E4" w:rsidRDefault="00FA0448" w:rsidP="00D00524">
      <w:pPr>
        <w:widowControl w:val="0"/>
        <w:spacing w:before="100" w:after="100" w:line="330" w:lineRule="exact"/>
        <w:ind w:firstLine="720"/>
        <w:jc w:val="both"/>
        <w:rPr>
          <w:bCs/>
          <w:lang w:val="nl-NL"/>
        </w:rPr>
      </w:pPr>
      <w:r w:rsidRPr="00335288">
        <w:rPr>
          <w:bCs/>
          <w:lang w:val="nl-NL"/>
        </w:rPr>
        <w:lastRenderedPageBreak/>
        <w:t xml:space="preserve">- Chương II gồm </w:t>
      </w:r>
      <w:r w:rsidR="00390FE8" w:rsidRPr="00335288">
        <w:rPr>
          <w:bCs/>
          <w:lang w:val="nl-NL"/>
        </w:rPr>
        <w:t>2</w:t>
      </w:r>
      <w:r w:rsidR="006616FA">
        <w:rPr>
          <w:bCs/>
          <w:lang w:val="nl-NL"/>
        </w:rPr>
        <w:t>8</w:t>
      </w:r>
      <w:r w:rsidR="00B61D06" w:rsidRPr="00335288">
        <w:rPr>
          <w:bCs/>
          <w:lang w:val="nl-NL"/>
        </w:rPr>
        <w:t xml:space="preserve"> điều được chia thành </w:t>
      </w:r>
      <w:r w:rsidR="002C665C" w:rsidRPr="00335288">
        <w:rPr>
          <w:bCs/>
          <w:lang w:val="nl-NL"/>
        </w:rPr>
        <w:t>5</w:t>
      </w:r>
      <w:r w:rsidR="00B61D06" w:rsidRPr="00335288">
        <w:rPr>
          <w:bCs/>
          <w:lang w:val="nl-NL"/>
        </w:rPr>
        <w:t xml:space="preserve"> mục quy định về </w:t>
      </w:r>
      <w:r w:rsidR="00B61D06" w:rsidRPr="00335288">
        <w:rPr>
          <w:b/>
          <w:bCs/>
          <w:lang w:val="nl-NL"/>
        </w:rPr>
        <w:t>(i)</w:t>
      </w:r>
      <w:r w:rsidR="00B61D06" w:rsidRPr="00335288">
        <w:rPr>
          <w:bCs/>
          <w:lang w:val="nl-NL"/>
        </w:rPr>
        <w:t xml:space="preserve"> việc tham gia bảo hiểm hưu trí bổ sung, </w:t>
      </w:r>
      <w:r w:rsidR="00B61D06" w:rsidRPr="00335288">
        <w:rPr>
          <w:b/>
          <w:bCs/>
          <w:lang w:val="nl-NL"/>
        </w:rPr>
        <w:t>(ii)</w:t>
      </w:r>
      <w:r w:rsidR="00B61D06" w:rsidRPr="00335288">
        <w:rPr>
          <w:bCs/>
          <w:lang w:val="nl-NL"/>
        </w:rPr>
        <w:t xml:space="preserve"> </w:t>
      </w:r>
      <w:r w:rsidR="005C3DBD">
        <w:rPr>
          <w:bCs/>
          <w:lang w:val="nl-NL"/>
        </w:rPr>
        <w:t>thiết lập quỹ bảo hiểm hưu trí bổ sung,</w:t>
      </w:r>
      <w:r w:rsidR="00B61D06" w:rsidRPr="00335288">
        <w:rPr>
          <w:bCs/>
          <w:lang w:val="nl-NL"/>
        </w:rPr>
        <w:t xml:space="preserve"> </w:t>
      </w:r>
      <w:r w:rsidR="00B61D06" w:rsidRPr="00335288">
        <w:rPr>
          <w:b/>
          <w:bCs/>
          <w:lang w:val="nl-NL"/>
        </w:rPr>
        <w:t>(iii)</w:t>
      </w:r>
      <w:r w:rsidR="005C3DBD" w:rsidRPr="005C3DBD">
        <w:rPr>
          <w:bCs/>
          <w:lang w:val="nl-NL"/>
        </w:rPr>
        <w:t xml:space="preserve"> </w:t>
      </w:r>
      <w:r w:rsidR="005C3DBD" w:rsidRPr="00335288">
        <w:rPr>
          <w:bCs/>
          <w:lang w:val="nl-NL"/>
        </w:rPr>
        <w:t>quản lý, đầu tư quỹ bảo hiểm hưu trí bổ sung</w:t>
      </w:r>
      <w:r w:rsidR="005C3DBD">
        <w:rPr>
          <w:bCs/>
          <w:lang w:val="nl-NL"/>
        </w:rPr>
        <w:t xml:space="preserve">, </w:t>
      </w:r>
      <w:r w:rsidR="005C3DBD" w:rsidRPr="00335288">
        <w:rPr>
          <w:b/>
          <w:bCs/>
          <w:lang w:val="nl-NL"/>
        </w:rPr>
        <w:t>(iv)</w:t>
      </w:r>
      <w:r w:rsidR="005C3DBD" w:rsidRPr="00335288">
        <w:rPr>
          <w:bCs/>
          <w:lang w:val="nl-NL"/>
        </w:rPr>
        <w:t xml:space="preserve"> </w:t>
      </w:r>
      <w:r w:rsidR="00B61D06" w:rsidRPr="00335288">
        <w:rPr>
          <w:bCs/>
          <w:lang w:val="nl-NL"/>
        </w:rPr>
        <w:t>chi trả từ bảo hiểm hưu trí bổ sung</w:t>
      </w:r>
      <w:r w:rsidR="002C665C" w:rsidRPr="00335288">
        <w:rPr>
          <w:bCs/>
          <w:lang w:val="nl-NL"/>
        </w:rPr>
        <w:t>,</w:t>
      </w:r>
      <w:r w:rsidR="00B61D06" w:rsidRPr="00335288">
        <w:rPr>
          <w:bCs/>
          <w:lang w:val="nl-NL"/>
        </w:rPr>
        <w:t xml:space="preserve"> </w:t>
      </w:r>
      <w:r w:rsidR="005C3DBD">
        <w:rPr>
          <w:bCs/>
          <w:lang w:val="nl-NL"/>
        </w:rPr>
        <w:t xml:space="preserve">và </w:t>
      </w:r>
      <w:r w:rsidR="005C3DBD" w:rsidRPr="00335288">
        <w:rPr>
          <w:b/>
          <w:bCs/>
          <w:lang w:val="nl-NL"/>
        </w:rPr>
        <w:t>(v)</w:t>
      </w:r>
      <w:r w:rsidR="005C3DBD" w:rsidRPr="00335288">
        <w:rPr>
          <w:bCs/>
          <w:lang w:val="nl-NL"/>
        </w:rPr>
        <w:t xml:space="preserve"> </w:t>
      </w:r>
      <w:r w:rsidR="002C665C" w:rsidRPr="00335288">
        <w:rPr>
          <w:bCs/>
          <w:lang w:val="nl-NL"/>
        </w:rPr>
        <w:t xml:space="preserve">chế độ công bố thông tin, báo cáo về bảo hiểm hưu trí bổ sung và </w:t>
      </w:r>
      <w:r w:rsidR="00B61D06" w:rsidRPr="00335288">
        <w:rPr>
          <w:bCs/>
          <w:lang w:val="nl-NL"/>
        </w:rPr>
        <w:t>phổ biến</w:t>
      </w:r>
      <w:r w:rsidR="002C665C" w:rsidRPr="00335288">
        <w:rPr>
          <w:bCs/>
          <w:lang w:val="nl-NL"/>
        </w:rPr>
        <w:t>.</w:t>
      </w:r>
    </w:p>
    <w:p w:rsidR="005C3DBD" w:rsidRDefault="00B61D06" w:rsidP="00D00524">
      <w:pPr>
        <w:widowControl w:val="0"/>
        <w:spacing w:before="100" w:after="100" w:line="330" w:lineRule="exact"/>
        <w:ind w:firstLine="720"/>
        <w:jc w:val="both"/>
        <w:rPr>
          <w:bCs/>
          <w:lang w:val="nl-NL"/>
        </w:rPr>
      </w:pPr>
      <w:r w:rsidRPr="00335288">
        <w:rPr>
          <w:bCs/>
          <w:lang w:val="nl-NL"/>
        </w:rPr>
        <w:t xml:space="preserve">- Chương III gồm </w:t>
      </w:r>
      <w:r w:rsidR="006616FA">
        <w:rPr>
          <w:bCs/>
          <w:lang w:val="nl-NL"/>
        </w:rPr>
        <w:t>9</w:t>
      </w:r>
      <w:r w:rsidRPr="00335288">
        <w:rPr>
          <w:bCs/>
          <w:lang w:val="nl-NL"/>
        </w:rPr>
        <w:t xml:space="preserve"> điều quy định về </w:t>
      </w:r>
      <w:r w:rsidR="005C3DBD">
        <w:rPr>
          <w:bCs/>
          <w:lang w:val="nl-NL"/>
        </w:rPr>
        <w:t>doanh nghiệp quản lý quỹ bảo hiểm hưu trí bổ sung.</w:t>
      </w:r>
    </w:p>
    <w:p w:rsidR="00F123E4" w:rsidRDefault="005C3DBD" w:rsidP="00D00524">
      <w:pPr>
        <w:widowControl w:val="0"/>
        <w:spacing w:before="100" w:after="100" w:line="330" w:lineRule="exact"/>
        <w:ind w:firstLine="720"/>
        <w:jc w:val="both"/>
        <w:rPr>
          <w:bCs/>
          <w:lang w:val="nl-NL"/>
        </w:rPr>
      </w:pPr>
      <w:r>
        <w:rPr>
          <w:bCs/>
          <w:lang w:val="nl-NL"/>
        </w:rPr>
        <w:t xml:space="preserve">- Chương IV gồm </w:t>
      </w:r>
      <w:r w:rsidR="00957514">
        <w:rPr>
          <w:bCs/>
          <w:lang w:val="nl-NL"/>
        </w:rPr>
        <w:t>3</w:t>
      </w:r>
      <w:r>
        <w:rPr>
          <w:bCs/>
          <w:lang w:val="nl-NL"/>
        </w:rPr>
        <w:t xml:space="preserve"> điều quy định về </w:t>
      </w:r>
      <w:r w:rsidR="002C665C" w:rsidRPr="00335288">
        <w:rPr>
          <w:bCs/>
          <w:lang w:val="nl-NL"/>
        </w:rPr>
        <w:t xml:space="preserve">trách nhiệm của các cơ quan </w:t>
      </w:r>
      <w:r w:rsidR="00F15A2B">
        <w:rPr>
          <w:bCs/>
          <w:lang w:val="nl-NL"/>
        </w:rPr>
        <w:t>có liên quan đến</w:t>
      </w:r>
      <w:r w:rsidR="002C665C" w:rsidRPr="00335288">
        <w:rPr>
          <w:bCs/>
          <w:lang w:val="nl-NL"/>
        </w:rPr>
        <w:t xml:space="preserve"> bảo hiểm hưu trí bổ sung.</w:t>
      </w:r>
    </w:p>
    <w:p w:rsidR="00F123E4" w:rsidRDefault="002C665C" w:rsidP="00D00524">
      <w:pPr>
        <w:widowControl w:val="0"/>
        <w:spacing w:before="100" w:after="100" w:line="330" w:lineRule="exact"/>
        <w:ind w:firstLine="720"/>
        <w:jc w:val="both"/>
        <w:rPr>
          <w:bCs/>
          <w:spacing w:val="-4"/>
          <w:lang w:val="nl-NL"/>
        </w:rPr>
      </w:pPr>
      <w:r w:rsidRPr="00335288">
        <w:rPr>
          <w:bCs/>
          <w:lang w:val="nl-NL"/>
        </w:rPr>
        <w:t xml:space="preserve">- </w:t>
      </w:r>
      <w:r w:rsidR="00A56174" w:rsidRPr="00D00524">
        <w:rPr>
          <w:bCs/>
          <w:spacing w:val="-4"/>
          <w:lang w:val="nl-NL"/>
        </w:rPr>
        <w:t xml:space="preserve">Chương V gồm </w:t>
      </w:r>
      <w:r w:rsidR="005C3DBD">
        <w:rPr>
          <w:bCs/>
          <w:spacing w:val="-4"/>
          <w:lang w:val="nl-NL"/>
        </w:rPr>
        <w:t>2</w:t>
      </w:r>
      <w:r w:rsidR="00A56174" w:rsidRPr="00D00524">
        <w:rPr>
          <w:bCs/>
          <w:spacing w:val="-4"/>
          <w:lang w:val="nl-NL"/>
        </w:rPr>
        <w:t xml:space="preserve"> điều quy định về hiệu lực thi hành và tổ chức thực hiện.</w:t>
      </w:r>
    </w:p>
    <w:p w:rsidR="00796C67" w:rsidRDefault="00CE6AB1" w:rsidP="00D00524">
      <w:pPr>
        <w:widowControl w:val="0"/>
        <w:spacing w:before="100" w:after="100" w:line="330" w:lineRule="exact"/>
        <w:ind w:firstLine="720"/>
        <w:jc w:val="both"/>
        <w:rPr>
          <w:bCs/>
          <w:lang w:val="nl-NL"/>
        </w:rPr>
      </w:pPr>
      <w:r>
        <w:rPr>
          <w:bCs/>
          <w:lang w:val="nl-NL"/>
        </w:rPr>
        <w:t xml:space="preserve">Ngoài ra, </w:t>
      </w:r>
      <w:r w:rsidRPr="00CE6AB1">
        <w:rPr>
          <w:bCs/>
          <w:lang w:val="nl-NL"/>
        </w:rPr>
        <w:t>dự thảo Nghị định gồm có 04 Phụ lục về (i) các mẫu giấy đăng ký cấp, điều chỉnh, cấp lại Giấy chứng nhận đủ điều kiện kinh doanh dịch vụ quản lý quỹ bảo hiểm hưu trí bổ sung; (ii) mẫu nội dung cơ bản của văn bản thỏa thuận giữa người lao động và người sử dụng lao động khi tham gia bảo hiểm hưu trí bổ sung; (iii) các biểu mẫu báo cáo định kỳ; và (iv) các tiêu chí cơ bản đối với tài sản đầu tư của quỹ hưu trí.</w:t>
      </w:r>
    </w:p>
    <w:p w:rsidR="00F123E4" w:rsidRDefault="003D38C1" w:rsidP="00D00524">
      <w:pPr>
        <w:widowControl w:val="0"/>
        <w:spacing w:before="100" w:after="100" w:line="330" w:lineRule="exact"/>
        <w:ind w:firstLine="720"/>
        <w:jc w:val="both"/>
        <w:rPr>
          <w:b/>
          <w:lang w:val="nl-NL"/>
        </w:rPr>
      </w:pPr>
      <w:r>
        <w:rPr>
          <w:b/>
          <w:lang w:val="nl-NL"/>
        </w:rPr>
        <w:t>3</w:t>
      </w:r>
      <w:r w:rsidR="00661B35" w:rsidRPr="00335288">
        <w:rPr>
          <w:b/>
          <w:lang w:val="nl-NL"/>
        </w:rPr>
        <w:t>. Nội dung cơ bản của dự thảo Nghị định</w:t>
      </w:r>
    </w:p>
    <w:p w:rsidR="00F123E4" w:rsidRDefault="003D38C1" w:rsidP="00D00524">
      <w:pPr>
        <w:widowControl w:val="0"/>
        <w:spacing w:before="100" w:after="100" w:line="330" w:lineRule="exact"/>
        <w:ind w:firstLine="700"/>
        <w:jc w:val="both"/>
        <w:outlineLvl w:val="0"/>
        <w:rPr>
          <w:b/>
          <w:i/>
          <w:iCs/>
          <w:lang w:val="nl-NL"/>
        </w:rPr>
      </w:pPr>
      <w:r>
        <w:rPr>
          <w:b/>
          <w:i/>
          <w:iCs/>
          <w:lang w:val="nl-NL"/>
        </w:rPr>
        <w:t>3</w:t>
      </w:r>
      <w:r w:rsidR="003073F7" w:rsidRPr="00335288">
        <w:rPr>
          <w:b/>
          <w:i/>
          <w:iCs/>
          <w:lang w:val="nl-NL"/>
        </w:rPr>
        <w:t xml:space="preserve">.1. </w:t>
      </w:r>
      <w:r w:rsidR="006376E2" w:rsidRPr="00335288">
        <w:rPr>
          <w:b/>
          <w:i/>
          <w:iCs/>
          <w:lang w:val="nl-NL"/>
        </w:rPr>
        <w:t>Về đối tượng tham gia</w:t>
      </w:r>
      <w:r>
        <w:rPr>
          <w:b/>
          <w:i/>
          <w:iCs/>
          <w:lang w:val="nl-NL"/>
        </w:rPr>
        <w:t xml:space="preserve"> và phương thức tham gia</w:t>
      </w:r>
      <w:r w:rsidR="006376E2" w:rsidRPr="00335288">
        <w:rPr>
          <w:b/>
          <w:i/>
          <w:iCs/>
          <w:lang w:val="nl-NL"/>
        </w:rPr>
        <w:t xml:space="preserve"> </w:t>
      </w:r>
      <w:r>
        <w:rPr>
          <w:b/>
          <w:i/>
          <w:iCs/>
          <w:lang w:val="nl-NL"/>
        </w:rPr>
        <w:t>(Điều 4, Điều 5)</w:t>
      </w:r>
    </w:p>
    <w:p w:rsidR="003D38C1" w:rsidRDefault="00443058" w:rsidP="00D00524">
      <w:pPr>
        <w:widowControl w:val="0"/>
        <w:spacing w:before="100" w:after="100" w:line="330" w:lineRule="exact"/>
        <w:ind w:firstLine="720"/>
        <w:jc w:val="both"/>
        <w:outlineLvl w:val="0"/>
        <w:rPr>
          <w:rFonts w:eastAsia="MS Mincho"/>
          <w:lang w:val="pt-BR"/>
        </w:rPr>
      </w:pPr>
      <w:r w:rsidRPr="00335288">
        <w:t xml:space="preserve">Căn cứ các quy định mới tại Luật BHXH năm 2024, dự thảo Nghị định quy định người sử dụng lao động và người lao động </w:t>
      </w:r>
      <w:r w:rsidR="006C3368">
        <w:t>đã</w:t>
      </w:r>
      <w:r w:rsidRPr="00335288">
        <w:t xml:space="preserve"> tham gia </w:t>
      </w:r>
      <w:r>
        <w:t>BHXH</w:t>
      </w:r>
      <w:r w:rsidRPr="00335288">
        <w:t xml:space="preserve"> bắt buộc được tham gia bảo hiểm hưu trí bổ sung</w:t>
      </w:r>
      <w:r w:rsidR="00FA6E15">
        <w:t xml:space="preserve"> trên cơ sở tự nguyện</w:t>
      </w:r>
      <w:r w:rsidRPr="00335288">
        <w:t xml:space="preserve">. Phương thức tham gia là thông qua người sử dụng lao động </w:t>
      </w:r>
      <w:r w:rsidR="00F15A2B">
        <w:t xml:space="preserve">với mức đóng </w:t>
      </w:r>
      <w:r w:rsidR="00F15A2B">
        <w:rPr>
          <w:lang w:val="pt-BR"/>
        </w:rPr>
        <w:t>do người sử dụng lao động và người lao động tự nguyện thỏa thuận</w:t>
      </w:r>
      <w:r w:rsidRPr="00335288">
        <w:rPr>
          <w:rFonts w:eastAsia="MS Mincho"/>
          <w:lang w:val="pt-BR"/>
        </w:rPr>
        <w:t>.</w:t>
      </w:r>
    </w:p>
    <w:p w:rsidR="00F123E4" w:rsidRDefault="003D38C1" w:rsidP="00D00524">
      <w:pPr>
        <w:spacing w:before="100" w:after="100" w:line="330" w:lineRule="exact"/>
        <w:ind w:firstLine="720"/>
        <w:jc w:val="both"/>
        <w:rPr>
          <w:b/>
          <w:i/>
          <w:iCs/>
          <w:lang w:val="nl-NL"/>
        </w:rPr>
      </w:pPr>
      <w:r>
        <w:rPr>
          <w:b/>
          <w:i/>
          <w:iCs/>
          <w:lang w:val="nl-NL"/>
        </w:rPr>
        <w:t>3</w:t>
      </w:r>
      <w:r w:rsidR="006376E2" w:rsidRPr="00335288">
        <w:rPr>
          <w:b/>
          <w:i/>
          <w:iCs/>
          <w:lang w:val="nl-NL"/>
        </w:rPr>
        <w:t xml:space="preserve">.2. </w:t>
      </w:r>
      <w:r w:rsidR="003073F7" w:rsidRPr="00335288">
        <w:rPr>
          <w:b/>
          <w:i/>
          <w:iCs/>
          <w:lang w:val="nl-NL"/>
        </w:rPr>
        <w:t>Về</w:t>
      </w:r>
      <w:r>
        <w:rPr>
          <w:b/>
          <w:i/>
          <w:iCs/>
          <w:lang w:val="nl-NL"/>
        </w:rPr>
        <w:t xml:space="preserve"> việc thiết lập quỹ </w:t>
      </w:r>
      <w:r w:rsidR="003073F7" w:rsidRPr="00335288">
        <w:rPr>
          <w:b/>
          <w:i/>
          <w:iCs/>
          <w:lang w:val="nl-NL"/>
        </w:rPr>
        <w:t>bảo hiểm hưu trí bổ sung</w:t>
      </w:r>
      <w:r w:rsidR="00443058">
        <w:rPr>
          <w:b/>
          <w:i/>
          <w:iCs/>
          <w:lang w:val="nl-NL"/>
        </w:rPr>
        <w:t xml:space="preserve"> (Điều </w:t>
      </w:r>
      <w:r w:rsidR="00D91683">
        <w:rPr>
          <w:b/>
          <w:i/>
          <w:iCs/>
          <w:lang w:val="nl-NL"/>
        </w:rPr>
        <w:t>9 - 1</w:t>
      </w:r>
      <w:r w:rsidR="00AD4846">
        <w:rPr>
          <w:b/>
          <w:i/>
          <w:iCs/>
          <w:lang w:val="nl-NL"/>
        </w:rPr>
        <w:t>4</w:t>
      </w:r>
      <w:r w:rsidR="00D91683">
        <w:rPr>
          <w:b/>
          <w:i/>
          <w:iCs/>
          <w:lang w:val="nl-NL"/>
        </w:rPr>
        <w:t>)</w:t>
      </w:r>
    </w:p>
    <w:p w:rsidR="00443058" w:rsidRDefault="00364D7C" w:rsidP="00D00524">
      <w:pPr>
        <w:widowControl w:val="0"/>
        <w:tabs>
          <w:tab w:val="left" w:pos="142"/>
        </w:tabs>
        <w:spacing w:before="100" w:after="100" w:line="330" w:lineRule="exact"/>
        <w:ind w:firstLine="720"/>
        <w:jc w:val="both"/>
        <w:rPr>
          <w:iCs/>
          <w:lang w:val="nl-NL"/>
        </w:rPr>
      </w:pPr>
      <w:r>
        <w:rPr>
          <w:iCs/>
          <w:lang w:val="nl-NL"/>
        </w:rPr>
        <w:t xml:space="preserve">- </w:t>
      </w:r>
      <w:r w:rsidR="0036168B">
        <w:rPr>
          <w:iCs/>
          <w:lang w:val="nl-NL"/>
        </w:rPr>
        <w:t xml:space="preserve">Kế thừa quy định tại Nghị định số 88, dự thảo Nghị định quy định </w:t>
      </w:r>
      <w:r w:rsidR="00C53B22">
        <w:rPr>
          <w:iCs/>
          <w:lang w:val="nl-NL"/>
        </w:rPr>
        <w:t xml:space="preserve">việc thiết lập chương trình bảo hiểm hưu trí bổ sung </w:t>
      </w:r>
      <w:r w:rsidR="00C15EFC">
        <w:rPr>
          <w:iCs/>
          <w:lang w:val="nl-NL"/>
        </w:rPr>
        <w:t>theo mô hình quỹ căn cứ vào yêu cầu quản lý của doan</w:t>
      </w:r>
      <w:r w:rsidR="00F15A2B">
        <w:rPr>
          <w:iCs/>
          <w:lang w:val="nl-NL"/>
        </w:rPr>
        <w:t>h</w:t>
      </w:r>
      <w:r w:rsidR="00C15EFC">
        <w:rPr>
          <w:iCs/>
          <w:lang w:val="nl-NL"/>
        </w:rPr>
        <w:t xml:space="preserve"> nghiệp quản lý quỹ bảo hiểm hưu trí bổ sung và nhu cầu của các đối tượng tham gia bảo hiểm hưu trí bổ sung</w:t>
      </w:r>
      <w:r w:rsidR="00807469">
        <w:rPr>
          <w:iCs/>
          <w:lang w:val="nl-NL"/>
        </w:rPr>
        <w:t xml:space="preserve">. </w:t>
      </w:r>
    </w:p>
    <w:p w:rsidR="00364D7C" w:rsidRDefault="00364D7C" w:rsidP="009F4687">
      <w:pPr>
        <w:widowControl w:val="0"/>
        <w:tabs>
          <w:tab w:val="left" w:pos="142"/>
        </w:tabs>
        <w:spacing w:before="100" w:after="100" w:line="330" w:lineRule="exact"/>
        <w:ind w:firstLine="720"/>
        <w:jc w:val="both"/>
        <w:rPr>
          <w:iCs/>
          <w:lang w:val="nl-NL"/>
        </w:rPr>
      </w:pPr>
      <w:r>
        <w:rPr>
          <w:iCs/>
          <w:lang w:val="nl-NL"/>
        </w:rPr>
        <w:t xml:space="preserve">- Khi triển khai chương trình bảo hiểm hưu trí bổ sung, ngoài việc công bố công khai thông tin về chương trình trên </w:t>
      </w:r>
      <w:r w:rsidR="0003220B">
        <w:rPr>
          <w:iCs/>
          <w:lang w:val="nl-NL"/>
        </w:rPr>
        <w:t xml:space="preserve">cổng </w:t>
      </w:r>
      <w:r>
        <w:rPr>
          <w:iCs/>
          <w:lang w:val="nl-NL"/>
        </w:rPr>
        <w:t>thông tin điện tử của doanh nghiệp quản lý quỹ</w:t>
      </w:r>
      <w:r w:rsidR="009F4687">
        <w:rPr>
          <w:iCs/>
          <w:lang w:val="nl-NL"/>
        </w:rPr>
        <w:t xml:space="preserve">, doanh nghiệp quản lý quỹ cần xây dựng điều lệ quỹ bảo hiểm hưu trí trong chương trình với các </w:t>
      </w:r>
      <w:r w:rsidR="00FE23EB">
        <w:rPr>
          <w:iCs/>
          <w:lang w:val="nl-NL"/>
        </w:rPr>
        <w:t>nội dung</w:t>
      </w:r>
      <w:r w:rsidR="009F4687">
        <w:rPr>
          <w:iCs/>
          <w:lang w:val="nl-NL"/>
        </w:rPr>
        <w:t xml:space="preserve"> cơ bản về </w:t>
      </w:r>
      <w:r w:rsidR="00276524">
        <w:rPr>
          <w:iCs/>
          <w:lang w:val="nl-NL"/>
        </w:rPr>
        <w:t xml:space="preserve">(i) </w:t>
      </w:r>
      <w:r w:rsidR="009F4687" w:rsidRPr="009F4687">
        <w:rPr>
          <w:iCs/>
          <w:lang w:val="nl-NL"/>
        </w:rPr>
        <w:t>Tên quỹ hưu trí;</w:t>
      </w:r>
      <w:r w:rsidR="00276524">
        <w:rPr>
          <w:iCs/>
          <w:lang w:val="nl-NL"/>
        </w:rPr>
        <w:t xml:space="preserve"> (ii) </w:t>
      </w:r>
      <w:r w:rsidR="009F4687" w:rsidRPr="009F4687">
        <w:rPr>
          <w:iCs/>
          <w:lang w:val="nl-NL"/>
        </w:rPr>
        <w:t>Doanh nghiệp quản lý quỹ hưu trí;</w:t>
      </w:r>
      <w:r w:rsidR="00276524">
        <w:rPr>
          <w:iCs/>
          <w:lang w:val="nl-NL"/>
        </w:rPr>
        <w:t xml:space="preserve"> (iii) Các tổ chức cung cấp dịch vụ (tổ chức lưu ký, ngân hàng giám sát, c</w:t>
      </w:r>
      <w:r w:rsidR="009F4687" w:rsidRPr="009F4687">
        <w:rPr>
          <w:iCs/>
          <w:lang w:val="nl-NL"/>
        </w:rPr>
        <w:t xml:space="preserve">ác tổ chức cung cấp dịch vụ </w:t>
      </w:r>
      <w:r w:rsidR="00276524">
        <w:rPr>
          <w:iCs/>
          <w:lang w:val="nl-NL"/>
        </w:rPr>
        <w:t xml:space="preserve">khác </w:t>
      </w:r>
      <w:r w:rsidR="009F4687" w:rsidRPr="009F4687">
        <w:rPr>
          <w:iCs/>
          <w:lang w:val="nl-NL"/>
        </w:rPr>
        <w:t>liên quan (nếu có);</w:t>
      </w:r>
      <w:r w:rsidR="00276524">
        <w:rPr>
          <w:iCs/>
          <w:lang w:val="nl-NL"/>
        </w:rPr>
        <w:t xml:space="preserve"> (iv) </w:t>
      </w:r>
      <w:r w:rsidR="009F4687" w:rsidRPr="009F4687">
        <w:rPr>
          <w:iCs/>
          <w:lang w:val="nl-NL"/>
        </w:rPr>
        <w:t>Mục tiêu, chính sách đầu tư của quỹ hưu trí;</w:t>
      </w:r>
      <w:r w:rsidR="00276524">
        <w:rPr>
          <w:iCs/>
          <w:lang w:val="nl-NL"/>
        </w:rPr>
        <w:t xml:space="preserve"> (v) </w:t>
      </w:r>
      <w:r w:rsidR="009F4687" w:rsidRPr="009F4687">
        <w:rPr>
          <w:iCs/>
          <w:lang w:val="nl-NL"/>
        </w:rPr>
        <w:t xml:space="preserve">Quyền và nghĩa vụ của người tham gia quỹ, người sử dụng lao động, doanh nghiệp quản lý quỹ, tổ chức lưu ký, ngân hàng giám sát và các tổ chức cung cấp dịch vụ liên quan </w:t>
      </w:r>
      <w:r w:rsidR="00DE6371">
        <w:rPr>
          <w:iCs/>
          <w:lang w:val="nl-NL"/>
        </w:rPr>
        <w:t>khác</w:t>
      </w:r>
      <w:r w:rsidR="009F4687" w:rsidRPr="009F4687">
        <w:rPr>
          <w:iCs/>
          <w:lang w:val="nl-NL"/>
        </w:rPr>
        <w:t>;</w:t>
      </w:r>
      <w:r w:rsidR="00DE6371">
        <w:rPr>
          <w:iCs/>
          <w:lang w:val="nl-NL"/>
        </w:rPr>
        <w:t xml:space="preserve"> (vi) </w:t>
      </w:r>
      <w:r w:rsidR="009F4687" w:rsidRPr="009F4687">
        <w:rPr>
          <w:iCs/>
          <w:lang w:val="nl-NL"/>
        </w:rPr>
        <w:t>Điều khoản về chuyển tài khoản hưu trí cá nhân giữa các quỹ bảo hiểm hưu trí bổ sung được quản lý bởi cù</w:t>
      </w:r>
      <w:r w:rsidR="004A1ADF">
        <w:rPr>
          <w:iCs/>
          <w:lang w:val="nl-NL"/>
        </w:rPr>
        <w:t>ng một doanh nghiệp quản lý quỹ, về</w:t>
      </w:r>
      <w:r w:rsidR="009F4687" w:rsidRPr="009F4687">
        <w:rPr>
          <w:iCs/>
          <w:lang w:val="nl-NL"/>
        </w:rPr>
        <w:t xml:space="preserve"> thay đổi doanh nghiệp quản lý quỹ;</w:t>
      </w:r>
      <w:r w:rsidR="004A1ADF">
        <w:rPr>
          <w:iCs/>
          <w:lang w:val="nl-NL"/>
        </w:rPr>
        <w:t xml:space="preserve"> (vii) </w:t>
      </w:r>
      <w:r w:rsidR="009F4687" w:rsidRPr="009F4687">
        <w:rPr>
          <w:iCs/>
          <w:lang w:val="nl-NL"/>
        </w:rPr>
        <w:t xml:space="preserve">Lựa chọn và thay đổi tổ chức lưu ký, </w:t>
      </w:r>
      <w:r w:rsidR="009F4687" w:rsidRPr="009F4687">
        <w:rPr>
          <w:iCs/>
          <w:lang w:val="nl-NL"/>
        </w:rPr>
        <w:lastRenderedPageBreak/>
        <w:t>ngân hàng giám sát và các tổ chức cung cấp dịch vụ liên quan (nếu có);</w:t>
      </w:r>
      <w:r w:rsidR="004A1ADF">
        <w:rPr>
          <w:iCs/>
          <w:lang w:val="nl-NL"/>
        </w:rPr>
        <w:t xml:space="preserve"> (viii) </w:t>
      </w:r>
      <w:r w:rsidR="009F4687" w:rsidRPr="009F4687">
        <w:rPr>
          <w:iCs/>
          <w:lang w:val="nl-NL"/>
        </w:rPr>
        <w:t xml:space="preserve"> Nguyên tắc phân bổ chi phí hoạt động của quỹ hưu trí cho từng tài khoản hưu trí cá nhân;</w:t>
      </w:r>
      <w:r w:rsidR="004A1ADF">
        <w:rPr>
          <w:iCs/>
          <w:lang w:val="nl-NL"/>
        </w:rPr>
        <w:t xml:space="preserve"> (ix) </w:t>
      </w:r>
      <w:r w:rsidR="009F4687" w:rsidRPr="009F4687">
        <w:rPr>
          <w:iCs/>
          <w:lang w:val="nl-NL"/>
        </w:rPr>
        <w:t>Phương pháp xác định giá trị tài sản ròng của quỹ hưu trí và của mỗi tài khoản hưu trí cá nhân;</w:t>
      </w:r>
      <w:r w:rsidR="004A1ADF">
        <w:rPr>
          <w:iCs/>
          <w:lang w:val="nl-NL"/>
        </w:rPr>
        <w:t xml:space="preserve"> (x) Quy chế giải quyết tranh chấp, c</w:t>
      </w:r>
      <w:r w:rsidR="009F4687" w:rsidRPr="009F4687">
        <w:rPr>
          <w:iCs/>
          <w:lang w:val="nl-NL"/>
        </w:rPr>
        <w:t>ác trường hợp đền bù thiệt hại cho người tham gia quỹ;</w:t>
      </w:r>
      <w:r w:rsidR="004A1ADF">
        <w:rPr>
          <w:iCs/>
          <w:lang w:val="nl-NL"/>
        </w:rPr>
        <w:t xml:space="preserve"> (xi) </w:t>
      </w:r>
      <w:r w:rsidR="009F4687" w:rsidRPr="009F4687">
        <w:rPr>
          <w:iCs/>
          <w:lang w:val="nl-NL"/>
        </w:rPr>
        <w:t>Chế độ thông tin báo cáo;</w:t>
      </w:r>
      <w:r w:rsidR="00052A6F">
        <w:rPr>
          <w:iCs/>
          <w:lang w:val="nl-NL"/>
        </w:rPr>
        <w:t xml:space="preserve"> (x) </w:t>
      </w:r>
      <w:r w:rsidR="00052A6F" w:rsidRPr="009F4687">
        <w:rPr>
          <w:iCs/>
          <w:lang w:val="nl-NL"/>
        </w:rPr>
        <w:t>Cam kết của doanh nghiệp quản lý quỹ, tổ chức lưu ký, ngân hàng giám sát và các tổ chức cung cấp dịch vụ liên quan (nếu có) về việc thực hiện các nghĩa vụ quy định tại Điều lệ quỹ</w:t>
      </w:r>
      <w:r w:rsidR="00052A6F">
        <w:rPr>
          <w:iCs/>
          <w:lang w:val="nl-NL"/>
        </w:rPr>
        <w:t xml:space="preserve">; (xi) </w:t>
      </w:r>
      <w:r w:rsidR="009F4687" w:rsidRPr="009F4687">
        <w:rPr>
          <w:iCs/>
          <w:lang w:val="nl-NL"/>
        </w:rPr>
        <w:t>Giải thể quỹ hưu trí;</w:t>
      </w:r>
      <w:r w:rsidR="00052A6F">
        <w:rPr>
          <w:iCs/>
          <w:lang w:val="nl-NL"/>
        </w:rPr>
        <w:t xml:space="preserve"> và (xii) </w:t>
      </w:r>
      <w:r w:rsidR="009F4687" w:rsidRPr="009F4687">
        <w:rPr>
          <w:iCs/>
          <w:lang w:val="nl-NL"/>
        </w:rPr>
        <w:t>Thể thức tiến hành sửa đổi, bổ sung Điều lệ quỹ hưu trí.</w:t>
      </w:r>
    </w:p>
    <w:p w:rsidR="00052A6F" w:rsidRPr="00EA2B8E" w:rsidRDefault="008A3ABE" w:rsidP="009F4687">
      <w:pPr>
        <w:widowControl w:val="0"/>
        <w:tabs>
          <w:tab w:val="left" w:pos="142"/>
        </w:tabs>
        <w:spacing w:before="100" w:after="100" w:line="330" w:lineRule="exact"/>
        <w:ind w:firstLine="720"/>
        <w:jc w:val="both"/>
        <w:rPr>
          <w:b/>
          <w:i/>
          <w:iCs/>
          <w:lang w:val="nl-NL"/>
        </w:rPr>
      </w:pPr>
      <w:r w:rsidRPr="00EA2B8E">
        <w:rPr>
          <w:b/>
          <w:i/>
          <w:iCs/>
          <w:lang w:val="nl-NL"/>
        </w:rPr>
        <w:t xml:space="preserve">3.3. Về </w:t>
      </w:r>
      <w:r w:rsidR="00B0557B" w:rsidRPr="00EA2B8E">
        <w:rPr>
          <w:b/>
          <w:i/>
          <w:iCs/>
          <w:lang w:val="nl-NL"/>
        </w:rPr>
        <w:t xml:space="preserve">quản lý và </w:t>
      </w:r>
      <w:r w:rsidRPr="00EA2B8E">
        <w:rPr>
          <w:b/>
          <w:i/>
          <w:iCs/>
          <w:lang w:val="nl-NL"/>
        </w:rPr>
        <w:t xml:space="preserve">đầu tư quỹ bảo hiểm hưu trí bổ sung (Điều </w:t>
      </w:r>
      <w:r w:rsidR="001009D4">
        <w:rPr>
          <w:b/>
          <w:i/>
          <w:iCs/>
          <w:lang w:val="nl-NL"/>
        </w:rPr>
        <w:t>1</w:t>
      </w:r>
      <w:r w:rsidR="00A619D8">
        <w:rPr>
          <w:b/>
          <w:i/>
          <w:iCs/>
          <w:lang w:val="nl-NL"/>
        </w:rPr>
        <w:t>5</w:t>
      </w:r>
      <w:r w:rsidR="001009D4">
        <w:rPr>
          <w:b/>
          <w:i/>
          <w:iCs/>
          <w:lang w:val="nl-NL"/>
        </w:rPr>
        <w:t xml:space="preserve"> -</w:t>
      </w:r>
      <w:r w:rsidR="00957514">
        <w:rPr>
          <w:b/>
          <w:i/>
          <w:iCs/>
          <w:lang w:val="nl-NL"/>
        </w:rPr>
        <w:t xml:space="preserve"> </w:t>
      </w:r>
      <w:r w:rsidR="001009D4">
        <w:rPr>
          <w:b/>
          <w:i/>
          <w:iCs/>
          <w:lang w:val="nl-NL"/>
        </w:rPr>
        <w:t>2</w:t>
      </w:r>
      <w:r w:rsidR="00A619D8">
        <w:rPr>
          <w:b/>
          <w:i/>
          <w:iCs/>
          <w:lang w:val="nl-NL"/>
        </w:rPr>
        <w:t>3</w:t>
      </w:r>
      <w:r w:rsidRPr="00EA2B8E">
        <w:rPr>
          <w:b/>
          <w:i/>
          <w:iCs/>
          <w:lang w:val="nl-NL"/>
        </w:rPr>
        <w:t>)</w:t>
      </w:r>
    </w:p>
    <w:p w:rsidR="00B0557B" w:rsidRDefault="00B0557B" w:rsidP="009F4687">
      <w:pPr>
        <w:widowControl w:val="0"/>
        <w:tabs>
          <w:tab w:val="left" w:pos="142"/>
        </w:tabs>
        <w:spacing w:before="100" w:after="100" w:line="330" w:lineRule="exact"/>
        <w:ind w:firstLine="720"/>
        <w:jc w:val="both"/>
        <w:rPr>
          <w:iCs/>
          <w:lang w:val="nl-NL"/>
        </w:rPr>
      </w:pPr>
      <w:r>
        <w:rPr>
          <w:iCs/>
          <w:lang w:val="nl-NL"/>
        </w:rPr>
        <w:t>- Đối với việc quản lý quỹ, tương tự cơ chế triển khai hiện nay, doanh nghiệp sử dụng lao động và người lao động ký hợp đồng tham gia bảo hiểm hưu trí bổ sung</w:t>
      </w:r>
      <w:r w:rsidR="00CC2D3D">
        <w:rPr>
          <w:iCs/>
          <w:lang w:val="nl-NL"/>
        </w:rPr>
        <w:t xml:space="preserve">; người lao động tham gia sẽ được sở hữu tài khoản hưu trí cá nhân. </w:t>
      </w:r>
      <w:r w:rsidR="00BE27BB">
        <w:rPr>
          <w:iCs/>
          <w:lang w:val="nl-NL"/>
        </w:rPr>
        <w:t>Chi phí quản lý bảo hiểm hưu trí bổ sung được trích từ tài khoản hưu trí cá nhân</w:t>
      </w:r>
      <w:r w:rsidR="009B4809">
        <w:rPr>
          <w:iCs/>
          <w:lang w:val="nl-NL"/>
        </w:rPr>
        <w:t xml:space="preserve">. Để xác định giá trị của từng tài khoản hưu trí cá nhân, dự thảo Nghị định tiếp tục quy định cơ chế xác định </w:t>
      </w:r>
      <w:r w:rsidR="00B262FB">
        <w:rPr>
          <w:iCs/>
          <w:lang w:val="nl-NL"/>
        </w:rPr>
        <w:t>giá trị tài sản ròng của quỹ và việc đền bù thiệt hại cho người tham gia.</w:t>
      </w:r>
    </w:p>
    <w:p w:rsidR="008A3ABE" w:rsidRDefault="00EA2B8E" w:rsidP="009F4687">
      <w:pPr>
        <w:widowControl w:val="0"/>
        <w:tabs>
          <w:tab w:val="left" w:pos="142"/>
        </w:tabs>
        <w:spacing w:before="100" w:after="100" w:line="330" w:lineRule="exact"/>
        <w:ind w:firstLine="720"/>
        <w:jc w:val="both"/>
        <w:rPr>
          <w:iCs/>
          <w:lang w:val="nl-NL"/>
        </w:rPr>
      </w:pPr>
      <w:r>
        <w:rPr>
          <w:iCs/>
          <w:lang w:val="nl-NL"/>
        </w:rPr>
        <w:t>- Đối với việc quản lý đầu tư quỹ, k</w:t>
      </w:r>
      <w:r w:rsidR="00FB165D">
        <w:rPr>
          <w:iCs/>
          <w:lang w:val="nl-NL"/>
        </w:rPr>
        <w:t xml:space="preserve">ế thừa quy định tại Nghị định số 88, doanh nghiệp quản lý quỹ phải quy định cụ thể chính sách đầu tư (cơ cấu và tiêu chuẩn các tài sản đầu tư và quyết định việc đầu tư theo Điều lệ quỹ và chính sách đầu tư của quỹ. </w:t>
      </w:r>
      <w:r w:rsidR="00D72A87">
        <w:rPr>
          <w:iCs/>
          <w:lang w:val="nl-NL"/>
        </w:rPr>
        <w:t>D</w:t>
      </w:r>
      <w:r w:rsidR="00D52313">
        <w:rPr>
          <w:iCs/>
          <w:lang w:val="nl-NL"/>
        </w:rPr>
        <w:t xml:space="preserve">ự thảo Nghị định quy định cụ thể về danh mục các tài sản </w:t>
      </w:r>
      <w:r w:rsidR="00000BA3">
        <w:rPr>
          <w:iCs/>
          <w:lang w:val="nl-NL"/>
        </w:rPr>
        <w:t xml:space="preserve">mà quỹ được đầu tư và </w:t>
      </w:r>
      <w:r w:rsidR="00141FA1">
        <w:rPr>
          <w:iCs/>
          <w:lang w:val="nl-NL"/>
        </w:rPr>
        <w:t>các</w:t>
      </w:r>
      <w:r w:rsidR="00000BA3">
        <w:rPr>
          <w:iCs/>
          <w:lang w:val="nl-NL"/>
        </w:rPr>
        <w:t xml:space="preserve"> hạn mức đầu tư đối v</w:t>
      </w:r>
      <w:r w:rsidR="00763458">
        <w:rPr>
          <w:iCs/>
          <w:lang w:val="nl-NL"/>
        </w:rPr>
        <w:t xml:space="preserve">ới </w:t>
      </w:r>
      <w:r w:rsidR="00141FA1">
        <w:rPr>
          <w:iCs/>
          <w:lang w:val="nl-NL"/>
        </w:rPr>
        <w:t xml:space="preserve">từng loại tài sản, nhóm tài sản đầu tư </w:t>
      </w:r>
      <w:r w:rsidR="002A5033">
        <w:rPr>
          <w:iCs/>
          <w:lang w:val="nl-NL"/>
        </w:rPr>
        <w:t xml:space="preserve">căn cứ </w:t>
      </w:r>
      <w:r w:rsidR="00141FA1">
        <w:rPr>
          <w:iCs/>
          <w:lang w:val="nl-NL"/>
        </w:rPr>
        <w:t>mức</w:t>
      </w:r>
      <w:r w:rsidR="00763458">
        <w:rPr>
          <w:iCs/>
          <w:lang w:val="nl-NL"/>
        </w:rPr>
        <w:t xml:space="preserve"> độ rủi ro. </w:t>
      </w:r>
    </w:p>
    <w:p w:rsidR="00763458" w:rsidRPr="00DC2C56" w:rsidRDefault="00763458" w:rsidP="009F4687">
      <w:pPr>
        <w:widowControl w:val="0"/>
        <w:tabs>
          <w:tab w:val="left" w:pos="142"/>
        </w:tabs>
        <w:spacing w:before="100" w:after="100" w:line="330" w:lineRule="exact"/>
        <w:ind w:firstLine="720"/>
        <w:jc w:val="both"/>
        <w:rPr>
          <w:b/>
          <w:bCs/>
          <w:i/>
          <w:lang w:val="nl-NL"/>
        </w:rPr>
      </w:pPr>
      <w:r w:rsidRPr="00DC2C56">
        <w:rPr>
          <w:b/>
          <w:bCs/>
          <w:i/>
          <w:lang w:val="nl-NL"/>
        </w:rPr>
        <w:t xml:space="preserve">3.4. Về </w:t>
      </w:r>
      <w:r w:rsidR="001009D4" w:rsidRPr="00DC2C56">
        <w:rPr>
          <w:b/>
          <w:bCs/>
          <w:i/>
          <w:lang w:val="nl-NL"/>
        </w:rPr>
        <w:t xml:space="preserve">chi trả từ quỹ bảo hiểm </w:t>
      </w:r>
      <w:r w:rsidR="00572858" w:rsidRPr="00DC2C56">
        <w:rPr>
          <w:b/>
          <w:bCs/>
          <w:i/>
          <w:lang w:val="nl-NL"/>
        </w:rPr>
        <w:t>hưu trí bổ sung (Điều 2</w:t>
      </w:r>
      <w:r w:rsidR="00A619D8">
        <w:rPr>
          <w:b/>
          <w:bCs/>
          <w:i/>
          <w:lang w:val="nl-NL"/>
        </w:rPr>
        <w:t>4</w:t>
      </w:r>
      <w:r w:rsidR="00572858" w:rsidRPr="00DC2C56">
        <w:rPr>
          <w:b/>
          <w:bCs/>
          <w:i/>
          <w:lang w:val="nl-NL"/>
        </w:rPr>
        <w:t xml:space="preserve"> - 2</w:t>
      </w:r>
      <w:r w:rsidR="00A619D8">
        <w:rPr>
          <w:b/>
          <w:bCs/>
          <w:i/>
          <w:lang w:val="nl-NL"/>
        </w:rPr>
        <w:t>6</w:t>
      </w:r>
      <w:r w:rsidR="00572858" w:rsidRPr="00DC2C56">
        <w:rPr>
          <w:b/>
          <w:bCs/>
          <w:i/>
          <w:lang w:val="nl-NL"/>
        </w:rPr>
        <w:t>)</w:t>
      </w:r>
    </w:p>
    <w:p w:rsidR="00F123E4" w:rsidRDefault="006376E2" w:rsidP="00D00524">
      <w:pPr>
        <w:widowControl w:val="0"/>
        <w:spacing w:before="100" w:after="100" w:line="330" w:lineRule="exact"/>
        <w:ind w:firstLine="720"/>
        <w:jc w:val="both"/>
        <w:rPr>
          <w:bCs/>
          <w:iCs/>
          <w:lang w:val="nl-NL"/>
        </w:rPr>
      </w:pPr>
      <w:r w:rsidRPr="00335288">
        <w:rPr>
          <w:bCs/>
          <w:iCs/>
          <w:lang w:val="nl-NL"/>
        </w:rPr>
        <w:t xml:space="preserve">- </w:t>
      </w:r>
      <w:r w:rsidR="00D72A87">
        <w:rPr>
          <w:bCs/>
          <w:iCs/>
          <w:lang w:val="nl-NL"/>
        </w:rPr>
        <w:t xml:space="preserve">Theo nguyên tắc thị trường tại Nghị quyết số 28, số tiền </w:t>
      </w:r>
      <w:r w:rsidRPr="00335288">
        <w:rPr>
          <w:bCs/>
          <w:iCs/>
          <w:lang w:val="nl-NL"/>
        </w:rPr>
        <w:t>chi trả bảo hiểm hưu trí bổ sung dựa trên số dư tài khoản hưu trí cá nhân tại thời điểm chi trả.</w:t>
      </w:r>
      <w:r w:rsidR="00D16F4F">
        <w:rPr>
          <w:bCs/>
          <w:iCs/>
          <w:lang w:val="nl-NL"/>
        </w:rPr>
        <w:t xml:space="preserve"> </w:t>
      </w:r>
      <w:r w:rsidR="0019080F">
        <w:rPr>
          <w:bCs/>
          <w:iCs/>
          <w:lang w:val="nl-NL"/>
        </w:rPr>
        <w:t>Nhà nước không đảm bảo về số tiền chi trả bảo hiểm hưu trí bổ sung.</w:t>
      </w:r>
      <w:r w:rsidR="002A5033">
        <w:rPr>
          <w:bCs/>
          <w:iCs/>
          <w:lang w:val="nl-NL"/>
        </w:rPr>
        <w:t xml:space="preserve"> </w:t>
      </w:r>
      <w:r w:rsidR="0019080F">
        <w:rPr>
          <w:bCs/>
          <w:iCs/>
          <w:lang w:val="nl-NL"/>
        </w:rPr>
        <w:t xml:space="preserve">Mức </w:t>
      </w:r>
      <w:r w:rsidR="002A5033">
        <w:rPr>
          <w:bCs/>
          <w:iCs/>
          <w:lang w:val="nl-NL"/>
        </w:rPr>
        <w:t>đóng do người tham gia tự nguyện thỏa thuận trước khi ký hợp đồng tham gia quỹ</w:t>
      </w:r>
      <w:r w:rsidR="00D16F4F">
        <w:rPr>
          <w:bCs/>
          <w:lang w:val="pt-BR"/>
        </w:rPr>
        <w:t>.</w:t>
      </w:r>
      <w:r w:rsidR="00D16F4F" w:rsidRPr="00335288">
        <w:rPr>
          <w:bCs/>
          <w:iCs/>
          <w:lang w:val="nl-NL"/>
        </w:rPr>
        <w:t xml:space="preserve"> </w:t>
      </w:r>
      <w:r w:rsidR="00BF3F5C" w:rsidRPr="00335288">
        <w:rPr>
          <w:bCs/>
          <w:iCs/>
          <w:lang w:val="nl-NL"/>
        </w:rPr>
        <w:t xml:space="preserve">Nguyên tắc chi trả từ tài khoản hưu trí cá nhân tại dự thảo Nghị định được kế thừa từ quy định tại Nghị định số 88. </w:t>
      </w:r>
    </w:p>
    <w:p w:rsidR="00F123E4" w:rsidRDefault="00BF3F5C" w:rsidP="00D00524">
      <w:pPr>
        <w:spacing w:before="100" w:after="100" w:line="330" w:lineRule="exact"/>
        <w:ind w:firstLine="720"/>
        <w:jc w:val="both"/>
        <w:rPr>
          <w:rFonts w:eastAsia="MS Mincho"/>
          <w:bCs/>
          <w:lang w:eastAsia="ja-JP"/>
        </w:rPr>
      </w:pPr>
      <w:r w:rsidRPr="00335288">
        <w:rPr>
          <w:bCs/>
          <w:iCs/>
          <w:lang w:val="nl-NL"/>
        </w:rPr>
        <w:t xml:space="preserve">- </w:t>
      </w:r>
      <w:r w:rsidR="00215159">
        <w:rPr>
          <w:bCs/>
          <w:iCs/>
          <w:lang w:val="nl-NL"/>
        </w:rPr>
        <w:t>Doanh nghiệp quản lý quỹ bảo hiểm hưu trí bổ sung</w:t>
      </w:r>
      <w:r w:rsidRPr="00335288">
        <w:rPr>
          <w:bCs/>
          <w:iCs/>
          <w:lang w:val="nl-NL"/>
        </w:rPr>
        <w:t xml:space="preserve"> </w:t>
      </w:r>
      <w:r w:rsidRPr="00335288">
        <w:rPr>
          <w:rFonts w:eastAsia="MS Mincho"/>
          <w:bCs/>
          <w:lang w:val="vi-VN" w:eastAsia="ja-JP"/>
        </w:rPr>
        <w:t>chi trả cho</w:t>
      </w:r>
      <w:r w:rsidRPr="00335288">
        <w:rPr>
          <w:rFonts w:eastAsia="MS Mincho"/>
          <w:bCs/>
          <w:lang w:eastAsia="ja-JP"/>
        </w:rPr>
        <w:t xml:space="preserve"> người tham gia bảo hiểm hưu trí bổ sung c</w:t>
      </w:r>
      <w:r w:rsidRPr="00335288">
        <w:rPr>
          <w:rFonts w:eastAsia="MS Mincho"/>
          <w:bCs/>
          <w:lang w:val="pt-BR" w:eastAsia="ja-JP"/>
        </w:rPr>
        <w:t xml:space="preserve">ăn cứ hợp đồng tham gia </w:t>
      </w:r>
      <w:r w:rsidR="00963162" w:rsidRPr="00335288">
        <w:rPr>
          <w:rFonts w:eastAsia="MS Mincho"/>
          <w:bCs/>
          <w:lang w:val="pt-BR" w:eastAsia="ja-JP"/>
        </w:rPr>
        <w:t>và</w:t>
      </w:r>
      <w:r w:rsidRPr="00335288">
        <w:rPr>
          <w:rFonts w:eastAsia="MS Mincho"/>
          <w:bCs/>
          <w:lang w:val="pt-BR" w:eastAsia="ja-JP"/>
        </w:rPr>
        <w:t xml:space="preserve"> văn bản thỏa thuận giữa người lao động và người sử dụng lao động</w:t>
      </w:r>
      <w:r w:rsidRPr="00335288">
        <w:rPr>
          <w:rFonts w:eastAsia="MS Mincho"/>
          <w:bCs/>
          <w:lang w:val="vi-VN" w:eastAsia="ja-JP"/>
        </w:rPr>
        <w:t>.</w:t>
      </w:r>
      <w:r w:rsidRPr="00335288">
        <w:rPr>
          <w:rFonts w:eastAsia="MS Mincho"/>
          <w:bCs/>
          <w:lang w:eastAsia="ja-JP"/>
        </w:rPr>
        <w:t xml:space="preserve"> Trong trường hợp người lao động chưa đáp ứng điều kiện nhận chi trả theo </w:t>
      </w:r>
      <w:r w:rsidRPr="00335288">
        <w:rPr>
          <w:rFonts w:eastAsia="MS Mincho"/>
          <w:bCs/>
          <w:lang w:val="pt-BR" w:eastAsia="ja-JP"/>
        </w:rPr>
        <w:t>văn bản thỏa thuận, dự thảo Nghị định</w:t>
      </w:r>
      <w:r w:rsidR="00AF7229" w:rsidRPr="00335288">
        <w:rPr>
          <w:rFonts w:eastAsia="MS Mincho"/>
          <w:bCs/>
          <w:lang w:val="pt-BR" w:eastAsia="ja-JP"/>
        </w:rPr>
        <w:t xml:space="preserve"> </w:t>
      </w:r>
      <w:r w:rsidRPr="00335288">
        <w:rPr>
          <w:rFonts w:eastAsia="MS Mincho"/>
          <w:bCs/>
          <w:lang w:val="pt-BR" w:eastAsia="ja-JP"/>
        </w:rPr>
        <w:t xml:space="preserve">quy định người sử dụng lao động được nhận hoàn trả từ tài khoản hưu trí cá nhân của người lao động </w:t>
      </w:r>
      <w:r w:rsidRPr="00335288">
        <w:rPr>
          <w:rFonts w:eastAsia="MS Mincho"/>
          <w:bCs/>
          <w:lang w:val="vi-VN" w:eastAsia="ja-JP"/>
        </w:rPr>
        <w:t>đối với phần đóng góp của người sử dụng lao động, bao gồm kết quả đầu tư và chi phí hoạt động đã phân bổ</w:t>
      </w:r>
      <w:r w:rsidRPr="00335288">
        <w:rPr>
          <w:rFonts w:eastAsia="MS Mincho"/>
          <w:bCs/>
          <w:lang w:eastAsia="ja-JP"/>
        </w:rPr>
        <w:t>.</w:t>
      </w:r>
    </w:p>
    <w:p w:rsidR="00F123E4" w:rsidRDefault="003D38C1" w:rsidP="00D00524">
      <w:pPr>
        <w:spacing w:before="100" w:after="100" w:line="330" w:lineRule="exact"/>
        <w:ind w:firstLine="720"/>
        <w:jc w:val="both"/>
        <w:rPr>
          <w:rFonts w:eastAsia="MS Mincho"/>
          <w:b/>
          <w:i/>
          <w:iCs/>
          <w:lang w:eastAsia="ja-JP"/>
        </w:rPr>
      </w:pPr>
      <w:r>
        <w:rPr>
          <w:rFonts w:eastAsia="MS Mincho"/>
          <w:b/>
          <w:i/>
          <w:iCs/>
          <w:lang w:eastAsia="ja-JP"/>
        </w:rPr>
        <w:t>3</w:t>
      </w:r>
      <w:r w:rsidR="00AF7229" w:rsidRPr="00335288">
        <w:rPr>
          <w:rFonts w:eastAsia="MS Mincho"/>
          <w:b/>
          <w:i/>
          <w:iCs/>
          <w:lang w:eastAsia="ja-JP"/>
        </w:rPr>
        <w:t>.5. Về chế độ công bố thông tin, báo cáo về bảo hiểm hưu trí bổ sung</w:t>
      </w:r>
    </w:p>
    <w:p w:rsidR="00F123E4" w:rsidRDefault="00F71CB5" w:rsidP="00215159">
      <w:pPr>
        <w:widowControl w:val="0"/>
        <w:spacing w:before="100" w:after="100" w:line="330" w:lineRule="exact"/>
        <w:ind w:firstLine="720"/>
        <w:jc w:val="both"/>
        <w:rPr>
          <w:bCs/>
          <w:iCs/>
          <w:lang w:val="nl-NL"/>
        </w:rPr>
      </w:pPr>
      <w:r w:rsidRPr="00335288">
        <w:rPr>
          <w:bCs/>
          <w:iCs/>
          <w:lang w:val="nl-NL"/>
        </w:rPr>
        <w:t xml:space="preserve">Để đảm bảo công khai, minh bạch về chương trình bảo hiểm hưu trí bổ sung, </w:t>
      </w:r>
      <w:r w:rsidR="00FE23EB">
        <w:rPr>
          <w:bCs/>
          <w:iCs/>
          <w:lang w:val="nl-NL"/>
        </w:rPr>
        <w:t>kế thừa</w:t>
      </w:r>
      <w:r w:rsidR="00A93FCA" w:rsidRPr="00335288">
        <w:rPr>
          <w:bCs/>
          <w:iCs/>
          <w:lang w:val="nl-NL"/>
        </w:rPr>
        <w:t xml:space="preserve"> quy định tại Nghị định số 88, dự thảo Nghị định quy định chế độ công bố thông tin và báo cáo về bảo hiểm hưu trí bổ sung</w:t>
      </w:r>
      <w:r w:rsidR="00215159">
        <w:rPr>
          <w:bCs/>
          <w:iCs/>
          <w:lang w:val="nl-NL"/>
        </w:rPr>
        <w:t xml:space="preserve"> đối với doanh nghiệp </w:t>
      </w:r>
      <w:r w:rsidR="00215159">
        <w:rPr>
          <w:bCs/>
          <w:iCs/>
          <w:lang w:val="nl-NL"/>
        </w:rPr>
        <w:lastRenderedPageBreak/>
        <w:t xml:space="preserve">quản lý quỹ bảo hiểm hưu trí bổ sung và ngân hàng giám sát về việc triển khai chương trình bảo hiểm hưu trí bổ sung, </w:t>
      </w:r>
      <w:r w:rsidR="00A93FCA" w:rsidRPr="00335288">
        <w:rPr>
          <w:rFonts w:eastAsia="MS Mincho"/>
          <w:bCs/>
          <w:lang w:val="pt-BR" w:eastAsia="ja-JP"/>
        </w:rPr>
        <w:t>kết quả hoạt động của quỹ bảo hiểm hưu trí bổ sung</w:t>
      </w:r>
      <w:r w:rsidR="00160D47" w:rsidRPr="00335288">
        <w:rPr>
          <w:rFonts w:eastAsia="MS Mincho"/>
          <w:bCs/>
          <w:lang w:val="pt-BR" w:eastAsia="ja-JP"/>
        </w:rPr>
        <w:t xml:space="preserve">, </w:t>
      </w:r>
      <w:r w:rsidR="00215159">
        <w:rPr>
          <w:rFonts w:eastAsia="MS Mincho"/>
          <w:bCs/>
          <w:lang w:val="pt-BR" w:eastAsia="ja-JP"/>
        </w:rPr>
        <w:t>và việc giám sát quỹ.</w:t>
      </w:r>
      <w:r w:rsidR="007E69DE" w:rsidRPr="00335288">
        <w:rPr>
          <w:rFonts w:eastAsia="MS Mincho"/>
          <w:bCs/>
          <w:lang w:val="pt-BR" w:eastAsia="ja-JP"/>
        </w:rPr>
        <w:t xml:space="preserve"> </w:t>
      </w:r>
    </w:p>
    <w:p w:rsidR="00215159" w:rsidRPr="00FE23EB" w:rsidRDefault="003D38C1" w:rsidP="00D00524">
      <w:pPr>
        <w:widowControl w:val="0"/>
        <w:spacing w:before="100" w:after="100" w:line="330" w:lineRule="exact"/>
        <w:ind w:firstLine="720"/>
        <w:jc w:val="both"/>
        <w:rPr>
          <w:rFonts w:ascii="Times New Roman Bold" w:eastAsia="MS Mincho" w:hAnsi="Times New Roman Bold" w:hint="eastAsia"/>
          <w:b/>
          <w:bCs/>
          <w:i/>
          <w:spacing w:val="-4"/>
          <w:lang w:val="pt-BR" w:eastAsia="ja-JP"/>
        </w:rPr>
      </w:pPr>
      <w:r w:rsidRPr="00FE23EB">
        <w:rPr>
          <w:rFonts w:ascii="Times New Roman Bold" w:hAnsi="Times New Roman Bold"/>
          <w:b/>
          <w:i/>
          <w:spacing w:val="-4"/>
          <w:lang w:val="nl-NL"/>
        </w:rPr>
        <w:t>3</w:t>
      </w:r>
      <w:r w:rsidR="00AF7229" w:rsidRPr="00FE23EB">
        <w:rPr>
          <w:rFonts w:ascii="Times New Roman Bold" w:hAnsi="Times New Roman Bold"/>
          <w:b/>
          <w:i/>
          <w:spacing w:val="-4"/>
          <w:lang w:val="nl-NL"/>
        </w:rPr>
        <w:t xml:space="preserve">.6. </w:t>
      </w:r>
      <w:r w:rsidR="00AF7229" w:rsidRPr="00FE23EB">
        <w:rPr>
          <w:rFonts w:ascii="Times New Roman Bold" w:eastAsia="MS Mincho" w:hAnsi="Times New Roman Bold"/>
          <w:b/>
          <w:bCs/>
          <w:i/>
          <w:spacing w:val="-4"/>
          <w:lang w:val="pt-BR" w:eastAsia="ja-JP"/>
        </w:rPr>
        <w:t xml:space="preserve">Về </w:t>
      </w:r>
      <w:r w:rsidR="00215159" w:rsidRPr="00FE23EB">
        <w:rPr>
          <w:rFonts w:ascii="Times New Roman Bold" w:eastAsia="MS Mincho" w:hAnsi="Times New Roman Bold"/>
          <w:b/>
          <w:bCs/>
          <w:i/>
          <w:spacing w:val="-4"/>
          <w:lang w:val="pt-BR" w:eastAsia="ja-JP"/>
        </w:rPr>
        <w:t>doanh nghiệp quản lý quỹ bảo hiểm hưu trí bổ sung</w:t>
      </w:r>
      <w:r w:rsidR="00662557" w:rsidRPr="00FE23EB">
        <w:rPr>
          <w:rFonts w:ascii="Times New Roman Bold" w:eastAsia="MS Mincho" w:hAnsi="Times New Roman Bold"/>
          <w:b/>
          <w:bCs/>
          <w:i/>
          <w:spacing w:val="-4"/>
          <w:lang w:val="pt-BR" w:eastAsia="ja-JP"/>
        </w:rPr>
        <w:t xml:space="preserve"> (Điều 32-37)</w:t>
      </w:r>
    </w:p>
    <w:p w:rsidR="00215159" w:rsidRPr="00215159" w:rsidRDefault="00215159" w:rsidP="00D00524">
      <w:pPr>
        <w:widowControl w:val="0"/>
        <w:spacing w:before="100" w:after="100" w:line="330" w:lineRule="exact"/>
        <w:ind w:firstLine="720"/>
        <w:jc w:val="both"/>
        <w:rPr>
          <w:rFonts w:eastAsia="MS Mincho"/>
          <w:iCs/>
          <w:lang w:val="pt-BR" w:eastAsia="ja-JP"/>
        </w:rPr>
      </w:pPr>
      <w:r>
        <w:rPr>
          <w:rFonts w:eastAsia="MS Mincho"/>
          <w:iCs/>
          <w:lang w:val="pt-BR" w:eastAsia="ja-JP"/>
        </w:rPr>
        <w:t xml:space="preserve">Kế thừa quy định tại Nghị định số 88, dự thảo Nghị định tiếp tục quy định </w:t>
      </w:r>
      <w:r w:rsidR="009B1AC5">
        <w:rPr>
          <w:rFonts w:eastAsia="MS Mincho"/>
          <w:iCs/>
          <w:lang w:val="pt-BR" w:eastAsia="ja-JP"/>
        </w:rPr>
        <w:t>dịch vụ quản lý quỹ bảo hiểm hưu trí bổ sung</w:t>
      </w:r>
      <w:r>
        <w:rPr>
          <w:rFonts w:eastAsia="MS Mincho"/>
          <w:iCs/>
          <w:lang w:val="pt-BR" w:eastAsia="ja-JP"/>
        </w:rPr>
        <w:t xml:space="preserve"> là ngành nghề kinh doanh có điều kiện và cần phải đáp ứng các điều kiện về (i) loại hình doanh nghiệp (doanh nghiệp bảo hiểm, công ty quản lý quỹ), (ii) năng lực tài chính; (iii) yêu cầu về năng lực quản trị,</w:t>
      </w:r>
      <w:r w:rsidR="00662557">
        <w:rPr>
          <w:rFonts w:eastAsia="MS Mincho"/>
          <w:iCs/>
          <w:lang w:val="pt-BR" w:eastAsia="ja-JP"/>
        </w:rPr>
        <w:t xml:space="preserve"> và (iv) yêu cầu về nhân sự.</w:t>
      </w:r>
      <w:r>
        <w:rPr>
          <w:rFonts w:eastAsia="MS Mincho"/>
          <w:iCs/>
          <w:lang w:val="pt-BR" w:eastAsia="ja-JP"/>
        </w:rPr>
        <w:t xml:space="preserve"> </w:t>
      </w:r>
      <w:r w:rsidR="00662557">
        <w:rPr>
          <w:rFonts w:eastAsia="MS Mincho"/>
          <w:iCs/>
          <w:lang w:val="pt-BR" w:eastAsia="ja-JP"/>
        </w:rPr>
        <w:t>Trên cơ sở đó, dự thảo Nghị định quy định cụ thể về hồ sơ, quy trình thủ tục cấp, cấp lại, điều chỉnh Giấy chứng nhận đủ điều kiện kinh doanh dịch vụ quản lý quỹ bảo hiểm hưu trí bổ sung.</w:t>
      </w:r>
    </w:p>
    <w:p w:rsidR="00F123E4" w:rsidRDefault="00662557" w:rsidP="00D00524">
      <w:pPr>
        <w:widowControl w:val="0"/>
        <w:spacing w:before="100" w:after="100" w:line="330" w:lineRule="exact"/>
        <w:ind w:firstLine="720"/>
        <w:jc w:val="both"/>
        <w:rPr>
          <w:b/>
          <w:i/>
          <w:lang w:val="nl-NL"/>
        </w:rPr>
      </w:pPr>
      <w:r w:rsidRPr="00662557">
        <w:rPr>
          <w:rFonts w:eastAsia="MS Mincho"/>
          <w:b/>
          <w:bCs/>
          <w:i/>
          <w:lang w:val="pt-BR" w:eastAsia="ja-JP"/>
        </w:rPr>
        <w:t>3.7. Về</w:t>
      </w:r>
      <w:r>
        <w:rPr>
          <w:rFonts w:eastAsia="MS Mincho"/>
          <w:iCs/>
          <w:lang w:val="pt-BR" w:eastAsia="ja-JP"/>
        </w:rPr>
        <w:t xml:space="preserve"> </w:t>
      </w:r>
      <w:r w:rsidR="00AF7229" w:rsidRPr="00335288">
        <w:rPr>
          <w:rFonts w:eastAsia="MS Mincho"/>
          <w:b/>
          <w:bCs/>
          <w:i/>
          <w:lang w:val="pt-BR" w:eastAsia="ja-JP"/>
        </w:rPr>
        <w:t xml:space="preserve">kiểm tra và cơ chế quản lý giám sát </w:t>
      </w:r>
      <w:r>
        <w:rPr>
          <w:rFonts w:eastAsia="MS Mincho"/>
          <w:b/>
          <w:bCs/>
          <w:i/>
          <w:lang w:val="pt-BR" w:eastAsia="ja-JP"/>
        </w:rPr>
        <w:t>(Điều 41)</w:t>
      </w:r>
    </w:p>
    <w:p w:rsidR="00F63ADF" w:rsidRDefault="00662557" w:rsidP="00F63ADF">
      <w:pPr>
        <w:widowControl w:val="0"/>
        <w:tabs>
          <w:tab w:val="left" w:pos="142"/>
        </w:tabs>
        <w:spacing w:before="100" w:after="100" w:line="330" w:lineRule="exact"/>
        <w:ind w:firstLine="720"/>
        <w:jc w:val="both"/>
        <w:rPr>
          <w:rFonts w:eastAsia="MS Mincho"/>
          <w:bCs/>
          <w:lang w:val="pt-BR" w:eastAsia="ja-JP"/>
        </w:rPr>
      </w:pPr>
      <w:r>
        <w:rPr>
          <w:rFonts w:eastAsia="Calibri"/>
        </w:rPr>
        <w:t>C</w:t>
      </w:r>
      <w:r w:rsidR="00D40CAE" w:rsidRPr="00335288">
        <w:rPr>
          <w:rFonts w:eastAsia="Calibri"/>
        </w:rPr>
        <w:t xml:space="preserve">ăn cứ yêu cầu quản lý đối với chính sách bảo hiểm hưu trí bổ sung, dự thảo </w:t>
      </w:r>
      <w:r w:rsidR="00574630" w:rsidRPr="00335288">
        <w:rPr>
          <w:rFonts w:eastAsia="Calibri"/>
        </w:rPr>
        <w:t>Nghị định quy định trách nhiệm của Bộ Tài chính</w:t>
      </w:r>
      <w:r w:rsidR="00335288" w:rsidRPr="00335288">
        <w:rPr>
          <w:rFonts w:eastAsia="Calibri"/>
        </w:rPr>
        <w:t xml:space="preserve"> </w:t>
      </w:r>
      <w:r w:rsidR="00574630" w:rsidRPr="00335288">
        <w:rPr>
          <w:rFonts w:eastAsia="Calibri"/>
        </w:rPr>
        <w:t xml:space="preserve">trong việc hướng dẫn triển khai, </w:t>
      </w:r>
      <w:r w:rsidR="00512C5E">
        <w:rPr>
          <w:rFonts w:eastAsia="Calibri"/>
        </w:rPr>
        <w:t xml:space="preserve">kiểm tra, </w:t>
      </w:r>
      <w:r w:rsidR="00574630" w:rsidRPr="00335288">
        <w:rPr>
          <w:rFonts w:eastAsia="Calibri"/>
        </w:rPr>
        <w:t>theo dõi, giám sát, đánh giá triển khai chính sách bảo hiểm hưu trí bổ sung.</w:t>
      </w:r>
      <w:r w:rsidR="005A5A74" w:rsidRPr="00335288">
        <w:rPr>
          <w:rFonts w:eastAsia="Calibri"/>
        </w:rPr>
        <w:t xml:space="preserve"> </w:t>
      </w:r>
      <w:r w:rsidR="00B75FB6">
        <w:rPr>
          <w:rFonts w:eastAsia="Calibri"/>
        </w:rPr>
        <w:t>C</w:t>
      </w:r>
      <w:r w:rsidR="005A5A74" w:rsidRPr="00335288">
        <w:rPr>
          <w:rFonts w:eastAsia="Calibri"/>
        </w:rPr>
        <w:t>ông tác kiểm tra</w:t>
      </w:r>
      <w:r w:rsidR="00B75FB6">
        <w:rPr>
          <w:rFonts w:eastAsia="Calibri"/>
        </w:rPr>
        <w:t xml:space="preserve"> </w:t>
      </w:r>
      <w:r w:rsidR="005A5A74" w:rsidRPr="00335288">
        <w:rPr>
          <w:rFonts w:eastAsia="Calibri"/>
        </w:rPr>
        <w:t xml:space="preserve">được thực hiện định kỳ hoặc đột xuất. </w:t>
      </w:r>
      <w:r w:rsidR="00FD595E" w:rsidRPr="00335288">
        <w:rPr>
          <w:rFonts w:eastAsia="MS Mincho"/>
          <w:bCs/>
          <w:lang w:val="pt-BR" w:eastAsia="ja-JP"/>
        </w:rPr>
        <w:t>Việc</w:t>
      </w:r>
      <w:r w:rsidR="001F001F" w:rsidRPr="00335288">
        <w:rPr>
          <w:rFonts w:eastAsia="MS Mincho"/>
          <w:bCs/>
          <w:lang w:val="pt-BR" w:eastAsia="ja-JP"/>
        </w:rPr>
        <w:t xml:space="preserve"> xử lý vi phạm và giải quyết khiếu nại, tố cáo về bảo hiểm hưu trí bổ</w:t>
      </w:r>
      <w:r w:rsidR="00FD595E" w:rsidRPr="00335288">
        <w:rPr>
          <w:rFonts w:eastAsia="MS Mincho"/>
          <w:bCs/>
          <w:lang w:val="pt-BR" w:eastAsia="ja-JP"/>
        </w:rPr>
        <w:t xml:space="preserve"> sung</w:t>
      </w:r>
      <w:r w:rsidR="001F001F" w:rsidRPr="00335288">
        <w:rPr>
          <w:rFonts w:eastAsia="MS Mincho"/>
          <w:bCs/>
          <w:lang w:val="pt-BR" w:eastAsia="ja-JP"/>
        </w:rPr>
        <w:t xml:space="preserve"> </w:t>
      </w:r>
      <w:r w:rsidR="00FD595E" w:rsidRPr="00335288">
        <w:rPr>
          <w:rFonts w:eastAsia="MS Mincho"/>
          <w:bCs/>
          <w:lang w:val="pt-BR" w:eastAsia="ja-JP"/>
        </w:rPr>
        <w:t xml:space="preserve">thực hiện theo quy định </w:t>
      </w:r>
      <w:r w:rsidR="009B1AC5">
        <w:rPr>
          <w:rFonts w:eastAsia="MS Mincho"/>
          <w:bCs/>
          <w:lang w:val="pt-BR" w:eastAsia="ja-JP"/>
        </w:rPr>
        <w:t>của pháp luật</w:t>
      </w:r>
      <w:r w:rsidR="0065099B" w:rsidRPr="00335288">
        <w:rPr>
          <w:rFonts w:eastAsia="MS Mincho"/>
          <w:bCs/>
          <w:lang w:val="pt-BR" w:eastAsia="ja-JP"/>
        </w:rPr>
        <w:t>.</w:t>
      </w:r>
    </w:p>
    <w:p w:rsidR="003D38C1" w:rsidRPr="00443058" w:rsidRDefault="003D38C1" w:rsidP="00D00524">
      <w:pPr>
        <w:widowControl w:val="0"/>
        <w:spacing w:before="100" w:after="100" w:line="330" w:lineRule="exact"/>
        <w:ind w:firstLine="720"/>
        <w:jc w:val="both"/>
        <w:rPr>
          <w:rFonts w:eastAsia="MS Mincho"/>
          <w:b/>
          <w:lang w:val="pt-BR" w:eastAsia="ja-JP"/>
        </w:rPr>
      </w:pPr>
      <w:r w:rsidRPr="00443058">
        <w:rPr>
          <w:rFonts w:eastAsia="MS Mincho"/>
          <w:b/>
          <w:lang w:val="pt-BR" w:eastAsia="ja-JP"/>
        </w:rPr>
        <w:t>4. Các nội dung sửa đổi, hoàn thiện</w:t>
      </w:r>
    </w:p>
    <w:p w:rsidR="003D38C1" w:rsidRPr="006921B2" w:rsidRDefault="00443058" w:rsidP="00D00524">
      <w:pPr>
        <w:widowControl w:val="0"/>
        <w:spacing w:before="100" w:after="100" w:line="330" w:lineRule="exact"/>
        <w:ind w:firstLine="720"/>
        <w:jc w:val="both"/>
        <w:rPr>
          <w:rFonts w:eastAsia="MS Mincho"/>
          <w:b/>
          <w:i/>
          <w:iCs/>
          <w:lang w:val="pt-BR" w:eastAsia="ja-JP"/>
        </w:rPr>
      </w:pPr>
      <w:r w:rsidRPr="006921B2">
        <w:rPr>
          <w:rFonts w:eastAsia="MS Mincho"/>
          <w:b/>
          <w:i/>
          <w:iCs/>
          <w:lang w:val="pt-BR" w:eastAsia="ja-JP"/>
        </w:rPr>
        <w:t>4.1. Về đối tượng tham gia</w:t>
      </w:r>
    </w:p>
    <w:p w:rsidR="00443058" w:rsidRDefault="00443058" w:rsidP="00443058">
      <w:pPr>
        <w:widowControl w:val="0"/>
        <w:spacing w:before="100" w:after="100" w:line="330" w:lineRule="exact"/>
        <w:ind w:firstLine="720"/>
        <w:jc w:val="both"/>
        <w:outlineLvl w:val="0"/>
        <w:rPr>
          <w:lang w:val="nl-NL"/>
        </w:rPr>
      </w:pPr>
      <w:r w:rsidRPr="00335288">
        <w:rPr>
          <w:lang w:val="nl-NL"/>
        </w:rPr>
        <w:t xml:space="preserve">- Luật BHXH năm 2024 quy định </w:t>
      </w:r>
      <w:r w:rsidRPr="00335288">
        <w:rPr>
          <w:i/>
          <w:iCs/>
          <w:lang w:val="nl-NL"/>
        </w:rPr>
        <w:t xml:space="preserve">bảo hiểm hưu trí bổ sung là loại hình bảo hiểm mang tính chất tự nguyện theo nguyên tắc thị trường nhằm bổ sung cho chế độ hưu trí trong bảo hiểm xã hội bắt buộc, có cơ chế tạo lập quỹ từ đóng góp của người sử dụng lao động hoặc của người sử dụng lao động và người lao động </w:t>
      </w:r>
      <w:r w:rsidRPr="00335288">
        <w:rPr>
          <w:iCs/>
          <w:lang w:val="nl-NL"/>
        </w:rPr>
        <w:t>(</w:t>
      </w:r>
      <w:r w:rsidRPr="00335288">
        <w:rPr>
          <w:lang w:val="nl-NL"/>
        </w:rPr>
        <w:t xml:space="preserve">Khoản 5 Điều 3); </w:t>
      </w:r>
      <w:r w:rsidRPr="00335288">
        <w:rPr>
          <w:i/>
          <w:lang w:val="nl-NL"/>
        </w:rPr>
        <w:t xml:space="preserve">đối tượng tham gia bảo hiểm hưu trí bổ sung là người sử dụng lao động và người lao động </w:t>
      </w:r>
      <w:r w:rsidRPr="00335288">
        <w:rPr>
          <w:lang w:val="nl-NL"/>
        </w:rPr>
        <w:t xml:space="preserve">(Điều 124). </w:t>
      </w:r>
    </w:p>
    <w:p w:rsidR="00443058" w:rsidRDefault="00443058" w:rsidP="00443058">
      <w:pPr>
        <w:spacing w:before="100" w:after="100" w:line="330" w:lineRule="exact"/>
        <w:ind w:firstLine="720"/>
        <w:jc w:val="both"/>
        <w:rPr>
          <w:rFonts w:eastAsia="MS Mincho"/>
          <w:bCs/>
          <w:lang w:val="pt-BR" w:eastAsia="ja-JP"/>
        </w:rPr>
      </w:pPr>
      <w:r w:rsidRPr="00335288">
        <w:rPr>
          <w:lang w:val="nl-NL"/>
        </w:rPr>
        <w:t xml:space="preserve">- Theo đó, </w:t>
      </w:r>
      <w:r w:rsidRPr="00335288">
        <w:t>Luật BHXH năm 2024 không cho phép người lao động hoặc cá nhân trực tiếp tham gia bảo hiểm hưu trí bổ sung như quy định trước đây tại Luật BHXH năm 2014 và Nghị định số 88</w:t>
      </w:r>
      <w:r w:rsidRPr="00335288">
        <w:rPr>
          <w:vertAlign w:val="superscript"/>
        </w:rPr>
        <w:footnoteReference w:id="6"/>
      </w:r>
      <w:r w:rsidRPr="00335288">
        <w:t xml:space="preserve"> (mà phải tham gia cùng với doanh nghiệp sử dụng lao động). Căn cứ các quy định mới tại Luật BHXH năm 2024, dự thảo Nghị định quy định</w:t>
      </w:r>
      <w:r w:rsidR="00C17B0C">
        <w:t xml:space="preserve"> người tham gia quỹ </w:t>
      </w:r>
      <w:r w:rsidR="000F3C2C">
        <w:t xml:space="preserve">hưu trí </w:t>
      </w:r>
      <w:r w:rsidR="00C17B0C">
        <w:t>là</w:t>
      </w:r>
      <w:r w:rsidRPr="00335288">
        <w:t xml:space="preserve"> người sử dụng lao động và người lao động </w:t>
      </w:r>
      <w:r w:rsidR="00C17B0C">
        <w:t>đã</w:t>
      </w:r>
      <w:r w:rsidRPr="00335288">
        <w:t xml:space="preserve"> tham gia bảo hiểm xã hội bắt buộc</w:t>
      </w:r>
      <w:r w:rsidR="00C17B0C">
        <w:t xml:space="preserve"> và</w:t>
      </w:r>
      <w:r w:rsidRPr="00335288">
        <w:t xml:space="preserve"> tự nguyện tham gia bảo hiểm hưu trí bổ sung</w:t>
      </w:r>
      <w:r w:rsidR="009F34AC">
        <w:t>; không còn đối tượng cá nhân không có hợp đồng lao động tham gia bảo hiểm hưu trí bổ sung.</w:t>
      </w:r>
      <w:r w:rsidRPr="00335288">
        <w:t xml:space="preserve"> </w:t>
      </w:r>
    </w:p>
    <w:p w:rsidR="0092570A" w:rsidRPr="006921B2" w:rsidRDefault="00662557" w:rsidP="00D00524">
      <w:pPr>
        <w:widowControl w:val="0"/>
        <w:spacing w:before="100" w:after="100" w:line="330" w:lineRule="exact"/>
        <w:ind w:firstLine="720"/>
        <w:jc w:val="both"/>
        <w:rPr>
          <w:rFonts w:eastAsia="MS Mincho"/>
          <w:b/>
          <w:i/>
          <w:iCs/>
          <w:lang w:val="pt-BR" w:eastAsia="ja-JP"/>
        </w:rPr>
      </w:pPr>
      <w:r w:rsidRPr="006921B2">
        <w:rPr>
          <w:rFonts w:eastAsia="MS Mincho"/>
          <w:b/>
          <w:i/>
          <w:iCs/>
          <w:lang w:val="pt-BR" w:eastAsia="ja-JP"/>
        </w:rPr>
        <w:t xml:space="preserve">4.2. </w:t>
      </w:r>
      <w:r w:rsidR="0092570A" w:rsidRPr="006921B2">
        <w:rPr>
          <w:rFonts w:eastAsia="MS Mincho"/>
          <w:b/>
          <w:i/>
          <w:iCs/>
          <w:lang w:val="pt-BR" w:eastAsia="ja-JP"/>
        </w:rPr>
        <w:t xml:space="preserve">Về </w:t>
      </w:r>
      <w:r w:rsidR="005D5E9B" w:rsidRPr="006921B2">
        <w:rPr>
          <w:rFonts w:eastAsia="MS Mincho"/>
          <w:b/>
          <w:i/>
          <w:iCs/>
          <w:lang w:val="pt-BR" w:eastAsia="ja-JP"/>
        </w:rPr>
        <w:t>thành lập chương trình bảo hiểm hưu trí bổ sung</w:t>
      </w:r>
    </w:p>
    <w:p w:rsidR="0092570A" w:rsidRDefault="005D5E9B" w:rsidP="00D00524">
      <w:pPr>
        <w:widowControl w:val="0"/>
        <w:spacing w:before="100" w:after="100" w:line="330" w:lineRule="exact"/>
        <w:ind w:firstLine="720"/>
        <w:jc w:val="both"/>
        <w:rPr>
          <w:rFonts w:eastAsia="MS Mincho"/>
          <w:bCs/>
          <w:lang w:val="pt-BR" w:eastAsia="ja-JP"/>
        </w:rPr>
      </w:pPr>
      <w:r>
        <w:rPr>
          <w:rFonts w:eastAsia="MS Mincho"/>
          <w:bCs/>
          <w:lang w:val="pt-BR" w:eastAsia="ja-JP"/>
        </w:rPr>
        <w:t xml:space="preserve">Triển khai Luật BHXH năm 2024, chương trình hưu trí bổ sung tự nguyện </w:t>
      </w:r>
      <w:r>
        <w:rPr>
          <w:rFonts w:eastAsia="MS Mincho"/>
          <w:bCs/>
          <w:lang w:val="pt-BR" w:eastAsia="ja-JP"/>
        </w:rPr>
        <w:lastRenderedPageBreak/>
        <w:t>theo Nghị định số 88 được sửa đổi, trở thành chương trình bảo hiểm hưu trí bổ sung. Việc thiết kế chương trình được hoàn thiện để phù hợp với phương thức tham gia và các nguyên tắc hoạt động của bảo hiểm hưu trí bổ sung tại Luật BHXH</w:t>
      </w:r>
      <w:r w:rsidR="009D7312">
        <w:rPr>
          <w:rFonts w:eastAsia="MS Mincho"/>
          <w:bCs/>
          <w:lang w:val="pt-BR" w:eastAsia="ja-JP"/>
        </w:rPr>
        <w:t>, bao gồm: (i) việc hình thành các quỹ, (ii) triển khai theo nguyên tắc thị trường; (iii) mức chi trả được xác định trên cơ sở số dư tài khoản hưu trí cá nhân tại thời điểm chi trả; (iv) quỹ bảo hiểm hưu trí bổ sung được sử dụng để chi trả chế độ hưu trí bổ sung cho người lao động, chi phí tổ chức và hoạt động quản lý.</w:t>
      </w:r>
    </w:p>
    <w:p w:rsidR="00443058" w:rsidRPr="006921B2" w:rsidRDefault="0092570A" w:rsidP="00D00524">
      <w:pPr>
        <w:widowControl w:val="0"/>
        <w:spacing w:before="100" w:after="100" w:line="330" w:lineRule="exact"/>
        <w:ind w:firstLine="720"/>
        <w:jc w:val="both"/>
        <w:rPr>
          <w:rFonts w:eastAsia="MS Mincho"/>
          <w:b/>
          <w:i/>
          <w:iCs/>
          <w:lang w:val="pt-BR" w:eastAsia="ja-JP"/>
        </w:rPr>
      </w:pPr>
      <w:r w:rsidRPr="006921B2">
        <w:rPr>
          <w:rFonts w:eastAsia="MS Mincho"/>
          <w:b/>
          <w:i/>
          <w:iCs/>
          <w:lang w:val="pt-BR" w:eastAsia="ja-JP"/>
        </w:rPr>
        <w:t>4.3. Về các danh mục đầu tư và hạn mức đầu tư của quỹ bảo hiểm hưu trí bổ sung</w:t>
      </w:r>
    </w:p>
    <w:p w:rsidR="00662557" w:rsidRDefault="009D7312" w:rsidP="009D7312">
      <w:pPr>
        <w:widowControl w:val="0"/>
        <w:spacing w:before="100" w:after="100" w:line="330" w:lineRule="exact"/>
        <w:ind w:firstLine="720"/>
        <w:jc w:val="both"/>
        <w:rPr>
          <w:rFonts w:eastAsia="MS Mincho"/>
          <w:bCs/>
          <w:lang w:val="pt-BR" w:eastAsia="ja-JP"/>
        </w:rPr>
      </w:pPr>
      <w:r>
        <w:rPr>
          <w:rFonts w:eastAsia="MS Mincho"/>
          <w:bCs/>
          <w:lang w:val="pt-BR" w:eastAsia="ja-JP"/>
        </w:rPr>
        <w:t>- Nghị định số 88 đã quy định danh mục đầu tư của quỹ hưu trí bổ sung tự nguyện gồm: (i) t</w:t>
      </w:r>
      <w:r w:rsidRPr="009D7312">
        <w:rPr>
          <w:rFonts w:eastAsia="MS Mincho"/>
          <w:bCs/>
          <w:lang w:val="pt-BR" w:eastAsia="ja-JP"/>
        </w:rPr>
        <w:t xml:space="preserve">iền gửi tại các </w:t>
      </w:r>
      <w:r>
        <w:rPr>
          <w:rFonts w:eastAsia="MS Mincho"/>
          <w:bCs/>
          <w:lang w:val="pt-BR" w:eastAsia="ja-JP"/>
        </w:rPr>
        <w:t>NHTM</w:t>
      </w:r>
      <w:r w:rsidRPr="009D7312">
        <w:rPr>
          <w:rFonts w:eastAsia="MS Mincho"/>
          <w:bCs/>
          <w:lang w:val="pt-BR" w:eastAsia="ja-JP"/>
        </w:rPr>
        <w:t xml:space="preserve"> đáp ứng đủ </w:t>
      </w:r>
      <w:r>
        <w:rPr>
          <w:rFonts w:eastAsia="MS Mincho"/>
          <w:bCs/>
          <w:lang w:val="pt-BR" w:eastAsia="ja-JP"/>
        </w:rPr>
        <w:t>đ</w:t>
      </w:r>
      <w:r w:rsidRPr="009D7312">
        <w:rPr>
          <w:rFonts w:eastAsia="MS Mincho"/>
          <w:bCs/>
          <w:lang w:val="pt-BR" w:eastAsia="ja-JP"/>
        </w:rPr>
        <w:t>iều kiện quy định về chính sách đầu tư của quỹ tại Điều lệ quỹ hưu trí;</w:t>
      </w:r>
      <w:r>
        <w:rPr>
          <w:rFonts w:eastAsia="MS Mincho"/>
          <w:bCs/>
          <w:lang w:val="pt-BR" w:eastAsia="ja-JP"/>
        </w:rPr>
        <w:t xml:space="preserve"> (ii) t</w:t>
      </w:r>
      <w:r w:rsidRPr="009D7312">
        <w:rPr>
          <w:rFonts w:eastAsia="MS Mincho"/>
          <w:bCs/>
          <w:lang w:val="pt-BR" w:eastAsia="ja-JP"/>
        </w:rPr>
        <w:t>rái phiếu Chính phủ</w:t>
      </w:r>
      <w:r w:rsidR="00313D66">
        <w:rPr>
          <w:rFonts w:eastAsia="MS Mincho"/>
          <w:bCs/>
          <w:lang w:val="pt-BR" w:eastAsia="ja-JP"/>
        </w:rPr>
        <w:t xml:space="preserve"> (TPCP)</w:t>
      </w:r>
      <w:r w:rsidRPr="009D7312">
        <w:rPr>
          <w:rFonts w:eastAsia="MS Mincho"/>
          <w:bCs/>
          <w:lang w:val="pt-BR" w:eastAsia="ja-JP"/>
        </w:rPr>
        <w:t>; trái phiếu được Chính phủ bảo lãnh; trái phiếu chính quyền địa phương;</w:t>
      </w:r>
      <w:r>
        <w:rPr>
          <w:rFonts w:eastAsia="MS Mincho"/>
          <w:bCs/>
          <w:lang w:val="pt-BR" w:eastAsia="ja-JP"/>
        </w:rPr>
        <w:t xml:space="preserve"> (iii) c</w:t>
      </w:r>
      <w:r w:rsidRPr="009D7312">
        <w:rPr>
          <w:rFonts w:eastAsia="MS Mincho"/>
          <w:bCs/>
          <w:lang w:val="pt-BR" w:eastAsia="ja-JP"/>
        </w:rPr>
        <w:t xml:space="preserve">hứng chỉ quỹ đầu tư chứng khoán theo </w:t>
      </w:r>
      <w:r>
        <w:rPr>
          <w:rFonts w:eastAsia="MS Mincho"/>
          <w:bCs/>
          <w:lang w:val="pt-BR" w:eastAsia="ja-JP"/>
        </w:rPr>
        <w:t>đ</w:t>
      </w:r>
      <w:r w:rsidRPr="009D7312">
        <w:rPr>
          <w:rFonts w:eastAsia="MS Mincho"/>
          <w:bCs/>
          <w:lang w:val="pt-BR" w:eastAsia="ja-JP"/>
        </w:rPr>
        <w:t>iều kiện quy định về chính sách đầu tư của quỹ tại Điều lệ quỹ hưu trí.</w:t>
      </w:r>
      <w:r>
        <w:rPr>
          <w:rFonts w:eastAsia="MS Mincho"/>
          <w:bCs/>
          <w:lang w:val="pt-BR" w:eastAsia="ja-JP"/>
        </w:rPr>
        <w:t xml:space="preserve"> Về hạn mức đầu tư, Nghị định số 88 và Thông tư số 86 quy định: (i) t</w:t>
      </w:r>
      <w:r w:rsidRPr="009D7312">
        <w:rPr>
          <w:rFonts w:eastAsia="MS Mincho"/>
          <w:bCs/>
          <w:lang w:val="pt-BR" w:eastAsia="ja-JP"/>
        </w:rPr>
        <w:t xml:space="preserve">ỷ trọng giá trị đầu tư </w:t>
      </w:r>
      <w:r w:rsidR="00313D66">
        <w:rPr>
          <w:rFonts w:eastAsia="MS Mincho"/>
          <w:bCs/>
          <w:lang w:val="pt-BR" w:eastAsia="ja-JP"/>
        </w:rPr>
        <w:t>TPCP</w:t>
      </w:r>
      <w:r w:rsidRPr="009D7312">
        <w:rPr>
          <w:rFonts w:eastAsia="MS Mincho"/>
          <w:bCs/>
          <w:lang w:val="pt-BR" w:eastAsia="ja-JP"/>
        </w:rPr>
        <w:t xml:space="preserve"> tối thiểu bằng 50% trong tổng giá trị tài sản quỹ hưu trí</w:t>
      </w:r>
      <w:r>
        <w:rPr>
          <w:rFonts w:eastAsia="MS Mincho"/>
          <w:bCs/>
          <w:lang w:val="pt-BR" w:eastAsia="ja-JP"/>
        </w:rPr>
        <w:t xml:space="preserve">; (ii) </w:t>
      </w:r>
      <w:r w:rsidR="0058582F" w:rsidRPr="0058582F">
        <w:rPr>
          <w:rFonts w:eastAsia="MS Mincho"/>
          <w:bCs/>
          <w:lang w:val="pt-BR" w:eastAsia="ja-JP"/>
        </w:rPr>
        <w:t>quỹ hưu trí được đầu tư không vượt quá 20% tổng giá trị tài sản của quỹ vào chứng chỉ của một quỹ đầu tư chứng khoán.</w:t>
      </w:r>
      <w:r w:rsidR="00957514" w:rsidRPr="00957514">
        <w:rPr>
          <w:rFonts w:eastAsia="MS Mincho"/>
          <w:bCs/>
          <w:lang w:val="pt-BR" w:eastAsia="ja-JP"/>
        </w:rPr>
        <w:t xml:space="preserve"> </w:t>
      </w:r>
      <w:r w:rsidR="00957514" w:rsidRPr="00FF7A53">
        <w:rPr>
          <w:rFonts w:eastAsia="MS Mincho"/>
          <w:bCs/>
          <w:lang w:val="pt-BR" w:eastAsia="ja-JP"/>
        </w:rPr>
        <w:t>Cơ chế đầu tư của các quỹ hưu trí tương tự các quỹ đầu tư chứng khoán.</w:t>
      </w:r>
    </w:p>
    <w:p w:rsidR="002C6A2C" w:rsidRDefault="0058582F" w:rsidP="002C6A2C">
      <w:pPr>
        <w:widowControl w:val="0"/>
        <w:spacing w:after="120" w:line="340" w:lineRule="exact"/>
        <w:ind w:firstLine="720"/>
        <w:jc w:val="both"/>
        <w:rPr>
          <w:rFonts w:eastAsia="MS Mincho"/>
          <w:bCs/>
          <w:lang w:val="pt-BR" w:eastAsia="ja-JP"/>
        </w:rPr>
      </w:pPr>
      <w:r>
        <w:rPr>
          <w:rFonts w:eastAsia="MS Mincho"/>
          <w:bCs/>
          <w:lang w:val="pt-BR" w:eastAsia="ja-JP"/>
        </w:rPr>
        <w:t xml:space="preserve">- </w:t>
      </w:r>
      <w:r w:rsidR="002C6A2C">
        <w:rPr>
          <w:rFonts w:eastAsia="MS Mincho"/>
          <w:bCs/>
          <w:lang w:val="pt-BR" w:eastAsia="ja-JP"/>
        </w:rPr>
        <w:t xml:space="preserve">Triển khai thời gian vừa qua cho thấy nhiều quỹ gặp khó khăn trong việc đáp ứng tỷ trọng đầu tư tối thiểu vào TPCP </w:t>
      </w:r>
      <w:r w:rsidR="00FF7A53" w:rsidRPr="00FF7A53">
        <w:rPr>
          <w:rFonts w:eastAsia="MS Mincho"/>
          <w:bCs/>
          <w:lang w:val="pt-BR" w:eastAsia="ja-JP"/>
        </w:rPr>
        <w:t xml:space="preserve">(i) một số quỹ có quy mô nhỏ, mới thành lập nên chưa thể </w:t>
      </w:r>
      <w:r w:rsidR="009B1AC5">
        <w:rPr>
          <w:rFonts w:eastAsia="MS Mincho"/>
          <w:bCs/>
          <w:lang w:val="pt-BR" w:eastAsia="ja-JP"/>
        </w:rPr>
        <w:t>đầu tư</w:t>
      </w:r>
      <w:r w:rsidR="00FF7A53" w:rsidRPr="00FF7A53">
        <w:rPr>
          <w:rFonts w:eastAsia="MS Mincho"/>
          <w:bCs/>
          <w:lang w:val="pt-BR" w:eastAsia="ja-JP"/>
        </w:rPr>
        <w:t xml:space="preserve"> TPCP trên thị trường thứ cấp; (ii) thời gian qua lãi suất TPCP thấp nên việc đầu tư tối thiểu 50% tổng giá trị tài sản quỹ dẫn đến tỷ lệ sinh lời của quỹ thấp; do đó, các quỹ có gặp khó khăn </w:t>
      </w:r>
      <w:r w:rsidR="00957514">
        <w:rPr>
          <w:rFonts w:eastAsia="MS Mincho"/>
          <w:bCs/>
          <w:lang w:val="pt-BR" w:eastAsia="ja-JP"/>
        </w:rPr>
        <w:t>trong</w:t>
      </w:r>
      <w:r w:rsidR="00FF7A53" w:rsidRPr="00FF7A53">
        <w:rPr>
          <w:rFonts w:eastAsia="MS Mincho"/>
          <w:bCs/>
          <w:lang w:val="pt-BR" w:eastAsia="ja-JP"/>
        </w:rPr>
        <w:t xml:space="preserve"> hoạt động</w:t>
      </w:r>
      <w:r w:rsidR="00957514">
        <w:rPr>
          <w:rFonts w:eastAsia="MS Mincho"/>
          <w:bCs/>
          <w:lang w:val="pt-BR" w:eastAsia="ja-JP"/>
        </w:rPr>
        <w:t>,</w:t>
      </w:r>
      <w:r w:rsidR="00957514" w:rsidRPr="00957514">
        <w:rPr>
          <w:rFonts w:eastAsia="MS Mincho"/>
          <w:bCs/>
          <w:lang w:val="pt-BR" w:eastAsia="ja-JP"/>
        </w:rPr>
        <w:t xml:space="preserve"> </w:t>
      </w:r>
      <w:r w:rsidR="00957514">
        <w:rPr>
          <w:rFonts w:eastAsia="MS Mincho"/>
          <w:bCs/>
          <w:lang w:val="pt-BR" w:eastAsia="ja-JP"/>
        </w:rPr>
        <w:t>tương tự như bối cảnh của các nước châu Âu trong giai đoạn 2021-2023</w:t>
      </w:r>
      <w:r w:rsidR="00FF7A53" w:rsidRPr="00FF7A53">
        <w:rPr>
          <w:rFonts w:eastAsia="MS Mincho"/>
          <w:bCs/>
          <w:lang w:val="pt-BR" w:eastAsia="ja-JP"/>
        </w:rPr>
        <w:t xml:space="preserve">. Hiện nay, thực hiện phát triển hệ thống quỹ đầu tư chứng khoán theo Chiến lược phát triển thị trường chứng khoán, quy định về hoạt động đầu tư của các quỹ đầu tư chứng khoán đã được sửa đổi </w:t>
      </w:r>
      <w:r w:rsidR="009B1AC5">
        <w:rPr>
          <w:rFonts w:eastAsia="MS Mincho"/>
          <w:bCs/>
          <w:lang w:val="pt-BR" w:eastAsia="ja-JP"/>
        </w:rPr>
        <w:t>theo hướng</w:t>
      </w:r>
      <w:r w:rsidR="00FF7A53" w:rsidRPr="00FF7A53">
        <w:rPr>
          <w:rFonts w:eastAsia="MS Mincho"/>
          <w:bCs/>
          <w:lang w:val="pt-BR" w:eastAsia="ja-JP"/>
        </w:rPr>
        <w:t xml:space="preserve"> mở rộng danh mục tài sản </w:t>
      </w:r>
      <w:r w:rsidR="009B1AC5">
        <w:rPr>
          <w:rFonts w:eastAsia="MS Mincho"/>
          <w:bCs/>
          <w:lang w:val="pt-BR" w:eastAsia="ja-JP"/>
        </w:rPr>
        <w:t>đầu tư nhằm nâng cao hiệu quả đầu tư</w:t>
      </w:r>
      <w:r w:rsidR="00FF7A53" w:rsidRPr="00FF7A53">
        <w:rPr>
          <w:rFonts w:eastAsia="MS Mincho"/>
          <w:bCs/>
          <w:lang w:val="pt-BR" w:eastAsia="ja-JP"/>
        </w:rPr>
        <w:t xml:space="preserve">. </w:t>
      </w:r>
      <w:r w:rsidR="002C6A2C">
        <w:rPr>
          <w:rFonts w:eastAsia="MS Mincho"/>
          <w:bCs/>
          <w:lang w:val="pt-BR" w:eastAsia="ja-JP"/>
        </w:rPr>
        <w:t xml:space="preserve">Việc phát triển hệ thống quỹ </w:t>
      </w:r>
      <w:r w:rsidR="009B1AC5">
        <w:rPr>
          <w:rFonts w:eastAsia="MS Mincho"/>
          <w:bCs/>
          <w:lang w:val="pt-BR" w:eastAsia="ja-JP"/>
        </w:rPr>
        <w:t xml:space="preserve">đầu tư </w:t>
      </w:r>
      <w:r w:rsidR="002C6A2C">
        <w:rPr>
          <w:rFonts w:eastAsia="MS Mincho"/>
          <w:bCs/>
          <w:lang w:val="pt-BR" w:eastAsia="ja-JP"/>
        </w:rPr>
        <w:t xml:space="preserve">(bao gồm cả quỹ hưu trí) là giải pháp quan trọng nhằm tái cơ cấu cơ sở nhà đầu tư, phát triển nhà đầu tư có tổ chức có nguồn vốn dài hạn để đầu tư vào thị trường TPCP, thị trường tài chính. </w:t>
      </w:r>
      <w:r w:rsidR="00FF7A53" w:rsidRPr="00FF7A53">
        <w:rPr>
          <w:rFonts w:eastAsia="MS Mincho"/>
          <w:bCs/>
          <w:lang w:val="pt-BR" w:eastAsia="ja-JP"/>
        </w:rPr>
        <w:t xml:space="preserve">Do đó, định hướng chung đối với hệ thống quỹ </w:t>
      </w:r>
      <w:r w:rsidR="009B1AC5">
        <w:rPr>
          <w:rFonts w:eastAsia="MS Mincho"/>
          <w:bCs/>
          <w:lang w:val="pt-BR" w:eastAsia="ja-JP"/>
        </w:rPr>
        <w:t>đầu</w:t>
      </w:r>
      <w:r w:rsidR="00957514">
        <w:rPr>
          <w:rFonts w:eastAsia="MS Mincho"/>
          <w:bCs/>
          <w:lang w:val="pt-BR" w:eastAsia="ja-JP"/>
        </w:rPr>
        <w:t xml:space="preserve"> tư </w:t>
      </w:r>
      <w:r w:rsidR="00FF7A53" w:rsidRPr="00FF7A53">
        <w:rPr>
          <w:rFonts w:eastAsia="MS Mincho"/>
          <w:bCs/>
          <w:lang w:val="pt-BR" w:eastAsia="ja-JP"/>
        </w:rPr>
        <w:t xml:space="preserve">trên thị trường </w:t>
      </w:r>
      <w:r w:rsidR="009B1AC5">
        <w:rPr>
          <w:rFonts w:eastAsia="MS Mincho"/>
          <w:bCs/>
          <w:lang w:val="pt-BR" w:eastAsia="ja-JP"/>
        </w:rPr>
        <w:t>vốn, thị trường chứng khoán</w:t>
      </w:r>
      <w:r w:rsidR="00FF7A53" w:rsidRPr="00FF7A53">
        <w:rPr>
          <w:rFonts w:eastAsia="MS Mincho"/>
          <w:bCs/>
          <w:lang w:val="pt-BR" w:eastAsia="ja-JP"/>
        </w:rPr>
        <w:t xml:space="preserve"> là </w:t>
      </w:r>
      <w:r w:rsidR="00957514">
        <w:rPr>
          <w:rFonts w:eastAsia="MS Mincho"/>
          <w:bCs/>
          <w:lang w:val="pt-BR" w:eastAsia="ja-JP"/>
        </w:rPr>
        <w:t xml:space="preserve">hướng tới </w:t>
      </w:r>
      <w:r w:rsidR="00FF7A53" w:rsidRPr="00FF7A53">
        <w:rPr>
          <w:rFonts w:eastAsia="MS Mincho"/>
          <w:bCs/>
          <w:lang w:val="pt-BR" w:eastAsia="ja-JP"/>
        </w:rPr>
        <w:t>hoạt động hiệu quả hơn.</w:t>
      </w:r>
    </w:p>
    <w:p w:rsidR="009B1AC5" w:rsidRDefault="002C6A2C">
      <w:pPr>
        <w:widowControl w:val="0"/>
        <w:spacing w:after="120" w:line="340" w:lineRule="exact"/>
        <w:ind w:firstLine="720"/>
        <w:jc w:val="both"/>
        <w:rPr>
          <w:rFonts w:eastAsia="MS Mincho"/>
          <w:bCs/>
          <w:lang w:val="pt-BR" w:eastAsia="ja-JP"/>
        </w:rPr>
      </w:pPr>
      <w:r>
        <w:rPr>
          <w:rFonts w:eastAsia="MS Mincho"/>
          <w:bCs/>
          <w:lang w:val="pt-BR" w:eastAsia="ja-JP"/>
        </w:rPr>
        <w:t xml:space="preserve">- </w:t>
      </w:r>
      <w:r w:rsidR="00FF7A53" w:rsidRPr="00FF7A53">
        <w:rPr>
          <w:rFonts w:eastAsia="MS Mincho"/>
          <w:bCs/>
          <w:lang w:val="pt-BR" w:eastAsia="ja-JP"/>
        </w:rPr>
        <w:t>Trên cơ sở định hướng chung về phát triển hệ thống quỹ, nâng cao hiệu quả đầu tư của quỹ hưu trí, giải quyết những vướng mắc trong triển khai thời gian qua, tại dự thảo N</w:t>
      </w:r>
      <w:r w:rsidR="00FF7A53">
        <w:rPr>
          <w:rFonts w:eastAsia="MS Mincho"/>
          <w:bCs/>
          <w:lang w:val="pt-BR" w:eastAsia="ja-JP"/>
        </w:rPr>
        <w:t>ghị định</w:t>
      </w:r>
      <w:r w:rsidR="00FF7A53" w:rsidRPr="00FF7A53">
        <w:rPr>
          <w:rFonts w:eastAsia="MS Mincho"/>
          <w:bCs/>
          <w:lang w:val="pt-BR" w:eastAsia="ja-JP"/>
        </w:rPr>
        <w:t xml:space="preserve"> dự kiến: (i) giảm yêu cầu về tỷ trọng tối thiểu vào TPCP và</w:t>
      </w:r>
      <w:r w:rsidR="009B1AC5">
        <w:rPr>
          <w:rFonts w:eastAsia="MS Mincho"/>
          <w:bCs/>
          <w:lang w:val="pt-BR" w:eastAsia="ja-JP"/>
        </w:rPr>
        <w:t xml:space="preserve"> quy định</w:t>
      </w:r>
      <w:r w:rsidR="00FF7A53" w:rsidRPr="00FF7A53">
        <w:rPr>
          <w:rFonts w:eastAsia="MS Mincho"/>
          <w:bCs/>
          <w:lang w:val="pt-BR" w:eastAsia="ja-JP"/>
        </w:rPr>
        <w:t xml:space="preserve"> mức đầu tư tối thiểu </w:t>
      </w:r>
      <w:r w:rsidR="009B1AC5">
        <w:rPr>
          <w:rFonts w:eastAsia="MS Mincho"/>
          <w:bCs/>
          <w:lang w:val="pt-BR" w:eastAsia="ja-JP"/>
        </w:rPr>
        <w:t>vào TPCP theo</w:t>
      </w:r>
      <w:r w:rsidR="00FF7A53" w:rsidRPr="00FF7A53">
        <w:rPr>
          <w:rFonts w:eastAsia="MS Mincho"/>
          <w:bCs/>
          <w:lang w:val="pt-BR" w:eastAsia="ja-JP"/>
        </w:rPr>
        <w:t xml:space="preserve"> quy mô quỹ; (ii) </w:t>
      </w:r>
      <w:r w:rsidR="009B1AC5">
        <w:rPr>
          <w:rFonts w:eastAsia="MS Mincho"/>
          <w:bCs/>
          <w:lang w:val="pt-BR" w:eastAsia="ja-JP"/>
        </w:rPr>
        <w:t>cho phép</w:t>
      </w:r>
      <w:r w:rsidR="00FF7A53" w:rsidRPr="00FF7A53">
        <w:rPr>
          <w:rFonts w:eastAsia="MS Mincho"/>
          <w:bCs/>
          <w:lang w:val="pt-BR" w:eastAsia="ja-JP"/>
        </w:rPr>
        <w:t xml:space="preserve"> đầu tư vào chứng khoán niêm yết. Song song với việc mở rộng danh mục đầu tư, dự thảo bổ sung các quy định các biện pháp để tăng cường quản lý rủi ro, đảm bảo quyền lợi của người tham gia quỹ hưu trí như: (i) quy định mức đầu tư tối đa vào chứng khoán niêm yết (cổ phiếu, trái phiếu) và chứng chỉ quỹ (tương </w:t>
      </w:r>
      <w:r w:rsidR="00FF7A53" w:rsidRPr="00FF7A53">
        <w:rPr>
          <w:rFonts w:eastAsia="MS Mincho"/>
          <w:bCs/>
          <w:lang w:val="pt-BR" w:eastAsia="ja-JP"/>
        </w:rPr>
        <w:lastRenderedPageBreak/>
        <w:t xml:space="preserve">tự quỹ mở); (ii) hạn mức đầu tư vào chứng khoán của 1 tổ chức phát hành (chặt hơn so với quỹ mở). </w:t>
      </w:r>
    </w:p>
    <w:p w:rsidR="0092570A" w:rsidRPr="006921B2" w:rsidRDefault="0092570A" w:rsidP="00D00524">
      <w:pPr>
        <w:widowControl w:val="0"/>
        <w:spacing w:before="100" w:after="100" w:line="330" w:lineRule="exact"/>
        <w:ind w:firstLine="720"/>
        <w:jc w:val="both"/>
        <w:rPr>
          <w:rFonts w:eastAsia="MS Mincho"/>
          <w:b/>
          <w:i/>
          <w:iCs/>
          <w:lang w:val="pt-BR" w:eastAsia="ja-JP"/>
        </w:rPr>
      </w:pPr>
      <w:r w:rsidRPr="006921B2">
        <w:rPr>
          <w:rFonts w:eastAsia="MS Mincho"/>
          <w:b/>
          <w:i/>
          <w:iCs/>
          <w:lang w:val="pt-BR" w:eastAsia="ja-JP"/>
        </w:rPr>
        <w:t>4.4. Về xác định giá trị tài khoản hưu trí cá nhân</w:t>
      </w:r>
    </w:p>
    <w:p w:rsidR="0092570A" w:rsidRDefault="006921B2" w:rsidP="00D00524">
      <w:pPr>
        <w:widowControl w:val="0"/>
        <w:spacing w:before="100" w:after="100" w:line="330" w:lineRule="exact"/>
        <w:ind w:firstLine="720"/>
        <w:jc w:val="both"/>
        <w:rPr>
          <w:rFonts w:eastAsia="MS Mincho"/>
          <w:bCs/>
          <w:lang w:val="pt-BR" w:eastAsia="ja-JP"/>
        </w:rPr>
      </w:pPr>
      <w:r>
        <w:rPr>
          <w:rFonts w:eastAsia="MS Mincho"/>
          <w:bCs/>
          <w:lang w:val="pt-BR" w:eastAsia="ja-JP"/>
        </w:rPr>
        <w:t xml:space="preserve">Việc xác định giá trị tài khoản hưu trí cá nhân hiện đang được quy định cụ thể tại Thông tư số 86. Để làm rõ nguyên tắc xác định giá trị tài khoản bảo hiểm hưu trí cá nhân phù hợp với nguyên tắc hoạt động của quỹ bảo hiểm hưu trí bổ sung tự nguyện, dự thảo Nghị định đã bổ sung, hoàn thiện quy định theo hướng </w:t>
      </w:r>
      <w:r w:rsidR="00A3772E">
        <w:rPr>
          <w:rFonts w:eastAsia="MS Mincho"/>
          <w:bCs/>
          <w:lang w:val="pt-BR" w:eastAsia="ja-JP"/>
        </w:rPr>
        <w:t>v</w:t>
      </w:r>
      <w:r w:rsidRPr="006921B2">
        <w:rPr>
          <w:rFonts w:eastAsia="MS Mincho"/>
          <w:bCs/>
          <w:lang w:val="pt-BR" w:eastAsia="ja-JP"/>
        </w:rPr>
        <w:t>iệc xác định giá trị thị trường các tài sản của quỹ bảo hiểm hưu trí bổ sung thực hiện theo nguyên tắc quy định tại khoản 2 Điều 106 Luật Chứng khoán về xác định giá trị tài sản ròng của quỹ đầu tư chứng khoán và các văn bản hướng dẫn (nếu có).</w:t>
      </w:r>
      <w:r>
        <w:rPr>
          <w:rFonts w:eastAsia="MS Mincho"/>
          <w:bCs/>
          <w:lang w:val="pt-BR" w:eastAsia="ja-JP"/>
        </w:rPr>
        <w:t xml:space="preserve"> Đồng thời, yêu cầu doanh nghiệp quản lý quỹ phải xây dựng quy chế xác định giá trị tài sản ròng và xác định giá trị tài khoản hưu trí cá nhân. </w:t>
      </w:r>
      <w:r w:rsidRPr="006921B2">
        <w:rPr>
          <w:rFonts w:eastAsia="MS Mincho"/>
          <w:bCs/>
          <w:lang w:val="pt-BR" w:eastAsia="ja-JP"/>
        </w:rPr>
        <w:t>Ngân hàng giám sát có trách nhiệm kiểm tra, xác nhận giá trị tài sản ròng của quỹ bảo hiểm hưu trí bổ sung và giá trị tài khoản hưu trí cá nhân</w:t>
      </w:r>
      <w:r>
        <w:rPr>
          <w:rFonts w:eastAsia="MS Mincho"/>
          <w:bCs/>
          <w:lang w:val="pt-BR" w:eastAsia="ja-JP"/>
        </w:rPr>
        <w:t>.</w:t>
      </w:r>
    </w:p>
    <w:p w:rsidR="00FF7A53" w:rsidRDefault="00463FCE" w:rsidP="00F00682">
      <w:pPr>
        <w:widowControl w:val="0"/>
        <w:spacing w:before="100" w:after="100" w:line="330" w:lineRule="exact"/>
        <w:ind w:firstLine="720"/>
        <w:jc w:val="both"/>
        <w:rPr>
          <w:rFonts w:ascii="Times New Roman Bold" w:eastAsia="MS Mincho" w:hAnsi="Times New Roman Bold" w:hint="eastAsia"/>
          <w:b/>
          <w:i/>
          <w:iCs/>
          <w:spacing w:val="-6"/>
          <w:lang w:val="pt-BR" w:eastAsia="ja-JP"/>
        </w:rPr>
      </w:pPr>
      <w:r w:rsidRPr="00A34750">
        <w:rPr>
          <w:rFonts w:ascii="Times New Roman Bold" w:eastAsia="MS Mincho" w:hAnsi="Times New Roman Bold"/>
          <w:b/>
          <w:i/>
          <w:iCs/>
          <w:spacing w:val="-6"/>
          <w:lang w:val="pt-BR" w:eastAsia="ja-JP"/>
        </w:rPr>
        <w:t xml:space="preserve">4.5. </w:t>
      </w:r>
      <w:r w:rsidR="00FF7A53">
        <w:rPr>
          <w:rFonts w:ascii="Times New Roman Bold" w:eastAsia="MS Mincho" w:hAnsi="Times New Roman Bold"/>
          <w:b/>
          <w:i/>
          <w:iCs/>
          <w:spacing w:val="-6"/>
          <w:lang w:val="pt-BR" w:eastAsia="ja-JP"/>
        </w:rPr>
        <w:t>Về chế độ công bố thông tin và báo cáo đối với doanh nghiệp quản lý quỹ hưu trí</w:t>
      </w:r>
    </w:p>
    <w:p w:rsidR="00FF7A53" w:rsidRPr="006E0A58" w:rsidRDefault="008C0890" w:rsidP="00F00682">
      <w:pPr>
        <w:widowControl w:val="0"/>
        <w:spacing w:before="100" w:after="100" w:line="330" w:lineRule="exact"/>
        <w:ind w:firstLine="720"/>
        <w:jc w:val="both"/>
        <w:rPr>
          <w:rFonts w:eastAsia="MS Mincho"/>
          <w:bCs/>
          <w:spacing w:val="-6"/>
          <w:lang w:val="pt-BR" w:eastAsia="ja-JP"/>
        </w:rPr>
      </w:pPr>
      <w:r w:rsidRPr="008C0890">
        <w:rPr>
          <w:rFonts w:eastAsia="MS Mincho"/>
          <w:bCs/>
          <w:spacing w:val="-6"/>
          <w:lang w:val="pt-BR" w:eastAsia="ja-JP"/>
        </w:rPr>
        <w:t xml:space="preserve">Nhằm </w:t>
      </w:r>
      <w:r w:rsidRPr="008C0890">
        <w:rPr>
          <w:rFonts w:eastAsia="MS Mincho" w:hint="eastAsia"/>
          <w:bCs/>
          <w:spacing w:val="-6"/>
          <w:lang w:val="pt-BR" w:eastAsia="ja-JP"/>
        </w:rPr>
        <w:t>tăng c</w:t>
      </w:r>
      <w:r w:rsidRPr="008C0890">
        <w:rPr>
          <w:rFonts w:eastAsia="MS Mincho" w:hint="cs"/>
          <w:bCs/>
          <w:spacing w:val="-6"/>
          <w:lang w:val="pt-BR" w:eastAsia="ja-JP"/>
        </w:rPr>
        <w:t>ư</w:t>
      </w:r>
      <w:r w:rsidRPr="008C0890">
        <w:rPr>
          <w:rFonts w:eastAsia="MS Mincho"/>
          <w:bCs/>
          <w:spacing w:val="-6"/>
          <w:lang w:val="pt-BR" w:eastAsia="ja-JP"/>
        </w:rPr>
        <w:t xml:space="preserve">ờng </w:t>
      </w:r>
      <w:r w:rsidR="006E0A58">
        <w:rPr>
          <w:rFonts w:eastAsia="MS Mincho"/>
          <w:bCs/>
          <w:spacing w:val="-6"/>
          <w:lang w:val="pt-BR" w:eastAsia="ja-JP"/>
        </w:rPr>
        <w:t xml:space="preserve">yêu cầu </w:t>
      </w:r>
      <w:r w:rsidRPr="008C0890">
        <w:rPr>
          <w:rFonts w:eastAsia="MS Mincho"/>
          <w:bCs/>
          <w:spacing w:val="-6"/>
          <w:lang w:val="pt-BR" w:eastAsia="ja-JP"/>
        </w:rPr>
        <w:t>quản</w:t>
      </w:r>
      <w:r w:rsidRPr="008C0890">
        <w:rPr>
          <w:rFonts w:eastAsia="MS Mincho" w:hint="eastAsia"/>
          <w:bCs/>
          <w:spacing w:val="-6"/>
          <w:lang w:val="pt-BR" w:eastAsia="ja-JP"/>
        </w:rPr>
        <w:t xml:space="preserve"> lý giám sát</w:t>
      </w:r>
      <w:r w:rsidR="006E0A58">
        <w:rPr>
          <w:rFonts w:eastAsia="MS Mincho"/>
          <w:bCs/>
          <w:spacing w:val="-6"/>
          <w:lang w:val="pt-BR" w:eastAsia="ja-JP"/>
        </w:rPr>
        <w:t>, dự thảo Nghị định hoàn thiện các quy định về</w:t>
      </w:r>
      <w:r w:rsidRPr="008C0890">
        <w:rPr>
          <w:rFonts w:eastAsia="MS Mincho"/>
          <w:bCs/>
          <w:spacing w:val="-6"/>
          <w:lang w:val="pt-BR" w:eastAsia="ja-JP"/>
        </w:rPr>
        <w:t xml:space="preserve"> chế </w:t>
      </w:r>
      <w:r w:rsidRPr="008C0890">
        <w:rPr>
          <w:rFonts w:eastAsia="MS Mincho" w:hint="eastAsia"/>
          <w:bCs/>
          <w:spacing w:val="-6"/>
          <w:lang w:val="pt-BR" w:eastAsia="ja-JP"/>
        </w:rPr>
        <w:t>đ</w:t>
      </w:r>
      <w:r w:rsidRPr="008C0890">
        <w:rPr>
          <w:rFonts w:eastAsia="MS Mincho"/>
          <w:bCs/>
          <w:spacing w:val="-6"/>
          <w:lang w:val="pt-BR" w:eastAsia="ja-JP"/>
        </w:rPr>
        <w:t>ộ</w:t>
      </w:r>
      <w:r w:rsidRPr="008C0890">
        <w:rPr>
          <w:rFonts w:eastAsia="MS Mincho" w:hint="eastAsia"/>
          <w:bCs/>
          <w:spacing w:val="-6"/>
          <w:lang w:val="pt-BR" w:eastAsia="ja-JP"/>
        </w:rPr>
        <w:t xml:space="preserve"> công </w:t>
      </w:r>
      <w:r w:rsidRPr="008C0890">
        <w:rPr>
          <w:rFonts w:eastAsia="MS Mincho"/>
          <w:bCs/>
          <w:spacing w:val="-6"/>
          <w:lang w:val="pt-BR" w:eastAsia="ja-JP"/>
        </w:rPr>
        <w:t>bố</w:t>
      </w:r>
      <w:r w:rsidRPr="008C0890">
        <w:rPr>
          <w:rFonts w:eastAsia="MS Mincho" w:hint="eastAsia"/>
          <w:bCs/>
          <w:spacing w:val="-6"/>
          <w:lang w:val="pt-BR" w:eastAsia="ja-JP"/>
        </w:rPr>
        <w:t xml:space="preserve"> thông tin</w:t>
      </w:r>
      <w:r w:rsidR="006E0A58">
        <w:rPr>
          <w:rFonts w:eastAsia="MS Mincho"/>
          <w:bCs/>
          <w:spacing w:val="-6"/>
          <w:lang w:val="pt-BR" w:eastAsia="ja-JP"/>
        </w:rPr>
        <w:t xml:space="preserve"> và </w:t>
      </w:r>
      <w:r w:rsidRPr="008C0890">
        <w:rPr>
          <w:rFonts w:eastAsia="MS Mincho" w:hint="eastAsia"/>
          <w:bCs/>
          <w:spacing w:val="-6"/>
          <w:lang w:val="pt-BR" w:eastAsia="ja-JP"/>
        </w:rPr>
        <w:t xml:space="preserve">báo cáo </w:t>
      </w:r>
      <w:r w:rsidR="006E0A58">
        <w:rPr>
          <w:rFonts w:eastAsia="MS Mincho"/>
          <w:bCs/>
          <w:spacing w:val="-6"/>
          <w:lang w:val="pt-BR" w:eastAsia="ja-JP"/>
        </w:rPr>
        <w:t xml:space="preserve">đối với doanh nghiệp quản lý quỹ hưu trí. Theo </w:t>
      </w:r>
      <w:r w:rsidRPr="008C0890">
        <w:rPr>
          <w:rFonts w:eastAsia="MS Mincho" w:hint="eastAsia"/>
          <w:bCs/>
          <w:spacing w:val="-6"/>
          <w:lang w:val="pt-BR" w:eastAsia="ja-JP"/>
        </w:rPr>
        <w:t>đó, đ</w:t>
      </w:r>
      <w:r w:rsidRPr="008C0890">
        <w:rPr>
          <w:rFonts w:eastAsia="MS Mincho"/>
          <w:bCs/>
          <w:spacing w:val="-6"/>
          <w:lang w:val="pt-BR" w:eastAsia="ja-JP"/>
        </w:rPr>
        <w:t>ối</w:t>
      </w:r>
      <w:r w:rsidRPr="008C0890">
        <w:rPr>
          <w:rFonts w:eastAsia="MS Mincho" w:hint="eastAsia"/>
          <w:bCs/>
          <w:spacing w:val="-6"/>
          <w:lang w:val="pt-BR" w:eastAsia="ja-JP"/>
        </w:rPr>
        <w:t xml:space="preserve"> </w:t>
      </w:r>
      <w:r w:rsidRPr="008C0890">
        <w:rPr>
          <w:rFonts w:eastAsia="MS Mincho"/>
          <w:bCs/>
          <w:spacing w:val="-6"/>
          <w:lang w:val="pt-BR" w:eastAsia="ja-JP"/>
        </w:rPr>
        <w:t>với</w:t>
      </w:r>
      <w:r w:rsidRPr="008C0890">
        <w:rPr>
          <w:rFonts w:eastAsia="MS Mincho" w:hint="eastAsia"/>
          <w:bCs/>
          <w:spacing w:val="-6"/>
          <w:lang w:val="pt-BR" w:eastAsia="ja-JP"/>
        </w:rPr>
        <w:t xml:space="preserve"> yêu </w:t>
      </w:r>
      <w:r w:rsidRPr="008C0890">
        <w:rPr>
          <w:rFonts w:eastAsia="MS Mincho"/>
          <w:bCs/>
          <w:spacing w:val="-6"/>
          <w:lang w:val="pt-BR" w:eastAsia="ja-JP"/>
        </w:rPr>
        <w:t>cầu</w:t>
      </w:r>
      <w:r w:rsidRPr="008C0890">
        <w:rPr>
          <w:rFonts w:eastAsia="MS Mincho" w:hint="eastAsia"/>
          <w:bCs/>
          <w:spacing w:val="-6"/>
          <w:lang w:val="pt-BR" w:eastAsia="ja-JP"/>
        </w:rPr>
        <w:t xml:space="preserve"> báo cáo đ</w:t>
      </w:r>
      <w:r w:rsidRPr="008C0890">
        <w:rPr>
          <w:rFonts w:eastAsia="MS Mincho"/>
          <w:bCs/>
          <w:spacing w:val="-6"/>
          <w:lang w:val="pt-BR" w:eastAsia="ja-JP"/>
        </w:rPr>
        <w:t>ịnh</w:t>
      </w:r>
      <w:r w:rsidRPr="008C0890">
        <w:rPr>
          <w:rFonts w:eastAsia="MS Mincho" w:hint="eastAsia"/>
          <w:bCs/>
          <w:spacing w:val="-6"/>
          <w:lang w:val="pt-BR" w:eastAsia="ja-JP"/>
        </w:rPr>
        <w:t xml:space="preserve"> </w:t>
      </w:r>
      <w:r w:rsidRPr="008C0890">
        <w:rPr>
          <w:rFonts w:eastAsia="MS Mincho"/>
          <w:bCs/>
          <w:spacing w:val="-6"/>
          <w:lang w:val="pt-BR" w:eastAsia="ja-JP"/>
        </w:rPr>
        <w:t>kỳ,</w:t>
      </w:r>
      <w:r w:rsidRPr="008C0890">
        <w:rPr>
          <w:rFonts w:eastAsia="MS Mincho" w:hint="eastAsia"/>
          <w:bCs/>
          <w:spacing w:val="-6"/>
          <w:lang w:val="pt-BR" w:eastAsia="ja-JP"/>
        </w:rPr>
        <w:t xml:space="preserve"> </w:t>
      </w:r>
      <w:r w:rsidRPr="008C0890">
        <w:rPr>
          <w:rFonts w:eastAsia="MS Mincho"/>
          <w:bCs/>
          <w:spacing w:val="-6"/>
          <w:lang w:val="pt-BR" w:eastAsia="ja-JP"/>
        </w:rPr>
        <w:t>dự</w:t>
      </w:r>
      <w:r w:rsidRPr="008C0890">
        <w:rPr>
          <w:rFonts w:eastAsia="MS Mincho" w:hint="eastAsia"/>
          <w:bCs/>
          <w:spacing w:val="-6"/>
          <w:lang w:val="pt-BR" w:eastAsia="ja-JP"/>
        </w:rPr>
        <w:t xml:space="preserve"> </w:t>
      </w:r>
      <w:r w:rsidRPr="008C0890">
        <w:rPr>
          <w:rFonts w:eastAsia="MS Mincho"/>
          <w:bCs/>
          <w:spacing w:val="-6"/>
          <w:lang w:val="pt-BR" w:eastAsia="ja-JP"/>
        </w:rPr>
        <w:t>thảo</w:t>
      </w:r>
      <w:r w:rsidRPr="008C0890">
        <w:rPr>
          <w:rFonts w:eastAsia="MS Mincho" w:hint="eastAsia"/>
          <w:bCs/>
          <w:spacing w:val="-6"/>
          <w:lang w:val="pt-BR" w:eastAsia="ja-JP"/>
        </w:rPr>
        <w:t xml:space="preserve"> </w:t>
      </w:r>
      <w:r w:rsidRPr="008C0890">
        <w:rPr>
          <w:rFonts w:eastAsia="MS Mincho"/>
          <w:bCs/>
          <w:spacing w:val="-6"/>
          <w:lang w:val="pt-BR" w:eastAsia="ja-JP"/>
        </w:rPr>
        <w:t>bổ</w:t>
      </w:r>
      <w:r w:rsidRPr="008C0890">
        <w:rPr>
          <w:rFonts w:eastAsia="MS Mincho" w:hint="eastAsia"/>
          <w:bCs/>
          <w:spacing w:val="-6"/>
          <w:lang w:val="pt-BR" w:eastAsia="ja-JP"/>
        </w:rPr>
        <w:t xml:space="preserve"> sung quy đ</w:t>
      </w:r>
      <w:r w:rsidRPr="008C0890">
        <w:rPr>
          <w:rFonts w:eastAsia="MS Mincho"/>
          <w:bCs/>
          <w:spacing w:val="-6"/>
          <w:lang w:val="pt-BR" w:eastAsia="ja-JP"/>
        </w:rPr>
        <w:t>ịnh</w:t>
      </w:r>
      <w:r w:rsidRPr="008C0890">
        <w:rPr>
          <w:rFonts w:eastAsia="MS Mincho" w:hint="eastAsia"/>
          <w:bCs/>
          <w:spacing w:val="-6"/>
          <w:lang w:val="pt-BR" w:eastAsia="ja-JP"/>
        </w:rPr>
        <w:t xml:space="preserve"> báo cáo tài chính năm </w:t>
      </w:r>
      <w:r w:rsidRPr="008C0890">
        <w:rPr>
          <w:rFonts w:eastAsia="MS Mincho"/>
          <w:bCs/>
          <w:spacing w:val="-6"/>
          <w:lang w:val="pt-BR" w:eastAsia="ja-JP"/>
        </w:rPr>
        <w:t>của</w:t>
      </w:r>
      <w:r w:rsidRPr="008C0890">
        <w:rPr>
          <w:rFonts w:eastAsia="MS Mincho" w:hint="eastAsia"/>
          <w:bCs/>
          <w:spacing w:val="-6"/>
          <w:lang w:val="pt-BR" w:eastAsia="ja-JP"/>
        </w:rPr>
        <w:t xml:space="preserve"> </w:t>
      </w:r>
      <w:r w:rsidRPr="008C0890">
        <w:rPr>
          <w:rFonts w:eastAsia="MS Mincho"/>
          <w:bCs/>
          <w:spacing w:val="-6"/>
          <w:lang w:val="pt-BR" w:eastAsia="ja-JP"/>
        </w:rPr>
        <w:t>quỹ</w:t>
      </w:r>
      <w:r w:rsidRPr="008C0890">
        <w:rPr>
          <w:rFonts w:eastAsia="MS Mincho" w:hint="eastAsia"/>
          <w:bCs/>
          <w:spacing w:val="-6"/>
          <w:lang w:val="pt-BR" w:eastAsia="ja-JP"/>
        </w:rPr>
        <w:t xml:space="preserve"> </w:t>
      </w:r>
      <w:r w:rsidRPr="008C0890">
        <w:rPr>
          <w:rFonts w:eastAsia="MS Mincho"/>
          <w:bCs/>
          <w:spacing w:val="-6"/>
          <w:lang w:val="pt-BR" w:eastAsia="ja-JP"/>
        </w:rPr>
        <w:t>phải</w:t>
      </w:r>
      <w:r w:rsidRPr="008C0890">
        <w:rPr>
          <w:rFonts w:eastAsia="MS Mincho" w:hint="eastAsia"/>
          <w:bCs/>
          <w:spacing w:val="-6"/>
          <w:lang w:val="pt-BR" w:eastAsia="ja-JP"/>
        </w:rPr>
        <w:t xml:space="preserve"> đ</w:t>
      </w:r>
      <w:r w:rsidRPr="008C0890">
        <w:rPr>
          <w:rFonts w:eastAsia="MS Mincho" w:hint="cs"/>
          <w:bCs/>
          <w:spacing w:val="-6"/>
          <w:lang w:val="pt-BR" w:eastAsia="ja-JP"/>
        </w:rPr>
        <w:t>ư</w:t>
      </w:r>
      <w:r w:rsidRPr="008C0890">
        <w:rPr>
          <w:rFonts w:eastAsia="MS Mincho"/>
          <w:bCs/>
          <w:spacing w:val="-6"/>
          <w:lang w:val="pt-BR" w:eastAsia="ja-JP"/>
        </w:rPr>
        <w:t>ợc</w:t>
      </w:r>
      <w:r w:rsidRPr="008C0890">
        <w:rPr>
          <w:rFonts w:eastAsia="MS Mincho" w:hint="eastAsia"/>
          <w:bCs/>
          <w:spacing w:val="-6"/>
          <w:lang w:val="pt-BR" w:eastAsia="ja-JP"/>
        </w:rPr>
        <w:t xml:space="preserve"> </w:t>
      </w:r>
      <w:r w:rsidRPr="008C0890">
        <w:rPr>
          <w:rFonts w:eastAsia="MS Mincho"/>
          <w:bCs/>
          <w:spacing w:val="-6"/>
          <w:lang w:val="pt-BR" w:eastAsia="ja-JP"/>
        </w:rPr>
        <w:t>kiểm</w:t>
      </w:r>
      <w:r w:rsidRPr="008C0890">
        <w:rPr>
          <w:rFonts w:eastAsia="MS Mincho" w:hint="eastAsia"/>
          <w:bCs/>
          <w:spacing w:val="-6"/>
          <w:lang w:val="pt-BR" w:eastAsia="ja-JP"/>
        </w:rPr>
        <w:t xml:space="preserve"> toán </w:t>
      </w:r>
      <w:r w:rsidRPr="008C0890">
        <w:rPr>
          <w:rFonts w:eastAsia="MS Mincho"/>
          <w:bCs/>
          <w:spacing w:val="-6"/>
          <w:lang w:val="pt-BR" w:eastAsia="ja-JP"/>
        </w:rPr>
        <w:t>bởi</w:t>
      </w:r>
      <w:r w:rsidRPr="008C0890">
        <w:rPr>
          <w:rFonts w:eastAsia="MS Mincho" w:hint="eastAsia"/>
          <w:bCs/>
          <w:spacing w:val="-6"/>
          <w:lang w:val="pt-BR" w:eastAsia="ja-JP"/>
        </w:rPr>
        <w:t xml:space="preserve"> </w:t>
      </w:r>
      <w:r w:rsidRPr="008C0890">
        <w:rPr>
          <w:rFonts w:eastAsia="MS Mincho"/>
          <w:bCs/>
          <w:spacing w:val="-6"/>
          <w:lang w:val="pt-BR" w:eastAsia="ja-JP"/>
        </w:rPr>
        <w:t>tổ</w:t>
      </w:r>
      <w:r w:rsidRPr="008C0890">
        <w:rPr>
          <w:rFonts w:eastAsia="MS Mincho" w:hint="eastAsia"/>
          <w:bCs/>
          <w:spacing w:val="-6"/>
          <w:lang w:val="pt-BR" w:eastAsia="ja-JP"/>
        </w:rPr>
        <w:t xml:space="preserve"> </w:t>
      </w:r>
      <w:r w:rsidRPr="008C0890">
        <w:rPr>
          <w:rFonts w:eastAsia="MS Mincho"/>
          <w:bCs/>
          <w:spacing w:val="-6"/>
          <w:lang w:val="pt-BR" w:eastAsia="ja-JP"/>
        </w:rPr>
        <w:t>chức</w:t>
      </w:r>
      <w:r w:rsidRPr="008C0890">
        <w:rPr>
          <w:rFonts w:eastAsia="MS Mincho" w:hint="eastAsia"/>
          <w:bCs/>
          <w:spacing w:val="-6"/>
          <w:lang w:val="pt-BR" w:eastAsia="ja-JP"/>
        </w:rPr>
        <w:t xml:space="preserve"> đ</w:t>
      </w:r>
      <w:r w:rsidRPr="008C0890">
        <w:rPr>
          <w:rFonts w:eastAsia="MS Mincho" w:hint="cs"/>
          <w:bCs/>
          <w:spacing w:val="-6"/>
          <w:lang w:val="pt-BR" w:eastAsia="ja-JP"/>
        </w:rPr>
        <w:t>ư</w:t>
      </w:r>
      <w:r w:rsidRPr="008C0890">
        <w:rPr>
          <w:rFonts w:eastAsia="MS Mincho"/>
          <w:bCs/>
          <w:spacing w:val="-6"/>
          <w:lang w:val="pt-BR" w:eastAsia="ja-JP"/>
        </w:rPr>
        <w:t>ợc</w:t>
      </w:r>
      <w:r w:rsidRPr="008C0890">
        <w:rPr>
          <w:rFonts w:eastAsia="MS Mincho" w:hint="eastAsia"/>
          <w:bCs/>
          <w:spacing w:val="-6"/>
          <w:lang w:val="pt-BR" w:eastAsia="ja-JP"/>
        </w:rPr>
        <w:t xml:space="preserve"> </w:t>
      </w:r>
      <w:r w:rsidRPr="008C0890">
        <w:rPr>
          <w:rFonts w:eastAsia="MS Mincho"/>
          <w:bCs/>
          <w:spacing w:val="-6"/>
          <w:lang w:val="pt-BR" w:eastAsia="ja-JP"/>
        </w:rPr>
        <w:t>chấp</w:t>
      </w:r>
      <w:r w:rsidRPr="008C0890">
        <w:rPr>
          <w:rFonts w:eastAsia="MS Mincho" w:hint="eastAsia"/>
          <w:bCs/>
          <w:spacing w:val="-6"/>
          <w:lang w:val="pt-BR" w:eastAsia="ja-JP"/>
        </w:rPr>
        <w:t xml:space="preserve"> </w:t>
      </w:r>
      <w:r w:rsidRPr="008C0890">
        <w:rPr>
          <w:rFonts w:eastAsia="MS Mincho"/>
          <w:bCs/>
          <w:spacing w:val="-6"/>
          <w:lang w:val="pt-BR" w:eastAsia="ja-JP"/>
        </w:rPr>
        <w:t>thuận</w:t>
      </w:r>
      <w:r w:rsidRPr="008C0890">
        <w:rPr>
          <w:rFonts w:eastAsia="MS Mincho" w:hint="eastAsia"/>
          <w:bCs/>
          <w:spacing w:val="-6"/>
          <w:lang w:val="pt-BR" w:eastAsia="ja-JP"/>
        </w:rPr>
        <w:t xml:space="preserve"> </w:t>
      </w:r>
      <w:r w:rsidRPr="008C0890">
        <w:rPr>
          <w:rFonts w:eastAsia="MS Mincho"/>
          <w:bCs/>
          <w:spacing w:val="-6"/>
          <w:lang w:val="pt-BR" w:eastAsia="ja-JP"/>
        </w:rPr>
        <w:t>thực</w:t>
      </w:r>
      <w:r w:rsidRPr="008C0890">
        <w:rPr>
          <w:rFonts w:eastAsia="MS Mincho" w:hint="eastAsia"/>
          <w:bCs/>
          <w:spacing w:val="-6"/>
          <w:lang w:val="pt-BR" w:eastAsia="ja-JP"/>
        </w:rPr>
        <w:t xml:space="preserve"> </w:t>
      </w:r>
      <w:r w:rsidRPr="008C0890">
        <w:rPr>
          <w:rFonts w:eastAsia="MS Mincho"/>
          <w:bCs/>
          <w:spacing w:val="-6"/>
          <w:lang w:val="pt-BR" w:eastAsia="ja-JP"/>
        </w:rPr>
        <w:t>hiện</w:t>
      </w:r>
      <w:r w:rsidRPr="008C0890">
        <w:rPr>
          <w:rFonts w:eastAsia="MS Mincho" w:hint="eastAsia"/>
          <w:bCs/>
          <w:spacing w:val="-6"/>
          <w:lang w:val="pt-BR" w:eastAsia="ja-JP"/>
        </w:rPr>
        <w:t xml:space="preserve"> </w:t>
      </w:r>
      <w:r w:rsidRPr="008C0890">
        <w:rPr>
          <w:rFonts w:eastAsia="MS Mincho"/>
          <w:bCs/>
          <w:spacing w:val="-6"/>
          <w:lang w:val="pt-BR" w:eastAsia="ja-JP"/>
        </w:rPr>
        <w:t>kiểm</w:t>
      </w:r>
      <w:r w:rsidRPr="008C0890">
        <w:rPr>
          <w:rFonts w:eastAsia="MS Mincho" w:hint="eastAsia"/>
          <w:bCs/>
          <w:spacing w:val="-6"/>
          <w:lang w:val="pt-BR" w:eastAsia="ja-JP"/>
        </w:rPr>
        <w:t xml:space="preserve"> toán báo cáo tài chính </w:t>
      </w:r>
      <w:r w:rsidRPr="008C0890">
        <w:rPr>
          <w:rFonts w:eastAsia="MS Mincho"/>
          <w:bCs/>
          <w:spacing w:val="-6"/>
          <w:lang w:val="pt-BR" w:eastAsia="ja-JP"/>
        </w:rPr>
        <w:t>của</w:t>
      </w:r>
      <w:r w:rsidRPr="008C0890">
        <w:rPr>
          <w:rFonts w:eastAsia="MS Mincho" w:hint="eastAsia"/>
          <w:bCs/>
          <w:spacing w:val="-6"/>
          <w:lang w:val="pt-BR" w:eastAsia="ja-JP"/>
        </w:rPr>
        <w:t xml:space="preserve"> đ</w:t>
      </w:r>
      <w:r w:rsidRPr="008C0890">
        <w:rPr>
          <w:rFonts w:eastAsia="MS Mincho" w:hint="cs"/>
          <w:bCs/>
          <w:spacing w:val="-6"/>
          <w:lang w:val="pt-BR" w:eastAsia="ja-JP"/>
        </w:rPr>
        <w:t>ơ</w:t>
      </w:r>
      <w:r w:rsidRPr="008C0890">
        <w:rPr>
          <w:rFonts w:eastAsia="MS Mincho" w:hint="eastAsia"/>
          <w:bCs/>
          <w:spacing w:val="-6"/>
          <w:lang w:val="pt-BR" w:eastAsia="ja-JP"/>
        </w:rPr>
        <w:t xml:space="preserve">n </w:t>
      </w:r>
      <w:r w:rsidRPr="008C0890">
        <w:rPr>
          <w:rFonts w:eastAsia="MS Mincho"/>
          <w:bCs/>
          <w:spacing w:val="-6"/>
          <w:lang w:val="pt-BR" w:eastAsia="ja-JP"/>
        </w:rPr>
        <w:t>vị</w:t>
      </w:r>
      <w:r w:rsidRPr="008C0890">
        <w:rPr>
          <w:rFonts w:eastAsia="MS Mincho" w:hint="eastAsia"/>
          <w:bCs/>
          <w:spacing w:val="-6"/>
          <w:lang w:val="pt-BR" w:eastAsia="ja-JP"/>
        </w:rPr>
        <w:t xml:space="preserve"> có </w:t>
      </w:r>
      <w:r w:rsidRPr="008C0890">
        <w:rPr>
          <w:rFonts w:eastAsia="MS Mincho"/>
          <w:bCs/>
          <w:spacing w:val="-6"/>
          <w:lang w:val="pt-BR" w:eastAsia="ja-JP"/>
        </w:rPr>
        <w:t>lợi</w:t>
      </w:r>
      <w:r w:rsidRPr="008C0890">
        <w:rPr>
          <w:rFonts w:eastAsia="MS Mincho" w:hint="eastAsia"/>
          <w:bCs/>
          <w:spacing w:val="-6"/>
          <w:lang w:val="pt-BR" w:eastAsia="ja-JP"/>
        </w:rPr>
        <w:t xml:space="preserve"> ích công chúng đ</w:t>
      </w:r>
      <w:r w:rsidRPr="008C0890">
        <w:rPr>
          <w:rFonts w:eastAsia="MS Mincho"/>
          <w:bCs/>
          <w:spacing w:val="-6"/>
          <w:lang w:val="pt-BR" w:eastAsia="ja-JP"/>
        </w:rPr>
        <w:t>ể</w:t>
      </w:r>
      <w:r w:rsidRPr="008C0890">
        <w:rPr>
          <w:rFonts w:eastAsia="MS Mincho" w:hint="eastAsia"/>
          <w:bCs/>
          <w:spacing w:val="-6"/>
          <w:lang w:val="pt-BR" w:eastAsia="ja-JP"/>
        </w:rPr>
        <w:t xml:space="preserve"> nâng cao </w:t>
      </w:r>
      <w:r w:rsidRPr="008C0890">
        <w:rPr>
          <w:rFonts w:eastAsia="MS Mincho"/>
          <w:bCs/>
          <w:spacing w:val="-6"/>
          <w:lang w:val="pt-BR" w:eastAsia="ja-JP"/>
        </w:rPr>
        <w:t>chất</w:t>
      </w:r>
      <w:r w:rsidRPr="008C0890">
        <w:rPr>
          <w:rFonts w:eastAsia="MS Mincho" w:hint="eastAsia"/>
          <w:bCs/>
          <w:spacing w:val="-6"/>
          <w:lang w:val="pt-BR" w:eastAsia="ja-JP"/>
        </w:rPr>
        <w:t xml:space="preserve"> l</w:t>
      </w:r>
      <w:r w:rsidRPr="008C0890">
        <w:rPr>
          <w:rFonts w:eastAsia="MS Mincho" w:hint="cs"/>
          <w:bCs/>
          <w:spacing w:val="-6"/>
          <w:lang w:val="pt-BR" w:eastAsia="ja-JP"/>
        </w:rPr>
        <w:t>ư</w:t>
      </w:r>
      <w:r w:rsidRPr="008C0890">
        <w:rPr>
          <w:rFonts w:eastAsia="MS Mincho"/>
          <w:bCs/>
          <w:spacing w:val="-6"/>
          <w:lang w:val="pt-BR" w:eastAsia="ja-JP"/>
        </w:rPr>
        <w:t>ợng</w:t>
      </w:r>
      <w:r w:rsidRPr="008C0890">
        <w:rPr>
          <w:rFonts w:eastAsia="MS Mincho" w:hint="eastAsia"/>
          <w:bCs/>
          <w:spacing w:val="-6"/>
          <w:lang w:val="pt-BR" w:eastAsia="ja-JP"/>
        </w:rPr>
        <w:t xml:space="preserve"> </w:t>
      </w:r>
      <w:r w:rsidRPr="008C0890">
        <w:rPr>
          <w:rFonts w:eastAsia="MS Mincho"/>
          <w:bCs/>
          <w:spacing w:val="-6"/>
          <w:lang w:val="pt-BR" w:eastAsia="ja-JP"/>
        </w:rPr>
        <w:t>kiểm</w:t>
      </w:r>
      <w:r w:rsidRPr="008C0890">
        <w:rPr>
          <w:rFonts w:eastAsia="MS Mincho" w:hint="eastAsia"/>
          <w:bCs/>
          <w:spacing w:val="-6"/>
          <w:lang w:val="pt-BR" w:eastAsia="ja-JP"/>
        </w:rPr>
        <w:t xml:space="preserve"> toán</w:t>
      </w:r>
      <w:r w:rsidR="006E0A58">
        <w:rPr>
          <w:rFonts w:eastAsia="MS Mincho"/>
          <w:bCs/>
          <w:spacing w:val="-6"/>
          <w:lang w:val="pt-BR" w:eastAsia="ja-JP"/>
        </w:rPr>
        <w:t>.</w:t>
      </w:r>
    </w:p>
    <w:p w:rsidR="00463FCE" w:rsidRPr="00A34750" w:rsidRDefault="00FF7A53" w:rsidP="00F00682">
      <w:pPr>
        <w:widowControl w:val="0"/>
        <w:spacing w:before="100" w:after="100" w:line="330" w:lineRule="exact"/>
        <w:ind w:firstLine="720"/>
        <w:jc w:val="both"/>
        <w:rPr>
          <w:rFonts w:ascii="Times New Roman Bold" w:eastAsia="MS Mincho" w:hAnsi="Times New Roman Bold" w:hint="eastAsia"/>
          <w:b/>
          <w:i/>
          <w:iCs/>
          <w:spacing w:val="-6"/>
          <w:lang w:val="pt-BR" w:eastAsia="ja-JP"/>
        </w:rPr>
      </w:pPr>
      <w:r>
        <w:rPr>
          <w:rFonts w:ascii="Times New Roman Bold" w:eastAsia="MS Mincho" w:hAnsi="Times New Roman Bold"/>
          <w:b/>
          <w:i/>
          <w:iCs/>
          <w:spacing w:val="-6"/>
          <w:lang w:val="pt-BR" w:eastAsia="ja-JP"/>
        </w:rPr>
        <w:t xml:space="preserve">4.6. </w:t>
      </w:r>
      <w:r w:rsidR="00463FCE" w:rsidRPr="00A34750">
        <w:rPr>
          <w:rFonts w:ascii="Times New Roman Bold" w:eastAsia="MS Mincho" w:hAnsi="Times New Roman Bold"/>
          <w:b/>
          <w:i/>
          <w:iCs/>
          <w:spacing w:val="-6"/>
          <w:lang w:val="pt-BR" w:eastAsia="ja-JP"/>
        </w:rPr>
        <w:t>Về các trường hợp thu hồi Giấy chứng nhận đủ điều kiện kinh doanh</w:t>
      </w:r>
    </w:p>
    <w:p w:rsidR="00463FCE" w:rsidRDefault="00463FCE" w:rsidP="00180164">
      <w:pPr>
        <w:spacing w:before="120" w:after="120" w:line="360" w:lineRule="exact"/>
        <w:ind w:firstLine="720"/>
        <w:jc w:val="both"/>
      </w:pPr>
      <w:r>
        <w:rPr>
          <w:rFonts w:eastAsia="MS Mincho"/>
          <w:bCs/>
          <w:lang w:val="pt-BR" w:eastAsia="ja-JP"/>
        </w:rPr>
        <w:t xml:space="preserve">Nhằm nâng cao trách nhiệm của các doanh nghiệp quản lý quỹ bảo hiểm hưu trí bổ sung và tăng cường hiệu quả công tác quản lý, giám sát hoạt động của hệ thống quỹ bảo hiểm hưu trí bổ sung, dự thảo Nghị định hoàn thiện, bổ sung quy định về các trường hợp thu hồi Giấy chứng nhận đủ điều kiện kinh doanh, gồm: (i) </w:t>
      </w:r>
      <w:r w:rsidRPr="009A7304">
        <w:rPr>
          <w:lang w:val="vi-VN"/>
        </w:rPr>
        <w:t>Bị giải thể, phá sản hoặc tự chấm dứt kinh doanh dịch vụ quản lý quỹ hưu trí;</w:t>
      </w:r>
      <w:r>
        <w:t xml:space="preserve"> (ii) </w:t>
      </w:r>
      <w:r w:rsidRPr="009A7304">
        <w:rPr>
          <w:lang w:val="vi-VN"/>
        </w:rPr>
        <w:t>Bị thu hồi Giấy chứng nhận đăng ký doanh nghiệp, Giấy phép hoạt động trong lĩnh vực bảo hiểm hoặc quản lý quỹ đầu tư chứng k</w:t>
      </w:r>
      <w:r w:rsidRPr="009A7304">
        <w:rPr>
          <w:shd w:val="solid" w:color="FFFFFF" w:fill="auto"/>
          <w:lang w:val="vi-VN"/>
        </w:rPr>
        <w:t>hoán</w:t>
      </w:r>
      <w:r w:rsidRPr="009A7304">
        <w:t>;</w:t>
      </w:r>
      <w:r>
        <w:t xml:space="preserve"> (iii) </w:t>
      </w:r>
      <w:r w:rsidRPr="009A7304">
        <w:t>Hồ sơ đề nghị cấp Giấy chứng nhận đủ điều kiện kinh doanh có thông tin, hồ sơ gian lận để có đủ điều kiện được cấp Giấy chứng nhận đủ điều kiện kinh doanh;</w:t>
      </w:r>
      <w:r>
        <w:t xml:space="preserve"> (iv)</w:t>
      </w:r>
      <w:r w:rsidRPr="009A7304">
        <w:t xml:space="preserve"> </w:t>
      </w:r>
      <w:r w:rsidR="00512C5E">
        <w:t xml:space="preserve">Không hoạt động và thành lập quỹ bảo hiểm hưu trí bổ sung trong vòng 02 năm sau khi được cấp Giấy chứng nhận; (v) </w:t>
      </w:r>
      <w:r w:rsidR="00180164">
        <w:t xml:space="preserve">Kể từ ngày được cấp Giấy chứng nhận, doanh nghiệp bị xử phạt vi phạm hành chính từ 03 lần trở lên đối với hành vi vi phạm hành chính về kinh doanh bảo hiểm hoặc kinh doanh chứng khoán hoặc quản lý bảo hiểm hưu trí bổ sung; thời gian xem xét là trong vòng 02 năm liền trước tính từ ngày nhận được Quyết định xử phạt vi phạm gần nhất; (vi) </w:t>
      </w:r>
      <w:r w:rsidR="0044010A">
        <w:t>B</w:t>
      </w:r>
      <w:r w:rsidR="00180164">
        <w:t>ị đình chỉ hoạt động do không khắc phục được tình trạng kiểm soát hoặc kiểm soát đặc biệt theo quyết định của cơ quan nhà nước có thẩm quyền.</w:t>
      </w:r>
      <w:r w:rsidR="00FF7A53">
        <w:t xml:space="preserve"> </w:t>
      </w:r>
    </w:p>
    <w:p w:rsidR="003D38C1" w:rsidRPr="00443058" w:rsidRDefault="003D38C1" w:rsidP="00F00682">
      <w:pPr>
        <w:widowControl w:val="0"/>
        <w:spacing w:before="100" w:after="100" w:line="330" w:lineRule="exact"/>
        <w:ind w:firstLine="720"/>
        <w:jc w:val="both"/>
        <w:rPr>
          <w:rFonts w:eastAsia="MS Mincho"/>
          <w:b/>
          <w:lang w:val="pt-BR" w:eastAsia="ja-JP"/>
        </w:rPr>
      </w:pPr>
      <w:r w:rsidRPr="00443058">
        <w:rPr>
          <w:rFonts w:eastAsia="MS Mincho"/>
          <w:b/>
          <w:lang w:val="pt-BR" w:eastAsia="ja-JP"/>
        </w:rPr>
        <w:lastRenderedPageBreak/>
        <w:t>5. Các nội dung bổ sung</w:t>
      </w:r>
    </w:p>
    <w:p w:rsidR="0092570A" w:rsidRPr="000A104F" w:rsidRDefault="0092570A" w:rsidP="00F00682">
      <w:pPr>
        <w:widowControl w:val="0"/>
        <w:spacing w:before="100" w:after="100" w:line="330" w:lineRule="exact"/>
        <w:ind w:firstLine="720"/>
        <w:jc w:val="both"/>
        <w:rPr>
          <w:rFonts w:eastAsia="MS Mincho"/>
          <w:b/>
          <w:i/>
          <w:iCs/>
          <w:lang w:val="pt-BR" w:eastAsia="ja-JP"/>
        </w:rPr>
      </w:pPr>
      <w:r w:rsidRPr="000A104F">
        <w:rPr>
          <w:rFonts w:eastAsia="MS Mincho"/>
          <w:b/>
          <w:i/>
          <w:iCs/>
          <w:lang w:val="pt-BR" w:eastAsia="ja-JP"/>
        </w:rPr>
        <w:t>5.1. Về văn bản thỏa thuận giữa người lao động và người sử dụng lao động khi tham gia bảo hiểm hưu trí bổ sung</w:t>
      </w:r>
    </w:p>
    <w:p w:rsidR="0092570A" w:rsidRDefault="005031F2" w:rsidP="00F00682">
      <w:pPr>
        <w:widowControl w:val="0"/>
        <w:spacing w:before="100" w:after="100" w:line="330" w:lineRule="exact"/>
        <w:ind w:firstLine="720"/>
        <w:jc w:val="both"/>
        <w:rPr>
          <w:rFonts w:eastAsia="MS Mincho"/>
          <w:bCs/>
          <w:lang w:val="pt-BR" w:eastAsia="ja-JP"/>
        </w:rPr>
      </w:pPr>
      <w:r>
        <w:rPr>
          <w:rFonts w:eastAsia="MS Mincho"/>
          <w:bCs/>
          <w:lang w:val="pt-BR" w:eastAsia="ja-JP"/>
        </w:rPr>
        <w:t>Trên cơ sở kế thừa quy định của Thông tư số 19/2018/TT-BLĐTBXH, dự thảo Nghị định bổ sung Phụ lục quy định về nội dung cơ bản của văn bản thỏa thuận giữa người lao động và người sử dụng lao động khi tham gia bảo hiểm hưu trí bổ sung bao gồm các thông tin về: (i) chương trình bảo hiểm hưu trí bổ sung (nội dung cơ bản của chương trình, mức đóng, tần suất đóng góp của người tham gia (người lao động và người sử dụng lao động), các trường hợp tạm ngừng tham gia, các trường hợp ngừng tham gia; (ii) các nội dung người lao động ủy quyền cho người sử dụng lao động; (iii) việc thay đổi các nội dung tại văn bản thỏa thuận; (iv) quyền và nghĩa vụ của người lao động và người sử dụng lao động; (v) những nội dung thỏa thuận, cam kết khác; (vi) thời hạn của văn bản thỏa thuận.</w:t>
      </w:r>
    </w:p>
    <w:p w:rsidR="0044010A" w:rsidRDefault="0092570A" w:rsidP="00F00682">
      <w:pPr>
        <w:widowControl w:val="0"/>
        <w:spacing w:before="100" w:after="100" w:line="330" w:lineRule="exact"/>
        <w:ind w:firstLine="720"/>
        <w:jc w:val="both"/>
        <w:rPr>
          <w:rFonts w:eastAsia="MS Mincho"/>
          <w:b/>
          <w:i/>
          <w:iCs/>
          <w:lang w:val="pt-BR" w:eastAsia="ja-JP"/>
        </w:rPr>
      </w:pPr>
      <w:r w:rsidRPr="000A104F">
        <w:rPr>
          <w:rFonts w:eastAsia="MS Mincho"/>
          <w:b/>
          <w:i/>
          <w:iCs/>
          <w:lang w:val="pt-BR" w:eastAsia="ja-JP"/>
        </w:rPr>
        <w:t xml:space="preserve">5.2. Về </w:t>
      </w:r>
      <w:r w:rsidR="001904CD">
        <w:rPr>
          <w:rFonts w:eastAsia="MS Mincho"/>
          <w:b/>
          <w:i/>
          <w:iCs/>
          <w:lang w:val="pt-BR" w:eastAsia="ja-JP"/>
        </w:rPr>
        <w:t xml:space="preserve">quyền lợi của người tham gia </w:t>
      </w:r>
    </w:p>
    <w:p w:rsidR="0044010A" w:rsidRDefault="001904CD" w:rsidP="00F00682">
      <w:pPr>
        <w:widowControl w:val="0"/>
        <w:spacing w:before="100" w:after="100" w:line="330" w:lineRule="exact"/>
        <w:ind w:firstLine="720"/>
        <w:jc w:val="both"/>
        <w:rPr>
          <w:rFonts w:eastAsia="MS Mincho"/>
          <w:iCs/>
          <w:lang w:val="pt-BR" w:eastAsia="ja-JP"/>
        </w:rPr>
      </w:pPr>
      <w:r>
        <w:rPr>
          <w:rFonts w:eastAsia="MS Mincho"/>
          <w:iCs/>
          <w:lang w:val="pt-BR" w:eastAsia="ja-JP"/>
        </w:rPr>
        <w:t>Nhằm</w:t>
      </w:r>
      <w:r w:rsidR="009B1AC5">
        <w:rPr>
          <w:rFonts w:eastAsia="MS Mincho"/>
          <w:iCs/>
          <w:lang w:val="pt-BR" w:eastAsia="ja-JP"/>
        </w:rPr>
        <w:t xml:space="preserve"> bảo đảm quyền lợi được nhận</w:t>
      </w:r>
      <w:r>
        <w:rPr>
          <w:rFonts w:eastAsia="MS Mincho"/>
          <w:iCs/>
          <w:lang w:val="pt-BR" w:eastAsia="ja-JP"/>
        </w:rPr>
        <w:t xml:space="preserve"> chi trả từ quỹ hưu trí</w:t>
      </w:r>
      <w:r w:rsidR="003E5E09">
        <w:rPr>
          <w:rFonts w:eastAsia="MS Mincho"/>
          <w:iCs/>
          <w:lang w:val="pt-BR" w:eastAsia="ja-JP"/>
        </w:rPr>
        <w:t xml:space="preserve"> </w:t>
      </w:r>
      <w:r w:rsidR="009B1AC5">
        <w:rPr>
          <w:rFonts w:eastAsia="MS Mincho"/>
          <w:iCs/>
          <w:lang w:val="pt-BR" w:eastAsia="ja-JP"/>
        </w:rPr>
        <w:t>của người tham gia quỹ</w:t>
      </w:r>
      <w:r w:rsidR="003E5E09">
        <w:rPr>
          <w:rFonts w:eastAsia="MS Mincho"/>
          <w:iCs/>
          <w:lang w:val="pt-BR" w:eastAsia="ja-JP"/>
        </w:rPr>
        <w:t xml:space="preserve">, dự thảo Nghị định bổ sung quy định người lao động được quỹ hưu trí bổ sung </w:t>
      </w:r>
      <w:r w:rsidR="00517229" w:rsidRPr="00517229">
        <w:rPr>
          <w:rFonts w:eastAsia="MS Mincho"/>
          <w:iCs/>
          <w:lang w:val="pt-BR" w:eastAsia="ja-JP"/>
        </w:rPr>
        <w:t xml:space="preserve">chi trả mức tối thiểu khi đến tuổi nghỉ hưu thông qua hợp đồng bảo hiểm nhân thọ trả tiền định kỳ với tổng mức phí đóng bảo hiểm tối thiểu bằng </w:t>
      </w:r>
      <w:r w:rsidR="00C05C4F">
        <w:rPr>
          <w:rFonts w:eastAsia="MS Mincho"/>
          <w:iCs/>
          <w:lang w:val="pt-BR" w:eastAsia="ja-JP"/>
        </w:rPr>
        <w:t>5</w:t>
      </w:r>
      <w:r w:rsidR="0091001C">
        <w:rPr>
          <w:rFonts w:eastAsia="MS Mincho"/>
          <w:iCs/>
          <w:lang w:val="pt-BR" w:eastAsia="ja-JP"/>
        </w:rPr>
        <w:t xml:space="preserve">% </w:t>
      </w:r>
      <w:r w:rsidR="00517229" w:rsidRPr="00517229">
        <w:rPr>
          <w:rFonts w:eastAsia="MS Mincho"/>
          <w:iCs/>
          <w:lang w:val="pt-BR" w:eastAsia="ja-JP"/>
        </w:rPr>
        <w:t>số tiền đóng góp vào quỹ hưu trí.</w:t>
      </w:r>
      <w:r w:rsidR="00517229">
        <w:rPr>
          <w:rFonts w:eastAsia="MS Mincho"/>
          <w:iCs/>
          <w:lang w:val="pt-BR" w:eastAsia="ja-JP"/>
        </w:rPr>
        <w:t xml:space="preserve"> Theo đó, một phần tiền đóng vào quỹ hưu trí của người tham gia sẽ được sử dụng để mua hợp đồng bảo hiểm nhân thọ trả tiền định kỳ do doanh nghiệp bảo hiểm nhân thọ cung cấp theo pháp luật về kinh doanh bảo hiểm</w:t>
      </w:r>
      <w:r w:rsidR="00FF07DC">
        <w:rPr>
          <w:rFonts w:eastAsia="MS Mincho"/>
          <w:iCs/>
          <w:lang w:val="pt-BR" w:eastAsia="ja-JP"/>
        </w:rPr>
        <w:t>. Căn cứ thỏa thuận khi tham gia</w:t>
      </w:r>
      <w:r w:rsidR="009852A6">
        <w:rPr>
          <w:rFonts w:eastAsia="MS Mincho"/>
          <w:iCs/>
          <w:lang w:val="pt-BR" w:eastAsia="ja-JP"/>
        </w:rPr>
        <w:t xml:space="preserve"> chương trình bảo hiểm hưu trí bổ sung và hợp đồng bảo hiểm nhân thọ, người tham gia sẽ được hưởng chi trả định kỳ khi đến tuổi nghỉ hưu từ hợp đồng bảo hiểm nhân thọ</w:t>
      </w:r>
      <w:r w:rsidR="00A4029E">
        <w:rPr>
          <w:rFonts w:eastAsia="MS Mincho"/>
          <w:iCs/>
          <w:lang w:val="pt-BR" w:eastAsia="ja-JP"/>
        </w:rPr>
        <w:t xml:space="preserve"> và khoản chi trả từ quỹ hưu trí căn cứ giá trị tài khoản hưu trí cá nhân.</w:t>
      </w:r>
    </w:p>
    <w:p w:rsidR="00FF7A53" w:rsidRDefault="0044010A" w:rsidP="00F00682">
      <w:pPr>
        <w:widowControl w:val="0"/>
        <w:spacing w:before="100" w:after="100" w:line="330" w:lineRule="exact"/>
        <w:ind w:firstLine="720"/>
        <w:jc w:val="both"/>
        <w:rPr>
          <w:rFonts w:eastAsia="MS Mincho"/>
          <w:b/>
          <w:i/>
          <w:iCs/>
          <w:lang w:val="pt-BR" w:eastAsia="ja-JP"/>
        </w:rPr>
      </w:pPr>
      <w:r>
        <w:rPr>
          <w:rFonts w:eastAsia="MS Mincho"/>
          <w:b/>
          <w:i/>
          <w:iCs/>
          <w:lang w:val="pt-BR" w:eastAsia="ja-JP"/>
        </w:rPr>
        <w:t xml:space="preserve">5.3. </w:t>
      </w:r>
      <w:r w:rsidR="00FF7A53">
        <w:rPr>
          <w:rFonts w:eastAsia="MS Mincho"/>
          <w:b/>
          <w:i/>
          <w:iCs/>
          <w:lang w:val="pt-BR" w:eastAsia="ja-JP"/>
        </w:rPr>
        <w:t>Về tài sản đầu tư của quỹ hưu trí</w:t>
      </w:r>
    </w:p>
    <w:p w:rsidR="00FF7A53" w:rsidRDefault="00FF7A53" w:rsidP="00FF7A53">
      <w:pPr>
        <w:widowControl w:val="0"/>
        <w:spacing w:after="120" w:line="340" w:lineRule="exact"/>
        <w:ind w:firstLine="720"/>
        <w:jc w:val="both"/>
        <w:rPr>
          <w:rFonts w:eastAsia="MS Mincho"/>
          <w:bCs/>
          <w:lang w:val="pt-BR" w:eastAsia="ja-JP"/>
        </w:rPr>
      </w:pPr>
      <w:r>
        <w:rPr>
          <w:rFonts w:eastAsia="MS Mincho"/>
          <w:bCs/>
          <w:lang w:val="pt-BR" w:eastAsia="ja-JP"/>
        </w:rPr>
        <w:t xml:space="preserve">Song song với việc </w:t>
      </w:r>
      <w:r w:rsidR="006200C8">
        <w:rPr>
          <w:rFonts w:eastAsia="MS Mincho"/>
          <w:bCs/>
          <w:lang w:val="pt-BR" w:eastAsia="ja-JP"/>
        </w:rPr>
        <w:t>đa dạng hóa</w:t>
      </w:r>
      <w:r>
        <w:rPr>
          <w:rFonts w:eastAsia="MS Mincho"/>
          <w:bCs/>
          <w:lang w:val="pt-BR" w:eastAsia="ja-JP"/>
        </w:rPr>
        <w:t xml:space="preserve"> danh mục đầu tư </w:t>
      </w:r>
      <w:r w:rsidR="006200C8">
        <w:rPr>
          <w:rFonts w:eastAsia="MS Mincho"/>
          <w:bCs/>
          <w:lang w:val="pt-BR" w:eastAsia="ja-JP"/>
        </w:rPr>
        <w:t>(</w:t>
      </w:r>
      <w:r>
        <w:rPr>
          <w:rFonts w:eastAsia="MS Mincho"/>
          <w:bCs/>
          <w:lang w:val="pt-BR" w:eastAsia="ja-JP"/>
        </w:rPr>
        <w:t xml:space="preserve">bổ sung đầu tư vào chứng khoán niêm </w:t>
      </w:r>
      <w:r w:rsidR="006200C8">
        <w:rPr>
          <w:rFonts w:eastAsia="MS Mincho"/>
          <w:bCs/>
          <w:lang w:val="pt-BR" w:eastAsia="ja-JP"/>
        </w:rPr>
        <w:t>yết)</w:t>
      </w:r>
      <w:r>
        <w:rPr>
          <w:rFonts w:eastAsia="MS Mincho"/>
          <w:bCs/>
          <w:lang w:val="pt-BR" w:eastAsia="ja-JP"/>
        </w:rPr>
        <w:t xml:space="preserve">, </w:t>
      </w:r>
      <w:r w:rsidRPr="00FF7A53">
        <w:rPr>
          <w:rFonts w:eastAsia="MS Mincho"/>
          <w:bCs/>
          <w:lang w:val="pt-BR" w:eastAsia="ja-JP"/>
        </w:rPr>
        <w:t>để làm rõ tiêu chí lựa chọn tài sản đầu tư của quỹ, dự thảo Nghị định bổ sung Phụ lục về các tiêu chí cơ bản đối với từng nhóm tài sản đầu tư của quỹ hưu trí. Căn cứ các tiêu chí này, tùy thuộc vào mục tiêu đầu tư của quỹ hưu trí, doanh nghiệp quản lý quỹ xây dựng, ban hành tiêu chí lựa chọn tài sản cụ thể để thực hiện đầu tư theo đúng Điều lệ quỹ.</w:t>
      </w:r>
    </w:p>
    <w:p w:rsidR="003D38C1" w:rsidRPr="000A104F" w:rsidRDefault="00FF7A53" w:rsidP="00F00682">
      <w:pPr>
        <w:widowControl w:val="0"/>
        <w:spacing w:before="100" w:after="100" w:line="330" w:lineRule="exact"/>
        <w:ind w:firstLine="720"/>
        <w:jc w:val="both"/>
        <w:rPr>
          <w:rFonts w:eastAsia="MS Mincho"/>
          <w:b/>
          <w:i/>
          <w:iCs/>
          <w:lang w:val="pt-BR" w:eastAsia="ja-JP"/>
        </w:rPr>
      </w:pPr>
      <w:r>
        <w:rPr>
          <w:rFonts w:eastAsia="MS Mincho"/>
          <w:b/>
          <w:i/>
          <w:iCs/>
          <w:lang w:val="pt-BR" w:eastAsia="ja-JP"/>
        </w:rPr>
        <w:t xml:space="preserve">5.4. </w:t>
      </w:r>
      <w:r w:rsidR="0044010A">
        <w:rPr>
          <w:rFonts w:eastAsia="MS Mincho"/>
          <w:b/>
          <w:i/>
          <w:iCs/>
          <w:lang w:val="pt-BR" w:eastAsia="ja-JP"/>
        </w:rPr>
        <w:t xml:space="preserve">Về việc </w:t>
      </w:r>
      <w:r w:rsidR="0092570A" w:rsidRPr="000A104F">
        <w:rPr>
          <w:rFonts w:eastAsia="MS Mincho"/>
          <w:b/>
          <w:i/>
          <w:iCs/>
          <w:lang w:val="pt-BR" w:eastAsia="ja-JP"/>
        </w:rPr>
        <w:t>chi trả trước tuổi nghỉ hưu</w:t>
      </w:r>
    </w:p>
    <w:p w:rsidR="0092570A" w:rsidRDefault="0031777C" w:rsidP="00F00682">
      <w:pPr>
        <w:widowControl w:val="0"/>
        <w:spacing w:before="100" w:after="100" w:line="330" w:lineRule="exact"/>
        <w:ind w:firstLine="720"/>
        <w:jc w:val="both"/>
        <w:rPr>
          <w:rFonts w:eastAsia="MS Mincho"/>
          <w:bCs/>
          <w:lang w:val="pt-BR" w:eastAsia="ja-JP"/>
        </w:rPr>
      </w:pPr>
      <w:r>
        <w:rPr>
          <w:rFonts w:eastAsia="MS Mincho"/>
          <w:bCs/>
          <w:lang w:val="pt-BR" w:eastAsia="ja-JP"/>
        </w:rPr>
        <w:t xml:space="preserve">Nghị định số 88 và Thông tư số 19 quy định về việc được nhận chi trả trước tuổi nghỉ hưu theo thỏa thuận giữa người lao động và người sử dụng lao động. Tuy nhiên, thực tế </w:t>
      </w:r>
      <w:r w:rsidR="006200C8">
        <w:rPr>
          <w:rFonts w:eastAsia="MS Mincho"/>
          <w:bCs/>
          <w:lang w:val="pt-BR" w:eastAsia="ja-JP"/>
        </w:rPr>
        <w:t xml:space="preserve">triển khai </w:t>
      </w:r>
      <w:r>
        <w:rPr>
          <w:rFonts w:eastAsia="MS Mincho"/>
          <w:bCs/>
          <w:lang w:val="pt-BR" w:eastAsia="ja-JP"/>
        </w:rPr>
        <w:t xml:space="preserve">có nhiều trường hợp </w:t>
      </w:r>
      <w:r w:rsidR="006200C8">
        <w:rPr>
          <w:rFonts w:eastAsia="MS Mincho"/>
          <w:bCs/>
          <w:lang w:val="pt-BR" w:eastAsia="ja-JP"/>
        </w:rPr>
        <w:t>nhận</w:t>
      </w:r>
      <w:r>
        <w:rPr>
          <w:rFonts w:eastAsia="MS Mincho"/>
          <w:bCs/>
          <w:lang w:val="pt-BR" w:eastAsia="ja-JP"/>
        </w:rPr>
        <w:t xml:space="preserve"> chi trả trước tuổi nghỉ hưu, chưa </w:t>
      </w:r>
      <w:r w:rsidR="00FE23EB">
        <w:rPr>
          <w:rFonts w:eastAsia="MS Mincho"/>
          <w:bCs/>
          <w:lang w:val="pt-BR" w:eastAsia="ja-JP"/>
        </w:rPr>
        <w:t>khuyến khích việc</w:t>
      </w:r>
      <w:r w:rsidR="006200C8">
        <w:rPr>
          <w:rFonts w:eastAsia="MS Mincho"/>
          <w:bCs/>
          <w:lang w:val="pt-BR" w:eastAsia="ja-JP"/>
        </w:rPr>
        <w:t xml:space="preserve"> tích lũy</w:t>
      </w:r>
      <w:r w:rsidR="00FE23EB">
        <w:rPr>
          <w:rFonts w:eastAsia="MS Mincho"/>
          <w:bCs/>
          <w:lang w:val="pt-BR" w:eastAsia="ja-JP"/>
        </w:rPr>
        <w:t xml:space="preserve"> </w:t>
      </w:r>
      <w:r>
        <w:rPr>
          <w:rFonts w:eastAsia="MS Mincho"/>
          <w:bCs/>
          <w:lang w:val="pt-BR" w:eastAsia="ja-JP"/>
        </w:rPr>
        <w:t>bổ sung thu nhập cho người tham gia khi đến tuổi nghỉ hưu</w:t>
      </w:r>
      <w:r w:rsidR="00FE23EB">
        <w:rPr>
          <w:rFonts w:eastAsia="MS Mincho"/>
          <w:bCs/>
          <w:lang w:val="pt-BR" w:eastAsia="ja-JP"/>
        </w:rPr>
        <w:t xml:space="preserve"> như mục tiêu đặt ra</w:t>
      </w:r>
      <w:r w:rsidR="00F35A95">
        <w:rPr>
          <w:rFonts w:eastAsia="MS Mincho"/>
          <w:bCs/>
          <w:lang w:val="pt-BR" w:eastAsia="ja-JP"/>
        </w:rPr>
        <w:t xml:space="preserve">. Do đó, để </w:t>
      </w:r>
      <w:r w:rsidR="006200C8">
        <w:rPr>
          <w:rFonts w:eastAsia="MS Mincho"/>
          <w:bCs/>
          <w:lang w:val="pt-BR" w:eastAsia="ja-JP"/>
        </w:rPr>
        <w:t>đáp ứng</w:t>
      </w:r>
      <w:r w:rsidR="00F35A95">
        <w:rPr>
          <w:rFonts w:eastAsia="MS Mincho"/>
          <w:bCs/>
          <w:lang w:val="pt-BR" w:eastAsia="ja-JP"/>
        </w:rPr>
        <w:t xml:space="preserve"> nhu cầu của người tham gia</w:t>
      </w:r>
      <w:r w:rsidR="00FE23EB">
        <w:rPr>
          <w:rFonts w:eastAsia="MS Mincho"/>
          <w:bCs/>
          <w:lang w:val="pt-BR" w:eastAsia="ja-JP"/>
        </w:rPr>
        <w:t>, đồng thời</w:t>
      </w:r>
      <w:r w:rsidR="00F35A95">
        <w:rPr>
          <w:rFonts w:eastAsia="MS Mincho"/>
          <w:bCs/>
          <w:lang w:val="pt-BR" w:eastAsia="ja-JP"/>
        </w:rPr>
        <w:t xml:space="preserve"> khuyến khích </w:t>
      </w:r>
      <w:r w:rsidR="006200C8">
        <w:rPr>
          <w:rFonts w:eastAsia="MS Mincho"/>
          <w:bCs/>
          <w:lang w:val="pt-BR" w:eastAsia="ja-JP"/>
        </w:rPr>
        <w:t xml:space="preserve">người tham gia </w:t>
      </w:r>
      <w:r w:rsidR="00F35A95">
        <w:rPr>
          <w:rFonts w:eastAsia="MS Mincho"/>
          <w:bCs/>
          <w:lang w:val="pt-BR" w:eastAsia="ja-JP"/>
        </w:rPr>
        <w:t xml:space="preserve">duy trì tài khoản hưu trí đến </w:t>
      </w:r>
      <w:r w:rsidR="00F35A95">
        <w:rPr>
          <w:rFonts w:eastAsia="MS Mincho"/>
          <w:bCs/>
          <w:lang w:val="pt-BR" w:eastAsia="ja-JP"/>
        </w:rPr>
        <w:lastRenderedPageBreak/>
        <w:t xml:space="preserve">tuổi nghỉ hưu, dự thảo Nghị định bổ sung quy định về các trường hợp được nhận chi trả trước tuổi nghỉ hưu </w:t>
      </w:r>
      <w:r w:rsidR="00A3772E">
        <w:rPr>
          <w:rFonts w:eastAsia="MS Mincho"/>
          <w:bCs/>
          <w:lang w:val="pt-BR" w:eastAsia="ja-JP"/>
        </w:rPr>
        <w:t xml:space="preserve">do yếu tố khách quan, bất khả kháng, </w:t>
      </w:r>
      <w:r w:rsidR="00F35A95">
        <w:rPr>
          <w:rFonts w:eastAsia="MS Mincho"/>
          <w:bCs/>
          <w:lang w:val="pt-BR" w:eastAsia="ja-JP"/>
        </w:rPr>
        <w:t xml:space="preserve">tương tự các trường hợp được chi trả bảo hiểm xã hội một lần theo quy định của Luật BHXH năm 2024; ngoài các trường hợp này, </w:t>
      </w:r>
      <w:r w:rsidR="005C5809" w:rsidRPr="006B433B">
        <w:rPr>
          <w:bCs/>
          <w:lang w:val="pt-BR"/>
        </w:rPr>
        <w:t>quỹ hưu trí được thu phí chi trả đột xuất, tối đa bằng 5% giá trị nhận chi trả</w:t>
      </w:r>
      <w:r w:rsidR="006F25E3">
        <w:rPr>
          <w:bCs/>
          <w:lang w:val="pt-BR"/>
        </w:rPr>
        <w:t>, qua đó gia tăng giá trị tài sản của quỹ</w:t>
      </w:r>
      <w:r w:rsidR="00F35A95">
        <w:rPr>
          <w:rFonts w:eastAsia="MS Mincho"/>
          <w:bCs/>
          <w:lang w:val="pt-BR" w:eastAsia="ja-JP"/>
        </w:rPr>
        <w:t>.</w:t>
      </w:r>
    </w:p>
    <w:p w:rsidR="0092570A" w:rsidRPr="000A104F" w:rsidRDefault="0092570A" w:rsidP="00F00682">
      <w:pPr>
        <w:widowControl w:val="0"/>
        <w:spacing w:before="100" w:after="100" w:line="330" w:lineRule="exact"/>
        <w:ind w:firstLine="720"/>
        <w:jc w:val="both"/>
        <w:rPr>
          <w:rFonts w:eastAsia="MS Mincho"/>
          <w:b/>
          <w:i/>
          <w:iCs/>
          <w:lang w:val="pt-BR" w:eastAsia="ja-JP"/>
        </w:rPr>
      </w:pPr>
      <w:r w:rsidRPr="000A104F">
        <w:rPr>
          <w:rFonts w:eastAsia="MS Mincho"/>
          <w:b/>
          <w:i/>
          <w:iCs/>
          <w:lang w:val="pt-BR" w:eastAsia="ja-JP"/>
        </w:rPr>
        <w:t>5.</w:t>
      </w:r>
      <w:r w:rsidR="00FF7A53">
        <w:rPr>
          <w:rFonts w:eastAsia="MS Mincho"/>
          <w:b/>
          <w:i/>
          <w:iCs/>
          <w:lang w:val="pt-BR" w:eastAsia="ja-JP"/>
        </w:rPr>
        <w:t>5</w:t>
      </w:r>
      <w:r w:rsidRPr="000A104F">
        <w:rPr>
          <w:rFonts w:eastAsia="MS Mincho"/>
          <w:b/>
          <w:i/>
          <w:iCs/>
          <w:lang w:val="pt-BR" w:eastAsia="ja-JP"/>
        </w:rPr>
        <w:t xml:space="preserve">. Về chế độ báo cáo </w:t>
      </w:r>
    </w:p>
    <w:p w:rsidR="006B5F4F" w:rsidRDefault="00F21546" w:rsidP="00F00682">
      <w:pPr>
        <w:widowControl w:val="0"/>
        <w:spacing w:before="100" w:after="100" w:line="330" w:lineRule="exact"/>
        <w:ind w:firstLine="720"/>
        <w:jc w:val="both"/>
        <w:rPr>
          <w:rFonts w:eastAsia="MS Mincho"/>
          <w:bCs/>
          <w:lang w:val="pt-BR" w:eastAsia="ja-JP"/>
        </w:rPr>
      </w:pPr>
      <w:r>
        <w:rPr>
          <w:rFonts w:eastAsia="MS Mincho"/>
          <w:bCs/>
          <w:lang w:val="pt-BR" w:eastAsia="ja-JP"/>
        </w:rPr>
        <w:t xml:space="preserve">Nghị định số 88 đã quy định về cơ chế báo cáo </w:t>
      </w:r>
      <w:r w:rsidR="00B22E36">
        <w:rPr>
          <w:rFonts w:eastAsia="MS Mincho"/>
          <w:bCs/>
          <w:lang w:val="pt-BR" w:eastAsia="ja-JP"/>
        </w:rPr>
        <w:t>của doanh nghiệp quản lý quỹ và ngân hàng giám sát</w:t>
      </w:r>
      <w:r w:rsidR="00463FCE">
        <w:rPr>
          <w:rFonts w:eastAsia="MS Mincho"/>
          <w:bCs/>
          <w:lang w:val="pt-BR" w:eastAsia="ja-JP"/>
        </w:rPr>
        <w:t>; giao Bộ Tài chính hướng dẫn cụ thể. Nhằm hoàn thiện các quy định về trách nhiệm báo cáo về tình hình quản lý quỹ bảo hiểm hưu trí bổ sung, dự thảo Nghị định bổ sung quy định cụ thể về yêu cầu báo cáo định kỳ, báo cáo đột xuất của các doanh nghiệp quản lý quỹ, ngân hàng giám sát và các biểu mẫu báo cáo cụ thể</w:t>
      </w:r>
      <w:r w:rsidR="00FE23EB">
        <w:rPr>
          <w:rFonts w:eastAsia="MS Mincho"/>
          <w:bCs/>
          <w:lang w:val="pt-BR" w:eastAsia="ja-JP"/>
        </w:rPr>
        <w:t xml:space="preserve"> tại dự thảo Nghị định mà không giao Bộ Tài chính hướng dẫn tại Thông tư để có thể triển khai ngay sau khi Nghị định được ban hành</w:t>
      </w:r>
      <w:r w:rsidR="00A4029E">
        <w:rPr>
          <w:rFonts w:eastAsia="MS Mincho"/>
          <w:bCs/>
          <w:lang w:val="pt-BR" w:eastAsia="ja-JP"/>
        </w:rPr>
        <w:t>.</w:t>
      </w:r>
    </w:p>
    <w:p w:rsidR="006F543F" w:rsidRPr="00F0754C" w:rsidRDefault="008C0890" w:rsidP="00F00682">
      <w:pPr>
        <w:widowControl w:val="0"/>
        <w:spacing w:before="100" w:after="100" w:line="330" w:lineRule="exact"/>
        <w:ind w:firstLine="720"/>
        <w:jc w:val="both"/>
        <w:rPr>
          <w:rFonts w:eastAsia="MS Mincho"/>
          <w:b/>
          <w:bCs/>
          <w:i/>
          <w:lang w:val="pt-BR" w:eastAsia="ja-JP"/>
        </w:rPr>
      </w:pPr>
      <w:r w:rsidRPr="008C0890">
        <w:rPr>
          <w:rFonts w:eastAsia="MS Mincho"/>
          <w:b/>
          <w:bCs/>
          <w:i/>
          <w:lang w:val="pt-BR" w:eastAsia="ja-JP"/>
        </w:rPr>
        <w:t>5.</w:t>
      </w:r>
      <w:r w:rsidR="00FF7A53">
        <w:rPr>
          <w:rFonts w:eastAsia="MS Mincho"/>
          <w:b/>
          <w:bCs/>
          <w:i/>
          <w:lang w:val="pt-BR" w:eastAsia="ja-JP"/>
        </w:rPr>
        <w:t>6</w:t>
      </w:r>
      <w:r w:rsidRPr="008C0890">
        <w:rPr>
          <w:rFonts w:eastAsia="MS Mincho"/>
          <w:b/>
          <w:bCs/>
          <w:i/>
          <w:lang w:val="pt-BR" w:eastAsia="ja-JP"/>
        </w:rPr>
        <w:t xml:space="preserve">. Về yêu cầu công bố thông tin và tạm dừng thành lập quỹ khi </w:t>
      </w:r>
      <w:r w:rsidR="0091001C">
        <w:rPr>
          <w:rFonts w:eastAsia="MS Mincho"/>
          <w:b/>
          <w:bCs/>
          <w:i/>
          <w:lang w:val="pt-BR" w:eastAsia="ja-JP"/>
        </w:rPr>
        <w:t>c</w:t>
      </w:r>
      <w:r w:rsidRPr="008C0890">
        <w:rPr>
          <w:rFonts w:eastAsia="MS Mincho"/>
          <w:b/>
          <w:bCs/>
          <w:i/>
          <w:lang w:val="pt-BR" w:eastAsia="ja-JP"/>
        </w:rPr>
        <w:t>ó vi phạm</w:t>
      </w:r>
    </w:p>
    <w:p w:rsidR="0092570A" w:rsidRDefault="006F543F" w:rsidP="00F00682">
      <w:pPr>
        <w:widowControl w:val="0"/>
        <w:spacing w:before="100" w:after="100" w:line="330" w:lineRule="exact"/>
        <w:ind w:firstLine="720"/>
        <w:jc w:val="both"/>
        <w:rPr>
          <w:rFonts w:eastAsia="MS Mincho"/>
          <w:bCs/>
          <w:lang w:val="pt-BR" w:eastAsia="ja-JP"/>
        </w:rPr>
      </w:pPr>
      <w:r>
        <w:rPr>
          <w:rFonts w:eastAsia="MS Mincho"/>
          <w:bCs/>
          <w:lang w:val="pt-BR" w:eastAsia="ja-JP"/>
        </w:rPr>
        <w:t>Nhằm nâng cao trách nhiệm của các doanh nghiệp quản lý quỹ</w:t>
      </w:r>
      <w:r w:rsidR="006200C8">
        <w:rPr>
          <w:rFonts w:eastAsia="MS Mincho"/>
          <w:bCs/>
          <w:lang w:val="pt-BR" w:eastAsia="ja-JP"/>
        </w:rPr>
        <w:t xml:space="preserve"> bảo hiểm hưu trí bổ sung</w:t>
      </w:r>
      <w:r>
        <w:rPr>
          <w:rFonts w:eastAsia="MS Mincho"/>
          <w:bCs/>
          <w:lang w:val="pt-BR" w:eastAsia="ja-JP"/>
        </w:rPr>
        <w:t xml:space="preserve">, </w:t>
      </w:r>
      <w:r w:rsidR="006200C8">
        <w:rPr>
          <w:rFonts w:eastAsia="MS Mincho"/>
          <w:bCs/>
          <w:lang w:val="pt-BR" w:eastAsia="ja-JP"/>
        </w:rPr>
        <w:t xml:space="preserve">một </w:t>
      </w:r>
      <w:r>
        <w:rPr>
          <w:rFonts w:eastAsia="MS Mincho"/>
          <w:bCs/>
          <w:lang w:val="pt-BR" w:eastAsia="ja-JP"/>
        </w:rPr>
        <w:t>dịch vụ đòi hỏi nghĩa vụ dài hạn, tuân thủ pháp luậ</w:t>
      </w:r>
      <w:r w:rsidR="00625DB8">
        <w:rPr>
          <w:rFonts w:eastAsia="MS Mincho"/>
          <w:bCs/>
          <w:lang w:val="pt-BR" w:eastAsia="ja-JP"/>
        </w:rPr>
        <w:t xml:space="preserve">t do gắn với chính sách an sinh, dự thảo Nghị định bổ sung trách nhiệm của doanh nghiệp quản lý quỹ trong việc </w:t>
      </w:r>
      <w:r w:rsidR="00625DB8" w:rsidRPr="00625DB8">
        <w:rPr>
          <w:rFonts w:eastAsia="MS Mincho"/>
          <w:bCs/>
          <w:lang w:val="pt-BR" w:eastAsia="ja-JP"/>
        </w:rPr>
        <w:t>công bố thông tin về các vi phạm trong các lĩnh vực quản lý quỹ hưu trí, quản lý quỹ đầu tư chứng khoán, kinh doanh bảo hiểm theo quyết định của cơ quan nhà nước có thẩm quyền trên trang thông tin điện tử của doanh nghiệp trong vòng 10 ngày kể từ ngày nhận được quyết định xử phạt vi phạ</w:t>
      </w:r>
      <w:r w:rsidR="00625DB8">
        <w:rPr>
          <w:rFonts w:eastAsia="MS Mincho"/>
          <w:bCs/>
          <w:lang w:val="pt-BR" w:eastAsia="ja-JP"/>
        </w:rPr>
        <w:t xml:space="preserve">m hành chính; đồng thời </w:t>
      </w:r>
      <w:r w:rsidR="002171A0">
        <w:rPr>
          <w:rFonts w:eastAsia="MS Mincho"/>
          <w:bCs/>
          <w:lang w:val="pt-BR" w:eastAsia="ja-JP"/>
        </w:rPr>
        <w:t>phải t</w:t>
      </w:r>
      <w:r w:rsidR="002171A0" w:rsidRPr="002171A0">
        <w:rPr>
          <w:rFonts w:eastAsia="MS Mincho"/>
          <w:bCs/>
          <w:lang w:val="pt-BR" w:eastAsia="ja-JP"/>
        </w:rPr>
        <w:t>ạm dừng thành lập quỹ mới trong vòng 02 năm và thực hiện công bố thông tin khi có văn bản của cơ quan nhà nước có thẩm quyền đánh giá có vi phạm trong việc quản lý, triển khai quỹ hưu trí.</w:t>
      </w:r>
    </w:p>
    <w:p w:rsidR="003D38C1" w:rsidRPr="00443058" w:rsidRDefault="003D38C1" w:rsidP="00F00682">
      <w:pPr>
        <w:widowControl w:val="0"/>
        <w:spacing w:before="100" w:after="100" w:line="330" w:lineRule="exact"/>
        <w:ind w:firstLine="720"/>
        <w:jc w:val="both"/>
        <w:rPr>
          <w:rFonts w:eastAsia="MS Mincho"/>
          <w:b/>
          <w:lang w:val="pt-BR" w:eastAsia="ja-JP"/>
        </w:rPr>
      </w:pPr>
      <w:r w:rsidRPr="00443058">
        <w:rPr>
          <w:rFonts w:eastAsia="MS Mincho"/>
          <w:b/>
          <w:lang w:val="pt-BR" w:eastAsia="ja-JP"/>
        </w:rPr>
        <w:t>6. Các nội dung bãi bỏ</w:t>
      </w:r>
    </w:p>
    <w:p w:rsidR="00443058" w:rsidRPr="00F21546" w:rsidRDefault="0092570A" w:rsidP="00F00682">
      <w:pPr>
        <w:widowControl w:val="0"/>
        <w:spacing w:before="100" w:after="100" w:line="330" w:lineRule="exact"/>
        <w:ind w:firstLine="720"/>
        <w:jc w:val="both"/>
        <w:rPr>
          <w:rFonts w:eastAsia="MS Mincho"/>
          <w:b/>
          <w:i/>
          <w:iCs/>
          <w:lang w:val="pt-BR" w:eastAsia="ja-JP"/>
        </w:rPr>
      </w:pPr>
      <w:r w:rsidRPr="00F21546">
        <w:rPr>
          <w:rFonts w:eastAsia="MS Mincho"/>
          <w:b/>
          <w:i/>
          <w:iCs/>
          <w:lang w:val="pt-BR" w:eastAsia="ja-JP"/>
        </w:rPr>
        <w:t>6.1. Về phương thức tham gia trực tiếp</w:t>
      </w:r>
    </w:p>
    <w:p w:rsidR="009F34AC" w:rsidRDefault="009F34AC" w:rsidP="00F00682">
      <w:pPr>
        <w:spacing w:before="100" w:after="100" w:line="330" w:lineRule="exact"/>
        <w:ind w:firstLine="720"/>
        <w:jc w:val="both"/>
        <w:rPr>
          <w:rFonts w:eastAsia="MS Mincho"/>
          <w:bCs/>
          <w:lang w:val="pt-BR" w:eastAsia="ja-JP"/>
        </w:rPr>
      </w:pPr>
      <w:r>
        <w:rPr>
          <w:rFonts w:eastAsia="MS Mincho"/>
          <w:bCs/>
          <w:lang w:val="pt-BR" w:eastAsia="ja-JP"/>
        </w:rPr>
        <w:t>Căn cứ quy định tại Luật BHXH năm 2024</w:t>
      </w:r>
      <w:r w:rsidR="006200C8">
        <w:rPr>
          <w:rFonts w:eastAsia="MS Mincho"/>
          <w:bCs/>
          <w:lang w:val="pt-BR" w:eastAsia="ja-JP"/>
        </w:rPr>
        <w:t xml:space="preserve"> (khoản 5 Điều 3)</w:t>
      </w:r>
      <w:r>
        <w:rPr>
          <w:rFonts w:eastAsia="MS Mincho"/>
          <w:bCs/>
          <w:lang w:val="pt-BR" w:eastAsia="ja-JP"/>
        </w:rPr>
        <w:t xml:space="preserve"> về việc đóng góp vào quỹ bảo hiểm hưu trí bổ sung từ người sử dụng lao động hoặc từ người sử dụng lao động và người lao động. Dự thảo Nghị định bỏ quy định về phương thức tham gia trực tiếp. </w:t>
      </w:r>
    </w:p>
    <w:p w:rsidR="0092570A" w:rsidRPr="00F21546" w:rsidRDefault="0092570A" w:rsidP="00F00682">
      <w:pPr>
        <w:widowControl w:val="0"/>
        <w:spacing w:before="100" w:after="100" w:line="330" w:lineRule="exact"/>
        <w:ind w:firstLine="720"/>
        <w:jc w:val="both"/>
        <w:rPr>
          <w:rFonts w:eastAsia="MS Mincho"/>
          <w:b/>
          <w:i/>
          <w:iCs/>
          <w:lang w:val="pt-BR" w:eastAsia="ja-JP"/>
        </w:rPr>
      </w:pPr>
      <w:r w:rsidRPr="00F21546">
        <w:rPr>
          <w:rFonts w:eastAsia="MS Mincho"/>
          <w:b/>
          <w:i/>
          <w:iCs/>
          <w:lang w:val="pt-BR" w:eastAsia="ja-JP"/>
        </w:rPr>
        <w:t>6.2. Về một số điều kiện cấp Giấy chứng nhận đủ điều kiện kinh doanh</w:t>
      </w:r>
    </w:p>
    <w:p w:rsidR="0092570A" w:rsidRDefault="00313D66" w:rsidP="00F00682">
      <w:pPr>
        <w:widowControl w:val="0"/>
        <w:spacing w:before="100" w:after="100" w:line="330" w:lineRule="exact"/>
        <w:ind w:firstLine="720"/>
        <w:jc w:val="both"/>
        <w:rPr>
          <w:rFonts w:eastAsia="MS Mincho"/>
          <w:bCs/>
          <w:lang w:val="pt-BR" w:eastAsia="ja-JP"/>
        </w:rPr>
      </w:pPr>
      <w:r>
        <w:rPr>
          <w:rFonts w:eastAsia="MS Mincho"/>
          <w:bCs/>
          <w:lang w:val="pt-BR" w:eastAsia="ja-JP"/>
        </w:rPr>
        <w:t>Triển khai định hướng</w:t>
      </w:r>
      <w:r w:rsidR="00965752">
        <w:rPr>
          <w:rFonts w:eastAsia="MS Mincho"/>
          <w:bCs/>
          <w:lang w:val="pt-BR" w:eastAsia="ja-JP"/>
        </w:rPr>
        <w:t xml:space="preserve"> cắt giảm, đơn giản hóa điều kiện kinh doanh</w:t>
      </w:r>
      <w:r w:rsidR="00643A2C">
        <w:rPr>
          <w:rFonts w:eastAsia="MS Mincho"/>
          <w:bCs/>
          <w:lang w:val="pt-BR" w:eastAsia="ja-JP"/>
        </w:rPr>
        <w:t>, thủ tục h</w:t>
      </w:r>
      <w:r w:rsidR="00866441">
        <w:rPr>
          <w:rFonts w:eastAsia="MS Mincho"/>
          <w:bCs/>
          <w:lang w:val="pt-BR" w:eastAsia="ja-JP"/>
        </w:rPr>
        <w:t>ành</w:t>
      </w:r>
      <w:r w:rsidR="00643A2C">
        <w:rPr>
          <w:rFonts w:eastAsia="MS Mincho"/>
          <w:bCs/>
          <w:lang w:val="pt-BR" w:eastAsia="ja-JP"/>
        </w:rPr>
        <w:t xml:space="preserve"> chính, tạo môi trường đầu tư kinh doanh thông thoáng cho doanh nghiệp, và chuyển mạnh từ tiền kiểm sang hậu kiểm, gắn với tăng cường kiểm tra, giám sát</w:t>
      </w:r>
      <w:r w:rsidR="00965752">
        <w:rPr>
          <w:rFonts w:eastAsia="MS Mincho"/>
          <w:bCs/>
          <w:lang w:val="pt-BR" w:eastAsia="ja-JP"/>
        </w:rPr>
        <w:t xml:space="preserve"> theo Nghị quyết số 68-NQ/TW, dự thảo Nghị định quy định về điều kiện cấp Giấy chứng nhận đủ điều kiện kinh doanh dịch vụ quản lý quỹ bảo hiểm hưu trí bổ sung theo hướng: </w:t>
      </w:r>
    </w:p>
    <w:p w:rsidR="00965752" w:rsidRDefault="00965752" w:rsidP="00F00682">
      <w:pPr>
        <w:widowControl w:val="0"/>
        <w:spacing w:before="100" w:after="100" w:line="330" w:lineRule="exact"/>
        <w:ind w:firstLine="720"/>
        <w:jc w:val="both"/>
        <w:rPr>
          <w:rFonts w:eastAsia="MS Mincho"/>
          <w:bCs/>
          <w:lang w:val="pt-BR" w:eastAsia="ja-JP"/>
        </w:rPr>
      </w:pPr>
      <w:r>
        <w:rPr>
          <w:rFonts w:eastAsia="MS Mincho"/>
          <w:bCs/>
          <w:lang w:val="pt-BR" w:eastAsia="ja-JP"/>
        </w:rPr>
        <w:t xml:space="preserve">- Bỏ </w:t>
      </w:r>
      <w:r w:rsidR="009D58E2">
        <w:rPr>
          <w:rFonts w:eastAsia="MS Mincho"/>
          <w:bCs/>
          <w:lang w:val="pt-BR" w:eastAsia="ja-JP"/>
        </w:rPr>
        <w:t xml:space="preserve">các </w:t>
      </w:r>
      <w:r>
        <w:rPr>
          <w:rFonts w:eastAsia="MS Mincho"/>
          <w:bCs/>
          <w:lang w:val="pt-BR" w:eastAsia="ja-JP"/>
        </w:rPr>
        <w:t>điều kiện</w:t>
      </w:r>
      <w:r w:rsidR="009D58E2">
        <w:rPr>
          <w:rFonts w:eastAsia="MS Mincho"/>
          <w:bCs/>
          <w:lang w:val="pt-BR" w:eastAsia="ja-JP"/>
        </w:rPr>
        <w:t xml:space="preserve">: (i) doanh nghiệp đề nghị cấp Giấy chứng nhận không </w:t>
      </w:r>
      <w:r w:rsidR="009D58E2">
        <w:rPr>
          <w:rFonts w:eastAsia="MS Mincho"/>
          <w:bCs/>
          <w:lang w:val="pt-BR" w:eastAsia="ja-JP"/>
        </w:rPr>
        <w:lastRenderedPageBreak/>
        <w:t>phải là tổ chức nằm trong diện đang được tái cơ cấu hoặc bị kiểm soát, giám sát đặc biệt theo quyết định của cơ quan nhà nước có thẩm quyền; (ii) có quy trình quản trị rủi ro, hệ thống kiểm soát nội bộ</w:t>
      </w:r>
      <w:r w:rsidR="001B459C">
        <w:rPr>
          <w:rFonts w:eastAsia="MS Mincho"/>
          <w:bCs/>
          <w:lang w:val="pt-BR" w:eastAsia="ja-JP"/>
        </w:rPr>
        <w:t xml:space="preserve"> (đưa chung vào điều kiện về phương án </w:t>
      </w:r>
      <w:r w:rsidR="00866441">
        <w:rPr>
          <w:rFonts w:eastAsia="MS Mincho"/>
          <w:bCs/>
          <w:lang w:val="pt-BR" w:eastAsia="ja-JP"/>
        </w:rPr>
        <w:t>kinh doanh dịch vụ quản lý quỹ)</w:t>
      </w:r>
      <w:r w:rsidR="009D58E2">
        <w:rPr>
          <w:rFonts w:eastAsia="MS Mincho"/>
          <w:bCs/>
          <w:lang w:val="pt-BR" w:eastAsia="ja-JP"/>
        </w:rPr>
        <w:t>.</w:t>
      </w:r>
    </w:p>
    <w:p w:rsidR="009D58E2" w:rsidRDefault="009D58E2" w:rsidP="00F00682">
      <w:pPr>
        <w:widowControl w:val="0"/>
        <w:spacing w:before="100" w:after="100" w:line="330" w:lineRule="exact"/>
        <w:ind w:firstLine="720"/>
        <w:jc w:val="both"/>
        <w:rPr>
          <w:rFonts w:eastAsia="MS Mincho"/>
          <w:bCs/>
          <w:lang w:val="pt-BR" w:eastAsia="ja-JP"/>
        </w:rPr>
      </w:pPr>
      <w:r>
        <w:rPr>
          <w:rFonts w:eastAsia="MS Mincho"/>
          <w:bCs/>
          <w:lang w:val="pt-BR" w:eastAsia="ja-JP"/>
        </w:rPr>
        <w:t xml:space="preserve">- Đơn giản hóa các điều kiện: (i) có chiến lược hoạt động quản lý quỹ hưu trí trong 5 năm; (ii) chấp </w:t>
      </w:r>
      <w:r w:rsidRPr="009D58E2">
        <w:rPr>
          <w:rFonts w:eastAsia="MS Mincho"/>
          <w:bCs/>
          <w:lang w:val="pt-BR" w:eastAsia="ja-JP"/>
        </w:rPr>
        <w:t>thuận chứng chỉ hành nghề quản lý quỹ do Ủy ban Chứng khoán Nhà nước cấp hoặc là thành viên của Hiệp hội các nhà phân tích tài chính (CFA) hoặc các chứng chỉ chuyên môn tương đương khác ở nước ngoài.</w:t>
      </w:r>
    </w:p>
    <w:p w:rsidR="0092570A" w:rsidRPr="00F21546" w:rsidRDefault="0092570A" w:rsidP="00F00682">
      <w:pPr>
        <w:widowControl w:val="0"/>
        <w:spacing w:before="100" w:after="100" w:line="330" w:lineRule="exact"/>
        <w:ind w:firstLine="720"/>
        <w:jc w:val="both"/>
        <w:rPr>
          <w:rFonts w:eastAsia="MS Mincho"/>
          <w:b/>
          <w:i/>
          <w:iCs/>
          <w:lang w:val="pt-BR" w:eastAsia="ja-JP"/>
        </w:rPr>
      </w:pPr>
      <w:r w:rsidRPr="00F21546">
        <w:rPr>
          <w:rFonts w:eastAsia="MS Mincho"/>
          <w:b/>
          <w:i/>
          <w:iCs/>
          <w:lang w:val="pt-BR" w:eastAsia="ja-JP"/>
        </w:rPr>
        <w:t>6.</w:t>
      </w:r>
      <w:r w:rsidR="005C5809">
        <w:rPr>
          <w:rFonts w:eastAsia="MS Mincho"/>
          <w:b/>
          <w:i/>
          <w:iCs/>
          <w:lang w:val="pt-BR" w:eastAsia="ja-JP"/>
        </w:rPr>
        <w:t>3</w:t>
      </w:r>
      <w:r w:rsidRPr="00F21546">
        <w:rPr>
          <w:rFonts w:eastAsia="MS Mincho"/>
          <w:b/>
          <w:i/>
          <w:iCs/>
          <w:lang w:val="pt-BR" w:eastAsia="ja-JP"/>
        </w:rPr>
        <w:t>. Về một số thành phần hồ sơ đề nghị cấp Giấy chứng nhận đủ điều kiện kinh doanh</w:t>
      </w:r>
    </w:p>
    <w:p w:rsidR="0092570A" w:rsidRDefault="009D58E2" w:rsidP="00F00682">
      <w:pPr>
        <w:widowControl w:val="0"/>
        <w:spacing w:before="100" w:after="100" w:line="330" w:lineRule="exact"/>
        <w:ind w:firstLine="720"/>
        <w:jc w:val="both"/>
        <w:rPr>
          <w:rFonts w:eastAsia="MS Mincho"/>
          <w:bCs/>
          <w:lang w:val="pt-BR" w:eastAsia="ja-JP"/>
        </w:rPr>
      </w:pPr>
      <w:r>
        <w:rPr>
          <w:rFonts w:eastAsia="MS Mincho"/>
          <w:bCs/>
          <w:lang w:val="pt-BR" w:eastAsia="ja-JP"/>
        </w:rPr>
        <w:t>Tương ứng với việc cắt giảm và đơn giản hóa các điều kiện cấp Giấy chứng nhận đủ điều kiện kinh doanh dịch vụ quản lý quỹ bảo hiểm hưu trí bổ sung</w:t>
      </w:r>
      <w:r w:rsidR="00214519">
        <w:rPr>
          <w:rFonts w:eastAsia="MS Mincho"/>
          <w:bCs/>
          <w:lang w:val="pt-BR" w:eastAsia="ja-JP"/>
        </w:rPr>
        <w:t>, dự thảo Nghị định đã bãi bỏ một số thành phần hồ sơ đề nghị cấp Giấy chứng nhận</w:t>
      </w:r>
      <w:r w:rsidR="00230AB4">
        <w:rPr>
          <w:rFonts w:eastAsia="MS Mincho"/>
          <w:bCs/>
          <w:lang w:val="pt-BR" w:eastAsia="ja-JP"/>
        </w:rPr>
        <w:t xml:space="preserve">, cụ thể: (i) bản sao hợp đồng nguyên tắc với tổ chức lưu ký, ngân hàng giám sát; (ii) dự kiến doanh thu và chi phí trong 5 năm tiếp theo; (iii) </w:t>
      </w:r>
      <w:r w:rsidR="00F21546">
        <w:rPr>
          <w:rFonts w:eastAsia="MS Mincho"/>
          <w:bCs/>
          <w:lang w:val="pt-BR" w:eastAsia="ja-JP"/>
        </w:rPr>
        <w:t>quy trình quản trị rủi ro, hệ thống kiểm soát nội bộ.</w:t>
      </w:r>
    </w:p>
    <w:p w:rsidR="00443058" w:rsidRPr="00443058" w:rsidRDefault="00443058" w:rsidP="00F00682">
      <w:pPr>
        <w:widowControl w:val="0"/>
        <w:spacing w:before="100" w:after="100" w:line="330" w:lineRule="exact"/>
        <w:ind w:firstLine="720"/>
        <w:jc w:val="both"/>
        <w:rPr>
          <w:rFonts w:eastAsia="MS Mincho"/>
          <w:b/>
          <w:lang w:val="pt-BR" w:eastAsia="ja-JP"/>
        </w:rPr>
      </w:pPr>
      <w:r w:rsidRPr="00443058">
        <w:rPr>
          <w:rFonts w:eastAsia="MS Mincho"/>
          <w:b/>
          <w:lang w:val="pt-BR" w:eastAsia="ja-JP"/>
        </w:rPr>
        <w:t xml:space="preserve">7. Nội dung cắt giảm, đơn giản hóa thủ tục hành chính </w:t>
      </w:r>
    </w:p>
    <w:p w:rsidR="00443058" w:rsidRDefault="007970FD" w:rsidP="00F00682">
      <w:pPr>
        <w:widowControl w:val="0"/>
        <w:spacing w:before="100" w:after="100" w:line="330" w:lineRule="exact"/>
        <w:ind w:firstLine="720"/>
        <w:jc w:val="both"/>
        <w:rPr>
          <w:rFonts w:eastAsia="MS Mincho"/>
          <w:bCs/>
          <w:lang w:val="pt-BR" w:eastAsia="ja-JP"/>
        </w:rPr>
      </w:pPr>
      <w:r>
        <w:rPr>
          <w:rFonts w:eastAsia="MS Mincho"/>
          <w:bCs/>
          <w:lang w:val="pt-BR" w:eastAsia="ja-JP"/>
        </w:rPr>
        <w:t>Như nội dung nêu tại mục 6.3 và 6.4, dự thảo Nghị định đã bã</w:t>
      </w:r>
      <w:r w:rsidRPr="007970FD">
        <w:rPr>
          <w:rFonts w:eastAsia="MS Mincho"/>
          <w:bCs/>
          <w:lang w:val="pt-BR" w:eastAsia="ja-JP"/>
        </w:rPr>
        <w:t>i bỏ 02/08 điều kiện</w:t>
      </w:r>
      <w:r>
        <w:rPr>
          <w:rFonts w:eastAsia="MS Mincho"/>
          <w:bCs/>
          <w:lang w:val="pt-BR" w:eastAsia="ja-JP"/>
        </w:rPr>
        <w:t xml:space="preserve"> kinh doanh và đ</w:t>
      </w:r>
      <w:r w:rsidRPr="007970FD">
        <w:rPr>
          <w:rFonts w:eastAsia="MS Mincho"/>
          <w:bCs/>
          <w:lang w:val="pt-BR" w:eastAsia="ja-JP"/>
        </w:rPr>
        <w:t>ơn giản hóa 03/08 điều kiện</w:t>
      </w:r>
      <w:r>
        <w:rPr>
          <w:rFonts w:eastAsia="MS Mincho"/>
          <w:bCs/>
          <w:lang w:val="pt-BR" w:eastAsia="ja-JP"/>
        </w:rPr>
        <w:t xml:space="preserve"> kinh doanh so với Nghị định số 88. Theo đó, c</w:t>
      </w:r>
      <w:r w:rsidRPr="007970FD">
        <w:rPr>
          <w:rFonts w:eastAsia="MS Mincho"/>
          <w:bCs/>
          <w:lang w:val="pt-BR" w:eastAsia="ja-JP"/>
        </w:rPr>
        <w:t>ác điều kiện về hồ sơ đã có quy định yêu cầu công bố công khai trước khi triển khai chương trình hưu trí</w:t>
      </w:r>
      <w:r>
        <w:rPr>
          <w:rFonts w:eastAsia="MS Mincho"/>
          <w:bCs/>
          <w:lang w:val="pt-BR" w:eastAsia="ja-JP"/>
        </w:rPr>
        <w:t>, do đó việc cắt giảm, đơn giản hóa điều kiện kinh doanh không ảnh hưởng đến yêu cầu đối với doanh nghiệp. Đồng thời, đ</w:t>
      </w:r>
      <w:r w:rsidRPr="007970FD">
        <w:rPr>
          <w:rFonts w:eastAsia="MS Mincho"/>
          <w:bCs/>
          <w:lang w:val="pt-BR" w:eastAsia="ja-JP"/>
        </w:rPr>
        <w:t xml:space="preserve">ể đảm bảo chất lượng quản lý khi cắt giảm điều kiện kinh doanh, cơ quan quản lý thực hiện tăng cường việc giám sát hoạt động của công ty và </w:t>
      </w:r>
      <w:r w:rsidR="006616FA">
        <w:rPr>
          <w:rFonts w:eastAsia="MS Mincho"/>
          <w:bCs/>
          <w:lang w:val="pt-BR" w:eastAsia="ja-JP"/>
        </w:rPr>
        <w:t xml:space="preserve">công tác </w:t>
      </w:r>
      <w:r w:rsidRPr="007970FD">
        <w:rPr>
          <w:rFonts w:eastAsia="MS Mincho"/>
          <w:bCs/>
          <w:lang w:val="pt-BR" w:eastAsia="ja-JP"/>
        </w:rPr>
        <w:t>hậu kiểm theo đúng tinh thần chỉ đạo của Chính phủ.</w:t>
      </w:r>
    </w:p>
    <w:p w:rsidR="00443058" w:rsidRPr="00443058" w:rsidRDefault="00443058" w:rsidP="00F00682">
      <w:pPr>
        <w:widowControl w:val="0"/>
        <w:spacing w:before="100" w:after="100" w:line="330" w:lineRule="exact"/>
        <w:ind w:firstLine="720"/>
        <w:jc w:val="both"/>
        <w:rPr>
          <w:rFonts w:eastAsia="MS Mincho"/>
          <w:b/>
          <w:lang w:val="pt-BR" w:eastAsia="ja-JP"/>
        </w:rPr>
      </w:pPr>
      <w:r w:rsidRPr="00443058">
        <w:rPr>
          <w:rFonts w:eastAsia="MS Mincho"/>
          <w:b/>
          <w:lang w:val="pt-BR" w:eastAsia="ja-JP"/>
        </w:rPr>
        <w:t>8. Nội dung về phân cấp, phân quyền</w:t>
      </w:r>
    </w:p>
    <w:p w:rsidR="00443058" w:rsidRDefault="00E7499A" w:rsidP="00F00682">
      <w:pPr>
        <w:widowControl w:val="0"/>
        <w:spacing w:before="100" w:after="100" w:line="330" w:lineRule="exact"/>
        <w:ind w:firstLine="720"/>
        <w:jc w:val="both"/>
        <w:rPr>
          <w:rFonts w:eastAsia="MS Mincho"/>
          <w:bCs/>
          <w:lang w:val="pt-BR" w:eastAsia="ja-JP"/>
        </w:rPr>
      </w:pPr>
      <w:r>
        <w:rPr>
          <w:rFonts w:eastAsia="MS Mincho"/>
          <w:bCs/>
          <w:lang w:val="pt-BR" w:eastAsia="ja-JP"/>
        </w:rPr>
        <w:t xml:space="preserve">Việc cấp Giấy chứng nhận đủ điều kiện kinh doanh dịch vụ quản lý quỹ bảo hiểm hưu trí bổ sung do Bộ Tài chính chủ trì, phối hợp với Bộ Nội vụ thực hiện để phù hợp với thẩm quyền cấp phép cho hoạt động của doanh nghiệp kinh doanh bảo hiểm, công ty quản lý quỹ theo pháp luật chuyên ngành. Do đó, dự thảo Nghị định tiếp tục quy định thẩm quyền của Bộ Tài chính trong việc cấp Giấy chứng nhận đủ điều kiện kinh doanh dịch vụ quản lý quỹ bảo hiểm hưu trí bổ sung và thực hiện quản lý, giám sát, kiểm tra hoạt động </w:t>
      </w:r>
      <w:r w:rsidR="000D570C">
        <w:rPr>
          <w:rFonts w:eastAsia="MS Mincho"/>
          <w:bCs/>
          <w:lang w:val="pt-BR" w:eastAsia="ja-JP"/>
        </w:rPr>
        <w:t xml:space="preserve">đối với </w:t>
      </w:r>
      <w:r>
        <w:rPr>
          <w:rFonts w:eastAsia="MS Mincho"/>
          <w:bCs/>
          <w:lang w:val="pt-BR" w:eastAsia="ja-JP"/>
        </w:rPr>
        <w:t>các doanh nghiệp này.</w:t>
      </w:r>
    </w:p>
    <w:p w:rsidR="00F123E4" w:rsidRPr="00443058" w:rsidRDefault="00443058" w:rsidP="00F00682">
      <w:pPr>
        <w:widowControl w:val="0"/>
        <w:spacing w:before="100" w:after="100" w:line="330" w:lineRule="exact"/>
        <w:ind w:firstLine="720"/>
        <w:jc w:val="both"/>
        <w:rPr>
          <w:rFonts w:eastAsia="MS Mincho"/>
          <w:b/>
          <w:bCs/>
          <w:iCs/>
          <w:lang w:val="pt-BR" w:eastAsia="ja-JP"/>
        </w:rPr>
      </w:pPr>
      <w:r w:rsidRPr="00443058">
        <w:rPr>
          <w:rFonts w:eastAsia="MS Mincho"/>
          <w:b/>
          <w:bCs/>
          <w:iCs/>
          <w:lang w:val="pt-BR" w:eastAsia="ja-JP"/>
        </w:rPr>
        <w:t>9</w:t>
      </w:r>
      <w:r w:rsidR="009761EE" w:rsidRPr="00443058">
        <w:rPr>
          <w:rFonts w:eastAsia="MS Mincho"/>
          <w:b/>
          <w:bCs/>
          <w:iCs/>
          <w:lang w:val="pt-BR" w:eastAsia="ja-JP"/>
        </w:rPr>
        <w:t xml:space="preserve">. Về </w:t>
      </w:r>
      <w:r w:rsidRPr="00443058">
        <w:rPr>
          <w:rFonts w:eastAsia="MS Mincho"/>
          <w:b/>
          <w:bCs/>
          <w:iCs/>
          <w:lang w:val="pt-BR" w:eastAsia="ja-JP"/>
        </w:rPr>
        <w:t xml:space="preserve">hiệu lực thi hành và </w:t>
      </w:r>
      <w:r w:rsidR="009761EE" w:rsidRPr="00443058">
        <w:rPr>
          <w:rFonts w:eastAsia="MS Mincho"/>
          <w:b/>
          <w:bCs/>
          <w:iCs/>
          <w:lang w:val="pt-BR" w:eastAsia="ja-JP"/>
        </w:rPr>
        <w:t>điều khoản chuyển tiếp</w:t>
      </w:r>
    </w:p>
    <w:p w:rsidR="00662338" w:rsidRDefault="006921B2" w:rsidP="00F00682">
      <w:pPr>
        <w:widowControl w:val="0"/>
        <w:tabs>
          <w:tab w:val="left" w:pos="142"/>
        </w:tabs>
        <w:spacing w:before="100" w:after="100" w:line="330" w:lineRule="exact"/>
        <w:ind w:firstLine="720"/>
        <w:jc w:val="both"/>
        <w:outlineLvl w:val="0"/>
        <w:rPr>
          <w:lang w:val="pt-BR"/>
        </w:rPr>
      </w:pPr>
      <w:r>
        <w:rPr>
          <w:b/>
          <w:bCs/>
          <w:i/>
          <w:iCs/>
          <w:lang w:val="pt-BR"/>
        </w:rPr>
        <w:t>9.1.</w:t>
      </w:r>
      <w:r w:rsidR="005C68D1" w:rsidRPr="006921B2">
        <w:rPr>
          <w:b/>
          <w:bCs/>
          <w:i/>
          <w:iCs/>
          <w:lang w:val="pt-BR"/>
        </w:rPr>
        <w:t xml:space="preserve"> Về hiệu lực thi hành</w:t>
      </w:r>
      <w:r w:rsidR="00AB0851" w:rsidRPr="006921B2">
        <w:rPr>
          <w:b/>
          <w:bCs/>
          <w:i/>
          <w:iCs/>
          <w:lang w:val="pt-BR"/>
        </w:rPr>
        <w:t>:</w:t>
      </w:r>
      <w:r w:rsidR="005C68D1">
        <w:rPr>
          <w:lang w:val="pt-BR"/>
        </w:rPr>
        <w:t xml:space="preserve"> </w:t>
      </w:r>
      <w:r w:rsidR="00AB0851">
        <w:rPr>
          <w:bCs/>
        </w:rPr>
        <w:t>T</w:t>
      </w:r>
      <w:r w:rsidR="005C68D1">
        <w:rPr>
          <w:lang w:val="pt-BR"/>
        </w:rPr>
        <w:t>heo quy định của Luật Ban hành văn bản quy phạm pháp luật</w:t>
      </w:r>
      <w:r w:rsidR="00662338">
        <w:rPr>
          <w:lang w:val="pt-BR"/>
        </w:rPr>
        <w:t>, Bộ Tài chính tr</w:t>
      </w:r>
      <w:r w:rsidR="00AB0851">
        <w:rPr>
          <w:lang w:val="pt-BR"/>
        </w:rPr>
        <w:t>ình Chính phủ quy định về hiệu lực thi hành là 45 ngày sau ngày được ký ban hành.</w:t>
      </w:r>
    </w:p>
    <w:p w:rsidR="00662338" w:rsidRDefault="006921B2" w:rsidP="00F00682">
      <w:pPr>
        <w:widowControl w:val="0"/>
        <w:tabs>
          <w:tab w:val="left" w:pos="142"/>
        </w:tabs>
        <w:spacing w:before="100" w:after="100" w:line="330" w:lineRule="exact"/>
        <w:ind w:firstLine="720"/>
        <w:jc w:val="both"/>
        <w:outlineLvl w:val="0"/>
        <w:rPr>
          <w:iCs/>
          <w:lang w:val="nl-NL"/>
        </w:rPr>
      </w:pPr>
      <w:r w:rsidRPr="006921B2">
        <w:rPr>
          <w:b/>
          <w:bCs/>
          <w:i/>
          <w:lang w:val="nl-NL"/>
        </w:rPr>
        <w:t>9.2.</w:t>
      </w:r>
      <w:r w:rsidR="00AB0851" w:rsidRPr="006921B2">
        <w:rPr>
          <w:b/>
          <w:bCs/>
          <w:i/>
          <w:lang w:val="nl-NL"/>
        </w:rPr>
        <w:t xml:space="preserve"> Về điều khoản chuyển tiếp</w:t>
      </w:r>
      <w:r w:rsidR="00AB0851">
        <w:rPr>
          <w:iCs/>
          <w:lang w:val="nl-NL"/>
        </w:rPr>
        <w:t xml:space="preserve">: Đối với các chương trình hưu trí bổ sung </w:t>
      </w:r>
      <w:r w:rsidR="00AB0851">
        <w:rPr>
          <w:iCs/>
          <w:lang w:val="nl-NL"/>
        </w:rPr>
        <w:lastRenderedPageBreak/>
        <w:t xml:space="preserve">tự nguyện đang triển khai, từ năm 2024, Bộ Tài chính đã có công văn gửi các doanh nghiệp quản lý quỹ về việc tập trung quản lý các quỹ đang hoạt động, chưa mở rộng thêm các quỹ mới. Theo đó, khi triển khai các quy định mới tại Nghị định này, các doanh nghiệp quản lý quỹ sẽ cần </w:t>
      </w:r>
      <w:r w:rsidR="00115E8C">
        <w:rPr>
          <w:iCs/>
          <w:lang w:val="nl-NL"/>
        </w:rPr>
        <w:t xml:space="preserve">cập nhật các tài liệu về chương trình bảo hiểm hưu trí bổ sung theo quy định mới. Đồng thời, hoạt động đầu tư của các quỹ cần được rà soát, điều chỉnh về danh mục và cơ cấu đầu tư. Bộ Tài chính trình Chính phủ quy định (i) </w:t>
      </w:r>
      <w:r w:rsidR="000A104F">
        <w:rPr>
          <w:iCs/>
          <w:lang w:val="nl-NL"/>
        </w:rPr>
        <w:t>Giấy chứng nhận đủ điều kiện kinh doanh dịch vụ quản lý quỹ hưu trí bổ sung tự nguyện của các doanh nghiệp đã được cấp Giấy chứng nhận tiếp tục có hiệu lực; (ii) T</w:t>
      </w:r>
      <w:r w:rsidR="00115E8C">
        <w:rPr>
          <w:iCs/>
          <w:lang w:val="nl-NL"/>
        </w:rPr>
        <w:t>rong vòng 06 tháng kể từ khi Nghị định có hiệu lực thi hành, các doanh nghiệp đang quản lý quỹ hưu trí bổ sung tự nguyện</w:t>
      </w:r>
      <w:r w:rsidR="000A104F">
        <w:rPr>
          <w:iCs/>
          <w:lang w:val="nl-NL"/>
        </w:rPr>
        <w:t xml:space="preserve"> phải cập nhật các tài liệu về chương trình hưu trí bổ sung theo quy định tại Nghị định này</w:t>
      </w:r>
      <w:r w:rsidR="006200C8">
        <w:rPr>
          <w:iCs/>
          <w:lang w:val="nl-NL"/>
        </w:rPr>
        <w:t>, gửi cơ quan quản lý, người tham gia quỹ và công bố công khai</w:t>
      </w:r>
      <w:r w:rsidR="000A104F">
        <w:rPr>
          <w:iCs/>
          <w:lang w:val="nl-NL"/>
        </w:rPr>
        <w:t>; (iii) Trong vòng 12 tháng kể từ khi Nghị định có hiệu lực thi hành, các doanh nghiệp đang quản lý quỹ hưu trí bổ sung tự nguyện phải điều chỉnh hoạt động đầu tư của các quỹ theo đúng quy định của Nghị định này (về danh mục đầu tư và hạn mức đầu tư).</w:t>
      </w:r>
    </w:p>
    <w:p w:rsidR="00957514" w:rsidRDefault="00957514" w:rsidP="00F00682">
      <w:pPr>
        <w:widowControl w:val="0"/>
        <w:tabs>
          <w:tab w:val="left" w:pos="142"/>
        </w:tabs>
        <w:spacing w:before="100" w:after="100" w:line="330" w:lineRule="exact"/>
        <w:ind w:firstLine="720"/>
        <w:jc w:val="both"/>
        <w:outlineLvl w:val="0"/>
        <w:rPr>
          <w:iCs/>
          <w:lang w:val="nl-NL"/>
        </w:rPr>
      </w:pPr>
      <w:r>
        <w:rPr>
          <w:iCs/>
          <w:lang w:val="pt-BR"/>
        </w:rPr>
        <w:t>Đồng thời, c</w:t>
      </w:r>
      <w:r w:rsidRPr="009A7304">
        <w:rPr>
          <w:iCs/>
          <w:lang w:val="pt-BR"/>
        </w:rPr>
        <w:t xml:space="preserve">ác cá nhân đang tham gia trực tiếp quỹ hưu trí bổ sung tự nguyện </w:t>
      </w:r>
      <w:r w:rsidR="006200C8">
        <w:rPr>
          <w:iCs/>
          <w:lang w:val="pt-BR"/>
        </w:rPr>
        <w:t xml:space="preserve">do Luật BHXH năm 2024 thay đổi quy định sẽ </w:t>
      </w:r>
      <w:r w:rsidRPr="009A7304">
        <w:rPr>
          <w:iCs/>
          <w:lang w:val="pt-BR"/>
        </w:rPr>
        <w:t xml:space="preserve">được tiếp tục tham gia quỹ bảo hiểm hưu trí bổ sung hoặc nhận chi trả toàn bộ tài khoản hưu trí cá nhân. Việc chi trả cho các cá nhân theo quy định tại khoản này không bị áp dụng phí chi trả </w:t>
      </w:r>
      <w:r>
        <w:rPr>
          <w:iCs/>
          <w:lang w:val="pt-BR"/>
        </w:rPr>
        <w:t>đột xuất. Đối với người đang tham gia quỹ hưu trí bổ sung tiếp tục tham gia chương trình bảo hiểm hưu trí bổ sung được lựa chọn việc mua hợp đồng bảo hiểm nhân thọ trả tiền định kỳ khi điều chỉnh văn bản thỏa thuận với doanh nghiệp sử dụng lao động và hợp đồng tham gia bảo hiểm hưu trí bổ sung ký với doanh nghiệp quản lý quỹ trong quá trình chuyển đổi sang chương trình bảo hiểm hưu trí bổ sung.</w:t>
      </w:r>
    </w:p>
    <w:p w:rsidR="00B240CE" w:rsidRDefault="00661B35">
      <w:pPr>
        <w:widowControl w:val="0"/>
        <w:tabs>
          <w:tab w:val="left" w:pos="142"/>
        </w:tabs>
        <w:spacing w:before="100" w:after="100" w:line="360" w:lineRule="exact"/>
        <w:ind w:firstLine="720"/>
        <w:jc w:val="both"/>
        <w:outlineLvl w:val="0"/>
        <w:rPr>
          <w:lang w:val="pt-BR"/>
        </w:rPr>
      </w:pPr>
      <w:r w:rsidRPr="00335288">
        <w:rPr>
          <w:b/>
          <w:lang w:val="nl-NL"/>
        </w:rPr>
        <w:t xml:space="preserve">V. </w:t>
      </w:r>
      <w:r w:rsidR="00D24C26" w:rsidRPr="00335288">
        <w:rPr>
          <w:b/>
          <w:lang w:val="nl-NL"/>
        </w:rPr>
        <w:t>NGUỒN LỰC THI HÀNH</w:t>
      </w:r>
      <w:r w:rsidR="002A2FBC" w:rsidRPr="00335288">
        <w:rPr>
          <w:b/>
          <w:lang w:val="nl-NL"/>
        </w:rPr>
        <w:t xml:space="preserve"> VÀ VIỆC ĐẢM BẢO THI HÀNH</w:t>
      </w:r>
      <w:r w:rsidR="00D24C26" w:rsidRPr="00335288">
        <w:rPr>
          <w:b/>
          <w:lang w:val="nl-NL"/>
        </w:rPr>
        <w:t xml:space="preserve"> NGHỊ ĐỊNH</w:t>
      </w:r>
      <w:r w:rsidR="004077FB" w:rsidRPr="00335288">
        <w:rPr>
          <w:b/>
          <w:lang w:val="pt-BR"/>
        </w:rPr>
        <w:t xml:space="preserve"> </w:t>
      </w:r>
    </w:p>
    <w:p w:rsidR="00B240CE" w:rsidRDefault="00FD595E">
      <w:pPr>
        <w:widowControl w:val="0"/>
        <w:tabs>
          <w:tab w:val="left" w:pos="142"/>
        </w:tabs>
        <w:spacing w:before="100" w:after="100" w:line="360" w:lineRule="exact"/>
        <w:ind w:firstLine="720"/>
        <w:jc w:val="both"/>
        <w:outlineLvl w:val="0"/>
        <w:rPr>
          <w:b/>
          <w:lang w:val="pt-BR"/>
        </w:rPr>
      </w:pPr>
      <w:r w:rsidRPr="00335288">
        <w:rPr>
          <w:b/>
          <w:lang w:val="pt-BR"/>
        </w:rPr>
        <w:t>1. Nguồn lực thi hành</w:t>
      </w:r>
    </w:p>
    <w:p w:rsidR="00B240CE" w:rsidRDefault="006921B2">
      <w:pPr>
        <w:widowControl w:val="0"/>
        <w:tabs>
          <w:tab w:val="left" w:pos="142"/>
        </w:tabs>
        <w:spacing w:before="100" w:after="100" w:line="360" w:lineRule="exact"/>
        <w:ind w:firstLine="720"/>
        <w:jc w:val="both"/>
        <w:outlineLvl w:val="0"/>
        <w:rPr>
          <w:lang w:val="pt-BR"/>
        </w:rPr>
      </w:pPr>
      <w:r>
        <w:rPr>
          <w:lang w:val="pt-BR"/>
        </w:rPr>
        <w:t>Nghị định không phát sinh thêm nguồn lực thi hành so với Nghị định số 88. Đối với chi phí triển khai thủ tục hành chính (thủ tục cấp, điều chỉnh, cấp lại Giấy chứng nhận đủ điều kiện kinh doanh dịch vụ quản lý quỹ bảo hiểm hưu trí bổ sung), do dự thảo Nghị định đã cắt giảm, đơn giản hóa một số thành phần hồ sơ nên dự kiến kinh phí triển khai thủ tục hành chính sẽ giảm</w:t>
      </w:r>
      <w:r w:rsidR="00FE23EB">
        <w:rPr>
          <w:lang w:val="pt-BR"/>
        </w:rPr>
        <w:t xml:space="preserve"> so với Nghị định số 88</w:t>
      </w:r>
      <w:r>
        <w:rPr>
          <w:lang w:val="pt-BR"/>
        </w:rPr>
        <w:t>.</w:t>
      </w:r>
    </w:p>
    <w:p w:rsidR="00B240CE" w:rsidRDefault="002A2FBC">
      <w:pPr>
        <w:widowControl w:val="0"/>
        <w:tabs>
          <w:tab w:val="left" w:pos="142"/>
        </w:tabs>
        <w:spacing w:before="100" w:after="100" w:line="360" w:lineRule="exact"/>
        <w:ind w:firstLine="720"/>
        <w:jc w:val="both"/>
        <w:outlineLvl w:val="0"/>
        <w:rPr>
          <w:b/>
          <w:lang w:val="pt-BR"/>
        </w:rPr>
      </w:pPr>
      <w:r w:rsidRPr="00335288">
        <w:rPr>
          <w:b/>
          <w:lang w:val="pt-BR"/>
        </w:rPr>
        <w:t xml:space="preserve">2. </w:t>
      </w:r>
      <w:r w:rsidR="00DD59A0" w:rsidRPr="00335288">
        <w:rPr>
          <w:b/>
          <w:lang w:val="pt-BR"/>
        </w:rPr>
        <w:t>Việc đảm bảo thi hành Nghị định</w:t>
      </w:r>
    </w:p>
    <w:p w:rsidR="00B240CE" w:rsidRDefault="002A2FBC">
      <w:pPr>
        <w:widowControl w:val="0"/>
        <w:tabs>
          <w:tab w:val="left" w:pos="142"/>
        </w:tabs>
        <w:spacing w:before="100" w:after="100" w:line="360" w:lineRule="exact"/>
        <w:ind w:firstLine="720"/>
        <w:jc w:val="both"/>
        <w:outlineLvl w:val="0"/>
      </w:pPr>
      <w:r w:rsidRPr="00335288">
        <w:rPr>
          <w:lang w:val="pt-BR"/>
        </w:rPr>
        <w:t xml:space="preserve">- </w:t>
      </w:r>
      <w:r w:rsidR="006B225C" w:rsidRPr="00335288">
        <w:t xml:space="preserve">Tính tương thích với các điều ước quốc tế: </w:t>
      </w:r>
      <w:r w:rsidR="00595DC5" w:rsidRPr="00335288">
        <w:t xml:space="preserve">Các chính sách về bảo hiểm hưu trí bổ sung được xây dựng trên định hướng phát triển hệ thống bảo hiểm xã hội, hệ thống hưu trí đa tầng </w:t>
      </w:r>
      <w:r w:rsidR="003E79B1" w:rsidRPr="00335288">
        <w:t xml:space="preserve">đã được quán triệt tại Nghị quyết số 28 và cũng phù hợp với xu hướng chung của quốc tế. Theo đó, không có nội dung không tương </w:t>
      </w:r>
      <w:r w:rsidR="003E79B1" w:rsidRPr="00335288">
        <w:lastRenderedPageBreak/>
        <w:t xml:space="preserve">thích với các điều ước quốc tế mà Việt Nam </w:t>
      </w:r>
      <w:r w:rsidR="004D64FB" w:rsidRPr="00335288">
        <w:t>tham gia.</w:t>
      </w:r>
    </w:p>
    <w:p w:rsidR="00B240CE" w:rsidRDefault="002A2FBC">
      <w:pPr>
        <w:widowControl w:val="0"/>
        <w:spacing w:before="100" w:after="100" w:line="360" w:lineRule="exact"/>
        <w:ind w:firstLine="720"/>
        <w:jc w:val="both"/>
        <w:outlineLvl w:val="0"/>
        <w:rPr>
          <w:b/>
          <w:lang w:val="pt-BR"/>
        </w:rPr>
      </w:pPr>
      <w:r w:rsidRPr="00335288">
        <w:t xml:space="preserve">- </w:t>
      </w:r>
      <w:r w:rsidR="00F76F22" w:rsidRPr="00335288">
        <w:t>R</w:t>
      </w:r>
      <w:r w:rsidR="008B34FE" w:rsidRPr="00335288">
        <w:rPr>
          <w:lang w:val="pt-BR"/>
        </w:rPr>
        <w:t>à soát thủ tục hành chính và vấn đề bình đẳng giới:</w:t>
      </w:r>
      <w:r w:rsidR="00660D74" w:rsidRPr="00335288">
        <w:rPr>
          <w:lang w:val="pt-BR"/>
        </w:rPr>
        <w:t xml:space="preserve"> </w:t>
      </w:r>
      <w:r w:rsidR="004D64FB" w:rsidRPr="00335288">
        <w:rPr>
          <w:lang w:val="pt-BR"/>
        </w:rPr>
        <w:t xml:space="preserve">Quy định tại </w:t>
      </w:r>
      <w:r w:rsidR="00284A43" w:rsidRPr="00335288">
        <w:rPr>
          <w:lang w:val="pt-BR"/>
        </w:rPr>
        <w:t xml:space="preserve">dự thảo Nghị định </w:t>
      </w:r>
      <w:r w:rsidR="003A5438" w:rsidRPr="00335288">
        <w:rPr>
          <w:lang w:val="pt-BR"/>
        </w:rPr>
        <w:t>không có quy định làm phát sinh thủ tục hành chính và không có quy định phải thực hiện lồng ghép vấn đề bình đẳng giới, không có quy định tạo ra sự phân biệt về giới.</w:t>
      </w:r>
    </w:p>
    <w:p w:rsidR="00B240CE" w:rsidRDefault="00ED1FB1">
      <w:pPr>
        <w:widowControl w:val="0"/>
        <w:tabs>
          <w:tab w:val="left" w:pos="142"/>
        </w:tabs>
        <w:spacing w:before="100" w:after="100" w:line="360" w:lineRule="exact"/>
        <w:ind w:firstLine="720"/>
        <w:jc w:val="both"/>
        <w:outlineLvl w:val="0"/>
        <w:rPr>
          <w:b/>
          <w:lang w:val="pt-BR"/>
        </w:rPr>
      </w:pPr>
      <w:r w:rsidRPr="00335288">
        <w:rPr>
          <w:b/>
          <w:lang w:val="pt-BR"/>
        </w:rPr>
        <w:t>V</w:t>
      </w:r>
      <w:r w:rsidR="00660D74" w:rsidRPr="00335288">
        <w:rPr>
          <w:b/>
          <w:lang w:val="pt-BR"/>
        </w:rPr>
        <w:t>I</w:t>
      </w:r>
      <w:r w:rsidRPr="00335288">
        <w:rPr>
          <w:b/>
          <w:lang w:val="pt-BR"/>
        </w:rPr>
        <w:t>.</w:t>
      </w:r>
      <w:r w:rsidR="00A13271">
        <w:rPr>
          <w:b/>
          <w:lang w:val="pt-BR"/>
        </w:rPr>
        <w:t xml:space="preserve"> NỘI DUNG XIN Ý KIẾN</w:t>
      </w:r>
    </w:p>
    <w:p w:rsidR="00B240CE" w:rsidRDefault="006742F5">
      <w:pPr>
        <w:widowControl w:val="0"/>
        <w:tabs>
          <w:tab w:val="left" w:pos="142"/>
        </w:tabs>
        <w:spacing w:before="100" w:after="100" w:line="360" w:lineRule="exact"/>
        <w:ind w:firstLine="720"/>
        <w:jc w:val="both"/>
        <w:outlineLvl w:val="0"/>
        <w:rPr>
          <w:lang w:val="pt-BR"/>
        </w:rPr>
      </w:pPr>
      <w:r>
        <w:rPr>
          <w:lang w:val="pt-BR"/>
        </w:rPr>
        <w:t xml:space="preserve">- </w:t>
      </w:r>
      <w:r w:rsidR="00CE663F">
        <w:rPr>
          <w:lang w:val="pt-BR"/>
        </w:rPr>
        <w:t>Tại Phụ lục IV ban hành kèm theo Luật Đầu tư năm 2020 (số thứ thự 37), “</w:t>
      </w:r>
      <w:r w:rsidR="00CE663F" w:rsidRPr="008972F0">
        <w:rPr>
          <w:i/>
          <w:lang w:val="pt-BR"/>
        </w:rPr>
        <w:t>kinh doanh dịch vụ quản lý quỹ hưu trí tự nguyện</w:t>
      </w:r>
      <w:r w:rsidR="00CE663F">
        <w:rPr>
          <w:lang w:val="pt-BR"/>
        </w:rPr>
        <w:t>” là ngành, nghề đầu tư kinh doanh có điều kiện</w:t>
      </w:r>
      <w:r w:rsidR="0006754B">
        <w:rPr>
          <w:lang w:val="pt-BR"/>
        </w:rPr>
        <w:t>.</w:t>
      </w:r>
    </w:p>
    <w:p w:rsidR="00B240CE" w:rsidRDefault="008C0890">
      <w:pPr>
        <w:widowControl w:val="0"/>
        <w:tabs>
          <w:tab w:val="left" w:pos="142"/>
        </w:tabs>
        <w:spacing w:before="100" w:after="100" w:line="360" w:lineRule="exact"/>
        <w:ind w:firstLine="720"/>
        <w:jc w:val="both"/>
        <w:outlineLvl w:val="0"/>
        <w:rPr>
          <w:lang w:val="pt-BR"/>
        </w:rPr>
      </w:pPr>
      <w:r w:rsidRPr="008C0890">
        <w:rPr>
          <w:lang w:val="pt-BR"/>
        </w:rPr>
        <w:t>-</w:t>
      </w:r>
      <w:r w:rsidR="00954D8E">
        <w:rPr>
          <w:b/>
          <w:lang w:val="pt-BR"/>
        </w:rPr>
        <w:t xml:space="preserve"> </w:t>
      </w:r>
      <w:r w:rsidR="0006754B">
        <w:rPr>
          <w:lang w:val="pt-BR"/>
        </w:rPr>
        <w:t>Theo quy định tại Luật BHXH năm 2024, việc triển khai quỹ hưu trí tự nguyện hiện nay được triển khai theo quy định về bảo hiểm hưu trí bổ sung với cơ chế hình thành các quỹ bảo hiểm hưu trí bổ sung với sự tham gia của người lao động và người sử dụng lao động.</w:t>
      </w:r>
    </w:p>
    <w:p w:rsidR="00B240CE" w:rsidRDefault="008C0890">
      <w:pPr>
        <w:widowControl w:val="0"/>
        <w:tabs>
          <w:tab w:val="left" w:pos="142"/>
        </w:tabs>
        <w:spacing w:before="100" w:after="100" w:line="360" w:lineRule="exact"/>
        <w:ind w:firstLine="720"/>
        <w:jc w:val="both"/>
        <w:outlineLvl w:val="0"/>
        <w:rPr>
          <w:lang w:val="pt-BR"/>
        </w:rPr>
      </w:pPr>
      <w:r w:rsidRPr="008C0890">
        <w:rPr>
          <w:lang w:val="pt-BR"/>
        </w:rPr>
        <w:t xml:space="preserve">- </w:t>
      </w:r>
      <w:r w:rsidR="00275E4C">
        <w:rPr>
          <w:lang w:val="pt-BR"/>
        </w:rPr>
        <w:t>Theo quy định tại Đ</w:t>
      </w:r>
      <w:r w:rsidR="004C4D64">
        <w:rPr>
          <w:lang w:val="pt-BR"/>
        </w:rPr>
        <w:t>i</w:t>
      </w:r>
      <w:r w:rsidR="00275E4C">
        <w:rPr>
          <w:lang w:val="pt-BR"/>
        </w:rPr>
        <w:t xml:space="preserve">ều 8 Luật Đầu tư và Điều 13 Nghị định số 31/2021/NĐ-CP ngày 26/3/2021 của Chính phủ </w:t>
      </w:r>
      <w:r w:rsidR="00275E4C" w:rsidRPr="00275E4C">
        <w:rPr>
          <w:lang w:val="pt-BR"/>
        </w:rPr>
        <w:t>quy định chi tiết và hướng dẫn thi h</w:t>
      </w:r>
      <w:r w:rsidR="00EF1E77">
        <w:rPr>
          <w:lang w:val="pt-BR"/>
        </w:rPr>
        <w:t xml:space="preserve">ành một số điều của Luật Đầu tư, Bộ Tài chính trình Chính phủ phê duyệt việc điều chỉnh tên ngành, nghề kinh doanh có điều kiện đối với </w:t>
      </w:r>
      <w:r w:rsidR="00710E77">
        <w:rPr>
          <w:lang w:val="pt-BR"/>
        </w:rPr>
        <w:t>“kinh doanh dịch vụ quản lý quỹ hưu trí tự nguyện” thành “kinh doanh dịch vụ quản lý quỹ bảo hiểm hưu trí bổ sung” để phù hợp với quy định tại Luật BHXH năm 2024, đồng thời tạo điều kiện thuận lợi cho các doanh nghiệp quản lý quỹ, người sử dụng lao động, người lao động tham gia quỹ được hưởng các chính sách ưu đãi của Nhà nước theo quy định của các pháp luật có liên quan.</w:t>
      </w:r>
    </w:p>
    <w:p w:rsidR="00B240CE" w:rsidRDefault="00AC3767">
      <w:pPr>
        <w:widowControl w:val="0"/>
        <w:tabs>
          <w:tab w:val="left" w:pos="142"/>
        </w:tabs>
        <w:spacing w:before="100" w:after="100" w:line="360" w:lineRule="exact"/>
        <w:ind w:firstLine="720"/>
        <w:jc w:val="both"/>
        <w:outlineLvl w:val="0"/>
        <w:rPr>
          <w:lang w:val="pt-BR"/>
        </w:rPr>
      </w:pPr>
      <w:r>
        <w:rPr>
          <w:lang w:val="pt-BR"/>
        </w:rPr>
        <w:t>Trong thời gia</w:t>
      </w:r>
      <w:r w:rsidR="004C4D64">
        <w:rPr>
          <w:lang w:val="pt-BR"/>
        </w:rPr>
        <w:t>n</w:t>
      </w:r>
      <w:r>
        <w:rPr>
          <w:lang w:val="pt-BR"/>
        </w:rPr>
        <w:t xml:space="preserve"> vừa qua, khi xây dựng và trình Chính phủ</w:t>
      </w:r>
      <w:r w:rsidR="003E3C4A">
        <w:rPr>
          <w:lang w:val="pt-BR"/>
        </w:rPr>
        <w:t xml:space="preserve"> để báo cáo Quốc hội dự án</w:t>
      </w:r>
      <w:r>
        <w:rPr>
          <w:lang w:val="pt-BR"/>
        </w:rPr>
        <w:t xml:space="preserve"> Luật Đầu tư sửa đổi, Luật Thuế thu nhập doanh nghiệp sửa đổi, Luật Thuế thu nhập cá nhân sửa đổi, Bộ Tài chính đã kiến nghị việc điều chỉnh và áp dụng tên gọi thống nhất là </w:t>
      </w:r>
      <w:r w:rsidR="00EB5017">
        <w:rPr>
          <w:lang w:val="pt-BR"/>
        </w:rPr>
        <w:t>“</w:t>
      </w:r>
      <w:r w:rsidR="00F63ADF" w:rsidRPr="00F63ADF">
        <w:rPr>
          <w:i/>
          <w:lang w:val="pt-BR"/>
        </w:rPr>
        <w:t>dịch vụ quản lý quỹ bảo hiểm hưu trí bổ sung</w:t>
      </w:r>
      <w:r w:rsidR="00EB5017">
        <w:rPr>
          <w:lang w:val="pt-BR"/>
        </w:rPr>
        <w:t>”</w:t>
      </w:r>
      <w:r w:rsidR="00407D90">
        <w:rPr>
          <w:lang w:val="pt-BR"/>
        </w:rPr>
        <w:t>. Quy định tại dự thảo Nghị định này cũng đã bổ sung các điều khoản chuyển tiếp về hoạt động của quỹ hưu trí bổ sung tự nguyện khi thực hiện chuyển đổi thành quỹ bảo hiểm hưu trí b</w:t>
      </w:r>
      <w:r w:rsidR="004C4D64">
        <w:rPr>
          <w:lang w:val="pt-BR"/>
        </w:rPr>
        <w:t>ổ</w:t>
      </w:r>
      <w:r w:rsidR="00407D90">
        <w:rPr>
          <w:lang w:val="pt-BR"/>
        </w:rPr>
        <w:t xml:space="preserve"> sung. Theo đó, </w:t>
      </w:r>
      <w:r w:rsidR="009D4164">
        <w:rPr>
          <w:lang w:val="pt-BR"/>
        </w:rPr>
        <w:t>việc đổi tên ngành, nghề kinh doanh có điều kiện liên quan đến quỹ bảo hiểm hưu trí bổ sung sẽ không gặp vướng mắc trong triển khai</w:t>
      </w:r>
      <w:r w:rsidR="008972F0">
        <w:rPr>
          <w:lang w:val="pt-BR"/>
        </w:rPr>
        <w:t>.</w:t>
      </w:r>
    </w:p>
    <w:p w:rsidR="00B240CE" w:rsidRDefault="00A13271">
      <w:pPr>
        <w:widowControl w:val="0"/>
        <w:tabs>
          <w:tab w:val="left" w:pos="142"/>
        </w:tabs>
        <w:spacing w:before="100" w:after="100" w:line="360" w:lineRule="exact"/>
        <w:ind w:firstLine="720"/>
        <w:jc w:val="both"/>
        <w:outlineLvl w:val="0"/>
        <w:rPr>
          <w:b/>
          <w:lang w:val="pt-BR"/>
        </w:rPr>
      </w:pPr>
      <w:r>
        <w:rPr>
          <w:b/>
          <w:lang w:val="pt-BR"/>
        </w:rPr>
        <w:t>VII.</w:t>
      </w:r>
      <w:r w:rsidR="00ED1FB1" w:rsidRPr="00335288">
        <w:rPr>
          <w:b/>
          <w:lang w:val="pt-BR"/>
        </w:rPr>
        <w:t xml:space="preserve"> </w:t>
      </w:r>
      <w:r w:rsidR="00F76F22" w:rsidRPr="00335288">
        <w:rPr>
          <w:b/>
          <w:lang w:val="pt-BR"/>
        </w:rPr>
        <w:t>KIẾN NGHỊ</w:t>
      </w:r>
    </w:p>
    <w:p w:rsidR="00B240CE" w:rsidRDefault="00556FAB">
      <w:pPr>
        <w:widowControl w:val="0"/>
        <w:tabs>
          <w:tab w:val="left" w:pos="142"/>
        </w:tabs>
        <w:spacing w:before="100" w:after="100" w:line="360" w:lineRule="exact"/>
        <w:ind w:firstLine="720"/>
        <w:jc w:val="both"/>
        <w:outlineLvl w:val="0"/>
        <w:rPr>
          <w:lang w:val="pt-BR"/>
        </w:rPr>
      </w:pPr>
      <w:r w:rsidRPr="00335288">
        <w:rPr>
          <w:lang w:val="pt-BR"/>
        </w:rPr>
        <w:t xml:space="preserve">Trên cơ sở nội dung báo cáo, </w:t>
      </w:r>
      <w:r w:rsidR="00DD7673" w:rsidRPr="00335288">
        <w:rPr>
          <w:lang w:val="pt-BR"/>
        </w:rPr>
        <w:t xml:space="preserve">Bộ Tài chính trình Chính phủ </w:t>
      </w:r>
      <w:r w:rsidR="00281A07" w:rsidRPr="00335288">
        <w:rPr>
          <w:lang w:val="pt-BR"/>
        </w:rPr>
        <w:t>xem xét</w:t>
      </w:r>
      <w:r w:rsidR="00DD7673" w:rsidRPr="00335288">
        <w:rPr>
          <w:lang w:val="pt-BR"/>
        </w:rPr>
        <w:t xml:space="preserve"> ban hành </w:t>
      </w:r>
      <w:r w:rsidR="000B0604" w:rsidRPr="00335288">
        <w:rPr>
          <w:lang w:val="pt-BR"/>
        </w:rPr>
        <w:t>Nghị định quy định về bảo hiểm hưu trí bổ sung hướng dẫn Luật BHXH</w:t>
      </w:r>
      <w:r w:rsidR="00492A4F" w:rsidRPr="00335288">
        <w:rPr>
          <w:lang w:val="pt-BR"/>
        </w:rPr>
        <w:t xml:space="preserve"> năm 2024</w:t>
      </w:r>
      <w:r w:rsidR="000B0604" w:rsidRPr="00335288">
        <w:rPr>
          <w:lang w:val="pt-BR"/>
        </w:rPr>
        <w:t>.</w:t>
      </w:r>
    </w:p>
    <w:p w:rsidR="00B240CE" w:rsidRDefault="00DA1F86">
      <w:pPr>
        <w:widowControl w:val="0"/>
        <w:tabs>
          <w:tab w:val="left" w:pos="142"/>
        </w:tabs>
        <w:spacing w:before="100" w:after="100" w:line="360" w:lineRule="exact"/>
        <w:ind w:firstLine="720"/>
        <w:jc w:val="both"/>
        <w:outlineLvl w:val="0"/>
        <w:rPr>
          <w:lang w:val="pt-BR"/>
        </w:rPr>
      </w:pPr>
      <w:r w:rsidRPr="00335288">
        <w:rPr>
          <w:lang w:val="pt-BR"/>
        </w:rPr>
        <w:t xml:space="preserve">Theo quy định của Luật ban hành văn bản quy phạm pháp luật, </w:t>
      </w:r>
      <w:r w:rsidR="006921B2">
        <w:rPr>
          <w:lang w:val="pt-BR"/>
        </w:rPr>
        <w:t xml:space="preserve">Bộ Tài chính trình </w:t>
      </w:r>
      <w:r w:rsidR="00235102" w:rsidRPr="00335288">
        <w:rPr>
          <w:lang w:val="pt-BR"/>
        </w:rPr>
        <w:t>h</w:t>
      </w:r>
      <w:r w:rsidR="00C82CE9" w:rsidRPr="00335288">
        <w:rPr>
          <w:lang w:val="pt-BR"/>
        </w:rPr>
        <w:t>ồ sơ</w:t>
      </w:r>
      <w:r w:rsidR="006921B2">
        <w:rPr>
          <w:lang w:val="pt-BR"/>
        </w:rPr>
        <w:t xml:space="preserve"> dự thảo Nghị định</w:t>
      </w:r>
      <w:r w:rsidR="00C82CE9" w:rsidRPr="00335288">
        <w:rPr>
          <w:lang w:val="pt-BR"/>
        </w:rPr>
        <w:t xml:space="preserve"> bao gồm:</w:t>
      </w:r>
      <w:r w:rsidR="006921B2">
        <w:rPr>
          <w:lang w:val="pt-BR"/>
        </w:rPr>
        <w:t xml:space="preserve"> (i)</w:t>
      </w:r>
      <w:r w:rsidR="00C82CE9" w:rsidRPr="00335288">
        <w:rPr>
          <w:lang w:val="pt-BR"/>
        </w:rPr>
        <w:t xml:space="preserve"> </w:t>
      </w:r>
      <w:r w:rsidR="006921B2">
        <w:rPr>
          <w:lang w:val="pt-BR"/>
        </w:rPr>
        <w:t>D</w:t>
      </w:r>
      <w:r w:rsidR="00C82CE9" w:rsidRPr="00335288">
        <w:rPr>
          <w:lang w:val="pt-BR"/>
        </w:rPr>
        <w:t>ự thảo Nghị định</w:t>
      </w:r>
      <w:r w:rsidR="00555EE2" w:rsidRPr="00335288">
        <w:rPr>
          <w:lang w:val="pt-BR"/>
        </w:rPr>
        <w:t>;</w:t>
      </w:r>
      <w:r w:rsidR="006921B2">
        <w:rPr>
          <w:lang w:val="pt-BR"/>
        </w:rPr>
        <w:t xml:space="preserve"> (ii) Báo </w:t>
      </w:r>
      <w:r w:rsidR="006921B2">
        <w:rPr>
          <w:lang w:val="pt-BR"/>
        </w:rPr>
        <w:lastRenderedPageBreak/>
        <w:t>cáo thẩm định của Bộ Tư pháp, (iii) B</w:t>
      </w:r>
      <w:r w:rsidR="00C82CE9" w:rsidRPr="00335288">
        <w:rPr>
          <w:lang w:val="pt-BR"/>
        </w:rPr>
        <w:t>áo cáo giải trình, tiếp thu ý kiến thẩm định</w:t>
      </w:r>
      <w:r w:rsidR="00527355" w:rsidRPr="00335288">
        <w:rPr>
          <w:lang w:val="pt-BR"/>
        </w:rPr>
        <w:t xml:space="preserve"> của Bộ Tư pháp</w:t>
      </w:r>
      <w:r w:rsidR="00D76F8F" w:rsidRPr="00335288">
        <w:rPr>
          <w:lang w:val="pt-BR"/>
        </w:rPr>
        <w:t>;</w:t>
      </w:r>
      <w:r w:rsidR="006921B2">
        <w:rPr>
          <w:lang w:val="pt-BR"/>
        </w:rPr>
        <w:t xml:space="preserve"> (iv)</w:t>
      </w:r>
      <w:r w:rsidR="00D76F8F" w:rsidRPr="00335288">
        <w:rPr>
          <w:lang w:val="pt-BR"/>
        </w:rPr>
        <w:t xml:space="preserve"> </w:t>
      </w:r>
      <w:r w:rsidR="006921B2">
        <w:rPr>
          <w:lang w:val="pt-BR"/>
        </w:rPr>
        <w:t>B</w:t>
      </w:r>
      <w:r w:rsidR="00D76F8F" w:rsidRPr="00335288">
        <w:rPr>
          <w:lang w:val="pt-BR"/>
        </w:rPr>
        <w:t>áo cáo giải trình, tiếp thu ý kiến của các Bộ, ngành</w:t>
      </w:r>
      <w:r w:rsidR="006921B2">
        <w:rPr>
          <w:lang w:val="pt-BR"/>
        </w:rPr>
        <w:t xml:space="preserve">; (v) Báo cáo </w:t>
      </w:r>
      <w:r w:rsidR="002039BE">
        <w:rPr>
          <w:lang w:val="pt-BR"/>
        </w:rPr>
        <w:t>đánh giá tác động thủ tục hành chính</w:t>
      </w:r>
      <w:r w:rsidR="00631C6C">
        <w:rPr>
          <w:lang w:val="pt-BR"/>
        </w:rPr>
        <w:t>, việc phân cấp, phân quyền; và (vi) Bảng so sánh, thuyết minh dự thảo Nghị định so với quy định hiện hành</w:t>
      </w:r>
      <w:r w:rsidR="002039BE">
        <w:rPr>
          <w:lang w:val="pt-BR"/>
        </w:rPr>
        <w:t>.</w:t>
      </w:r>
    </w:p>
    <w:p w:rsidR="00F123E4" w:rsidRDefault="003B489F" w:rsidP="00F00682">
      <w:pPr>
        <w:widowControl w:val="0"/>
        <w:spacing w:before="100" w:after="100" w:line="330" w:lineRule="exact"/>
        <w:ind w:firstLine="720"/>
        <w:jc w:val="both"/>
        <w:outlineLvl w:val="0"/>
        <w:rPr>
          <w:lang w:val="pt-BR"/>
        </w:rPr>
      </w:pPr>
      <w:r w:rsidRPr="00335288">
        <w:rPr>
          <w:lang w:val="pt-BR"/>
        </w:rPr>
        <w:t>Bộ Tài chính</w:t>
      </w:r>
      <w:r w:rsidR="00DD7673" w:rsidRPr="00335288">
        <w:rPr>
          <w:lang w:val="pt-BR"/>
        </w:rPr>
        <w:t xml:space="preserve"> kính</w:t>
      </w:r>
      <w:r w:rsidRPr="00335288">
        <w:rPr>
          <w:lang w:val="pt-BR"/>
        </w:rPr>
        <w:t xml:space="preserve"> trình Chính phủ xem xét, </w:t>
      </w:r>
      <w:r w:rsidR="0046406C" w:rsidRPr="00335288">
        <w:rPr>
          <w:lang w:val="pt-BR"/>
        </w:rPr>
        <w:t>quyết định./.</w:t>
      </w:r>
    </w:p>
    <w:p w:rsidR="00CE68F2" w:rsidRPr="00F51E3C" w:rsidRDefault="00CE68F2" w:rsidP="00CE68F2">
      <w:pPr>
        <w:widowControl w:val="0"/>
        <w:spacing w:before="120" w:after="120" w:line="340" w:lineRule="exact"/>
        <w:ind w:firstLine="691"/>
        <w:jc w:val="both"/>
        <w:outlineLvl w:val="0"/>
        <w:rPr>
          <w:lang w:val="pt-BR"/>
        </w:rPr>
      </w:pPr>
    </w:p>
    <w:tbl>
      <w:tblPr>
        <w:tblW w:w="8930" w:type="dxa"/>
        <w:tblInd w:w="250" w:type="dxa"/>
        <w:tblLayout w:type="fixed"/>
        <w:tblLook w:val="0000"/>
      </w:tblPr>
      <w:tblGrid>
        <w:gridCol w:w="5878"/>
        <w:gridCol w:w="3052"/>
      </w:tblGrid>
      <w:tr w:rsidR="00A30788" w:rsidRPr="00050CCB" w:rsidTr="00B24A8C">
        <w:tc>
          <w:tcPr>
            <w:tcW w:w="5878" w:type="dxa"/>
          </w:tcPr>
          <w:p w:rsidR="00A30788" w:rsidRPr="00810A61" w:rsidRDefault="00A30788" w:rsidP="00D91CBC">
            <w:pPr>
              <w:widowControl w:val="0"/>
              <w:rPr>
                <w:b/>
                <w:i/>
                <w:sz w:val="22"/>
                <w:szCs w:val="22"/>
                <w:lang w:val="af-ZA"/>
              </w:rPr>
            </w:pPr>
            <w:r w:rsidRPr="0049686C">
              <w:rPr>
                <w:b/>
                <w:i/>
                <w:sz w:val="24"/>
                <w:szCs w:val="22"/>
                <w:lang w:val="af-ZA"/>
              </w:rPr>
              <w:t>Nơi nhận:</w:t>
            </w:r>
          </w:p>
          <w:p w:rsidR="00A30788" w:rsidRDefault="00A30788" w:rsidP="00D91CBC">
            <w:pPr>
              <w:widowControl w:val="0"/>
              <w:rPr>
                <w:sz w:val="22"/>
                <w:szCs w:val="22"/>
                <w:lang w:val="af-ZA"/>
              </w:rPr>
            </w:pPr>
            <w:r>
              <w:rPr>
                <w:sz w:val="22"/>
                <w:szCs w:val="22"/>
                <w:lang w:val="af-ZA"/>
              </w:rPr>
              <w:t>- B</w:t>
            </w:r>
            <w:r w:rsidRPr="00473D43">
              <w:rPr>
                <w:sz w:val="22"/>
                <w:szCs w:val="22"/>
                <w:lang w:val="af-ZA"/>
              </w:rPr>
              <w:t>ộ</w:t>
            </w:r>
            <w:r>
              <w:rPr>
                <w:sz w:val="22"/>
                <w:szCs w:val="22"/>
                <w:lang w:val="af-ZA"/>
              </w:rPr>
              <w:t xml:space="preserve"> T</w:t>
            </w:r>
            <w:r w:rsidRPr="00473D43">
              <w:rPr>
                <w:sz w:val="22"/>
                <w:szCs w:val="22"/>
                <w:lang w:val="af-ZA"/>
              </w:rPr>
              <w:t>ư</w:t>
            </w:r>
            <w:r>
              <w:rPr>
                <w:sz w:val="22"/>
                <w:szCs w:val="22"/>
                <w:lang w:val="af-ZA"/>
              </w:rPr>
              <w:t xml:space="preserve"> ph</w:t>
            </w:r>
            <w:r w:rsidRPr="00473D43">
              <w:rPr>
                <w:sz w:val="22"/>
                <w:szCs w:val="22"/>
                <w:lang w:val="af-ZA"/>
              </w:rPr>
              <w:t>áp</w:t>
            </w:r>
            <w:r w:rsidR="00484710">
              <w:rPr>
                <w:sz w:val="22"/>
                <w:szCs w:val="22"/>
                <w:lang w:val="af-ZA"/>
              </w:rPr>
              <w:t xml:space="preserve"> (để thẩm định)</w:t>
            </w:r>
            <w:r w:rsidR="00335288">
              <w:rPr>
                <w:sz w:val="22"/>
                <w:szCs w:val="22"/>
                <w:lang w:val="af-ZA"/>
              </w:rPr>
              <w:t>;</w:t>
            </w:r>
          </w:p>
          <w:p w:rsidR="00A30788" w:rsidRPr="00810A61" w:rsidRDefault="00A30788" w:rsidP="009D1929">
            <w:pPr>
              <w:widowControl w:val="0"/>
              <w:rPr>
                <w:b/>
                <w:i/>
                <w:sz w:val="22"/>
                <w:szCs w:val="22"/>
                <w:lang w:val="af-ZA"/>
              </w:rPr>
            </w:pPr>
            <w:r w:rsidRPr="00810A61">
              <w:rPr>
                <w:sz w:val="22"/>
                <w:szCs w:val="22"/>
                <w:lang w:val="af-ZA"/>
              </w:rPr>
              <w:t xml:space="preserve">- Lưu: VT, Vụ </w:t>
            </w:r>
            <w:r w:rsidR="00443058">
              <w:rPr>
                <w:sz w:val="22"/>
                <w:szCs w:val="22"/>
                <w:lang w:val="af-ZA"/>
              </w:rPr>
              <w:t>ĐCTC</w:t>
            </w:r>
            <w:r w:rsidR="007076E8">
              <w:rPr>
                <w:sz w:val="22"/>
                <w:szCs w:val="22"/>
                <w:lang w:val="af-ZA"/>
              </w:rPr>
              <w:t xml:space="preserve"> </w:t>
            </w:r>
            <w:r w:rsidR="007076E8" w:rsidRPr="00A64447">
              <w:rPr>
                <w:sz w:val="24"/>
                <w:szCs w:val="24"/>
                <w:vertAlign w:val="subscript"/>
                <w:lang w:val="af-ZA"/>
              </w:rPr>
              <w:t>(</w:t>
            </w:r>
            <w:r w:rsidR="009D1929">
              <w:rPr>
                <w:sz w:val="24"/>
                <w:szCs w:val="24"/>
                <w:vertAlign w:val="subscript"/>
                <w:lang w:val="af-ZA"/>
              </w:rPr>
              <w:t xml:space="preserve">   </w:t>
            </w:r>
            <w:r w:rsidR="007076E8" w:rsidRPr="00A64447">
              <w:rPr>
                <w:sz w:val="24"/>
                <w:szCs w:val="24"/>
                <w:vertAlign w:val="subscript"/>
                <w:lang w:val="af-ZA"/>
              </w:rPr>
              <w:t>b)</w:t>
            </w:r>
            <w:r w:rsidR="00A64447" w:rsidRPr="00A64447">
              <w:rPr>
                <w:sz w:val="24"/>
                <w:szCs w:val="24"/>
                <w:vertAlign w:val="subscript"/>
                <w:lang w:val="af-ZA"/>
              </w:rPr>
              <w:t>.</w:t>
            </w:r>
          </w:p>
        </w:tc>
        <w:tc>
          <w:tcPr>
            <w:tcW w:w="3052" w:type="dxa"/>
          </w:tcPr>
          <w:p w:rsidR="004276D0" w:rsidRDefault="004276D0" w:rsidP="004276D0">
            <w:pPr>
              <w:widowControl w:val="0"/>
              <w:jc w:val="center"/>
              <w:rPr>
                <w:b/>
                <w:sz w:val="26"/>
                <w:lang w:val="af-ZA"/>
              </w:rPr>
            </w:pPr>
            <w:r>
              <w:rPr>
                <w:b/>
                <w:sz w:val="26"/>
                <w:lang w:val="af-ZA"/>
              </w:rPr>
              <w:t xml:space="preserve">KT. </w:t>
            </w:r>
            <w:r w:rsidRPr="00C9721C">
              <w:rPr>
                <w:b/>
                <w:sz w:val="26"/>
                <w:lang w:val="af-ZA"/>
              </w:rPr>
              <w:t>BỘ TRƯỞNG</w:t>
            </w:r>
          </w:p>
          <w:p w:rsidR="004276D0" w:rsidRDefault="004276D0" w:rsidP="004276D0">
            <w:pPr>
              <w:widowControl w:val="0"/>
              <w:jc w:val="center"/>
              <w:rPr>
                <w:b/>
                <w:sz w:val="26"/>
                <w:lang w:val="af-ZA"/>
              </w:rPr>
            </w:pPr>
            <w:r>
              <w:rPr>
                <w:b/>
                <w:sz w:val="26"/>
                <w:lang w:val="af-ZA"/>
              </w:rPr>
              <w:t>THỨ TRƯỞNG</w:t>
            </w:r>
          </w:p>
          <w:p w:rsidR="004276D0" w:rsidRDefault="004276D0" w:rsidP="004276D0">
            <w:pPr>
              <w:widowControl w:val="0"/>
              <w:spacing w:before="120" w:after="120"/>
              <w:jc w:val="center"/>
              <w:rPr>
                <w:b/>
                <w:lang w:val="af-ZA"/>
              </w:rPr>
            </w:pPr>
          </w:p>
          <w:p w:rsidR="00FC0838" w:rsidRPr="00090272" w:rsidRDefault="00FC0838" w:rsidP="004276D0">
            <w:pPr>
              <w:widowControl w:val="0"/>
              <w:spacing w:before="120" w:after="120"/>
              <w:jc w:val="center"/>
              <w:rPr>
                <w:b/>
                <w:lang w:val="af-ZA"/>
              </w:rPr>
            </w:pPr>
          </w:p>
          <w:p w:rsidR="004276D0" w:rsidRDefault="004276D0" w:rsidP="004276D0">
            <w:pPr>
              <w:widowControl w:val="0"/>
              <w:spacing w:before="120" w:after="120"/>
              <w:jc w:val="center"/>
              <w:rPr>
                <w:b/>
                <w:lang w:val="af-ZA"/>
              </w:rPr>
            </w:pPr>
          </w:p>
          <w:p w:rsidR="004276D0" w:rsidRDefault="004276D0" w:rsidP="004276D0">
            <w:pPr>
              <w:widowControl w:val="0"/>
              <w:spacing w:before="120" w:after="120"/>
              <w:jc w:val="center"/>
              <w:rPr>
                <w:b/>
                <w:lang w:val="af-ZA"/>
              </w:rPr>
            </w:pPr>
          </w:p>
          <w:p w:rsidR="00A30788" w:rsidRPr="00E16C98" w:rsidRDefault="004276D0" w:rsidP="00090272">
            <w:pPr>
              <w:widowControl w:val="0"/>
              <w:spacing w:before="120" w:after="120"/>
              <w:jc w:val="center"/>
              <w:rPr>
                <w:b/>
                <w:lang w:val="af-ZA"/>
              </w:rPr>
            </w:pPr>
            <w:r>
              <w:rPr>
                <w:b/>
                <w:lang w:val="af-ZA"/>
              </w:rPr>
              <w:t>Nguyễn Đức Chi</w:t>
            </w:r>
          </w:p>
        </w:tc>
      </w:tr>
    </w:tbl>
    <w:p w:rsidR="00397D27" w:rsidRDefault="00397D27">
      <w:pPr>
        <w:jc w:val="center"/>
        <w:rPr>
          <w:lang w:val="vi-VN"/>
        </w:rPr>
      </w:pPr>
    </w:p>
    <w:p w:rsidR="008C06AF" w:rsidRDefault="008C06AF">
      <w:pPr>
        <w:widowControl w:val="0"/>
        <w:spacing w:before="100" w:after="100" w:line="340" w:lineRule="exact"/>
        <w:jc w:val="both"/>
      </w:pPr>
    </w:p>
    <w:sectPr w:rsidR="008C06AF" w:rsidSect="00D00524">
      <w:headerReference w:type="default" r:id="rId8"/>
      <w:footerReference w:type="even" r:id="rId9"/>
      <w:pgSz w:w="11907" w:h="16840" w:code="9"/>
      <w:pgMar w:top="1134" w:right="1138" w:bottom="1134" w:left="1699" w:header="720" w:footer="227"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0CE" w:rsidRDefault="00B240CE">
      <w:r>
        <w:separator/>
      </w:r>
    </w:p>
  </w:endnote>
  <w:endnote w:type="continuationSeparator" w:id="0">
    <w:p w:rsidR="00B240CE" w:rsidRDefault="00B24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Palatino">
    <w:altName w:val="Arial"/>
    <w:panose1 w:val="00000000000000000000"/>
    <w:charset w:val="00"/>
    <w:family w:val="swiss"/>
    <w:notTrueType/>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CE" w:rsidRDefault="00B240CE" w:rsidP="00C724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40CE" w:rsidRDefault="00B240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0CE" w:rsidRDefault="00B240CE">
      <w:r>
        <w:separator/>
      </w:r>
    </w:p>
  </w:footnote>
  <w:footnote w:type="continuationSeparator" w:id="0">
    <w:p w:rsidR="00B240CE" w:rsidRDefault="00B240CE">
      <w:r>
        <w:continuationSeparator/>
      </w:r>
    </w:p>
  </w:footnote>
  <w:footnote w:id="1">
    <w:p w:rsidR="00B240CE" w:rsidRDefault="00B240CE" w:rsidP="00A879CE">
      <w:pPr>
        <w:pStyle w:val="FootnoteText"/>
        <w:spacing w:before="40" w:after="40"/>
        <w:jc w:val="both"/>
        <w:rPr>
          <w:sz w:val="14"/>
        </w:rPr>
      </w:pPr>
      <w:r w:rsidRPr="0075419C">
        <w:rPr>
          <w:rStyle w:val="FootnoteReference"/>
        </w:rPr>
        <w:footnoteRef/>
      </w:r>
      <w:r w:rsidRPr="0075419C">
        <w:t xml:space="preserve"> Nghị định số 151/2018/NĐ-CP ngày 07/11/2018 sửa đổi bổ sung một số Nghị định quy định về điều</w:t>
      </w:r>
      <w:r w:rsidRPr="0075419C">
        <w:rPr>
          <w:szCs w:val="28"/>
        </w:rPr>
        <w:t xml:space="preserve"> kiện đầu tư kinh doanh thuộc phạm vi quản lý nhà nước của Bộ Tài chính.</w:t>
      </w:r>
    </w:p>
  </w:footnote>
  <w:footnote w:id="2">
    <w:p w:rsidR="00B240CE" w:rsidRDefault="00B240CE" w:rsidP="00A879CE">
      <w:pPr>
        <w:pStyle w:val="FootnoteText"/>
        <w:spacing w:before="40" w:after="40"/>
        <w:jc w:val="both"/>
      </w:pPr>
      <w:r>
        <w:rPr>
          <w:rStyle w:val="FootnoteReference"/>
        </w:rPr>
        <w:footnoteRef/>
      </w:r>
      <w:r>
        <w:t xml:space="preserve"> </w:t>
      </w:r>
      <w:r w:rsidRPr="00AD52DF">
        <w:rPr>
          <w:szCs w:val="28"/>
          <w:lang w:val="nl-NL"/>
        </w:rPr>
        <w:t>Gồm: (i) Công ty Quản lý quỹ đầu tư Dragon Capital Việt Nam</w:t>
      </w:r>
      <w:r>
        <w:rPr>
          <w:szCs w:val="28"/>
          <w:lang w:val="nl-NL"/>
        </w:rPr>
        <w:t xml:space="preserve"> (DC)</w:t>
      </w:r>
      <w:r w:rsidRPr="00AD52DF">
        <w:rPr>
          <w:szCs w:val="28"/>
          <w:lang w:val="nl-NL"/>
        </w:rPr>
        <w:t>; (ii) Công ty Quản lý quỹ đầu tư MB</w:t>
      </w:r>
      <w:r>
        <w:rPr>
          <w:szCs w:val="28"/>
          <w:lang w:val="nl-NL"/>
        </w:rPr>
        <w:t xml:space="preserve"> (MBC)</w:t>
      </w:r>
      <w:r w:rsidRPr="00AD52DF">
        <w:rPr>
          <w:szCs w:val="28"/>
          <w:lang w:val="nl-NL"/>
        </w:rPr>
        <w:t>; (iii) Công ty Quản lý quỹ đầu tư Vietcombank</w:t>
      </w:r>
      <w:r>
        <w:rPr>
          <w:szCs w:val="28"/>
          <w:lang w:val="nl-NL"/>
        </w:rPr>
        <w:t xml:space="preserve"> (VCBF)</w:t>
      </w:r>
      <w:r w:rsidRPr="00AD52DF">
        <w:rPr>
          <w:szCs w:val="28"/>
          <w:lang w:val="nl-NL"/>
        </w:rPr>
        <w:t>; (iv) Công ty Quản lý quỹ đầu tư SSI</w:t>
      </w:r>
      <w:r>
        <w:rPr>
          <w:szCs w:val="28"/>
          <w:lang w:val="nl-NL"/>
        </w:rPr>
        <w:t xml:space="preserve"> (SSIAM).</w:t>
      </w:r>
    </w:p>
  </w:footnote>
  <w:footnote w:id="3">
    <w:p w:rsidR="00B240CE" w:rsidRDefault="00B240CE" w:rsidP="00A879CE">
      <w:pPr>
        <w:pStyle w:val="FootnoteText"/>
        <w:jc w:val="both"/>
      </w:pPr>
      <w:r>
        <w:rPr>
          <w:rStyle w:val="FootnoteReference"/>
        </w:rPr>
        <w:footnoteRef/>
      </w:r>
      <w:r>
        <w:t xml:space="preserve"> </w:t>
      </w:r>
      <w:r w:rsidRPr="00A429DA">
        <w:t xml:space="preserve">VCBF có 41 người tham gia, MBC có 1.949 người tham gia, DCVFM có 2.098 người tham gia, và SSIAM có 20.278 người tham gia quỹ hưu trí. </w:t>
      </w:r>
      <w:r w:rsidRPr="007F0904">
        <w:t>Trong đó, riêng người lao động của ngân hàng BIDV tham gia là 19.978 người, chiếm 82% tổng số người tham gia quỹ hưu trí.</w:t>
      </w:r>
    </w:p>
  </w:footnote>
  <w:footnote w:id="4">
    <w:p w:rsidR="00B240CE" w:rsidRDefault="00B240CE" w:rsidP="00A879CE">
      <w:pPr>
        <w:pStyle w:val="FootnoteText"/>
        <w:spacing w:before="40" w:after="40"/>
        <w:jc w:val="both"/>
      </w:pPr>
      <w:r>
        <w:rPr>
          <w:rStyle w:val="FootnoteReference"/>
        </w:rPr>
        <w:footnoteRef/>
      </w:r>
      <w:r>
        <w:t xml:space="preserve"> </w:t>
      </w:r>
      <w:r w:rsidRPr="009A7A98">
        <w:t>Công văn số 9597/BTC-HCSN ngày 08/9/2023 và Công văn số 5025/BTC-TCNH ngày 18/5/2023 tham gia ý kiến với Bộ Lao động-Thương binh và Xã hội</w:t>
      </w:r>
      <w:r>
        <w:t xml:space="preserve"> về đánh giá triển khai Luật BHXH năm 2014; Công văn số 4541/BTC-TCNH ngày 3/5/2024 báo cáo Lãnh đạo Chính phủ về chính sách bảo hiểm hưu trí bổ sung tại dự thảo Luật BHXH (sửa đổi).</w:t>
      </w:r>
    </w:p>
  </w:footnote>
  <w:footnote w:id="5">
    <w:p w:rsidR="00B240CE" w:rsidRPr="00577303" w:rsidRDefault="00B240CE" w:rsidP="00577303">
      <w:pPr>
        <w:pStyle w:val="FootnoteText"/>
        <w:rPr>
          <w:lang w:val="nl-NL"/>
        </w:rPr>
      </w:pPr>
      <w:r>
        <w:rPr>
          <w:rStyle w:val="FootnoteReference"/>
        </w:rPr>
        <w:footnoteRef/>
      </w:r>
      <w:r>
        <w:t xml:space="preserve"> </w:t>
      </w:r>
      <w:r w:rsidRPr="00577303">
        <w:rPr>
          <w:bCs/>
          <w:iCs/>
        </w:rPr>
        <w:t>“</w:t>
      </w:r>
      <w:r w:rsidRPr="00577303">
        <w:rPr>
          <w:bCs/>
          <w:i/>
        </w:rPr>
        <w:t>Áp dụng thêm các loại bảo hiểm xã hội mới phù hợp với nhu cầu nhân dân.</w:t>
      </w:r>
      <w:r w:rsidRPr="00577303">
        <w:rPr>
          <w:bCs/>
          <w:iCs/>
        </w:rPr>
        <w:t xml:space="preserve"> </w:t>
      </w:r>
      <w:r w:rsidRPr="00577303">
        <w:rPr>
          <w:bCs/>
          <w:i/>
          <w:iCs/>
          <w:u w:val="single"/>
        </w:rPr>
        <w:t>Thí điểm chính sách bảo hiểm hưu trí bổ sung</w:t>
      </w:r>
      <w:r w:rsidRPr="00577303">
        <w:rPr>
          <w:bCs/>
          <w:iCs/>
        </w:rPr>
        <w:t>”.</w:t>
      </w:r>
    </w:p>
    <w:p w:rsidR="00B240CE" w:rsidRDefault="00B240CE">
      <w:pPr>
        <w:pStyle w:val="FootnoteText"/>
      </w:pPr>
    </w:p>
  </w:footnote>
  <w:footnote w:id="6">
    <w:p w:rsidR="00B240CE" w:rsidRDefault="00B240CE" w:rsidP="00443058">
      <w:pPr>
        <w:pStyle w:val="NormalWeb"/>
        <w:shd w:val="clear" w:color="auto" w:fill="FFFFFF"/>
        <w:spacing w:before="40" w:beforeAutospacing="0" w:after="40" w:afterAutospacing="0"/>
        <w:jc w:val="both"/>
        <w:rPr>
          <w:i/>
          <w:color w:val="000000"/>
          <w:sz w:val="20"/>
          <w:szCs w:val="20"/>
        </w:rPr>
      </w:pPr>
      <w:r>
        <w:rPr>
          <w:rStyle w:val="FootnoteReference"/>
          <w:sz w:val="20"/>
          <w:szCs w:val="20"/>
        </w:rPr>
        <w:footnoteRef/>
      </w:r>
      <w:r>
        <w:rPr>
          <w:sz w:val="20"/>
          <w:szCs w:val="20"/>
        </w:rPr>
        <w:t xml:space="preserve"> </w:t>
      </w:r>
      <w:r>
        <w:rPr>
          <w:sz w:val="20"/>
          <w:szCs w:val="20"/>
          <w:lang w:val="en-GB"/>
        </w:rPr>
        <w:t>Khoản 2 Điều 7 Nghị định số 88 quy định phương thức tham gia đóng góp bao gồm</w:t>
      </w:r>
      <w:r>
        <w:rPr>
          <w:i/>
          <w:sz w:val="20"/>
          <w:szCs w:val="20"/>
          <w:lang w:val="en-GB"/>
        </w:rPr>
        <w:t>: “</w:t>
      </w:r>
      <w:r>
        <w:rPr>
          <w:i/>
          <w:color w:val="000000"/>
          <w:sz w:val="20"/>
          <w:szCs w:val="20"/>
        </w:rPr>
        <w:t>2. Tham gia đóng góp trực tiếp chương trình hưu trí, bao gồm:</w:t>
      </w:r>
    </w:p>
    <w:p w:rsidR="00B240CE" w:rsidRDefault="00B240CE" w:rsidP="00443058">
      <w:pPr>
        <w:pStyle w:val="NormalWeb"/>
        <w:shd w:val="clear" w:color="auto" w:fill="FFFFFF"/>
        <w:spacing w:before="40" w:beforeAutospacing="0" w:after="40" w:afterAutospacing="0"/>
        <w:jc w:val="both"/>
        <w:rPr>
          <w:i/>
          <w:color w:val="000000"/>
          <w:sz w:val="20"/>
          <w:szCs w:val="20"/>
        </w:rPr>
      </w:pPr>
      <w:r>
        <w:rPr>
          <w:i/>
          <w:color w:val="000000"/>
          <w:sz w:val="20"/>
          <w:szCs w:val="20"/>
        </w:rPr>
        <w:t>a) Người lao động đóng góp hoàn toàn vào quỹ hưu trí, không có sự đóng góp của người </w:t>
      </w:r>
      <w:r>
        <w:rPr>
          <w:i/>
          <w:color w:val="000000"/>
          <w:sz w:val="20"/>
          <w:szCs w:val="20"/>
          <w:shd w:val="clear" w:color="auto" w:fill="FFFFFF"/>
        </w:rPr>
        <w:t>sử dụng</w:t>
      </w:r>
      <w:r>
        <w:rPr>
          <w:i/>
          <w:color w:val="000000"/>
          <w:sz w:val="20"/>
          <w:szCs w:val="20"/>
        </w:rPr>
        <w:t> lao động;</w:t>
      </w:r>
    </w:p>
    <w:p w:rsidR="00B240CE" w:rsidRDefault="00B240CE" w:rsidP="00443058">
      <w:pPr>
        <w:pStyle w:val="NormalWeb"/>
        <w:shd w:val="clear" w:color="auto" w:fill="FFFFFF"/>
        <w:spacing w:before="40" w:beforeAutospacing="0" w:after="40" w:afterAutospacing="0"/>
        <w:jc w:val="both"/>
        <w:rPr>
          <w:i/>
          <w:sz w:val="20"/>
          <w:szCs w:val="20"/>
          <w:lang w:val="en-GB"/>
        </w:rPr>
      </w:pPr>
      <w:r>
        <w:rPr>
          <w:i/>
          <w:color w:val="000000"/>
          <w:sz w:val="20"/>
          <w:szCs w:val="20"/>
        </w:rPr>
        <w:t>b) Cá nhân theo quy định tại </w:t>
      </w:r>
      <w:r w:rsidRPr="004F73F0">
        <w:rPr>
          <w:i/>
          <w:sz w:val="20"/>
          <w:szCs w:val="20"/>
        </w:rPr>
        <w:t>Khoản 3 Điều 6 Nghị định này</w:t>
      </w:r>
      <w:r>
        <w:rPr>
          <w:i/>
          <w:color w:val="000000"/>
          <w:sz w:val="20"/>
          <w:szCs w:val="20"/>
        </w:rPr>
        <w:t> đóng góp vào quỹ hưu trí.”</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CE" w:rsidRPr="006D6924" w:rsidRDefault="00B240CE">
    <w:pPr>
      <w:pStyle w:val="Header"/>
      <w:jc w:val="center"/>
      <w:rPr>
        <w:sz w:val="24"/>
      </w:rPr>
    </w:pPr>
    <w:r w:rsidRPr="006D6924">
      <w:rPr>
        <w:sz w:val="24"/>
      </w:rPr>
      <w:fldChar w:fldCharType="begin"/>
    </w:r>
    <w:r w:rsidRPr="006D6924">
      <w:rPr>
        <w:sz w:val="24"/>
      </w:rPr>
      <w:instrText xml:space="preserve"> PAGE   \* MERGEFORMAT </w:instrText>
    </w:r>
    <w:r w:rsidRPr="006D6924">
      <w:rPr>
        <w:sz w:val="24"/>
      </w:rPr>
      <w:fldChar w:fldCharType="separate"/>
    </w:r>
    <w:r w:rsidR="007C44D0">
      <w:rPr>
        <w:noProof/>
        <w:sz w:val="24"/>
      </w:rPr>
      <w:t>8</w:t>
    </w:r>
    <w:r w:rsidRPr="006D6924">
      <w:rPr>
        <w:sz w:val="24"/>
      </w:rPr>
      <w:fldChar w:fldCharType="end"/>
    </w:r>
  </w:p>
  <w:p w:rsidR="00B240CE" w:rsidRDefault="00B240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5E51"/>
    <w:multiLevelType w:val="hybridMultilevel"/>
    <w:tmpl w:val="CBD64F7A"/>
    <w:lvl w:ilvl="0" w:tplc="DE0AA3C2">
      <w:start w:val="1"/>
      <w:numFmt w:val="upperRoman"/>
      <w:lvlText w:val="%1."/>
      <w:lvlJc w:val="left"/>
      <w:pPr>
        <w:ind w:left="1627" w:hanging="93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nsid w:val="0CC04CED"/>
    <w:multiLevelType w:val="hybridMultilevel"/>
    <w:tmpl w:val="8B26AC1C"/>
    <w:lvl w:ilvl="0" w:tplc="56626516">
      <w:start w:val="1"/>
      <w:numFmt w:val="decimal"/>
      <w:lvlText w:val="%1."/>
      <w:lvlJc w:val="left"/>
      <w:pPr>
        <w:ind w:left="1702" w:hanging="1005"/>
      </w:pPr>
      <w:rPr>
        <w:rFonts w:hint="default"/>
        <w:b/>
        <w:color w:val="auto"/>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nsid w:val="17D62AC7"/>
    <w:multiLevelType w:val="hybridMultilevel"/>
    <w:tmpl w:val="66EE2A9E"/>
    <w:lvl w:ilvl="0" w:tplc="27BCE0EC">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
    <w:nsid w:val="216023FF"/>
    <w:multiLevelType w:val="hybridMultilevel"/>
    <w:tmpl w:val="D7F67872"/>
    <w:lvl w:ilvl="0" w:tplc="AB80D758">
      <w:start w:val="1"/>
      <w:numFmt w:val="decimal"/>
      <w:lvlText w:val="%1."/>
      <w:lvlJc w:val="left"/>
      <w:pPr>
        <w:ind w:left="1057" w:hanging="360"/>
      </w:pPr>
      <w:rPr>
        <w:rFonts w:hint="default"/>
        <w:b/>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
    <w:nsid w:val="31F254B3"/>
    <w:multiLevelType w:val="hybridMultilevel"/>
    <w:tmpl w:val="7EA27392"/>
    <w:lvl w:ilvl="0" w:tplc="118A3A0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nsid w:val="374B0529"/>
    <w:multiLevelType w:val="hybridMultilevel"/>
    <w:tmpl w:val="7472CFB8"/>
    <w:lvl w:ilvl="0" w:tplc="624C7910">
      <w:start w:val="1"/>
      <w:numFmt w:val="decimal"/>
      <w:lvlText w:val="%1."/>
      <w:lvlJc w:val="left"/>
      <w:pPr>
        <w:ind w:left="1657" w:hanging="960"/>
      </w:pPr>
      <w:rPr>
        <w:rFonts w:ascii="Times New Roman" w:eastAsia="Times New Roman" w:hAnsi="Times New Roman" w:cs="Times New Roman"/>
        <w:b/>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nsid w:val="3FF72A55"/>
    <w:multiLevelType w:val="hybridMultilevel"/>
    <w:tmpl w:val="9FF28FB6"/>
    <w:lvl w:ilvl="0" w:tplc="CD88503E">
      <w:start w:val="1"/>
      <w:numFmt w:val="decimal"/>
      <w:lvlText w:val="%1."/>
      <w:lvlJc w:val="left"/>
      <w:pPr>
        <w:ind w:left="1657" w:hanging="960"/>
      </w:pPr>
      <w:rPr>
        <w:rFonts w:ascii="Times New Roman" w:eastAsia="Times New Roman" w:hAnsi="Times New Roman" w:cs="Times New Roman"/>
        <w:b/>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7">
    <w:nsid w:val="403905C5"/>
    <w:multiLevelType w:val="hybridMultilevel"/>
    <w:tmpl w:val="E4726B28"/>
    <w:lvl w:ilvl="0" w:tplc="6E96F85E">
      <w:start w:val="1"/>
      <w:numFmt w:val="decimal"/>
      <w:lvlText w:val="%1."/>
      <w:lvlJc w:val="left"/>
      <w:pPr>
        <w:ind w:left="1057" w:hanging="360"/>
      </w:pPr>
      <w:rPr>
        <w:rFonts w:hint="default"/>
        <w:b/>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nsid w:val="5956054B"/>
    <w:multiLevelType w:val="hybridMultilevel"/>
    <w:tmpl w:val="24EE0782"/>
    <w:lvl w:ilvl="0" w:tplc="783CF706">
      <w:start w:val="1"/>
      <w:numFmt w:val="lowerLetter"/>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9">
    <w:nsid w:val="681E0626"/>
    <w:multiLevelType w:val="hybridMultilevel"/>
    <w:tmpl w:val="016CEA32"/>
    <w:lvl w:ilvl="0" w:tplc="62D64A0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0">
    <w:nsid w:val="6BAA366E"/>
    <w:multiLevelType w:val="hybridMultilevel"/>
    <w:tmpl w:val="98EC2EE6"/>
    <w:lvl w:ilvl="0" w:tplc="F0940FC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1">
    <w:nsid w:val="7F983866"/>
    <w:multiLevelType w:val="multilevel"/>
    <w:tmpl w:val="B35EC4C2"/>
    <w:lvl w:ilvl="0">
      <w:start w:val="1"/>
      <w:numFmt w:val="decimal"/>
      <w:lvlText w:val="%1"/>
      <w:lvlJc w:val="left"/>
      <w:pPr>
        <w:ind w:left="375" w:hanging="375"/>
      </w:pPr>
      <w:rPr>
        <w:rFonts w:hint="default"/>
      </w:rPr>
    </w:lvl>
    <w:lvl w:ilvl="1">
      <w:start w:val="1"/>
      <w:numFmt w:val="decimal"/>
      <w:lvlText w:val="%1.%2"/>
      <w:lvlJc w:val="left"/>
      <w:pPr>
        <w:ind w:left="1072" w:hanging="375"/>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num w:numId="1">
    <w:abstractNumId w:val="2"/>
  </w:num>
  <w:num w:numId="2">
    <w:abstractNumId w:val="6"/>
  </w:num>
  <w:num w:numId="3">
    <w:abstractNumId w:val="11"/>
  </w:num>
  <w:num w:numId="4">
    <w:abstractNumId w:val="5"/>
  </w:num>
  <w:num w:numId="5">
    <w:abstractNumId w:val="10"/>
  </w:num>
  <w:num w:numId="6">
    <w:abstractNumId w:val="9"/>
  </w:num>
  <w:num w:numId="7">
    <w:abstractNumId w:val="3"/>
  </w:num>
  <w:num w:numId="8">
    <w:abstractNumId w:val="7"/>
  </w:num>
  <w:num w:numId="9">
    <w:abstractNumId w:val="0"/>
  </w:num>
  <w:num w:numId="10">
    <w:abstractNumId w:val="8"/>
  </w:num>
  <w:num w:numId="11">
    <w:abstractNumId w:val="4"/>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uong Vo">
    <w15:presenceInfo w15:providerId="Windows Live" w15:userId="501c4f51b5128a8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trackRevisions/>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rsids>
    <w:rsidRoot w:val="00A1500F"/>
    <w:rsid w:val="000001F5"/>
    <w:rsid w:val="00000546"/>
    <w:rsid w:val="00000934"/>
    <w:rsid w:val="00000BA3"/>
    <w:rsid w:val="00000FE2"/>
    <w:rsid w:val="00002D3E"/>
    <w:rsid w:val="000032A7"/>
    <w:rsid w:val="00003EA9"/>
    <w:rsid w:val="00004ED5"/>
    <w:rsid w:val="000053C8"/>
    <w:rsid w:val="00006B6F"/>
    <w:rsid w:val="00006D1B"/>
    <w:rsid w:val="0000722D"/>
    <w:rsid w:val="00007261"/>
    <w:rsid w:val="00007514"/>
    <w:rsid w:val="000100A7"/>
    <w:rsid w:val="0001039E"/>
    <w:rsid w:val="000106F5"/>
    <w:rsid w:val="0001121F"/>
    <w:rsid w:val="00012AAC"/>
    <w:rsid w:val="00012D51"/>
    <w:rsid w:val="00012DC7"/>
    <w:rsid w:val="000167A9"/>
    <w:rsid w:val="00017A6A"/>
    <w:rsid w:val="00017CEF"/>
    <w:rsid w:val="0002020E"/>
    <w:rsid w:val="000205DB"/>
    <w:rsid w:val="000219A9"/>
    <w:rsid w:val="00021CE1"/>
    <w:rsid w:val="00022A0D"/>
    <w:rsid w:val="000237BB"/>
    <w:rsid w:val="00025CEC"/>
    <w:rsid w:val="00025E2F"/>
    <w:rsid w:val="00026520"/>
    <w:rsid w:val="000269FC"/>
    <w:rsid w:val="00026EAB"/>
    <w:rsid w:val="00027743"/>
    <w:rsid w:val="000277D0"/>
    <w:rsid w:val="0003155C"/>
    <w:rsid w:val="0003179D"/>
    <w:rsid w:val="0003220B"/>
    <w:rsid w:val="00032995"/>
    <w:rsid w:val="000333C0"/>
    <w:rsid w:val="0003416E"/>
    <w:rsid w:val="00034231"/>
    <w:rsid w:val="00035824"/>
    <w:rsid w:val="00035900"/>
    <w:rsid w:val="00035DF9"/>
    <w:rsid w:val="00035F48"/>
    <w:rsid w:val="0003697C"/>
    <w:rsid w:val="000405A7"/>
    <w:rsid w:val="0004092A"/>
    <w:rsid w:val="000413B2"/>
    <w:rsid w:val="00041750"/>
    <w:rsid w:val="00041774"/>
    <w:rsid w:val="0004238B"/>
    <w:rsid w:val="000429C1"/>
    <w:rsid w:val="000431A5"/>
    <w:rsid w:val="00044548"/>
    <w:rsid w:val="00045AE1"/>
    <w:rsid w:val="000469B8"/>
    <w:rsid w:val="00047040"/>
    <w:rsid w:val="000470D7"/>
    <w:rsid w:val="00050CCB"/>
    <w:rsid w:val="000529A3"/>
    <w:rsid w:val="00052A6F"/>
    <w:rsid w:val="00053A9B"/>
    <w:rsid w:val="00053C50"/>
    <w:rsid w:val="00054240"/>
    <w:rsid w:val="00054AAD"/>
    <w:rsid w:val="00054EC8"/>
    <w:rsid w:val="000558CD"/>
    <w:rsid w:val="00056970"/>
    <w:rsid w:val="00057A48"/>
    <w:rsid w:val="00060617"/>
    <w:rsid w:val="000606BC"/>
    <w:rsid w:val="00061171"/>
    <w:rsid w:val="000616A1"/>
    <w:rsid w:val="00061981"/>
    <w:rsid w:val="00062242"/>
    <w:rsid w:val="00062D64"/>
    <w:rsid w:val="000644E7"/>
    <w:rsid w:val="00064B1F"/>
    <w:rsid w:val="00065089"/>
    <w:rsid w:val="0006517D"/>
    <w:rsid w:val="00065F87"/>
    <w:rsid w:val="0006628A"/>
    <w:rsid w:val="0006652A"/>
    <w:rsid w:val="00066861"/>
    <w:rsid w:val="00066F75"/>
    <w:rsid w:val="0006754B"/>
    <w:rsid w:val="0006766A"/>
    <w:rsid w:val="000677E4"/>
    <w:rsid w:val="00067D88"/>
    <w:rsid w:val="00070702"/>
    <w:rsid w:val="00070B26"/>
    <w:rsid w:val="00070C04"/>
    <w:rsid w:val="00070D9C"/>
    <w:rsid w:val="00070F37"/>
    <w:rsid w:val="00071528"/>
    <w:rsid w:val="000717C8"/>
    <w:rsid w:val="00071CC6"/>
    <w:rsid w:val="00071CDC"/>
    <w:rsid w:val="00071F6A"/>
    <w:rsid w:val="0007236B"/>
    <w:rsid w:val="00072708"/>
    <w:rsid w:val="0007319D"/>
    <w:rsid w:val="0007344F"/>
    <w:rsid w:val="00073833"/>
    <w:rsid w:val="0007462C"/>
    <w:rsid w:val="00075668"/>
    <w:rsid w:val="00075A3E"/>
    <w:rsid w:val="00075E1E"/>
    <w:rsid w:val="00075F72"/>
    <w:rsid w:val="000774B3"/>
    <w:rsid w:val="00077691"/>
    <w:rsid w:val="00077AC4"/>
    <w:rsid w:val="00077E07"/>
    <w:rsid w:val="00080528"/>
    <w:rsid w:val="00080642"/>
    <w:rsid w:val="000811A5"/>
    <w:rsid w:val="00081C81"/>
    <w:rsid w:val="00081FE8"/>
    <w:rsid w:val="0008237D"/>
    <w:rsid w:val="00082864"/>
    <w:rsid w:val="0008286F"/>
    <w:rsid w:val="00084C66"/>
    <w:rsid w:val="00085530"/>
    <w:rsid w:val="00086DD2"/>
    <w:rsid w:val="00087956"/>
    <w:rsid w:val="00090023"/>
    <w:rsid w:val="00090272"/>
    <w:rsid w:val="0009063A"/>
    <w:rsid w:val="00090E1C"/>
    <w:rsid w:val="00090FA8"/>
    <w:rsid w:val="000910BE"/>
    <w:rsid w:val="00091C3D"/>
    <w:rsid w:val="00092492"/>
    <w:rsid w:val="00092541"/>
    <w:rsid w:val="00092722"/>
    <w:rsid w:val="00092DEE"/>
    <w:rsid w:val="00093564"/>
    <w:rsid w:val="00094A7F"/>
    <w:rsid w:val="0009530A"/>
    <w:rsid w:val="00095337"/>
    <w:rsid w:val="00095531"/>
    <w:rsid w:val="00095774"/>
    <w:rsid w:val="00095813"/>
    <w:rsid w:val="00095819"/>
    <w:rsid w:val="000959F6"/>
    <w:rsid w:val="00095C0A"/>
    <w:rsid w:val="00096A3F"/>
    <w:rsid w:val="00096DC3"/>
    <w:rsid w:val="000977AE"/>
    <w:rsid w:val="000A03E3"/>
    <w:rsid w:val="000A0911"/>
    <w:rsid w:val="000A104F"/>
    <w:rsid w:val="000A1AEC"/>
    <w:rsid w:val="000A2624"/>
    <w:rsid w:val="000A3CAA"/>
    <w:rsid w:val="000A4002"/>
    <w:rsid w:val="000A4839"/>
    <w:rsid w:val="000A49C9"/>
    <w:rsid w:val="000A53C3"/>
    <w:rsid w:val="000A5406"/>
    <w:rsid w:val="000A54AC"/>
    <w:rsid w:val="000A55DD"/>
    <w:rsid w:val="000A5FFA"/>
    <w:rsid w:val="000A65E3"/>
    <w:rsid w:val="000A6D5D"/>
    <w:rsid w:val="000A78DA"/>
    <w:rsid w:val="000B006D"/>
    <w:rsid w:val="000B0604"/>
    <w:rsid w:val="000B0F7F"/>
    <w:rsid w:val="000B1CE7"/>
    <w:rsid w:val="000B37C7"/>
    <w:rsid w:val="000B37F8"/>
    <w:rsid w:val="000B38BC"/>
    <w:rsid w:val="000B4A9E"/>
    <w:rsid w:val="000B4E06"/>
    <w:rsid w:val="000B552A"/>
    <w:rsid w:val="000B5BB6"/>
    <w:rsid w:val="000B658F"/>
    <w:rsid w:val="000B6639"/>
    <w:rsid w:val="000B6CB9"/>
    <w:rsid w:val="000B7B48"/>
    <w:rsid w:val="000C0FCF"/>
    <w:rsid w:val="000C168B"/>
    <w:rsid w:val="000C197E"/>
    <w:rsid w:val="000C2187"/>
    <w:rsid w:val="000C28A7"/>
    <w:rsid w:val="000C2934"/>
    <w:rsid w:val="000C293E"/>
    <w:rsid w:val="000C29B4"/>
    <w:rsid w:val="000C2D04"/>
    <w:rsid w:val="000C2F0F"/>
    <w:rsid w:val="000C2F90"/>
    <w:rsid w:val="000C3573"/>
    <w:rsid w:val="000C4B08"/>
    <w:rsid w:val="000C51DE"/>
    <w:rsid w:val="000C632A"/>
    <w:rsid w:val="000C6A5A"/>
    <w:rsid w:val="000D0CAA"/>
    <w:rsid w:val="000D0E81"/>
    <w:rsid w:val="000D102D"/>
    <w:rsid w:val="000D1668"/>
    <w:rsid w:val="000D1D28"/>
    <w:rsid w:val="000D27EE"/>
    <w:rsid w:val="000D29F3"/>
    <w:rsid w:val="000D3093"/>
    <w:rsid w:val="000D3BC0"/>
    <w:rsid w:val="000D3DB2"/>
    <w:rsid w:val="000D3E95"/>
    <w:rsid w:val="000D41E5"/>
    <w:rsid w:val="000D42E1"/>
    <w:rsid w:val="000D52F8"/>
    <w:rsid w:val="000D570C"/>
    <w:rsid w:val="000D5AE6"/>
    <w:rsid w:val="000D6E84"/>
    <w:rsid w:val="000D7EAC"/>
    <w:rsid w:val="000E0348"/>
    <w:rsid w:val="000E0C06"/>
    <w:rsid w:val="000E1641"/>
    <w:rsid w:val="000E16A0"/>
    <w:rsid w:val="000E1874"/>
    <w:rsid w:val="000E1932"/>
    <w:rsid w:val="000E264F"/>
    <w:rsid w:val="000E2AA0"/>
    <w:rsid w:val="000E2F4E"/>
    <w:rsid w:val="000E4D20"/>
    <w:rsid w:val="000E7199"/>
    <w:rsid w:val="000E71CF"/>
    <w:rsid w:val="000E7926"/>
    <w:rsid w:val="000E7C85"/>
    <w:rsid w:val="000E7F78"/>
    <w:rsid w:val="000F0530"/>
    <w:rsid w:val="000F0A40"/>
    <w:rsid w:val="000F139A"/>
    <w:rsid w:val="000F385D"/>
    <w:rsid w:val="000F3A92"/>
    <w:rsid w:val="000F3C2C"/>
    <w:rsid w:val="000F4CB1"/>
    <w:rsid w:val="000F4D12"/>
    <w:rsid w:val="000F5009"/>
    <w:rsid w:val="000F52F3"/>
    <w:rsid w:val="000F54E5"/>
    <w:rsid w:val="000F5DDF"/>
    <w:rsid w:val="000F6E4B"/>
    <w:rsid w:val="000F77E3"/>
    <w:rsid w:val="000F7D36"/>
    <w:rsid w:val="0010035F"/>
    <w:rsid w:val="001003EC"/>
    <w:rsid w:val="00100878"/>
    <w:rsid w:val="001009D4"/>
    <w:rsid w:val="00100B31"/>
    <w:rsid w:val="001010DC"/>
    <w:rsid w:val="0010146F"/>
    <w:rsid w:val="00101FFA"/>
    <w:rsid w:val="0010250E"/>
    <w:rsid w:val="001026F5"/>
    <w:rsid w:val="00102D04"/>
    <w:rsid w:val="00102EF5"/>
    <w:rsid w:val="00103616"/>
    <w:rsid w:val="0010387E"/>
    <w:rsid w:val="00103E24"/>
    <w:rsid w:val="00104883"/>
    <w:rsid w:val="00104D41"/>
    <w:rsid w:val="00104E8E"/>
    <w:rsid w:val="00104FF8"/>
    <w:rsid w:val="001057E1"/>
    <w:rsid w:val="0010656E"/>
    <w:rsid w:val="001065A3"/>
    <w:rsid w:val="00106999"/>
    <w:rsid w:val="00106C44"/>
    <w:rsid w:val="00106C9D"/>
    <w:rsid w:val="00106CDA"/>
    <w:rsid w:val="00106FD5"/>
    <w:rsid w:val="00107866"/>
    <w:rsid w:val="00107A01"/>
    <w:rsid w:val="00107B5F"/>
    <w:rsid w:val="00107C20"/>
    <w:rsid w:val="00107D23"/>
    <w:rsid w:val="001108EA"/>
    <w:rsid w:val="00111E06"/>
    <w:rsid w:val="001122EC"/>
    <w:rsid w:val="001125B1"/>
    <w:rsid w:val="001127DB"/>
    <w:rsid w:val="00112D33"/>
    <w:rsid w:val="00112ECD"/>
    <w:rsid w:val="00113CBF"/>
    <w:rsid w:val="001140D8"/>
    <w:rsid w:val="001141AA"/>
    <w:rsid w:val="001152B1"/>
    <w:rsid w:val="001159C8"/>
    <w:rsid w:val="00115D77"/>
    <w:rsid w:val="00115E8C"/>
    <w:rsid w:val="001169B1"/>
    <w:rsid w:val="001202A8"/>
    <w:rsid w:val="00120C34"/>
    <w:rsid w:val="001210E7"/>
    <w:rsid w:val="0012113B"/>
    <w:rsid w:val="0012175B"/>
    <w:rsid w:val="001218BF"/>
    <w:rsid w:val="00122966"/>
    <w:rsid w:val="0012392F"/>
    <w:rsid w:val="00123A03"/>
    <w:rsid w:val="00124941"/>
    <w:rsid w:val="0012546F"/>
    <w:rsid w:val="00125F36"/>
    <w:rsid w:val="001261FF"/>
    <w:rsid w:val="00126AD1"/>
    <w:rsid w:val="00126EF0"/>
    <w:rsid w:val="00127953"/>
    <w:rsid w:val="00127D48"/>
    <w:rsid w:val="0013005A"/>
    <w:rsid w:val="00130151"/>
    <w:rsid w:val="00130175"/>
    <w:rsid w:val="00130B5A"/>
    <w:rsid w:val="001313DE"/>
    <w:rsid w:val="001318E5"/>
    <w:rsid w:val="00132506"/>
    <w:rsid w:val="00132955"/>
    <w:rsid w:val="00132DD1"/>
    <w:rsid w:val="00133991"/>
    <w:rsid w:val="00133D1B"/>
    <w:rsid w:val="00134FB6"/>
    <w:rsid w:val="0013531B"/>
    <w:rsid w:val="001353F2"/>
    <w:rsid w:val="001355C7"/>
    <w:rsid w:val="00135FA0"/>
    <w:rsid w:val="00136F59"/>
    <w:rsid w:val="00136F99"/>
    <w:rsid w:val="00136FB3"/>
    <w:rsid w:val="00137440"/>
    <w:rsid w:val="00137C45"/>
    <w:rsid w:val="00137C7F"/>
    <w:rsid w:val="0014005F"/>
    <w:rsid w:val="00140AFB"/>
    <w:rsid w:val="00141700"/>
    <w:rsid w:val="0014199A"/>
    <w:rsid w:val="00141FA1"/>
    <w:rsid w:val="001429A9"/>
    <w:rsid w:val="00142A12"/>
    <w:rsid w:val="00142AB3"/>
    <w:rsid w:val="00142BA6"/>
    <w:rsid w:val="00143289"/>
    <w:rsid w:val="001437C6"/>
    <w:rsid w:val="00145962"/>
    <w:rsid w:val="00145995"/>
    <w:rsid w:val="00145B55"/>
    <w:rsid w:val="0014656F"/>
    <w:rsid w:val="00147482"/>
    <w:rsid w:val="001501A5"/>
    <w:rsid w:val="0015116E"/>
    <w:rsid w:val="001516D8"/>
    <w:rsid w:val="00151EA5"/>
    <w:rsid w:val="0015222A"/>
    <w:rsid w:val="00152517"/>
    <w:rsid w:val="00153217"/>
    <w:rsid w:val="00153427"/>
    <w:rsid w:val="00153AD2"/>
    <w:rsid w:val="00154052"/>
    <w:rsid w:val="0015437D"/>
    <w:rsid w:val="001553F8"/>
    <w:rsid w:val="00155A8A"/>
    <w:rsid w:val="00155BCD"/>
    <w:rsid w:val="00156085"/>
    <w:rsid w:val="0015613D"/>
    <w:rsid w:val="0015625B"/>
    <w:rsid w:val="001570BB"/>
    <w:rsid w:val="0015754E"/>
    <w:rsid w:val="00157C6D"/>
    <w:rsid w:val="001604CF"/>
    <w:rsid w:val="00160D47"/>
    <w:rsid w:val="001613F1"/>
    <w:rsid w:val="0016320C"/>
    <w:rsid w:val="0016346C"/>
    <w:rsid w:val="00163A33"/>
    <w:rsid w:val="00164604"/>
    <w:rsid w:val="00164A73"/>
    <w:rsid w:val="00164E94"/>
    <w:rsid w:val="00165176"/>
    <w:rsid w:val="00165297"/>
    <w:rsid w:val="0016596D"/>
    <w:rsid w:val="00165C8A"/>
    <w:rsid w:val="00166B21"/>
    <w:rsid w:val="00167226"/>
    <w:rsid w:val="00167B8E"/>
    <w:rsid w:val="00167C05"/>
    <w:rsid w:val="00170216"/>
    <w:rsid w:val="00171940"/>
    <w:rsid w:val="00171C95"/>
    <w:rsid w:val="00172193"/>
    <w:rsid w:val="0017256B"/>
    <w:rsid w:val="001728E2"/>
    <w:rsid w:val="001736AC"/>
    <w:rsid w:val="001738A3"/>
    <w:rsid w:val="00174A84"/>
    <w:rsid w:val="001757F4"/>
    <w:rsid w:val="00175CC4"/>
    <w:rsid w:val="00175E02"/>
    <w:rsid w:val="00180164"/>
    <w:rsid w:val="0018035C"/>
    <w:rsid w:val="0018048A"/>
    <w:rsid w:val="00180EC9"/>
    <w:rsid w:val="00180FE8"/>
    <w:rsid w:val="001815B8"/>
    <w:rsid w:val="00181749"/>
    <w:rsid w:val="00182025"/>
    <w:rsid w:val="00182B2A"/>
    <w:rsid w:val="00182EFB"/>
    <w:rsid w:val="00182FD6"/>
    <w:rsid w:val="00184662"/>
    <w:rsid w:val="00185DB0"/>
    <w:rsid w:val="00186633"/>
    <w:rsid w:val="0018663B"/>
    <w:rsid w:val="00186BDF"/>
    <w:rsid w:val="00186EA5"/>
    <w:rsid w:val="001872D6"/>
    <w:rsid w:val="00187862"/>
    <w:rsid w:val="00190430"/>
    <w:rsid w:val="001904CD"/>
    <w:rsid w:val="00190736"/>
    <w:rsid w:val="0019080F"/>
    <w:rsid w:val="001936F8"/>
    <w:rsid w:val="00194B4F"/>
    <w:rsid w:val="00194C8A"/>
    <w:rsid w:val="00194DC6"/>
    <w:rsid w:val="001974A1"/>
    <w:rsid w:val="00197D8D"/>
    <w:rsid w:val="001A00EE"/>
    <w:rsid w:val="001A0150"/>
    <w:rsid w:val="001A0372"/>
    <w:rsid w:val="001A042F"/>
    <w:rsid w:val="001A050E"/>
    <w:rsid w:val="001A09E5"/>
    <w:rsid w:val="001A0B12"/>
    <w:rsid w:val="001A155C"/>
    <w:rsid w:val="001A1E3B"/>
    <w:rsid w:val="001A1FBF"/>
    <w:rsid w:val="001A2793"/>
    <w:rsid w:val="001A28B6"/>
    <w:rsid w:val="001A2FB4"/>
    <w:rsid w:val="001A2FE0"/>
    <w:rsid w:val="001A45E7"/>
    <w:rsid w:val="001A4999"/>
    <w:rsid w:val="001A55FB"/>
    <w:rsid w:val="001A5C4C"/>
    <w:rsid w:val="001A5CDD"/>
    <w:rsid w:val="001A60E3"/>
    <w:rsid w:val="001A65AB"/>
    <w:rsid w:val="001A6D5F"/>
    <w:rsid w:val="001A6FE0"/>
    <w:rsid w:val="001A7BCE"/>
    <w:rsid w:val="001B146F"/>
    <w:rsid w:val="001B1D55"/>
    <w:rsid w:val="001B27F2"/>
    <w:rsid w:val="001B285F"/>
    <w:rsid w:val="001B2E37"/>
    <w:rsid w:val="001B3005"/>
    <w:rsid w:val="001B31E2"/>
    <w:rsid w:val="001B459C"/>
    <w:rsid w:val="001B45AD"/>
    <w:rsid w:val="001B5EE4"/>
    <w:rsid w:val="001B6242"/>
    <w:rsid w:val="001B692A"/>
    <w:rsid w:val="001B6CAA"/>
    <w:rsid w:val="001B7DC6"/>
    <w:rsid w:val="001B7FEB"/>
    <w:rsid w:val="001C014C"/>
    <w:rsid w:val="001C0684"/>
    <w:rsid w:val="001C0892"/>
    <w:rsid w:val="001C0B46"/>
    <w:rsid w:val="001C13D4"/>
    <w:rsid w:val="001C174C"/>
    <w:rsid w:val="001C1990"/>
    <w:rsid w:val="001C1B93"/>
    <w:rsid w:val="001C22E0"/>
    <w:rsid w:val="001C24BC"/>
    <w:rsid w:val="001C2612"/>
    <w:rsid w:val="001C2D7C"/>
    <w:rsid w:val="001C2EEF"/>
    <w:rsid w:val="001C3AE7"/>
    <w:rsid w:val="001C3BF5"/>
    <w:rsid w:val="001C426D"/>
    <w:rsid w:val="001C4521"/>
    <w:rsid w:val="001C4B5A"/>
    <w:rsid w:val="001C4E7C"/>
    <w:rsid w:val="001D00ED"/>
    <w:rsid w:val="001D027D"/>
    <w:rsid w:val="001D072B"/>
    <w:rsid w:val="001D0860"/>
    <w:rsid w:val="001D1885"/>
    <w:rsid w:val="001D2535"/>
    <w:rsid w:val="001D2D68"/>
    <w:rsid w:val="001D375F"/>
    <w:rsid w:val="001D3A6C"/>
    <w:rsid w:val="001D3D87"/>
    <w:rsid w:val="001D448C"/>
    <w:rsid w:val="001D4FCA"/>
    <w:rsid w:val="001E01A4"/>
    <w:rsid w:val="001E043B"/>
    <w:rsid w:val="001E13F4"/>
    <w:rsid w:val="001E3692"/>
    <w:rsid w:val="001E4CCF"/>
    <w:rsid w:val="001E4CD4"/>
    <w:rsid w:val="001E4DA8"/>
    <w:rsid w:val="001E5345"/>
    <w:rsid w:val="001E5679"/>
    <w:rsid w:val="001E67CF"/>
    <w:rsid w:val="001E72BE"/>
    <w:rsid w:val="001E7804"/>
    <w:rsid w:val="001E7A04"/>
    <w:rsid w:val="001E7E83"/>
    <w:rsid w:val="001F001F"/>
    <w:rsid w:val="001F08E2"/>
    <w:rsid w:val="001F1AD4"/>
    <w:rsid w:val="001F1D0A"/>
    <w:rsid w:val="001F1F36"/>
    <w:rsid w:val="001F1F8D"/>
    <w:rsid w:val="001F2DCE"/>
    <w:rsid w:val="001F32C4"/>
    <w:rsid w:val="001F34E5"/>
    <w:rsid w:val="001F3640"/>
    <w:rsid w:val="001F3764"/>
    <w:rsid w:val="001F48DC"/>
    <w:rsid w:val="001F4ACE"/>
    <w:rsid w:val="001F557F"/>
    <w:rsid w:val="001F5588"/>
    <w:rsid w:val="001F5CEA"/>
    <w:rsid w:val="001F5DE1"/>
    <w:rsid w:val="001F60C8"/>
    <w:rsid w:val="001F6BDF"/>
    <w:rsid w:val="001F73D3"/>
    <w:rsid w:val="001F74FC"/>
    <w:rsid w:val="001F7640"/>
    <w:rsid w:val="001F7B93"/>
    <w:rsid w:val="001F7BCA"/>
    <w:rsid w:val="00200013"/>
    <w:rsid w:val="00200CF2"/>
    <w:rsid w:val="00200EFB"/>
    <w:rsid w:val="0020348F"/>
    <w:rsid w:val="0020354E"/>
    <w:rsid w:val="002039BE"/>
    <w:rsid w:val="0020441A"/>
    <w:rsid w:val="00204DEC"/>
    <w:rsid w:val="00204E3E"/>
    <w:rsid w:val="00205316"/>
    <w:rsid w:val="00205959"/>
    <w:rsid w:val="00205BB9"/>
    <w:rsid w:val="002074F2"/>
    <w:rsid w:val="00207861"/>
    <w:rsid w:val="002100C1"/>
    <w:rsid w:val="002106DD"/>
    <w:rsid w:val="00210B67"/>
    <w:rsid w:val="00210DC1"/>
    <w:rsid w:val="00210E80"/>
    <w:rsid w:val="00211134"/>
    <w:rsid w:val="002111D6"/>
    <w:rsid w:val="0021158B"/>
    <w:rsid w:val="00212979"/>
    <w:rsid w:val="00212A21"/>
    <w:rsid w:val="00212A3F"/>
    <w:rsid w:val="00213BED"/>
    <w:rsid w:val="00213CEE"/>
    <w:rsid w:val="00214519"/>
    <w:rsid w:val="00214652"/>
    <w:rsid w:val="00214FB9"/>
    <w:rsid w:val="00215159"/>
    <w:rsid w:val="002159ED"/>
    <w:rsid w:val="00216040"/>
    <w:rsid w:val="00217037"/>
    <w:rsid w:val="002171A0"/>
    <w:rsid w:val="002174C8"/>
    <w:rsid w:val="00220240"/>
    <w:rsid w:val="0022024A"/>
    <w:rsid w:val="002209D5"/>
    <w:rsid w:val="00220C1C"/>
    <w:rsid w:val="002217DF"/>
    <w:rsid w:val="00222B8A"/>
    <w:rsid w:val="00222E40"/>
    <w:rsid w:val="002236B7"/>
    <w:rsid w:val="00223BE0"/>
    <w:rsid w:val="002244D6"/>
    <w:rsid w:val="00224639"/>
    <w:rsid w:val="002246B1"/>
    <w:rsid w:val="00224891"/>
    <w:rsid w:val="00224D5F"/>
    <w:rsid w:val="00225029"/>
    <w:rsid w:val="00225A15"/>
    <w:rsid w:val="00226271"/>
    <w:rsid w:val="00226680"/>
    <w:rsid w:val="00226B7D"/>
    <w:rsid w:val="00226BE7"/>
    <w:rsid w:val="00230AB4"/>
    <w:rsid w:val="00230C2B"/>
    <w:rsid w:val="002320C8"/>
    <w:rsid w:val="002324FF"/>
    <w:rsid w:val="00232CCD"/>
    <w:rsid w:val="00233083"/>
    <w:rsid w:val="002330ED"/>
    <w:rsid w:val="00233A7F"/>
    <w:rsid w:val="00233B3A"/>
    <w:rsid w:val="00233E5B"/>
    <w:rsid w:val="00233F95"/>
    <w:rsid w:val="00234D33"/>
    <w:rsid w:val="00234DC8"/>
    <w:rsid w:val="00234E9B"/>
    <w:rsid w:val="00235102"/>
    <w:rsid w:val="00235147"/>
    <w:rsid w:val="0023672D"/>
    <w:rsid w:val="00240484"/>
    <w:rsid w:val="00240979"/>
    <w:rsid w:val="00240A85"/>
    <w:rsid w:val="00240BFC"/>
    <w:rsid w:val="00241C15"/>
    <w:rsid w:val="00241DE2"/>
    <w:rsid w:val="00242752"/>
    <w:rsid w:val="0024304A"/>
    <w:rsid w:val="00243957"/>
    <w:rsid w:val="00243CEC"/>
    <w:rsid w:val="00243D69"/>
    <w:rsid w:val="00244216"/>
    <w:rsid w:val="002446C8"/>
    <w:rsid w:val="00244A2C"/>
    <w:rsid w:val="00244D7A"/>
    <w:rsid w:val="00244E10"/>
    <w:rsid w:val="00244F24"/>
    <w:rsid w:val="00245A02"/>
    <w:rsid w:val="00246596"/>
    <w:rsid w:val="00246C1A"/>
    <w:rsid w:val="00246D23"/>
    <w:rsid w:val="00246D54"/>
    <w:rsid w:val="002476C8"/>
    <w:rsid w:val="00247C68"/>
    <w:rsid w:val="002504D2"/>
    <w:rsid w:val="00250822"/>
    <w:rsid w:val="00250976"/>
    <w:rsid w:val="00250BFC"/>
    <w:rsid w:val="002511D7"/>
    <w:rsid w:val="0025167A"/>
    <w:rsid w:val="00251DAD"/>
    <w:rsid w:val="00252464"/>
    <w:rsid w:val="00253A84"/>
    <w:rsid w:val="00253ABC"/>
    <w:rsid w:val="00254042"/>
    <w:rsid w:val="0025414C"/>
    <w:rsid w:val="002546D5"/>
    <w:rsid w:val="00255839"/>
    <w:rsid w:val="00255FA4"/>
    <w:rsid w:val="0025601C"/>
    <w:rsid w:val="002571EC"/>
    <w:rsid w:val="00257B07"/>
    <w:rsid w:val="002608AB"/>
    <w:rsid w:val="00260AE7"/>
    <w:rsid w:val="00260BAC"/>
    <w:rsid w:val="00261A7F"/>
    <w:rsid w:val="00261E09"/>
    <w:rsid w:val="00262210"/>
    <w:rsid w:val="0026288C"/>
    <w:rsid w:val="002628C1"/>
    <w:rsid w:val="00263CED"/>
    <w:rsid w:val="00263DEB"/>
    <w:rsid w:val="00265826"/>
    <w:rsid w:val="00265B65"/>
    <w:rsid w:val="00265C9E"/>
    <w:rsid w:val="00265CDF"/>
    <w:rsid w:val="00265FE5"/>
    <w:rsid w:val="00266600"/>
    <w:rsid w:val="0026712A"/>
    <w:rsid w:val="002674AF"/>
    <w:rsid w:val="0027010F"/>
    <w:rsid w:val="002702E5"/>
    <w:rsid w:val="00270A67"/>
    <w:rsid w:val="00270C2F"/>
    <w:rsid w:val="00271CFA"/>
    <w:rsid w:val="00271DE1"/>
    <w:rsid w:val="002723E6"/>
    <w:rsid w:val="002723FC"/>
    <w:rsid w:val="0027275A"/>
    <w:rsid w:val="00272DA2"/>
    <w:rsid w:val="00273D62"/>
    <w:rsid w:val="00274161"/>
    <w:rsid w:val="0027417F"/>
    <w:rsid w:val="00275E4C"/>
    <w:rsid w:val="00276040"/>
    <w:rsid w:val="00276524"/>
    <w:rsid w:val="00276B6C"/>
    <w:rsid w:val="00276BC6"/>
    <w:rsid w:val="002773E7"/>
    <w:rsid w:val="0028006D"/>
    <w:rsid w:val="00281737"/>
    <w:rsid w:val="00281A07"/>
    <w:rsid w:val="00281E90"/>
    <w:rsid w:val="00282A2E"/>
    <w:rsid w:val="00283C96"/>
    <w:rsid w:val="0028440D"/>
    <w:rsid w:val="00284A43"/>
    <w:rsid w:val="00284A82"/>
    <w:rsid w:val="0028679F"/>
    <w:rsid w:val="00286DB7"/>
    <w:rsid w:val="00287367"/>
    <w:rsid w:val="0028767F"/>
    <w:rsid w:val="002876CD"/>
    <w:rsid w:val="00287D39"/>
    <w:rsid w:val="0029022F"/>
    <w:rsid w:val="00291109"/>
    <w:rsid w:val="0029168F"/>
    <w:rsid w:val="00292410"/>
    <w:rsid w:val="00292C45"/>
    <w:rsid w:val="0029347F"/>
    <w:rsid w:val="002942C4"/>
    <w:rsid w:val="00294AF2"/>
    <w:rsid w:val="0029535E"/>
    <w:rsid w:val="00295792"/>
    <w:rsid w:val="002960D6"/>
    <w:rsid w:val="0029627F"/>
    <w:rsid w:val="0029634E"/>
    <w:rsid w:val="002968B0"/>
    <w:rsid w:val="00296FD4"/>
    <w:rsid w:val="00297144"/>
    <w:rsid w:val="002976A6"/>
    <w:rsid w:val="002A06B9"/>
    <w:rsid w:val="002A106F"/>
    <w:rsid w:val="002A2283"/>
    <w:rsid w:val="002A2890"/>
    <w:rsid w:val="002A2A49"/>
    <w:rsid w:val="002A2B59"/>
    <w:rsid w:val="002A2DE8"/>
    <w:rsid w:val="002A2FBC"/>
    <w:rsid w:val="002A31DE"/>
    <w:rsid w:val="002A3EB6"/>
    <w:rsid w:val="002A4611"/>
    <w:rsid w:val="002A5033"/>
    <w:rsid w:val="002A6062"/>
    <w:rsid w:val="002A62D2"/>
    <w:rsid w:val="002A7E6F"/>
    <w:rsid w:val="002B0B94"/>
    <w:rsid w:val="002B0C46"/>
    <w:rsid w:val="002B155A"/>
    <w:rsid w:val="002B1A73"/>
    <w:rsid w:val="002B1B7D"/>
    <w:rsid w:val="002B1D9F"/>
    <w:rsid w:val="002B241D"/>
    <w:rsid w:val="002B2FF8"/>
    <w:rsid w:val="002B42A7"/>
    <w:rsid w:val="002B492F"/>
    <w:rsid w:val="002B4ECC"/>
    <w:rsid w:val="002B4FCE"/>
    <w:rsid w:val="002B4FE3"/>
    <w:rsid w:val="002B54C0"/>
    <w:rsid w:val="002B5CF7"/>
    <w:rsid w:val="002B603B"/>
    <w:rsid w:val="002B60B3"/>
    <w:rsid w:val="002B65B0"/>
    <w:rsid w:val="002B6F8F"/>
    <w:rsid w:val="002B7ABA"/>
    <w:rsid w:val="002B7B37"/>
    <w:rsid w:val="002C0571"/>
    <w:rsid w:val="002C0B94"/>
    <w:rsid w:val="002C1FAF"/>
    <w:rsid w:val="002C28EA"/>
    <w:rsid w:val="002C2952"/>
    <w:rsid w:val="002C2F5F"/>
    <w:rsid w:val="002C3788"/>
    <w:rsid w:val="002C3B1C"/>
    <w:rsid w:val="002C4DAD"/>
    <w:rsid w:val="002C5354"/>
    <w:rsid w:val="002C5AAD"/>
    <w:rsid w:val="002C665C"/>
    <w:rsid w:val="002C699B"/>
    <w:rsid w:val="002C6A2C"/>
    <w:rsid w:val="002C6BB9"/>
    <w:rsid w:val="002C6E3C"/>
    <w:rsid w:val="002C746A"/>
    <w:rsid w:val="002C756D"/>
    <w:rsid w:val="002C7965"/>
    <w:rsid w:val="002C7D6C"/>
    <w:rsid w:val="002D0411"/>
    <w:rsid w:val="002D0B52"/>
    <w:rsid w:val="002D0F27"/>
    <w:rsid w:val="002D11DB"/>
    <w:rsid w:val="002D1C0E"/>
    <w:rsid w:val="002D1CD4"/>
    <w:rsid w:val="002D1CE9"/>
    <w:rsid w:val="002D1FD1"/>
    <w:rsid w:val="002D255F"/>
    <w:rsid w:val="002D270A"/>
    <w:rsid w:val="002D28B3"/>
    <w:rsid w:val="002D31BF"/>
    <w:rsid w:val="002D4204"/>
    <w:rsid w:val="002D6E57"/>
    <w:rsid w:val="002E01DA"/>
    <w:rsid w:val="002E05C0"/>
    <w:rsid w:val="002E06A8"/>
    <w:rsid w:val="002E1DD7"/>
    <w:rsid w:val="002E2672"/>
    <w:rsid w:val="002E3343"/>
    <w:rsid w:val="002E42F7"/>
    <w:rsid w:val="002E5806"/>
    <w:rsid w:val="002E5F42"/>
    <w:rsid w:val="002E6081"/>
    <w:rsid w:val="002E71A1"/>
    <w:rsid w:val="002F14D3"/>
    <w:rsid w:val="002F2779"/>
    <w:rsid w:val="002F32BE"/>
    <w:rsid w:val="002F4C8C"/>
    <w:rsid w:val="002F5368"/>
    <w:rsid w:val="002F53EC"/>
    <w:rsid w:val="002F55C2"/>
    <w:rsid w:val="002F6061"/>
    <w:rsid w:val="002F6366"/>
    <w:rsid w:val="002F67E3"/>
    <w:rsid w:val="002F6983"/>
    <w:rsid w:val="002F6EEF"/>
    <w:rsid w:val="002F6F58"/>
    <w:rsid w:val="002F7796"/>
    <w:rsid w:val="002F7C15"/>
    <w:rsid w:val="003005A2"/>
    <w:rsid w:val="0030096B"/>
    <w:rsid w:val="00300B7C"/>
    <w:rsid w:val="00300BE4"/>
    <w:rsid w:val="00300C1B"/>
    <w:rsid w:val="00302DCA"/>
    <w:rsid w:val="00302E4A"/>
    <w:rsid w:val="00303587"/>
    <w:rsid w:val="00304198"/>
    <w:rsid w:val="003042EC"/>
    <w:rsid w:val="00304D41"/>
    <w:rsid w:val="00304E94"/>
    <w:rsid w:val="003060DB"/>
    <w:rsid w:val="00306C0F"/>
    <w:rsid w:val="00307149"/>
    <w:rsid w:val="003073F7"/>
    <w:rsid w:val="003100C3"/>
    <w:rsid w:val="003118B4"/>
    <w:rsid w:val="00311ADC"/>
    <w:rsid w:val="00311C7B"/>
    <w:rsid w:val="00311DD6"/>
    <w:rsid w:val="00312165"/>
    <w:rsid w:val="00312D76"/>
    <w:rsid w:val="003139B2"/>
    <w:rsid w:val="00313C06"/>
    <w:rsid w:val="00313D66"/>
    <w:rsid w:val="003145C5"/>
    <w:rsid w:val="00314C05"/>
    <w:rsid w:val="00315260"/>
    <w:rsid w:val="00315296"/>
    <w:rsid w:val="00315693"/>
    <w:rsid w:val="00315F1F"/>
    <w:rsid w:val="00316030"/>
    <w:rsid w:val="0031777C"/>
    <w:rsid w:val="00317D27"/>
    <w:rsid w:val="0032071B"/>
    <w:rsid w:val="00320964"/>
    <w:rsid w:val="003209C6"/>
    <w:rsid w:val="00320B8E"/>
    <w:rsid w:val="0032161D"/>
    <w:rsid w:val="00321A27"/>
    <w:rsid w:val="00322575"/>
    <w:rsid w:val="00322943"/>
    <w:rsid w:val="00322A6B"/>
    <w:rsid w:val="00322E6A"/>
    <w:rsid w:val="003244B0"/>
    <w:rsid w:val="00324D32"/>
    <w:rsid w:val="00325287"/>
    <w:rsid w:val="0032536C"/>
    <w:rsid w:val="00325617"/>
    <w:rsid w:val="00325F61"/>
    <w:rsid w:val="00326272"/>
    <w:rsid w:val="003263B5"/>
    <w:rsid w:val="003264DC"/>
    <w:rsid w:val="00327998"/>
    <w:rsid w:val="00327B81"/>
    <w:rsid w:val="00331196"/>
    <w:rsid w:val="00331599"/>
    <w:rsid w:val="00331AE9"/>
    <w:rsid w:val="0033237B"/>
    <w:rsid w:val="0033244D"/>
    <w:rsid w:val="00333641"/>
    <w:rsid w:val="00333851"/>
    <w:rsid w:val="003338DB"/>
    <w:rsid w:val="00333B7D"/>
    <w:rsid w:val="00334A06"/>
    <w:rsid w:val="00334F8F"/>
    <w:rsid w:val="00335288"/>
    <w:rsid w:val="00335DF1"/>
    <w:rsid w:val="00336431"/>
    <w:rsid w:val="00336B2D"/>
    <w:rsid w:val="00337903"/>
    <w:rsid w:val="003379EF"/>
    <w:rsid w:val="00340365"/>
    <w:rsid w:val="00340C82"/>
    <w:rsid w:val="00340FAA"/>
    <w:rsid w:val="00340FB9"/>
    <w:rsid w:val="0034126C"/>
    <w:rsid w:val="0034195F"/>
    <w:rsid w:val="00341AB9"/>
    <w:rsid w:val="003423BD"/>
    <w:rsid w:val="00342EA7"/>
    <w:rsid w:val="00343796"/>
    <w:rsid w:val="00345A43"/>
    <w:rsid w:val="00345F77"/>
    <w:rsid w:val="00347503"/>
    <w:rsid w:val="00350084"/>
    <w:rsid w:val="00350199"/>
    <w:rsid w:val="0035180F"/>
    <w:rsid w:val="00351DE2"/>
    <w:rsid w:val="00352330"/>
    <w:rsid w:val="0035330D"/>
    <w:rsid w:val="0035345E"/>
    <w:rsid w:val="00353793"/>
    <w:rsid w:val="00353F81"/>
    <w:rsid w:val="00356381"/>
    <w:rsid w:val="00356D16"/>
    <w:rsid w:val="00356D47"/>
    <w:rsid w:val="0035774B"/>
    <w:rsid w:val="003578C1"/>
    <w:rsid w:val="003579DC"/>
    <w:rsid w:val="00357C9E"/>
    <w:rsid w:val="003606E5"/>
    <w:rsid w:val="0036133A"/>
    <w:rsid w:val="0036168B"/>
    <w:rsid w:val="00361950"/>
    <w:rsid w:val="00362532"/>
    <w:rsid w:val="0036289A"/>
    <w:rsid w:val="00362CCB"/>
    <w:rsid w:val="00362E96"/>
    <w:rsid w:val="00363485"/>
    <w:rsid w:val="00363610"/>
    <w:rsid w:val="003645B8"/>
    <w:rsid w:val="00364D7C"/>
    <w:rsid w:val="00364DE7"/>
    <w:rsid w:val="00365CD6"/>
    <w:rsid w:val="00367A74"/>
    <w:rsid w:val="00367BB6"/>
    <w:rsid w:val="00370AF0"/>
    <w:rsid w:val="00371B44"/>
    <w:rsid w:val="00371D51"/>
    <w:rsid w:val="00371ED7"/>
    <w:rsid w:val="00372655"/>
    <w:rsid w:val="003729C5"/>
    <w:rsid w:val="00372F3A"/>
    <w:rsid w:val="00373648"/>
    <w:rsid w:val="00373E92"/>
    <w:rsid w:val="00374178"/>
    <w:rsid w:val="00374298"/>
    <w:rsid w:val="00375A7D"/>
    <w:rsid w:val="00376432"/>
    <w:rsid w:val="003769B2"/>
    <w:rsid w:val="00376B28"/>
    <w:rsid w:val="003772C7"/>
    <w:rsid w:val="003774BE"/>
    <w:rsid w:val="00377AD5"/>
    <w:rsid w:val="00377EDE"/>
    <w:rsid w:val="0038047B"/>
    <w:rsid w:val="00380908"/>
    <w:rsid w:val="00380AA1"/>
    <w:rsid w:val="00380C38"/>
    <w:rsid w:val="00380E59"/>
    <w:rsid w:val="003815EE"/>
    <w:rsid w:val="003837AF"/>
    <w:rsid w:val="00383A28"/>
    <w:rsid w:val="00383D09"/>
    <w:rsid w:val="003853B7"/>
    <w:rsid w:val="003856CF"/>
    <w:rsid w:val="00387A0C"/>
    <w:rsid w:val="00390244"/>
    <w:rsid w:val="00390C2A"/>
    <w:rsid w:val="00390FE8"/>
    <w:rsid w:val="00391399"/>
    <w:rsid w:val="0039188A"/>
    <w:rsid w:val="003918D9"/>
    <w:rsid w:val="00391FBA"/>
    <w:rsid w:val="00392D9F"/>
    <w:rsid w:val="003932FA"/>
    <w:rsid w:val="00394392"/>
    <w:rsid w:val="00394624"/>
    <w:rsid w:val="00394AC9"/>
    <w:rsid w:val="00394AF2"/>
    <w:rsid w:val="00394D07"/>
    <w:rsid w:val="00395674"/>
    <w:rsid w:val="0039642E"/>
    <w:rsid w:val="00396A3F"/>
    <w:rsid w:val="00396FE1"/>
    <w:rsid w:val="003971BC"/>
    <w:rsid w:val="00397336"/>
    <w:rsid w:val="00397D27"/>
    <w:rsid w:val="003A0A0D"/>
    <w:rsid w:val="003A0DA4"/>
    <w:rsid w:val="003A0DAE"/>
    <w:rsid w:val="003A16BF"/>
    <w:rsid w:val="003A266C"/>
    <w:rsid w:val="003A29AF"/>
    <w:rsid w:val="003A31A4"/>
    <w:rsid w:val="003A34F0"/>
    <w:rsid w:val="003A4F0D"/>
    <w:rsid w:val="003A5438"/>
    <w:rsid w:val="003A572A"/>
    <w:rsid w:val="003A62ED"/>
    <w:rsid w:val="003A6544"/>
    <w:rsid w:val="003A7960"/>
    <w:rsid w:val="003A7C40"/>
    <w:rsid w:val="003B0075"/>
    <w:rsid w:val="003B00F2"/>
    <w:rsid w:val="003B0166"/>
    <w:rsid w:val="003B0666"/>
    <w:rsid w:val="003B106C"/>
    <w:rsid w:val="003B123C"/>
    <w:rsid w:val="003B1AA8"/>
    <w:rsid w:val="003B1FBC"/>
    <w:rsid w:val="003B394F"/>
    <w:rsid w:val="003B465A"/>
    <w:rsid w:val="003B46F3"/>
    <w:rsid w:val="003B489F"/>
    <w:rsid w:val="003B5643"/>
    <w:rsid w:val="003B582C"/>
    <w:rsid w:val="003B5F67"/>
    <w:rsid w:val="003B6A42"/>
    <w:rsid w:val="003B6C18"/>
    <w:rsid w:val="003B74FF"/>
    <w:rsid w:val="003B784C"/>
    <w:rsid w:val="003B7DDA"/>
    <w:rsid w:val="003C1EF6"/>
    <w:rsid w:val="003C26AD"/>
    <w:rsid w:val="003C27A2"/>
    <w:rsid w:val="003C32E9"/>
    <w:rsid w:val="003C3767"/>
    <w:rsid w:val="003C37B3"/>
    <w:rsid w:val="003C3D1D"/>
    <w:rsid w:val="003C3ED7"/>
    <w:rsid w:val="003C43B6"/>
    <w:rsid w:val="003C49BD"/>
    <w:rsid w:val="003C5320"/>
    <w:rsid w:val="003C630D"/>
    <w:rsid w:val="003C6694"/>
    <w:rsid w:val="003C7066"/>
    <w:rsid w:val="003C7B26"/>
    <w:rsid w:val="003C7F5B"/>
    <w:rsid w:val="003D17B0"/>
    <w:rsid w:val="003D1C6E"/>
    <w:rsid w:val="003D2586"/>
    <w:rsid w:val="003D2811"/>
    <w:rsid w:val="003D2CEF"/>
    <w:rsid w:val="003D35AA"/>
    <w:rsid w:val="003D38C1"/>
    <w:rsid w:val="003D4602"/>
    <w:rsid w:val="003D4804"/>
    <w:rsid w:val="003D5814"/>
    <w:rsid w:val="003D6021"/>
    <w:rsid w:val="003E036A"/>
    <w:rsid w:val="003E056F"/>
    <w:rsid w:val="003E166D"/>
    <w:rsid w:val="003E16A8"/>
    <w:rsid w:val="003E179F"/>
    <w:rsid w:val="003E20D5"/>
    <w:rsid w:val="003E27EA"/>
    <w:rsid w:val="003E33C4"/>
    <w:rsid w:val="003E33D8"/>
    <w:rsid w:val="003E39DF"/>
    <w:rsid w:val="003E3C4A"/>
    <w:rsid w:val="003E4253"/>
    <w:rsid w:val="003E4368"/>
    <w:rsid w:val="003E43DB"/>
    <w:rsid w:val="003E4443"/>
    <w:rsid w:val="003E4476"/>
    <w:rsid w:val="003E4F97"/>
    <w:rsid w:val="003E5896"/>
    <w:rsid w:val="003E5942"/>
    <w:rsid w:val="003E5AA8"/>
    <w:rsid w:val="003E5B41"/>
    <w:rsid w:val="003E5E09"/>
    <w:rsid w:val="003E5EA1"/>
    <w:rsid w:val="003E6B71"/>
    <w:rsid w:val="003E71CC"/>
    <w:rsid w:val="003E72D7"/>
    <w:rsid w:val="003E79B1"/>
    <w:rsid w:val="003F01F8"/>
    <w:rsid w:val="003F05E5"/>
    <w:rsid w:val="003F08B9"/>
    <w:rsid w:val="003F09D2"/>
    <w:rsid w:val="003F1164"/>
    <w:rsid w:val="003F1DCD"/>
    <w:rsid w:val="003F211F"/>
    <w:rsid w:val="003F2AAC"/>
    <w:rsid w:val="003F4BCB"/>
    <w:rsid w:val="003F6036"/>
    <w:rsid w:val="003F730D"/>
    <w:rsid w:val="003F7972"/>
    <w:rsid w:val="003F7EFA"/>
    <w:rsid w:val="0040078C"/>
    <w:rsid w:val="0040079F"/>
    <w:rsid w:val="004008F7"/>
    <w:rsid w:val="00401074"/>
    <w:rsid w:val="004012D4"/>
    <w:rsid w:val="00401649"/>
    <w:rsid w:val="00401C23"/>
    <w:rsid w:val="00402E14"/>
    <w:rsid w:val="00402E23"/>
    <w:rsid w:val="004035FE"/>
    <w:rsid w:val="0040385F"/>
    <w:rsid w:val="00403AF1"/>
    <w:rsid w:val="00404195"/>
    <w:rsid w:val="004043B5"/>
    <w:rsid w:val="00404CC6"/>
    <w:rsid w:val="0040520E"/>
    <w:rsid w:val="00405516"/>
    <w:rsid w:val="00405918"/>
    <w:rsid w:val="00405D32"/>
    <w:rsid w:val="00406C87"/>
    <w:rsid w:val="004077FB"/>
    <w:rsid w:val="00407BCB"/>
    <w:rsid w:val="00407D90"/>
    <w:rsid w:val="00407EC9"/>
    <w:rsid w:val="00410092"/>
    <w:rsid w:val="00412DDE"/>
    <w:rsid w:val="00413050"/>
    <w:rsid w:val="00413CD2"/>
    <w:rsid w:val="00413D29"/>
    <w:rsid w:val="00414195"/>
    <w:rsid w:val="00414232"/>
    <w:rsid w:val="004146E1"/>
    <w:rsid w:val="00415172"/>
    <w:rsid w:val="00415242"/>
    <w:rsid w:val="004157FF"/>
    <w:rsid w:val="00415E00"/>
    <w:rsid w:val="0041610E"/>
    <w:rsid w:val="004165AE"/>
    <w:rsid w:val="004174EC"/>
    <w:rsid w:val="0041785B"/>
    <w:rsid w:val="00420F37"/>
    <w:rsid w:val="00421482"/>
    <w:rsid w:val="00421898"/>
    <w:rsid w:val="00421931"/>
    <w:rsid w:val="00421A62"/>
    <w:rsid w:val="00421C9F"/>
    <w:rsid w:val="004227C9"/>
    <w:rsid w:val="00422B90"/>
    <w:rsid w:val="00423091"/>
    <w:rsid w:val="00423B5F"/>
    <w:rsid w:val="00424435"/>
    <w:rsid w:val="0042447A"/>
    <w:rsid w:val="00425328"/>
    <w:rsid w:val="00425981"/>
    <w:rsid w:val="00426458"/>
    <w:rsid w:val="00426D3D"/>
    <w:rsid w:val="004276D0"/>
    <w:rsid w:val="00427B3A"/>
    <w:rsid w:val="00427E1A"/>
    <w:rsid w:val="004305C7"/>
    <w:rsid w:val="00430691"/>
    <w:rsid w:val="00430D1F"/>
    <w:rsid w:val="00430F8C"/>
    <w:rsid w:val="00431E63"/>
    <w:rsid w:val="0043247F"/>
    <w:rsid w:val="004325F8"/>
    <w:rsid w:val="00432BF2"/>
    <w:rsid w:val="00432F72"/>
    <w:rsid w:val="00433291"/>
    <w:rsid w:val="00435532"/>
    <w:rsid w:val="00435731"/>
    <w:rsid w:val="004363C3"/>
    <w:rsid w:val="004379B5"/>
    <w:rsid w:val="00437C49"/>
    <w:rsid w:val="00437F2B"/>
    <w:rsid w:val="0044010A"/>
    <w:rsid w:val="0044095D"/>
    <w:rsid w:val="00440AED"/>
    <w:rsid w:val="004413FF"/>
    <w:rsid w:val="00441434"/>
    <w:rsid w:val="00441CB6"/>
    <w:rsid w:val="004421E5"/>
    <w:rsid w:val="00443058"/>
    <w:rsid w:val="0044319B"/>
    <w:rsid w:val="00443220"/>
    <w:rsid w:val="004435E9"/>
    <w:rsid w:val="00443EE5"/>
    <w:rsid w:val="00444687"/>
    <w:rsid w:val="0044595F"/>
    <w:rsid w:val="00446394"/>
    <w:rsid w:val="004465A6"/>
    <w:rsid w:val="004467E5"/>
    <w:rsid w:val="00447A48"/>
    <w:rsid w:val="00447B61"/>
    <w:rsid w:val="004507B0"/>
    <w:rsid w:val="00450AF9"/>
    <w:rsid w:val="00450BBA"/>
    <w:rsid w:val="004515CF"/>
    <w:rsid w:val="004527AD"/>
    <w:rsid w:val="0045291E"/>
    <w:rsid w:val="00452BD0"/>
    <w:rsid w:val="00452D40"/>
    <w:rsid w:val="0045340E"/>
    <w:rsid w:val="00453442"/>
    <w:rsid w:val="00453EF5"/>
    <w:rsid w:val="00455C33"/>
    <w:rsid w:val="00456068"/>
    <w:rsid w:val="00456C74"/>
    <w:rsid w:val="00457447"/>
    <w:rsid w:val="00460517"/>
    <w:rsid w:val="0046067F"/>
    <w:rsid w:val="00460A16"/>
    <w:rsid w:val="00460E8F"/>
    <w:rsid w:val="00461F8F"/>
    <w:rsid w:val="004622D8"/>
    <w:rsid w:val="00462617"/>
    <w:rsid w:val="0046270A"/>
    <w:rsid w:val="004629CC"/>
    <w:rsid w:val="00462D11"/>
    <w:rsid w:val="00462F0E"/>
    <w:rsid w:val="00463437"/>
    <w:rsid w:val="004637D3"/>
    <w:rsid w:val="0046395A"/>
    <w:rsid w:val="004639A0"/>
    <w:rsid w:val="00463FB9"/>
    <w:rsid w:val="00463FCE"/>
    <w:rsid w:val="0046406C"/>
    <w:rsid w:val="0046424A"/>
    <w:rsid w:val="00465739"/>
    <w:rsid w:val="00466257"/>
    <w:rsid w:val="004671FA"/>
    <w:rsid w:val="00467FD3"/>
    <w:rsid w:val="004700D3"/>
    <w:rsid w:val="004709D4"/>
    <w:rsid w:val="004716EA"/>
    <w:rsid w:val="00471EFB"/>
    <w:rsid w:val="00472B93"/>
    <w:rsid w:val="00472E79"/>
    <w:rsid w:val="00473B22"/>
    <w:rsid w:val="00473D43"/>
    <w:rsid w:val="00474F27"/>
    <w:rsid w:val="00475DDA"/>
    <w:rsid w:val="00476722"/>
    <w:rsid w:val="00476A18"/>
    <w:rsid w:val="00477057"/>
    <w:rsid w:val="00477683"/>
    <w:rsid w:val="00477789"/>
    <w:rsid w:val="00477B81"/>
    <w:rsid w:val="00477D1D"/>
    <w:rsid w:val="0048004C"/>
    <w:rsid w:val="0048029C"/>
    <w:rsid w:val="00480497"/>
    <w:rsid w:val="00480B75"/>
    <w:rsid w:val="0048174D"/>
    <w:rsid w:val="00481B43"/>
    <w:rsid w:val="00482119"/>
    <w:rsid w:val="004827AD"/>
    <w:rsid w:val="00482902"/>
    <w:rsid w:val="00482D18"/>
    <w:rsid w:val="00482EA5"/>
    <w:rsid w:val="004836F4"/>
    <w:rsid w:val="00483797"/>
    <w:rsid w:val="00484046"/>
    <w:rsid w:val="00484710"/>
    <w:rsid w:val="0048484C"/>
    <w:rsid w:val="00484C13"/>
    <w:rsid w:val="00485C69"/>
    <w:rsid w:val="00485E15"/>
    <w:rsid w:val="00486069"/>
    <w:rsid w:val="004867A6"/>
    <w:rsid w:val="004874F5"/>
    <w:rsid w:val="004875FA"/>
    <w:rsid w:val="00487A7A"/>
    <w:rsid w:val="00487FC0"/>
    <w:rsid w:val="004903B3"/>
    <w:rsid w:val="004916B0"/>
    <w:rsid w:val="00492A4F"/>
    <w:rsid w:val="0049301F"/>
    <w:rsid w:val="00493118"/>
    <w:rsid w:val="004932F4"/>
    <w:rsid w:val="0049390A"/>
    <w:rsid w:val="00495524"/>
    <w:rsid w:val="00495FE0"/>
    <w:rsid w:val="0049665F"/>
    <w:rsid w:val="0049686C"/>
    <w:rsid w:val="00497429"/>
    <w:rsid w:val="004979DD"/>
    <w:rsid w:val="004A082C"/>
    <w:rsid w:val="004A0F41"/>
    <w:rsid w:val="004A1ADF"/>
    <w:rsid w:val="004A26B1"/>
    <w:rsid w:val="004A272A"/>
    <w:rsid w:val="004A2B13"/>
    <w:rsid w:val="004A2CFF"/>
    <w:rsid w:val="004A418B"/>
    <w:rsid w:val="004A438D"/>
    <w:rsid w:val="004A51AE"/>
    <w:rsid w:val="004A5267"/>
    <w:rsid w:val="004A53E8"/>
    <w:rsid w:val="004A56F1"/>
    <w:rsid w:val="004A5714"/>
    <w:rsid w:val="004A64C1"/>
    <w:rsid w:val="004A69EF"/>
    <w:rsid w:val="004A740F"/>
    <w:rsid w:val="004A7519"/>
    <w:rsid w:val="004A78F4"/>
    <w:rsid w:val="004A792C"/>
    <w:rsid w:val="004B0C29"/>
    <w:rsid w:val="004B1274"/>
    <w:rsid w:val="004B147D"/>
    <w:rsid w:val="004B1F5B"/>
    <w:rsid w:val="004B2156"/>
    <w:rsid w:val="004B228F"/>
    <w:rsid w:val="004B2B84"/>
    <w:rsid w:val="004B385F"/>
    <w:rsid w:val="004B4678"/>
    <w:rsid w:val="004B4AAC"/>
    <w:rsid w:val="004B569C"/>
    <w:rsid w:val="004B648A"/>
    <w:rsid w:val="004B7573"/>
    <w:rsid w:val="004C0055"/>
    <w:rsid w:val="004C12EB"/>
    <w:rsid w:val="004C1A10"/>
    <w:rsid w:val="004C2FAA"/>
    <w:rsid w:val="004C3CA1"/>
    <w:rsid w:val="004C4D64"/>
    <w:rsid w:val="004C5193"/>
    <w:rsid w:val="004C534F"/>
    <w:rsid w:val="004C5467"/>
    <w:rsid w:val="004C5D69"/>
    <w:rsid w:val="004C61EE"/>
    <w:rsid w:val="004C6E39"/>
    <w:rsid w:val="004C7976"/>
    <w:rsid w:val="004C7A2B"/>
    <w:rsid w:val="004D0FB9"/>
    <w:rsid w:val="004D1CD9"/>
    <w:rsid w:val="004D252F"/>
    <w:rsid w:val="004D3165"/>
    <w:rsid w:val="004D3F21"/>
    <w:rsid w:val="004D40E9"/>
    <w:rsid w:val="004D5359"/>
    <w:rsid w:val="004D5415"/>
    <w:rsid w:val="004D54FA"/>
    <w:rsid w:val="004D588A"/>
    <w:rsid w:val="004D5A06"/>
    <w:rsid w:val="004D5D5E"/>
    <w:rsid w:val="004D5F7D"/>
    <w:rsid w:val="004D61FE"/>
    <w:rsid w:val="004D64FB"/>
    <w:rsid w:val="004D65E8"/>
    <w:rsid w:val="004D68A8"/>
    <w:rsid w:val="004D6917"/>
    <w:rsid w:val="004D69A2"/>
    <w:rsid w:val="004D69EC"/>
    <w:rsid w:val="004D6C5F"/>
    <w:rsid w:val="004D6FF8"/>
    <w:rsid w:val="004D7221"/>
    <w:rsid w:val="004D75ED"/>
    <w:rsid w:val="004D793B"/>
    <w:rsid w:val="004D7C7F"/>
    <w:rsid w:val="004D7E35"/>
    <w:rsid w:val="004E0270"/>
    <w:rsid w:val="004E0524"/>
    <w:rsid w:val="004E157E"/>
    <w:rsid w:val="004E1AAD"/>
    <w:rsid w:val="004E2766"/>
    <w:rsid w:val="004E2B5E"/>
    <w:rsid w:val="004E2FC7"/>
    <w:rsid w:val="004E3521"/>
    <w:rsid w:val="004E35A9"/>
    <w:rsid w:val="004E3AF2"/>
    <w:rsid w:val="004E49F7"/>
    <w:rsid w:val="004E526F"/>
    <w:rsid w:val="004E59A0"/>
    <w:rsid w:val="004E5D36"/>
    <w:rsid w:val="004E6566"/>
    <w:rsid w:val="004E6624"/>
    <w:rsid w:val="004E6F07"/>
    <w:rsid w:val="004E7FA4"/>
    <w:rsid w:val="004F0E6A"/>
    <w:rsid w:val="004F233B"/>
    <w:rsid w:val="004F23EB"/>
    <w:rsid w:val="004F3CD8"/>
    <w:rsid w:val="004F4F1F"/>
    <w:rsid w:val="004F5EF6"/>
    <w:rsid w:val="004F6806"/>
    <w:rsid w:val="004F6869"/>
    <w:rsid w:val="004F7226"/>
    <w:rsid w:val="004F73F0"/>
    <w:rsid w:val="004F76E9"/>
    <w:rsid w:val="0050036B"/>
    <w:rsid w:val="005009AD"/>
    <w:rsid w:val="00500EFA"/>
    <w:rsid w:val="005020A8"/>
    <w:rsid w:val="00502380"/>
    <w:rsid w:val="0050268F"/>
    <w:rsid w:val="005028E8"/>
    <w:rsid w:val="005029DC"/>
    <w:rsid w:val="00502A33"/>
    <w:rsid w:val="005031F2"/>
    <w:rsid w:val="00503A44"/>
    <w:rsid w:val="0050443A"/>
    <w:rsid w:val="00504824"/>
    <w:rsid w:val="00504EAE"/>
    <w:rsid w:val="005051C0"/>
    <w:rsid w:val="005055AD"/>
    <w:rsid w:val="005063DE"/>
    <w:rsid w:val="005064DA"/>
    <w:rsid w:val="00506F4A"/>
    <w:rsid w:val="005106D0"/>
    <w:rsid w:val="0051136F"/>
    <w:rsid w:val="0051179F"/>
    <w:rsid w:val="005120DA"/>
    <w:rsid w:val="00512C58"/>
    <w:rsid w:val="00512C5E"/>
    <w:rsid w:val="00512DA6"/>
    <w:rsid w:val="00512FCA"/>
    <w:rsid w:val="00513419"/>
    <w:rsid w:val="00513605"/>
    <w:rsid w:val="00513B97"/>
    <w:rsid w:val="00513D9F"/>
    <w:rsid w:val="0051412F"/>
    <w:rsid w:val="005141A8"/>
    <w:rsid w:val="00514A63"/>
    <w:rsid w:val="00515266"/>
    <w:rsid w:val="0051645F"/>
    <w:rsid w:val="00516D00"/>
    <w:rsid w:val="00516E03"/>
    <w:rsid w:val="00517229"/>
    <w:rsid w:val="005177FD"/>
    <w:rsid w:val="00517846"/>
    <w:rsid w:val="005179F5"/>
    <w:rsid w:val="00520DE0"/>
    <w:rsid w:val="005223A5"/>
    <w:rsid w:val="00523448"/>
    <w:rsid w:val="005235A7"/>
    <w:rsid w:val="00524FB8"/>
    <w:rsid w:val="005253F2"/>
    <w:rsid w:val="00526058"/>
    <w:rsid w:val="00526543"/>
    <w:rsid w:val="0052659D"/>
    <w:rsid w:val="00526BB4"/>
    <w:rsid w:val="00527355"/>
    <w:rsid w:val="005273E1"/>
    <w:rsid w:val="005279C4"/>
    <w:rsid w:val="00527D59"/>
    <w:rsid w:val="005300C5"/>
    <w:rsid w:val="005306C3"/>
    <w:rsid w:val="00531E1E"/>
    <w:rsid w:val="00532008"/>
    <w:rsid w:val="0053216D"/>
    <w:rsid w:val="005321F7"/>
    <w:rsid w:val="005323CF"/>
    <w:rsid w:val="00532D36"/>
    <w:rsid w:val="00532E84"/>
    <w:rsid w:val="00533362"/>
    <w:rsid w:val="005340F7"/>
    <w:rsid w:val="005348BA"/>
    <w:rsid w:val="005348D0"/>
    <w:rsid w:val="005355E7"/>
    <w:rsid w:val="00536165"/>
    <w:rsid w:val="00536177"/>
    <w:rsid w:val="0053647E"/>
    <w:rsid w:val="00536724"/>
    <w:rsid w:val="00536986"/>
    <w:rsid w:val="00536B58"/>
    <w:rsid w:val="00537999"/>
    <w:rsid w:val="00537B2D"/>
    <w:rsid w:val="00537BA7"/>
    <w:rsid w:val="005402C0"/>
    <w:rsid w:val="005407A3"/>
    <w:rsid w:val="0054177E"/>
    <w:rsid w:val="00541D06"/>
    <w:rsid w:val="005430D8"/>
    <w:rsid w:val="0054366F"/>
    <w:rsid w:val="00543B15"/>
    <w:rsid w:val="00544289"/>
    <w:rsid w:val="00544933"/>
    <w:rsid w:val="005466E6"/>
    <w:rsid w:val="005468BC"/>
    <w:rsid w:val="00546915"/>
    <w:rsid w:val="00547006"/>
    <w:rsid w:val="00547FB9"/>
    <w:rsid w:val="00550BFD"/>
    <w:rsid w:val="005518A8"/>
    <w:rsid w:val="00551F4C"/>
    <w:rsid w:val="00552906"/>
    <w:rsid w:val="00552CA2"/>
    <w:rsid w:val="00552CCE"/>
    <w:rsid w:val="00552EE7"/>
    <w:rsid w:val="005537E3"/>
    <w:rsid w:val="00554303"/>
    <w:rsid w:val="005548B3"/>
    <w:rsid w:val="00554971"/>
    <w:rsid w:val="005549EA"/>
    <w:rsid w:val="00555213"/>
    <w:rsid w:val="0055534B"/>
    <w:rsid w:val="00555544"/>
    <w:rsid w:val="00555B1E"/>
    <w:rsid w:val="00555EE2"/>
    <w:rsid w:val="00555FE5"/>
    <w:rsid w:val="00556B03"/>
    <w:rsid w:val="00556E9B"/>
    <w:rsid w:val="00556FAB"/>
    <w:rsid w:val="00560277"/>
    <w:rsid w:val="0056035A"/>
    <w:rsid w:val="00560C36"/>
    <w:rsid w:val="005615F6"/>
    <w:rsid w:val="0056186D"/>
    <w:rsid w:val="005618C5"/>
    <w:rsid w:val="00561A1A"/>
    <w:rsid w:val="00561C88"/>
    <w:rsid w:val="0056220E"/>
    <w:rsid w:val="005622B9"/>
    <w:rsid w:val="00562D49"/>
    <w:rsid w:val="00563F05"/>
    <w:rsid w:val="005643DD"/>
    <w:rsid w:val="00564A76"/>
    <w:rsid w:val="00564C18"/>
    <w:rsid w:val="00564E64"/>
    <w:rsid w:val="00565907"/>
    <w:rsid w:val="00565A37"/>
    <w:rsid w:val="00565BCA"/>
    <w:rsid w:val="00565F02"/>
    <w:rsid w:val="00566944"/>
    <w:rsid w:val="00566DFB"/>
    <w:rsid w:val="0056784F"/>
    <w:rsid w:val="00567AFA"/>
    <w:rsid w:val="00570535"/>
    <w:rsid w:val="005718DA"/>
    <w:rsid w:val="00571EF9"/>
    <w:rsid w:val="00572521"/>
    <w:rsid w:val="00572858"/>
    <w:rsid w:val="00572A31"/>
    <w:rsid w:val="00572CFD"/>
    <w:rsid w:val="00572D5E"/>
    <w:rsid w:val="00573114"/>
    <w:rsid w:val="0057449B"/>
    <w:rsid w:val="00574630"/>
    <w:rsid w:val="0057504F"/>
    <w:rsid w:val="005752B2"/>
    <w:rsid w:val="0057536C"/>
    <w:rsid w:val="00575CFC"/>
    <w:rsid w:val="00576A16"/>
    <w:rsid w:val="00576AF8"/>
    <w:rsid w:val="00577116"/>
    <w:rsid w:val="00577303"/>
    <w:rsid w:val="0057747A"/>
    <w:rsid w:val="00577CE7"/>
    <w:rsid w:val="00577F9A"/>
    <w:rsid w:val="005821F2"/>
    <w:rsid w:val="005824D6"/>
    <w:rsid w:val="005827D8"/>
    <w:rsid w:val="005828B9"/>
    <w:rsid w:val="005828EA"/>
    <w:rsid w:val="0058299E"/>
    <w:rsid w:val="00582E14"/>
    <w:rsid w:val="0058582F"/>
    <w:rsid w:val="00585C4E"/>
    <w:rsid w:val="005866F8"/>
    <w:rsid w:val="00586814"/>
    <w:rsid w:val="00586AE4"/>
    <w:rsid w:val="00586D4D"/>
    <w:rsid w:val="005872CA"/>
    <w:rsid w:val="0058751A"/>
    <w:rsid w:val="00587BD3"/>
    <w:rsid w:val="00587D1A"/>
    <w:rsid w:val="00592564"/>
    <w:rsid w:val="00592E68"/>
    <w:rsid w:val="0059359E"/>
    <w:rsid w:val="00593E51"/>
    <w:rsid w:val="005942CC"/>
    <w:rsid w:val="0059473E"/>
    <w:rsid w:val="00595725"/>
    <w:rsid w:val="00595CE0"/>
    <w:rsid w:val="00595DC5"/>
    <w:rsid w:val="005964BC"/>
    <w:rsid w:val="00596AF6"/>
    <w:rsid w:val="0059701E"/>
    <w:rsid w:val="005A10F8"/>
    <w:rsid w:val="005A1208"/>
    <w:rsid w:val="005A1F60"/>
    <w:rsid w:val="005A2943"/>
    <w:rsid w:val="005A29B4"/>
    <w:rsid w:val="005A331B"/>
    <w:rsid w:val="005A3E05"/>
    <w:rsid w:val="005A44D3"/>
    <w:rsid w:val="005A4F15"/>
    <w:rsid w:val="005A55DB"/>
    <w:rsid w:val="005A57AF"/>
    <w:rsid w:val="005A5A74"/>
    <w:rsid w:val="005A62CD"/>
    <w:rsid w:val="005A71F2"/>
    <w:rsid w:val="005B0416"/>
    <w:rsid w:val="005B08A5"/>
    <w:rsid w:val="005B14B5"/>
    <w:rsid w:val="005B203C"/>
    <w:rsid w:val="005B23E6"/>
    <w:rsid w:val="005B269A"/>
    <w:rsid w:val="005B2891"/>
    <w:rsid w:val="005B33EB"/>
    <w:rsid w:val="005B3482"/>
    <w:rsid w:val="005B3CE4"/>
    <w:rsid w:val="005B42CD"/>
    <w:rsid w:val="005B4898"/>
    <w:rsid w:val="005B51CD"/>
    <w:rsid w:val="005B5482"/>
    <w:rsid w:val="005B5881"/>
    <w:rsid w:val="005B63BB"/>
    <w:rsid w:val="005B65FA"/>
    <w:rsid w:val="005B7B2E"/>
    <w:rsid w:val="005B7CE6"/>
    <w:rsid w:val="005B7D26"/>
    <w:rsid w:val="005C057C"/>
    <w:rsid w:val="005C05F7"/>
    <w:rsid w:val="005C1B14"/>
    <w:rsid w:val="005C20C1"/>
    <w:rsid w:val="005C2AE9"/>
    <w:rsid w:val="005C2D39"/>
    <w:rsid w:val="005C3DBD"/>
    <w:rsid w:val="005C3DC4"/>
    <w:rsid w:val="005C3E82"/>
    <w:rsid w:val="005C4385"/>
    <w:rsid w:val="005C564B"/>
    <w:rsid w:val="005C5809"/>
    <w:rsid w:val="005C619B"/>
    <w:rsid w:val="005C63AC"/>
    <w:rsid w:val="005C6416"/>
    <w:rsid w:val="005C68D1"/>
    <w:rsid w:val="005C7228"/>
    <w:rsid w:val="005C7B72"/>
    <w:rsid w:val="005D078C"/>
    <w:rsid w:val="005D1681"/>
    <w:rsid w:val="005D1B5D"/>
    <w:rsid w:val="005D1CFC"/>
    <w:rsid w:val="005D1DE2"/>
    <w:rsid w:val="005D2173"/>
    <w:rsid w:val="005D2816"/>
    <w:rsid w:val="005D3582"/>
    <w:rsid w:val="005D3882"/>
    <w:rsid w:val="005D539A"/>
    <w:rsid w:val="005D57C2"/>
    <w:rsid w:val="005D5981"/>
    <w:rsid w:val="005D5E9B"/>
    <w:rsid w:val="005D5ED0"/>
    <w:rsid w:val="005D6165"/>
    <w:rsid w:val="005D64E5"/>
    <w:rsid w:val="005D655C"/>
    <w:rsid w:val="005D6B75"/>
    <w:rsid w:val="005D73EE"/>
    <w:rsid w:val="005D7867"/>
    <w:rsid w:val="005D7EFD"/>
    <w:rsid w:val="005E0805"/>
    <w:rsid w:val="005E0BC1"/>
    <w:rsid w:val="005E193F"/>
    <w:rsid w:val="005E1A0E"/>
    <w:rsid w:val="005E2BD1"/>
    <w:rsid w:val="005E2C72"/>
    <w:rsid w:val="005E32A0"/>
    <w:rsid w:val="005E3887"/>
    <w:rsid w:val="005E3FCE"/>
    <w:rsid w:val="005E4F17"/>
    <w:rsid w:val="005E7A99"/>
    <w:rsid w:val="005E7F8E"/>
    <w:rsid w:val="005F077D"/>
    <w:rsid w:val="005F1547"/>
    <w:rsid w:val="005F1A81"/>
    <w:rsid w:val="005F1B84"/>
    <w:rsid w:val="005F1C3F"/>
    <w:rsid w:val="005F215B"/>
    <w:rsid w:val="005F293B"/>
    <w:rsid w:val="005F2AA6"/>
    <w:rsid w:val="005F2E31"/>
    <w:rsid w:val="005F3409"/>
    <w:rsid w:val="005F34C1"/>
    <w:rsid w:val="005F356B"/>
    <w:rsid w:val="005F3695"/>
    <w:rsid w:val="005F3733"/>
    <w:rsid w:val="005F38E4"/>
    <w:rsid w:val="005F3CFA"/>
    <w:rsid w:val="005F4699"/>
    <w:rsid w:val="005F48FC"/>
    <w:rsid w:val="005F52CE"/>
    <w:rsid w:val="005F5D62"/>
    <w:rsid w:val="005F6470"/>
    <w:rsid w:val="005F6A3B"/>
    <w:rsid w:val="005F7503"/>
    <w:rsid w:val="005F75FD"/>
    <w:rsid w:val="005F7B36"/>
    <w:rsid w:val="005F7B96"/>
    <w:rsid w:val="00601715"/>
    <w:rsid w:val="00601A72"/>
    <w:rsid w:val="006024E1"/>
    <w:rsid w:val="00602969"/>
    <w:rsid w:val="00602DEC"/>
    <w:rsid w:val="006030D2"/>
    <w:rsid w:val="006031CD"/>
    <w:rsid w:val="0060399D"/>
    <w:rsid w:val="00603E2C"/>
    <w:rsid w:val="00604988"/>
    <w:rsid w:val="00604999"/>
    <w:rsid w:val="0060499F"/>
    <w:rsid w:val="00604AFE"/>
    <w:rsid w:val="0060510B"/>
    <w:rsid w:val="00605601"/>
    <w:rsid w:val="00605E00"/>
    <w:rsid w:val="006063DC"/>
    <w:rsid w:val="006068C2"/>
    <w:rsid w:val="00606901"/>
    <w:rsid w:val="006072BC"/>
    <w:rsid w:val="006077A8"/>
    <w:rsid w:val="0060788D"/>
    <w:rsid w:val="00607945"/>
    <w:rsid w:val="00607A29"/>
    <w:rsid w:val="00610333"/>
    <w:rsid w:val="006107B2"/>
    <w:rsid w:val="006113D8"/>
    <w:rsid w:val="00611802"/>
    <w:rsid w:val="006118A1"/>
    <w:rsid w:val="0061192B"/>
    <w:rsid w:val="00611E20"/>
    <w:rsid w:val="006129B0"/>
    <w:rsid w:val="006130E1"/>
    <w:rsid w:val="00614201"/>
    <w:rsid w:val="006143C6"/>
    <w:rsid w:val="00615734"/>
    <w:rsid w:val="00615942"/>
    <w:rsid w:val="00616823"/>
    <w:rsid w:val="00616D44"/>
    <w:rsid w:val="0061734D"/>
    <w:rsid w:val="006200C8"/>
    <w:rsid w:val="006205AC"/>
    <w:rsid w:val="0062092E"/>
    <w:rsid w:val="006213BE"/>
    <w:rsid w:val="0062189E"/>
    <w:rsid w:val="006227A2"/>
    <w:rsid w:val="0062299E"/>
    <w:rsid w:val="00622E65"/>
    <w:rsid w:val="006238E0"/>
    <w:rsid w:val="00623FA1"/>
    <w:rsid w:val="006240BB"/>
    <w:rsid w:val="0062423B"/>
    <w:rsid w:val="0062492B"/>
    <w:rsid w:val="006257E8"/>
    <w:rsid w:val="00625DB8"/>
    <w:rsid w:val="006274C2"/>
    <w:rsid w:val="00630681"/>
    <w:rsid w:val="00630D0B"/>
    <w:rsid w:val="00631032"/>
    <w:rsid w:val="006311E5"/>
    <w:rsid w:val="0063125F"/>
    <w:rsid w:val="00631C6C"/>
    <w:rsid w:val="0063267F"/>
    <w:rsid w:val="00632863"/>
    <w:rsid w:val="006335AD"/>
    <w:rsid w:val="00634FCD"/>
    <w:rsid w:val="00635B4E"/>
    <w:rsid w:val="00636168"/>
    <w:rsid w:val="0063629C"/>
    <w:rsid w:val="00636373"/>
    <w:rsid w:val="00637159"/>
    <w:rsid w:val="006376E2"/>
    <w:rsid w:val="00637791"/>
    <w:rsid w:val="00637846"/>
    <w:rsid w:val="00637EE7"/>
    <w:rsid w:val="0064034D"/>
    <w:rsid w:val="00641248"/>
    <w:rsid w:val="006417AB"/>
    <w:rsid w:val="00642303"/>
    <w:rsid w:val="00642AA3"/>
    <w:rsid w:val="00643567"/>
    <w:rsid w:val="006438A5"/>
    <w:rsid w:val="00643A2C"/>
    <w:rsid w:val="00643C57"/>
    <w:rsid w:val="00644C7D"/>
    <w:rsid w:val="0064527F"/>
    <w:rsid w:val="0064561C"/>
    <w:rsid w:val="00647333"/>
    <w:rsid w:val="00647B6F"/>
    <w:rsid w:val="0065099B"/>
    <w:rsid w:val="0065166A"/>
    <w:rsid w:val="006520DD"/>
    <w:rsid w:val="0065266B"/>
    <w:rsid w:val="00652BA1"/>
    <w:rsid w:val="00653268"/>
    <w:rsid w:val="00654506"/>
    <w:rsid w:val="006551A8"/>
    <w:rsid w:val="006551D2"/>
    <w:rsid w:val="00655953"/>
    <w:rsid w:val="00657DFD"/>
    <w:rsid w:val="00660CC5"/>
    <w:rsid w:val="00660D74"/>
    <w:rsid w:val="00660FA9"/>
    <w:rsid w:val="00661188"/>
    <w:rsid w:val="006616FA"/>
    <w:rsid w:val="00661B35"/>
    <w:rsid w:val="00661D09"/>
    <w:rsid w:val="00662338"/>
    <w:rsid w:val="00662557"/>
    <w:rsid w:val="006625D8"/>
    <w:rsid w:val="00662725"/>
    <w:rsid w:val="00662A47"/>
    <w:rsid w:val="00662E82"/>
    <w:rsid w:val="006631F6"/>
    <w:rsid w:val="006633B6"/>
    <w:rsid w:val="00664275"/>
    <w:rsid w:val="0066509A"/>
    <w:rsid w:val="006655E6"/>
    <w:rsid w:val="0066587C"/>
    <w:rsid w:val="00665E63"/>
    <w:rsid w:val="00665FEC"/>
    <w:rsid w:val="00666162"/>
    <w:rsid w:val="006677D1"/>
    <w:rsid w:val="00667AE0"/>
    <w:rsid w:val="0067047C"/>
    <w:rsid w:val="00670776"/>
    <w:rsid w:val="00671604"/>
    <w:rsid w:val="00671F1C"/>
    <w:rsid w:val="006720E2"/>
    <w:rsid w:val="006724EF"/>
    <w:rsid w:val="006731AD"/>
    <w:rsid w:val="006740D4"/>
    <w:rsid w:val="006742F5"/>
    <w:rsid w:val="00675024"/>
    <w:rsid w:val="00675423"/>
    <w:rsid w:val="00676284"/>
    <w:rsid w:val="00676C31"/>
    <w:rsid w:val="00676E91"/>
    <w:rsid w:val="00677092"/>
    <w:rsid w:val="0068054C"/>
    <w:rsid w:val="00680714"/>
    <w:rsid w:val="00680892"/>
    <w:rsid w:val="0068294B"/>
    <w:rsid w:val="0068411E"/>
    <w:rsid w:val="0068414C"/>
    <w:rsid w:val="00686035"/>
    <w:rsid w:val="00686546"/>
    <w:rsid w:val="0068654A"/>
    <w:rsid w:val="006870CC"/>
    <w:rsid w:val="00687308"/>
    <w:rsid w:val="00687698"/>
    <w:rsid w:val="00687CB7"/>
    <w:rsid w:val="00690252"/>
    <w:rsid w:val="006909D2"/>
    <w:rsid w:val="00690A2C"/>
    <w:rsid w:val="00690D81"/>
    <w:rsid w:val="00691274"/>
    <w:rsid w:val="00691A7E"/>
    <w:rsid w:val="006920D9"/>
    <w:rsid w:val="006921B2"/>
    <w:rsid w:val="00692902"/>
    <w:rsid w:val="006931A1"/>
    <w:rsid w:val="00693210"/>
    <w:rsid w:val="00693A93"/>
    <w:rsid w:val="006942DA"/>
    <w:rsid w:val="00694C46"/>
    <w:rsid w:val="00694D5C"/>
    <w:rsid w:val="00694EA9"/>
    <w:rsid w:val="00695413"/>
    <w:rsid w:val="006954D9"/>
    <w:rsid w:val="006965C8"/>
    <w:rsid w:val="00696864"/>
    <w:rsid w:val="00696E55"/>
    <w:rsid w:val="00697280"/>
    <w:rsid w:val="006A0393"/>
    <w:rsid w:val="006A07A2"/>
    <w:rsid w:val="006A148F"/>
    <w:rsid w:val="006A16B8"/>
    <w:rsid w:val="006A2FC9"/>
    <w:rsid w:val="006A374D"/>
    <w:rsid w:val="006A3AC0"/>
    <w:rsid w:val="006A3FEF"/>
    <w:rsid w:val="006A5012"/>
    <w:rsid w:val="006A5182"/>
    <w:rsid w:val="006A5D38"/>
    <w:rsid w:val="006A7678"/>
    <w:rsid w:val="006A7ED2"/>
    <w:rsid w:val="006A7F4C"/>
    <w:rsid w:val="006B0026"/>
    <w:rsid w:val="006B0D7C"/>
    <w:rsid w:val="006B0F84"/>
    <w:rsid w:val="006B21F4"/>
    <w:rsid w:val="006B225C"/>
    <w:rsid w:val="006B2ACD"/>
    <w:rsid w:val="006B32DE"/>
    <w:rsid w:val="006B38D2"/>
    <w:rsid w:val="006B4500"/>
    <w:rsid w:val="006B49C0"/>
    <w:rsid w:val="006B52DF"/>
    <w:rsid w:val="006B53C5"/>
    <w:rsid w:val="006B5D85"/>
    <w:rsid w:val="006B5F4F"/>
    <w:rsid w:val="006B76C7"/>
    <w:rsid w:val="006C0A63"/>
    <w:rsid w:val="006C0C5D"/>
    <w:rsid w:val="006C1486"/>
    <w:rsid w:val="006C1650"/>
    <w:rsid w:val="006C1936"/>
    <w:rsid w:val="006C1C7D"/>
    <w:rsid w:val="006C214B"/>
    <w:rsid w:val="006C277A"/>
    <w:rsid w:val="006C27A5"/>
    <w:rsid w:val="006C2C9D"/>
    <w:rsid w:val="006C2CFF"/>
    <w:rsid w:val="006C2E21"/>
    <w:rsid w:val="006C32EC"/>
    <w:rsid w:val="006C3368"/>
    <w:rsid w:val="006C476B"/>
    <w:rsid w:val="006C4AF3"/>
    <w:rsid w:val="006C78FA"/>
    <w:rsid w:val="006C7F48"/>
    <w:rsid w:val="006D0551"/>
    <w:rsid w:val="006D0A40"/>
    <w:rsid w:val="006D0D60"/>
    <w:rsid w:val="006D17FD"/>
    <w:rsid w:val="006D1EAE"/>
    <w:rsid w:val="006D3360"/>
    <w:rsid w:val="006D3420"/>
    <w:rsid w:val="006D34A1"/>
    <w:rsid w:val="006D37A2"/>
    <w:rsid w:val="006D38FB"/>
    <w:rsid w:val="006D3CEF"/>
    <w:rsid w:val="006D4B01"/>
    <w:rsid w:val="006D607B"/>
    <w:rsid w:val="006D67D9"/>
    <w:rsid w:val="006D6924"/>
    <w:rsid w:val="006D6CB0"/>
    <w:rsid w:val="006E0903"/>
    <w:rsid w:val="006E0A58"/>
    <w:rsid w:val="006E0BED"/>
    <w:rsid w:val="006E1D23"/>
    <w:rsid w:val="006E1FAC"/>
    <w:rsid w:val="006E2941"/>
    <w:rsid w:val="006E35F9"/>
    <w:rsid w:val="006E4123"/>
    <w:rsid w:val="006E5063"/>
    <w:rsid w:val="006E59A9"/>
    <w:rsid w:val="006E5AA3"/>
    <w:rsid w:val="006E5AC6"/>
    <w:rsid w:val="006E5E87"/>
    <w:rsid w:val="006E66DB"/>
    <w:rsid w:val="006E6DEF"/>
    <w:rsid w:val="006E74E2"/>
    <w:rsid w:val="006E78ED"/>
    <w:rsid w:val="006E7F11"/>
    <w:rsid w:val="006F0CFA"/>
    <w:rsid w:val="006F0F21"/>
    <w:rsid w:val="006F17AC"/>
    <w:rsid w:val="006F1EB4"/>
    <w:rsid w:val="006F25E3"/>
    <w:rsid w:val="006F29BF"/>
    <w:rsid w:val="006F2CF3"/>
    <w:rsid w:val="006F34E4"/>
    <w:rsid w:val="006F4598"/>
    <w:rsid w:val="006F4948"/>
    <w:rsid w:val="006F51D0"/>
    <w:rsid w:val="006F543F"/>
    <w:rsid w:val="006F5930"/>
    <w:rsid w:val="006F5B05"/>
    <w:rsid w:val="006F5C3A"/>
    <w:rsid w:val="006F6028"/>
    <w:rsid w:val="006F6592"/>
    <w:rsid w:val="006F65BD"/>
    <w:rsid w:val="006F6AEF"/>
    <w:rsid w:val="006F6D71"/>
    <w:rsid w:val="006F7132"/>
    <w:rsid w:val="006F7E44"/>
    <w:rsid w:val="00700599"/>
    <w:rsid w:val="00700693"/>
    <w:rsid w:val="00700930"/>
    <w:rsid w:val="00700F27"/>
    <w:rsid w:val="007015E2"/>
    <w:rsid w:val="0070218C"/>
    <w:rsid w:val="00703CBB"/>
    <w:rsid w:val="00703F42"/>
    <w:rsid w:val="00704282"/>
    <w:rsid w:val="00704CF5"/>
    <w:rsid w:val="00705B3F"/>
    <w:rsid w:val="00705EE7"/>
    <w:rsid w:val="00706E5B"/>
    <w:rsid w:val="007076E8"/>
    <w:rsid w:val="00710039"/>
    <w:rsid w:val="00710E77"/>
    <w:rsid w:val="00710FE7"/>
    <w:rsid w:val="0071252A"/>
    <w:rsid w:val="00712E0C"/>
    <w:rsid w:val="00712F32"/>
    <w:rsid w:val="00712F5E"/>
    <w:rsid w:val="007133D6"/>
    <w:rsid w:val="00713AE3"/>
    <w:rsid w:val="00713B93"/>
    <w:rsid w:val="00713CA2"/>
    <w:rsid w:val="0071426D"/>
    <w:rsid w:val="00714660"/>
    <w:rsid w:val="00714E07"/>
    <w:rsid w:val="007163C7"/>
    <w:rsid w:val="00717AC0"/>
    <w:rsid w:val="007202DA"/>
    <w:rsid w:val="00720AD5"/>
    <w:rsid w:val="007210CC"/>
    <w:rsid w:val="00721714"/>
    <w:rsid w:val="00721770"/>
    <w:rsid w:val="0072178C"/>
    <w:rsid w:val="00721FC1"/>
    <w:rsid w:val="00721FCD"/>
    <w:rsid w:val="00722221"/>
    <w:rsid w:val="00722242"/>
    <w:rsid w:val="007222A5"/>
    <w:rsid w:val="00724C1F"/>
    <w:rsid w:val="00725AD8"/>
    <w:rsid w:val="00725B4F"/>
    <w:rsid w:val="00725BFD"/>
    <w:rsid w:val="00725F60"/>
    <w:rsid w:val="007268DB"/>
    <w:rsid w:val="007268E6"/>
    <w:rsid w:val="0072703E"/>
    <w:rsid w:val="007273EC"/>
    <w:rsid w:val="0072791E"/>
    <w:rsid w:val="0073039F"/>
    <w:rsid w:val="007305AB"/>
    <w:rsid w:val="007309B4"/>
    <w:rsid w:val="00730B44"/>
    <w:rsid w:val="0073195C"/>
    <w:rsid w:val="007336D0"/>
    <w:rsid w:val="007341BC"/>
    <w:rsid w:val="007348FD"/>
    <w:rsid w:val="00734A11"/>
    <w:rsid w:val="00734BE7"/>
    <w:rsid w:val="00735279"/>
    <w:rsid w:val="007352A3"/>
    <w:rsid w:val="007354E6"/>
    <w:rsid w:val="00736211"/>
    <w:rsid w:val="007362DA"/>
    <w:rsid w:val="007362FE"/>
    <w:rsid w:val="00736720"/>
    <w:rsid w:val="007368AF"/>
    <w:rsid w:val="00736A5C"/>
    <w:rsid w:val="00736B87"/>
    <w:rsid w:val="00736CAD"/>
    <w:rsid w:val="00736EA5"/>
    <w:rsid w:val="00737063"/>
    <w:rsid w:val="00737446"/>
    <w:rsid w:val="0073753B"/>
    <w:rsid w:val="0074008E"/>
    <w:rsid w:val="00740A00"/>
    <w:rsid w:val="007410FE"/>
    <w:rsid w:val="007411D1"/>
    <w:rsid w:val="00741677"/>
    <w:rsid w:val="0074174F"/>
    <w:rsid w:val="007419D9"/>
    <w:rsid w:val="00742CE3"/>
    <w:rsid w:val="007451A6"/>
    <w:rsid w:val="007453BF"/>
    <w:rsid w:val="00745D7D"/>
    <w:rsid w:val="007467C5"/>
    <w:rsid w:val="00746892"/>
    <w:rsid w:val="00746C62"/>
    <w:rsid w:val="00747846"/>
    <w:rsid w:val="00747D75"/>
    <w:rsid w:val="00751609"/>
    <w:rsid w:val="00751760"/>
    <w:rsid w:val="00751761"/>
    <w:rsid w:val="00752D06"/>
    <w:rsid w:val="00753264"/>
    <w:rsid w:val="0075389C"/>
    <w:rsid w:val="00753A65"/>
    <w:rsid w:val="00754472"/>
    <w:rsid w:val="007546AE"/>
    <w:rsid w:val="00755CC0"/>
    <w:rsid w:val="00757F87"/>
    <w:rsid w:val="00760258"/>
    <w:rsid w:val="00760E28"/>
    <w:rsid w:val="007616E9"/>
    <w:rsid w:val="00761921"/>
    <w:rsid w:val="007619EC"/>
    <w:rsid w:val="00762A8C"/>
    <w:rsid w:val="00762BA9"/>
    <w:rsid w:val="00763458"/>
    <w:rsid w:val="00763680"/>
    <w:rsid w:val="00763D3D"/>
    <w:rsid w:val="007644D1"/>
    <w:rsid w:val="00764C0F"/>
    <w:rsid w:val="00765397"/>
    <w:rsid w:val="00765C74"/>
    <w:rsid w:val="00765CC6"/>
    <w:rsid w:val="0076668B"/>
    <w:rsid w:val="007668D7"/>
    <w:rsid w:val="007669EA"/>
    <w:rsid w:val="0076738C"/>
    <w:rsid w:val="00767DFD"/>
    <w:rsid w:val="0077080D"/>
    <w:rsid w:val="00770F54"/>
    <w:rsid w:val="00770FEC"/>
    <w:rsid w:val="00771094"/>
    <w:rsid w:val="007719E0"/>
    <w:rsid w:val="007722E8"/>
    <w:rsid w:val="00772731"/>
    <w:rsid w:val="007734EC"/>
    <w:rsid w:val="007739A4"/>
    <w:rsid w:val="00773EC0"/>
    <w:rsid w:val="007742DE"/>
    <w:rsid w:val="00774F1A"/>
    <w:rsid w:val="00775F5F"/>
    <w:rsid w:val="00776003"/>
    <w:rsid w:val="0078010C"/>
    <w:rsid w:val="0078048B"/>
    <w:rsid w:val="007805DC"/>
    <w:rsid w:val="007809B1"/>
    <w:rsid w:val="00780B94"/>
    <w:rsid w:val="007811D7"/>
    <w:rsid w:val="0078146C"/>
    <w:rsid w:val="00782328"/>
    <w:rsid w:val="00782559"/>
    <w:rsid w:val="00782663"/>
    <w:rsid w:val="00783043"/>
    <w:rsid w:val="007831D2"/>
    <w:rsid w:val="00783904"/>
    <w:rsid w:val="00784723"/>
    <w:rsid w:val="0078600F"/>
    <w:rsid w:val="00786260"/>
    <w:rsid w:val="007869E6"/>
    <w:rsid w:val="00786AD1"/>
    <w:rsid w:val="00786B1A"/>
    <w:rsid w:val="00787D43"/>
    <w:rsid w:val="007904F8"/>
    <w:rsid w:val="00790EC0"/>
    <w:rsid w:val="0079149E"/>
    <w:rsid w:val="00791724"/>
    <w:rsid w:val="00791DCB"/>
    <w:rsid w:val="00792281"/>
    <w:rsid w:val="0079270D"/>
    <w:rsid w:val="0079294D"/>
    <w:rsid w:val="00792E78"/>
    <w:rsid w:val="00793190"/>
    <w:rsid w:val="00793EEA"/>
    <w:rsid w:val="00794031"/>
    <w:rsid w:val="00794303"/>
    <w:rsid w:val="00795894"/>
    <w:rsid w:val="007968A4"/>
    <w:rsid w:val="00796B3B"/>
    <w:rsid w:val="00796C67"/>
    <w:rsid w:val="007970FD"/>
    <w:rsid w:val="007971F8"/>
    <w:rsid w:val="007977F7"/>
    <w:rsid w:val="00797BA8"/>
    <w:rsid w:val="007A0052"/>
    <w:rsid w:val="007A054A"/>
    <w:rsid w:val="007A08AA"/>
    <w:rsid w:val="007A0B22"/>
    <w:rsid w:val="007A0E46"/>
    <w:rsid w:val="007A0E7F"/>
    <w:rsid w:val="007A11CC"/>
    <w:rsid w:val="007A16E9"/>
    <w:rsid w:val="007A186E"/>
    <w:rsid w:val="007A21FC"/>
    <w:rsid w:val="007A2975"/>
    <w:rsid w:val="007A3242"/>
    <w:rsid w:val="007A34D8"/>
    <w:rsid w:val="007A37EC"/>
    <w:rsid w:val="007A502D"/>
    <w:rsid w:val="007A52AB"/>
    <w:rsid w:val="007A540E"/>
    <w:rsid w:val="007A5613"/>
    <w:rsid w:val="007A6B49"/>
    <w:rsid w:val="007A7CDC"/>
    <w:rsid w:val="007B0798"/>
    <w:rsid w:val="007B081D"/>
    <w:rsid w:val="007B08AC"/>
    <w:rsid w:val="007B12DC"/>
    <w:rsid w:val="007B1A0F"/>
    <w:rsid w:val="007B1E29"/>
    <w:rsid w:val="007B2C6A"/>
    <w:rsid w:val="007B2FBC"/>
    <w:rsid w:val="007B4371"/>
    <w:rsid w:val="007B4AD9"/>
    <w:rsid w:val="007B4B2D"/>
    <w:rsid w:val="007B6487"/>
    <w:rsid w:val="007B671C"/>
    <w:rsid w:val="007B72AF"/>
    <w:rsid w:val="007B7317"/>
    <w:rsid w:val="007C00ED"/>
    <w:rsid w:val="007C015C"/>
    <w:rsid w:val="007C0404"/>
    <w:rsid w:val="007C0724"/>
    <w:rsid w:val="007C1360"/>
    <w:rsid w:val="007C18D1"/>
    <w:rsid w:val="007C1CE0"/>
    <w:rsid w:val="007C2ABB"/>
    <w:rsid w:val="007C2E2E"/>
    <w:rsid w:val="007C3501"/>
    <w:rsid w:val="007C3905"/>
    <w:rsid w:val="007C44D0"/>
    <w:rsid w:val="007C5008"/>
    <w:rsid w:val="007C570B"/>
    <w:rsid w:val="007C5ABB"/>
    <w:rsid w:val="007C647E"/>
    <w:rsid w:val="007C6CBE"/>
    <w:rsid w:val="007C7278"/>
    <w:rsid w:val="007D142C"/>
    <w:rsid w:val="007D15F9"/>
    <w:rsid w:val="007D16CB"/>
    <w:rsid w:val="007D1BA9"/>
    <w:rsid w:val="007D2D8A"/>
    <w:rsid w:val="007D32E8"/>
    <w:rsid w:val="007D43AB"/>
    <w:rsid w:val="007D47F9"/>
    <w:rsid w:val="007D4EA6"/>
    <w:rsid w:val="007D5121"/>
    <w:rsid w:val="007D55AB"/>
    <w:rsid w:val="007D55CC"/>
    <w:rsid w:val="007D5A29"/>
    <w:rsid w:val="007D6004"/>
    <w:rsid w:val="007D643D"/>
    <w:rsid w:val="007D6F33"/>
    <w:rsid w:val="007D7A19"/>
    <w:rsid w:val="007E01DD"/>
    <w:rsid w:val="007E02E9"/>
    <w:rsid w:val="007E04F0"/>
    <w:rsid w:val="007E081D"/>
    <w:rsid w:val="007E12F1"/>
    <w:rsid w:val="007E203C"/>
    <w:rsid w:val="007E2367"/>
    <w:rsid w:val="007E25CF"/>
    <w:rsid w:val="007E2F96"/>
    <w:rsid w:val="007E3854"/>
    <w:rsid w:val="007E3B6C"/>
    <w:rsid w:val="007E467F"/>
    <w:rsid w:val="007E570B"/>
    <w:rsid w:val="007E5816"/>
    <w:rsid w:val="007E5FC2"/>
    <w:rsid w:val="007E6098"/>
    <w:rsid w:val="007E67DB"/>
    <w:rsid w:val="007E69DE"/>
    <w:rsid w:val="007F0904"/>
    <w:rsid w:val="007F0C85"/>
    <w:rsid w:val="007F0D1B"/>
    <w:rsid w:val="007F11E8"/>
    <w:rsid w:val="007F1F3C"/>
    <w:rsid w:val="007F2808"/>
    <w:rsid w:val="007F323B"/>
    <w:rsid w:val="007F328A"/>
    <w:rsid w:val="007F33F6"/>
    <w:rsid w:val="007F404C"/>
    <w:rsid w:val="007F5E63"/>
    <w:rsid w:val="007F5EFB"/>
    <w:rsid w:val="007F646E"/>
    <w:rsid w:val="007F6DB8"/>
    <w:rsid w:val="007F7210"/>
    <w:rsid w:val="007F73B5"/>
    <w:rsid w:val="0080070C"/>
    <w:rsid w:val="00800FBB"/>
    <w:rsid w:val="008013DE"/>
    <w:rsid w:val="008020F2"/>
    <w:rsid w:val="008023B7"/>
    <w:rsid w:val="00802F1B"/>
    <w:rsid w:val="008035EE"/>
    <w:rsid w:val="00803DCB"/>
    <w:rsid w:val="00804FBE"/>
    <w:rsid w:val="0080500C"/>
    <w:rsid w:val="008051DE"/>
    <w:rsid w:val="00806032"/>
    <w:rsid w:val="00806A9C"/>
    <w:rsid w:val="00806C34"/>
    <w:rsid w:val="00807469"/>
    <w:rsid w:val="008074B0"/>
    <w:rsid w:val="00807A66"/>
    <w:rsid w:val="00810A61"/>
    <w:rsid w:val="00810E90"/>
    <w:rsid w:val="0081265D"/>
    <w:rsid w:val="00812A99"/>
    <w:rsid w:val="00815972"/>
    <w:rsid w:val="00815DF8"/>
    <w:rsid w:val="008165FA"/>
    <w:rsid w:val="00816730"/>
    <w:rsid w:val="0081693E"/>
    <w:rsid w:val="00817636"/>
    <w:rsid w:val="00817DCE"/>
    <w:rsid w:val="0082088C"/>
    <w:rsid w:val="00821064"/>
    <w:rsid w:val="00821323"/>
    <w:rsid w:val="00821679"/>
    <w:rsid w:val="008216E9"/>
    <w:rsid w:val="008223BB"/>
    <w:rsid w:val="00822ECB"/>
    <w:rsid w:val="00822FB6"/>
    <w:rsid w:val="008233B9"/>
    <w:rsid w:val="00823414"/>
    <w:rsid w:val="0082391B"/>
    <w:rsid w:val="00823A76"/>
    <w:rsid w:val="008247E2"/>
    <w:rsid w:val="00824DD9"/>
    <w:rsid w:val="00824EB2"/>
    <w:rsid w:val="008254B8"/>
    <w:rsid w:val="00825E36"/>
    <w:rsid w:val="008264AD"/>
    <w:rsid w:val="008266A9"/>
    <w:rsid w:val="0082672E"/>
    <w:rsid w:val="0082691F"/>
    <w:rsid w:val="008270BD"/>
    <w:rsid w:val="00827954"/>
    <w:rsid w:val="00827BD5"/>
    <w:rsid w:val="008301DE"/>
    <w:rsid w:val="00830826"/>
    <w:rsid w:val="008309A8"/>
    <w:rsid w:val="00830ED8"/>
    <w:rsid w:val="008311FC"/>
    <w:rsid w:val="00831C54"/>
    <w:rsid w:val="0083201C"/>
    <w:rsid w:val="008323DF"/>
    <w:rsid w:val="00832405"/>
    <w:rsid w:val="00833B09"/>
    <w:rsid w:val="00833B28"/>
    <w:rsid w:val="00834733"/>
    <w:rsid w:val="0083566E"/>
    <w:rsid w:val="00835871"/>
    <w:rsid w:val="00835884"/>
    <w:rsid w:val="0083666F"/>
    <w:rsid w:val="00836F3A"/>
    <w:rsid w:val="008370E6"/>
    <w:rsid w:val="008371CA"/>
    <w:rsid w:val="00837D85"/>
    <w:rsid w:val="008406ED"/>
    <w:rsid w:val="008414D6"/>
    <w:rsid w:val="008416DD"/>
    <w:rsid w:val="008417B1"/>
    <w:rsid w:val="00841B33"/>
    <w:rsid w:val="00841C08"/>
    <w:rsid w:val="008432AD"/>
    <w:rsid w:val="00843702"/>
    <w:rsid w:val="0084399E"/>
    <w:rsid w:val="0084644C"/>
    <w:rsid w:val="00846505"/>
    <w:rsid w:val="0084664C"/>
    <w:rsid w:val="00846741"/>
    <w:rsid w:val="008469C4"/>
    <w:rsid w:val="00847A5A"/>
    <w:rsid w:val="00847CAC"/>
    <w:rsid w:val="00847E4C"/>
    <w:rsid w:val="008502AA"/>
    <w:rsid w:val="0085039C"/>
    <w:rsid w:val="008516E4"/>
    <w:rsid w:val="00852ABB"/>
    <w:rsid w:val="0085390C"/>
    <w:rsid w:val="008546F4"/>
    <w:rsid w:val="00854B4B"/>
    <w:rsid w:val="00854D37"/>
    <w:rsid w:val="00854D41"/>
    <w:rsid w:val="008550AA"/>
    <w:rsid w:val="00855696"/>
    <w:rsid w:val="00856A64"/>
    <w:rsid w:val="00857B1C"/>
    <w:rsid w:val="00860286"/>
    <w:rsid w:val="008604A0"/>
    <w:rsid w:val="0086087F"/>
    <w:rsid w:val="00861358"/>
    <w:rsid w:val="008625FD"/>
    <w:rsid w:val="00864186"/>
    <w:rsid w:val="0086440A"/>
    <w:rsid w:val="00864D44"/>
    <w:rsid w:val="00864E1A"/>
    <w:rsid w:val="0086509D"/>
    <w:rsid w:val="00865421"/>
    <w:rsid w:val="0086553F"/>
    <w:rsid w:val="00865AA4"/>
    <w:rsid w:val="0086614C"/>
    <w:rsid w:val="00866441"/>
    <w:rsid w:val="00866C60"/>
    <w:rsid w:val="00866CD9"/>
    <w:rsid w:val="00866DDD"/>
    <w:rsid w:val="008675A8"/>
    <w:rsid w:val="008677C3"/>
    <w:rsid w:val="00867D27"/>
    <w:rsid w:val="00870E3B"/>
    <w:rsid w:val="00870F99"/>
    <w:rsid w:val="00871140"/>
    <w:rsid w:val="008711DA"/>
    <w:rsid w:val="0087149E"/>
    <w:rsid w:val="008719B5"/>
    <w:rsid w:val="00871FB0"/>
    <w:rsid w:val="0087215A"/>
    <w:rsid w:val="008729E1"/>
    <w:rsid w:val="008733A5"/>
    <w:rsid w:val="00873854"/>
    <w:rsid w:val="00873D4B"/>
    <w:rsid w:val="008747F4"/>
    <w:rsid w:val="00874E57"/>
    <w:rsid w:val="00874E68"/>
    <w:rsid w:val="00875758"/>
    <w:rsid w:val="008759DF"/>
    <w:rsid w:val="00876230"/>
    <w:rsid w:val="00876497"/>
    <w:rsid w:val="00876596"/>
    <w:rsid w:val="00876CF6"/>
    <w:rsid w:val="00877DC4"/>
    <w:rsid w:val="0088045A"/>
    <w:rsid w:val="008809F1"/>
    <w:rsid w:val="00880B82"/>
    <w:rsid w:val="00881183"/>
    <w:rsid w:val="00881196"/>
    <w:rsid w:val="008811EC"/>
    <w:rsid w:val="00881274"/>
    <w:rsid w:val="00881BAE"/>
    <w:rsid w:val="008822D0"/>
    <w:rsid w:val="00882CB5"/>
    <w:rsid w:val="00883039"/>
    <w:rsid w:val="008838D2"/>
    <w:rsid w:val="00883C40"/>
    <w:rsid w:val="00883D7F"/>
    <w:rsid w:val="0088416D"/>
    <w:rsid w:val="008843CD"/>
    <w:rsid w:val="00885060"/>
    <w:rsid w:val="0088550D"/>
    <w:rsid w:val="00885732"/>
    <w:rsid w:val="008857AC"/>
    <w:rsid w:val="00886463"/>
    <w:rsid w:val="00886770"/>
    <w:rsid w:val="0088729E"/>
    <w:rsid w:val="00887659"/>
    <w:rsid w:val="00887C54"/>
    <w:rsid w:val="00890835"/>
    <w:rsid w:val="00890BB9"/>
    <w:rsid w:val="008911BC"/>
    <w:rsid w:val="0089183C"/>
    <w:rsid w:val="00891FF8"/>
    <w:rsid w:val="008938E0"/>
    <w:rsid w:val="00893B05"/>
    <w:rsid w:val="00894AFD"/>
    <w:rsid w:val="00895A77"/>
    <w:rsid w:val="00895B61"/>
    <w:rsid w:val="0089608D"/>
    <w:rsid w:val="0089664B"/>
    <w:rsid w:val="00896AA3"/>
    <w:rsid w:val="00896B83"/>
    <w:rsid w:val="00896CAD"/>
    <w:rsid w:val="00896FCE"/>
    <w:rsid w:val="008972F0"/>
    <w:rsid w:val="00897427"/>
    <w:rsid w:val="00897A9C"/>
    <w:rsid w:val="00897AE9"/>
    <w:rsid w:val="00897E2F"/>
    <w:rsid w:val="008A0EF0"/>
    <w:rsid w:val="008A13C5"/>
    <w:rsid w:val="008A162B"/>
    <w:rsid w:val="008A17D3"/>
    <w:rsid w:val="008A1E71"/>
    <w:rsid w:val="008A29FA"/>
    <w:rsid w:val="008A2B9A"/>
    <w:rsid w:val="008A33F7"/>
    <w:rsid w:val="008A3805"/>
    <w:rsid w:val="008A3ABE"/>
    <w:rsid w:val="008A568E"/>
    <w:rsid w:val="008A5D2D"/>
    <w:rsid w:val="008A5E33"/>
    <w:rsid w:val="008A6866"/>
    <w:rsid w:val="008A69E4"/>
    <w:rsid w:val="008A7CD3"/>
    <w:rsid w:val="008A7E61"/>
    <w:rsid w:val="008B0E08"/>
    <w:rsid w:val="008B14E5"/>
    <w:rsid w:val="008B20B1"/>
    <w:rsid w:val="008B24E7"/>
    <w:rsid w:val="008B34FE"/>
    <w:rsid w:val="008B4253"/>
    <w:rsid w:val="008B44E8"/>
    <w:rsid w:val="008B44F9"/>
    <w:rsid w:val="008B4851"/>
    <w:rsid w:val="008B4E85"/>
    <w:rsid w:val="008B5748"/>
    <w:rsid w:val="008C06AF"/>
    <w:rsid w:val="008C0890"/>
    <w:rsid w:val="008C1127"/>
    <w:rsid w:val="008C188D"/>
    <w:rsid w:val="008C21C8"/>
    <w:rsid w:val="008C264A"/>
    <w:rsid w:val="008C3A6C"/>
    <w:rsid w:val="008C45DD"/>
    <w:rsid w:val="008C49DA"/>
    <w:rsid w:val="008C5AA2"/>
    <w:rsid w:val="008C6172"/>
    <w:rsid w:val="008C69FA"/>
    <w:rsid w:val="008C72D0"/>
    <w:rsid w:val="008C75AC"/>
    <w:rsid w:val="008C75E6"/>
    <w:rsid w:val="008C7727"/>
    <w:rsid w:val="008C7759"/>
    <w:rsid w:val="008D09E1"/>
    <w:rsid w:val="008D0D49"/>
    <w:rsid w:val="008D12DC"/>
    <w:rsid w:val="008D1DA1"/>
    <w:rsid w:val="008D1F10"/>
    <w:rsid w:val="008D25B8"/>
    <w:rsid w:val="008D26E2"/>
    <w:rsid w:val="008D2A8F"/>
    <w:rsid w:val="008D30ED"/>
    <w:rsid w:val="008D34DC"/>
    <w:rsid w:val="008D35BA"/>
    <w:rsid w:val="008D3D2A"/>
    <w:rsid w:val="008D3E60"/>
    <w:rsid w:val="008D4D3D"/>
    <w:rsid w:val="008D5A26"/>
    <w:rsid w:val="008D5B1B"/>
    <w:rsid w:val="008D6163"/>
    <w:rsid w:val="008D6477"/>
    <w:rsid w:val="008D6593"/>
    <w:rsid w:val="008D677F"/>
    <w:rsid w:val="008D6CB4"/>
    <w:rsid w:val="008D74DB"/>
    <w:rsid w:val="008E0290"/>
    <w:rsid w:val="008E0F42"/>
    <w:rsid w:val="008E19C2"/>
    <w:rsid w:val="008E1B8A"/>
    <w:rsid w:val="008E1CA0"/>
    <w:rsid w:val="008E3301"/>
    <w:rsid w:val="008E3947"/>
    <w:rsid w:val="008E3CA3"/>
    <w:rsid w:val="008E4117"/>
    <w:rsid w:val="008E5083"/>
    <w:rsid w:val="008E78BE"/>
    <w:rsid w:val="008F0D0B"/>
    <w:rsid w:val="008F0D12"/>
    <w:rsid w:val="008F17E8"/>
    <w:rsid w:val="008F1B66"/>
    <w:rsid w:val="008F1EC2"/>
    <w:rsid w:val="008F22AA"/>
    <w:rsid w:val="008F22EA"/>
    <w:rsid w:val="008F2788"/>
    <w:rsid w:val="008F337D"/>
    <w:rsid w:val="008F3D5E"/>
    <w:rsid w:val="008F3F96"/>
    <w:rsid w:val="008F47A8"/>
    <w:rsid w:val="008F4EA0"/>
    <w:rsid w:val="008F5BF1"/>
    <w:rsid w:val="008F5D47"/>
    <w:rsid w:val="008F5F46"/>
    <w:rsid w:val="008F6EDB"/>
    <w:rsid w:val="008F764F"/>
    <w:rsid w:val="008F7B2C"/>
    <w:rsid w:val="008F7DEC"/>
    <w:rsid w:val="008F7E12"/>
    <w:rsid w:val="00900547"/>
    <w:rsid w:val="00900AEC"/>
    <w:rsid w:val="00900F6D"/>
    <w:rsid w:val="009012C3"/>
    <w:rsid w:val="009014B2"/>
    <w:rsid w:val="00901948"/>
    <w:rsid w:val="00902CE4"/>
    <w:rsid w:val="0090345F"/>
    <w:rsid w:val="009039FF"/>
    <w:rsid w:val="00903A30"/>
    <w:rsid w:val="00903E6B"/>
    <w:rsid w:val="009050B1"/>
    <w:rsid w:val="0090512A"/>
    <w:rsid w:val="00905229"/>
    <w:rsid w:val="00905257"/>
    <w:rsid w:val="009064E9"/>
    <w:rsid w:val="00906503"/>
    <w:rsid w:val="00906CD9"/>
    <w:rsid w:val="00906E72"/>
    <w:rsid w:val="00907904"/>
    <w:rsid w:val="00907DDA"/>
    <w:rsid w:val="0091001C"/>
    <w:rsid w:val="00910C3C"/>
    <w:rsid w:val="00910CB5"/>
    <w:rsid w:val="00910D7B"/>
    <w:rsid w:val="00911646"/>
    <w:rsid w:val="00911BEF"/>
    <w:rsid w:val="00911F6D"/>
    <w:rsid w:val="009126FB"/>
    <w:rsid w:val="00912F12"/>
    <w:rsid w:val="0091336A"/>
    <w:rsid w:val="009134A3"/>
    <w:rsid w:val="0091445A"/>
    <w:rsid w:val="009144F6"/>
    <w:rsid w:val="00914C59"/>
    <w:rsid w:val="0091502A"/>
    <w:rsid w:val="0091504B"/>
    <w:rsid w:val="0091748D"/>
    <w:rsid w:val="0092094D"/>
    <w:rsid w:val="00921717"/>
    <w:rsid w:val="00921BBC"/>
    <w:rsid w:val="00922243"/>
    <w:rsid w:val="00922316"/>
    <w:rsid w:val="00922760"/>
    <w:rsid w:val="009227ED"/>
    <w:rsid w:val="00922947"/>
    <w:rsid w:val="009249D7"/>
    <w:rsid w:val="0092570A"/>
    <w:rsid w:val="00925776"/>
    <w:rsid w:val="00925863"/>
    <w:rsid w:val="00925897"/>
    <w:rsid w:val="00925F0E"/>
    <w:rsid w:val="00926161"/>
    <w:rsid w:val="0092647A"/>
    <w:rsid w:val="00926899"/>
    <w:rsid w:val="00926F68"/>
    <w:rsid w:val="00927B7D"/>
    <w:rsid w:val="00930AA8"/>
    <w:rsid w:val="0093114A"/>
    <w:rsid w:val="009312A7"/>
    <w:rsid w:val="009327BA"/>
    <w:rsid w:val="00932976"/>
    <w:rsid w:val="00932FB9"/>
    <w:rsid w:val="00933A1B"/>
    <w:rsid w:val="00933BB9"/>
    <w:rsid w:val="009342ED"/>
    <w:rsid w:val="00934A40"/>
    <w:rsid w:val="00934A45"/>
    <w:rsid w:val="0093523D"/>
    <w:rsid w:val="00935492"/>
    <w:rsid w:val="009358FB"/>
    <w:rsid w:val="009359B7"/>
    <w:rsid w:val="00935AAD"/>
    <w:rsid w:val="00935B5C"/>
    <w:rsid w:val="009365C4"/>
    <w:rsid w:val="00937225"/>
    <w:rsid w:val="0093772C"/>
    <w:rsid w:val="009379D0"/>
    <w:rsid w:val="009403B5"/>
    <w:rsid w:val="009403FC"/>
    <w:rsid w:val="00940A02"/>
    <w:rsid w:val="00940BE6"/>
    <w:rsid w:val="009419F7"/>
    <w:rsid w:val="00942921"/>
    <w:rsid w:val="00942FD8"/>
    <w:rsid w:val="00943F25"/>
    <w:rsid w:val="00944557"/>
    <w:rsid w:val="00945278"/>
    <w:rsid w:val="00945B2F"/>
    <w:rsid w:val="009477D8"/>
    <w:rsid w:val="00950171"/>
    <w:rsid w:val="009502C7"/>
    <w:rsid w:val="0095060B"/>
    <w:rsid w:val="00950B3B"/>
    <w:rsid w:val="00950E73"/>
    <w:rsid w:val="009512CF"/>
    <w:rsid w:val="0095130A"/>
    <w:rsid w:val="0095198E"/>
    <w:rsid w:val="00952D41"/>
    <w:rsid w:val="00953E48"/>
    <w:rsid w:val="00954881"/>
    <w:rsid w:val="00954D8E"/>
    <w:rsid w:val="00955123"/>
    <w:rsid w:val="009567B9"/>
    <w:rsid w:val="00956AFE"/>
    <w:rsid w:val="00956C55"/>
    <w:rsid w:val="00957514"/>
    <w:rsid w:val="00957B04"/>
    <w:rsid w:val="00957D22"/>
    <w:rsid w:val="00960BB6"/>
    <w:rsid w:val="00960DDD"/>
    <w:rsid w:val="009628B3"/>
    <w:rsid w:val="00962FAF"/>
    <w:rsid w:val="00963162"/>
    <w:rsid w:val="00964BD3"/>
    <w:rsid w:val="00964CCF"/>
    <w:rsid w:val="00965752"/>
    <w:rsid w:val="0096608A"/>
    <w:rsid w:val="0096638F"/>
    <w:rsid w:val="0096724D"/>
    <w:rsid w:val="0096793E"/>
    <w:rsid w:val="009701A6"/>
    <w:rsid w:val="00970DEE"/>
    <w:rsid w:val="009710D3"/>
    <w:rsid w:val="00971233"/>
    <w:rsid w:val="00971981"/>
    <w:rsid w:val="00972EFF"/>
    <w:rsid w:val="00973438"/>
    <w:rsid w:val="00973544"/>
    <w:rsid w:val="009739DD"/>
    <w:rsid w:val="00973C40"/>
    <w:rsid w:val="00975C16"/>
    <w:rsid w:val="00976096"/>
    <w:rsid w:val="009761EE"/>
    <w:rsid w:val="00976C86"/>
    <w:rsid w:val="00980A33"/>
    <w:rsid w:val="00980B9B"/>
    <w:rsid w:val="00980C1E"/>
    <w:rsid w:val="00981C43"/>
    <w:rsid w:val="00982351"/>
    <w:rsid w:val="00982971"/>
    <w:rsid w:val="0098373A"/>
    <w:rsid w:val="009837F1"/>
    <w:rsid w:val="00983C99"/>
    <w:rsid w:val="00983F4B"/>
    <w:rsid w:val="009852A6"/>
    <w:rsid w:val="009855A0"/>
    <w:rsid w:val="009862DA"/>
    <w:rsid w:val="009865FE"/>
    <w:rsid w:val="00986A85"/>
    <w:rsid w:val="00986F22"/>
    <w:rsid w:val="009873FB"/>
    <w:rsid w:val="009875DD"/>
    <w:rsid w:val="00987F31"/>
    <w:rsid w:val="0099037F"/>
    <w:rsid w:val="009906CC"/>
    <w:rsid w:val="00990BAE"/>
    <w:rsid w:val="00990CF7"/>
    <w:rsid w:val="009923EE"/>
    <w:rsid w:val="009932CE"/>
    <w:rsid w:val="00993AC2"/>
    <w:rsid w:val="009967D2"/>
    <w:rsid w:val="00996B55"/>
    <w:rsid w:val="00996E39"/>
    <w:rsid w:val="00997D5A"/>
    <w:rsid w:val="009A00FC"/>
    <w:rsid w:val="009A01AC"/>
    <w:rsid w:val="009A03A5"/>
    <w:rsid w:val="009A0472"/>
    <w:rsid w:val="009A0A2D"/>
    <w:rsid w:val="009A0F9C"/>
    <w:rsid w:val="009A12A1"/>
    <w:rsid w:val="009A19C5"/>
    <w:rsid w:val="009A1D02"/>
    <w:rsid w:val="009A1EB1"/>
    <w:rsid w:val="009A2D65"/>
    <w:rsid w:val="009A34B7"/>
    <w:rsid w:val="009A5895"/>
    <w:rsid w:val="009A5B00"/>
    <w:rsid w:val="009A73D5"/>
    <w:rsid w:val="009A7A98"/>
    <w:rsid w:val="009B08EC"/>
    <w:rsid w:val="009B09B5"/>
    <w:rsid w:val="009B0F5C"/>
    <w:rsid w:val="009B1AC5"/>
    <w:rsid w:val="009B1B5F"/>
    <w:rsid w:val="009B2046"/>
    <w:rsid w:val="009B25F4"/>
    <w:rsid w:val="009B2A38"/>
    <w:rsid w:val="009B2F91"/>
    <w:rsid w:val="009B3FC4"/>
    <w:rsid w:val="009B468F"/>
    <w:rsid w:val="009B4809"/>
    <w:rsid w:val="009B4B56"/>
    <w:rsid w:val="009B50BE"/>
    <w:rsid w:val="009B5120"/>
    <w:rsid w:val="009B5EA6"/>
    <w:rsid w:val="009B6693"/>
    <w:rsid w:val="009B6ED1"/>
    <w:rsid w:val="009B73E5"/>
    <w:rsid w:val="009B7EB4"/>
    <w:rsid w:val="009C04F5"/>
    <w:rsid w:val="009C0B4A"/>
    <w:rsid w:val="009C125F"/>
    <w:rsid w:val="009C153D"/>
    <w:rsid w:val="009C1F49"/>
    <w:rsid w:val="009C20AB"/>
    <w:rsid w:val="009C2488"/>
    <w:rsid w:val="009C275F"/>
    <w:rsid w:val="009C2E4B"/>
    <w:rsid w:val="009C2E88"/>
    <w:rsid w:val="009C2EF4"/>
    <w:rsid w:val="009C3AFC"/>
    <w:rsid w:val="009C3EC1"/>
    <w:rsid w:val="009C4217"/>
    <w:rsid w:val="009C4753"/>
    <w:rsid w:val="009C5DEE"/>
    <w:rsid w:val="009C5F47"/>
    <w:rsid w:val="009C6009"/>
    <w:rsid w:val="009C6489"/>
    <w:rsid w:val="009C6A1D"/>
    <w:rsid w:val="009C6C1D"/>
    <w:rsid w:val="009C6C4A"/>
    <w:rsid w:val="009D0C85"/>
    <w:rsid w:val="009D11A5"/>
    <w:rsid w:val="009D178B"/>
    <w:rsid w:val="009D1929"/>
    <w:rsid w:val="009D24C4"/>
    <w:rsid w:val="009D2B72"/>
    <w:rsid w:val="009D2EB8"/>
    <w:rsid w:val="009D4164"/>
    <w:rsid w:val="009D58E2"/>
    <w:rsid w:val="009D5D62"/>
    <w:rsid w:val="009D606B"/>
    <w:rsid w:val="009D6C2E"/>
    <w:rsid w:val="009D7312"/>
    <w:rsid w:val="009D754A"/>
    <w:rsid w:val="009D7ABD"/>
    <w:rsid w:val="009D7D59"/>
    <w:rsid w:val="009E09FD"/>
    <w:rsid w:val="009E1C5F"/>
    <w:rsid w:val="009E1CF1"/>
    <w:rsid w:val="009E25F9"/>
    <w:rsid w:val="009E2843"/>
    <w:rsid w:val="009E4036"/>
    <w:rsid w:val="009E475E"/>
    <w:rsid w:val="009E4A89"/>
    <w:rsid w:val="009E50F7"/>
    <w:rsid w:val="009E576B"/>
    <w:rsid w:val="009E5999"/>
    <w:rsid w:val="009E5DA1"/>
    <w:rsid w:val="009E6293"/>
    <w:rsid w:val="009E7952"/>
    <w:rsid w:val="009E7DB7"/>
    <w:rsid w:val="009F0B7C"/>
    <w:rsid w:val="009F25C7"/>
    <w:rsid w:val="009F288C"/>
    <w:rsid w:val="009F2B2A"/>
    <w:rsid w:val="009F3108"/>
    <w:rsid w:val="009F330F"/>
    <w:rsid w:val="009F34AC"/>
    <w:rsid w:val="009F34B0"/>
    <w:rsid w:val="009F3AB9"/>
    <w:rsid w:val="009F42F2"/>
    <w:rsid w:val="009F4616"/>
    <w:rsid w:val="009F4687"/>
    <w:rsid w:val="009F5F0E"/>
    <w:rsid w:val="009F76CD"/>
    <w:rsid w:val="00A00233"/>
    <w:rsid w:val="00A00EF8"/>
    <w:rsid w:val="00A0130D"/>
    <w:rsid w:val="00A016B1"/>
    <w:rsid w:val="00A0170E"/>
    <w:rsid w:val="00A03043"/>
    <w:rsid w:val="00A0330D"/>
    <w:rsid w:val="00A03AFB"/>
    <w:rsid w:val="00A045BF"/>
    <w:rsid w:val="00A04F3F"/>
    <w:rsid w:val="00A05711"/>
    <w:rsid w:val="00A05C52"/>
    <w:rsid w:val="00A05EE5"/>
    <w:rsid w:val="00A069CC"/>
    <w:rsid w:val="00A06B7C"/>
    <w:rsid w:val="00A10198"/>
    <w:rsid w:val="00A104DB"/>
    <w:rsid w:val="00A10584"/>
    <w:rsid w:val="00A10B22"/>
    <w:rsid w:val="00A116C9"/>
    <w:rsid w:val="00A11EB7"/>
    <w:rsid w:val="00A121FB"/>
    <w:rsid w:val="00A13271"/>
    <w:rsid w:val="00A134E7"/>
    <w:rsid w:val="00A145B3"/>
    <w:rsid w:val="00A14D02"/>
    <w:rsid w:val="00A1500F"/>
    <w:rsid w:val="00A156A0"/>
    <w:rsid w:val="00A15E64"/>
    <w:rsid w:val="00A169BE"/>
    <w:rsid w:val="00A16FAC"/>
    <w:rsid w:val="00A17841"/>
    <w:rsid w:val="00A1794E"/>
    <w:rsid w:val="00A17A01"/>
    <w:rsid w:val="00A204C4"/>
    <w:rsid w:val="00A20608"/>
    <w:rsid w:val="00A20814"/>
    <w:rsid w:val="00A20C65"/>
    <w:rsid w:val="00A20DB3"/>
    <w:rsid w:val="00A2147C"/>
    <w:rsid w:val="00A21DF2"/>
    <w:rsid w:val="00A21ECB"/>
    <w:rsid w:val="00A22CAC"/>
    <w:rsid w:val="00A230AD"/>
    <w:rsid w:val="00A249D1"/>
    <w:rsid w:val="00A24DDE"/>
    <w:rsid w:val="00A256F3"/>
    <w:rsid w:val="00A269A7"/>
    <w:rsid w:val="00A26A82"/>
    <w:rsid w:val="00A30788"/>
    <w:rsid w:val="00A3109E"/>
    <w:rsid w:val="00A3175C"/>
    <w:rsid w:val="00A31E2F"/>
    <w:rsid w:val="00A3261C"/>
    <w:rsid w:val="00A3267F"/>
    <w:rsid w:val="00A32A9B"/>
    <w:rsid w:val="00A33059"/>
    <w:rsid w:val="00A33B35"/>
    <w:rsid w:val="00A33B99"/>
    <w:rsid w:val="00A34750"/>
    <w:rsid w:val="00A350FA"/>
    <w:rsid w:val="00A35192"/>
    <w:rsid w:val="00A35641"/>
    <w:rsid w:val="00A35893"/>
    <w:rsid w:val="00A35C04"/>
    <w:rsid w:val="00A35DBD"/>
    <w:rsid w:val="00A361D8"/>
    <w:rsid w:val="00A3671E"/>
    <w:rsid w:val="00A3772E"/>
    <w:rsid w:val="00A37922"/>
    <w:rsid w:val="00A37A8A"/>
    <w:rsid w:val="00A37E24"/>
    <w:rsid w:val="00A40166"/>
    <w:rsid w:val="00A4029E"/>
    <w:rsid w:val="00A407FF"/>
    <w:rsid w:val="00A40E1F"/>
    <w:rsid w:val="00A40FF3"/>
    <w:rsid w:val="00A429DA"/>
    <w:rsid w:val="00A42F06"/>
    <w:rsid w:val="00A4314B"/>
    <w:rsid w:val="00A43637"/>
    <w:rsid w:val="00A43BD4"/>
    <w:rsid w:val="00A43F49"/>
    <w:rsid w:val="00A44203"/>
    <w:rsid w:val="00A44C70"/>
    <w:rsid w:val="00A46A75"/>
    <w:rsid w:val="00A47210"/>
    <w:rsid w:val="00A50615"/>
    <w:rsid w:val="00A50FD2"/>
    <w:rsid w:val="00A5266E"/>
    <w:rsid w:val="00A536CA"/>
    <w:rsid w:val="00A544F7"/>
    <w:rsid w:val="00A55201"/>
    <w:rsid w:val="00A55CD6"/>
    <w:rsid w:val="00A55EB3"/>
    <w:rsid w:val="00A56174"/>
    <w:rsid w:val="00A5786E"/>
    <w:rsid w:val="00A57973"/>
    <w:rsid w:val="00A57C08"/>
    <w:rsid w:val="00A57DD5"/>
    <w:rsid w:val="00A6012F"/>
    <w:rsid w:val="00A60A91"/>
    <w:rsid w:val="00A60C86"/>
    <w:rsid w:val="00A619D8"/>
    <w:rsid w:val="00A61CB6"/>
    <w:rsid w:val="00A62002"/>
    <w:rsid w:val="00A62ACC"/>
    <w:rsid w:val="00A62D0B"/>
    <w:rsid w:val="00A63753"/>
    <w:rsid w:val="00A63986"/>
    <w:rsid w:val="00A63C4A"/>
    <w:rsid w:val="00A643C1"/>
    <w:rsid w:val="00A64447"/>
    <w:rsid w:val="00A65D3A"/>
    <w:rsid w:val="00A65F0E"/>
    <w:rsid w:val="00A661FD"/>
    <w:rsid w:val="00A67744"/>
    <w:rsid w:val="00A7029F"/>
    <w:rsid w:val="00A7089C"/>
    <w:rsid w:val="00A70FA0"/>
    <w:rsid w:val="00A71ACE"/>
    <w:rsid w:val="00A71CE9"/>
    <w:rsid w:val="00A71CF1"/>
    <w:rsid w:val="00A728B0"/>
    <w:rsid w:val="00A7417D"/>
    <w:rsid w:val="00A74D5C"/>
    <w:rsid w:val="00A751BC"/>
    <w:rsid w:val="00A77C2F"/>
    <w:rsid w:val="00A8024F"/>
    <w:rsid w:val="00A8027A"/>
    <w:rsid w:val="00A806BE"/>
    <w:rsid w:val="00A811A8"/>
    <w:rsid w:val="00A817FE"/>
    <w:rsid w:val="00A81B97"/>
    <w:rsid w:val="00A81EEB"/>
    <w:rsid w:val="00A82166"/>
    <w:rsid w:val="00A82FD2"/>
    <w:rsid w:val="00A84603"/>
    <w:rsid w:val="00A84DA7"/>
    <w:rsid w:val="00A851A8"/>
    <w:rsid w:val="00A852B3"/>
    <w:rsid w:val="00A85308"/>
    <w:rsid w:val="00A853B7"/>
    <w:rsid w:val="00A873C7"/>
    <w:rsid w:val="00A87719"/>
    <w:rsid w:val="00A879CE"/>
    <w:rsid w:val="00A9077D"/>
    <w:rsid w:val="00A9116C"/>
    <w:rsid w:val="00A92271"/>
    <w:rsid w:val="00A92F70"/>
    <w:rsid w:val="00A92F74"/>
    <w:rsid w:val="00A93AC6"/>
    <w:rsid w:val="00A93F74"/>
    <w:rsid w:val="00A93FCA"/>
    <w:rsid w:val="00A9468C"/>
    <w:rsid w:val="00A9536D"/>
    <w:rsid w:val="00A95BC2"/>
    <w:rsid w:val="00A978D9"/>
    <w:rsid w:val="00AA0ABE"/>
    <w:rsid w:val="00AA0E34"/>
    <w:rsid w:val="00AA12CC"/>
    <w:rsid w:val="00AA17C3"/>
    <w:rsid w:val="00AA249D"/>
    <w:rsid w:val="00AA2814"/>
    <w:rsid w:val="00AA28DD"/>
    <w:rsid w:val="00AA29AE"/>
    <w:rsid w:val="00AA2F3C"/>
    <w:rsid w:val="00AA3E6A"/>
    <w:rsid w:val="00AA469E"/>
    <w:rsid w:val="00AA556A"/>
    <w:rsid w:val="00AA5B95"/>
    <w:rsid w:val="00AA5BE1"/>
    <w:rsid w:val="00AA5DAC"/>
    <w:rsid w:val="00AA71AD"/>
    <w:rsid w:val="00AA7CDE"/>
    <w:rsid w:val="00AB0851"/>
    <w:rsid w:val="00AB102D"/>
    <w:rsid w:val="00AB1539"/>
    <w:rsid w:val="00AB1E80"/>
    <w:rsid w:val="00AB4798"/>
    <w:rsid w:val="00AB5088"/>
    <w:rsid w:val="00AB5503"/>
    <w:rsid w:val="00AB599B"/>
    <w:rsid w:val="00AB5BD2"/>
    <w:rsid w:val="00AB6109"/>
    <w:rsid w:val="00AB64DA"/>
    <w:rsid w:val="00AB65D2"/>
    <w:rsid w:val="00AB6AC0"/>
    <w:rsid w:val="00AB6AC6"/>
    <w:rsid w:val="00AB6AF9"/>
    <w:rsid w:val="00AB7686"/>
    <w:rsid w:val="00AC04AE"/>
    <w:rsid w:val="00AC13A3"/>
    <w:rsid w:val="00AC1843"/>
    <w:rsid w:val="00AC1A55"/>
    <w:rsid w:val="00AC27C6"/>
    <w:rsid w:val="00AC3767"/>
    <w:rsid w:val="00AC38B8"/>
    <w:rsid w:val="00AC5229"/>
    <w:rsid w:val="00AC56B6"/>
    <w:rsid w:val="00AC61C3"/>
    <w:rsid w:val="00AC64E3"/>
    <w:rsid w:val="00AC7215"/>
    <w:rsid w:val="00AC7A60"/>
    <w:rsid w:val="00AD079A"/>
    <w:rsid w:val="00AD07A8"/>
    <w:rsid w:val="00AD0A7D"/>
    <w:rsid w:val="00AD0BE9"/>
    <w:rsid w:val="00AD269C"/>
    <w:rsid w:val="00AD2756"/>
    <w:rsid w:val="00AD2B60"/>
    <w:rsid w:val="00AD2C04"/>
    <w:rsid w:val="00AD3039"/>
    <w:rsid w:val="00AD396F"/>
    <w:rsid w:val="00AD3AAC"/>
    <w:rsid w:val="00AD3D56"/>
    <w:rsid w:val="00AD4846"/>
    <w:rsid w:val="00AD48EE"/>
    <w:rsid w:val="00AD56E2"/>
    <w:rsid w:val="00AD5C4A"/>
    <w:rsid w:val="00AD65DA"/>
    <w:rsid w:val="00AD6A9E"/>
    <w:rsid w:val="00AD6E53"/>
    <w:rsid w:val="00AD771C"/>
    <w:rsid w:val="00AD78F1"/>
    <w:rsid w:val="00AD7E21"/>
    <w:rsid w:val="00AE00EA"/>
    <w:rsid w:val="00AE02F7"/>
    <w:rsid w:val="00AE0631"/>
    <w:rsid w:val="00AE07E1"/>
    <w:rsid w:val="00AE0B78"/>
    <w:rsid w:val="00AE138C"/>
    <w:rsid w:val="00AE1440"/>
    <w:rsid w:val="00AE2238"/>
    <w:rsid w:val="00AE2B92"/>
    <w:rsid w:val="00AE2E34"/>
    <w:rsid w:val="00AE2FB1"/>
    <w:rsid w:val="00AE3B56"/>
    <w:rsid w:val="00AE3CB7"/>
    <w:rsid w:val="00AE4714"/>
    <w:rsid w:val="00AE4855"/>
    <w:rsid w:val="00AE4D84"/>
    <w:rsid w:val="00AE4ED6"/>
    <w:rsid w:val="00AE4F3E"/>
    <w:rsid w:val="00AE5970"/>
    <w:rsid w:val="00AE5D24"/>
    <w:rsid w:val="00AE64C3"/>
    <w:rsid w:val="00AE68EA"/>
    <w:rsid w:val="00AE70E5"/>
    <w:rsid w:val="00AE7504"/>
    <w:rsid w:val="00AE7559"/>
    <w:rsid w:val="00AF0439"/>
    <w:rsid w:val="00AF062A"/>
    <w:rsid w:val="00AF1BB8"/>
    <w:rsid w:val="00AF1CF7"/>
    <w:rsid w:val="00AF22B7"/>
    <w:rsid w:val="00AF2B8D"/>
    <w:rsid w:val="00AF3099"/>
    <w:rsid w:val="00AF3113"/>
    <w:rsid w:val="00AF331A"/>
    <w:rsid w:val="00AF3A93"/>
    <w:rsid w:val="00AF4347"/>
    <w:rsid w:val="00AF44CD"/>
    <w:rsid w:val="00AF47DC"/>
    <w:rsid w:val="00AF55FB"/>
    <w:rsid w:val="00AF5EF5"/>
    <w:rsid w:val="00AF6C05"/>
    <w:rsid w:val="00AF6D93"/>
    <w:rsid w:val="00AF6E08"/>
    <w:rsid w:val="00AF71FA"/>
    <w:rsid w:val="00AF7229"/>
    <w:rsid w:val="00AF7305"/>
    <w:rsid w:val="00AF7BD8"/>
    <w:rsid w:val="00AF7EA2"/>
    <w:rsid w:val="00B0098C"/>
    <w:rsid w:val="00B00BE5"/>
    <w:rsid w:val="00B012EF"/>
    <w:rsid w:val="00B02197"/>
    <w:rsid w:val="00B041FE"/>
    <w:rsid w:val="00B04459"/>
    <w:rsid w:val="00B05113"/>
    <w:rsid w:val="00B0557B"/>
    <w:rsid w:val="00B05EF8"/>
    <w:rsid w:val="00B063A4"/>
    <w:rsid w:val="00B10402"/>
    <w:rsid w:val="00B10C65"/>
    <w:rsid w:val="00B11388"/>
    <w:rsid w:val="00B11423"/>
    <w:rsid w:val="00B11924"/>
    <w:rsid w:val="00B11D64"/>
    <w:rsid w:val="00B11E51"/>
    <w:rsid w:val="00B11EAC"/>
    <w:rsid w:val="00B125A8"/>
    <w:rsid w:val="00B12969"/>
    <w:rsid w:val="00B12EA1"/>
    <w:rsid w:val="00B131DD"/>
    <w:rsid w:val="00B13394"/>
    <w:rsid w:val="00B133D3"/>
    <w:rsid w:val="00B13667"/>
    <w:rsid w:val="00B1387A"/>
    <w:rsid w:val="00B13BCD"/>
    <w:rsid w:val="00B150C5"/>
    <w:rsid w:val="00B1575E"/>
    <w:rsid w:val="00B15959"/>
    <w:rsid w:val="00B16EA6"/>
    <w:rsid w:val="00B1729B"/>
    <w:rsid w:val="00B17E0F"/>
    <w:rsid w:val="00B2050E"/>
    <w:rsid w:val="00B205B7"/>
    <w:rsid w:val="00B224F9"/>
    <w:rsid w:val="00B22E36"/>
    <w:rsid w:val="00B238B2"/>
    <w:rsid w:val="00B23E01"/>
    <w:rsid w:val="00B240CE"/>
    <w:rsid w:val="00B242B2"/>
    <w:rsid w:val="00B24383"/>
    <w:rsid w:val="00B24A8C"/>
    <w:rsid w:val="00B258BF"/>
    <w:rsid w:val="00B262FB"/>
    <w:rsid w:val="00B26BB5"/>
    <w:rsid w:val="00B26FBE"/>
    <w:rsid w:val="00B271ED"/>
    <w:rsid w:val="00B279E1"/>
    <w:rsid w:val="00B27B3A"/>
    <w:rsid w:val="00B27B48"/>
    <w:rsid w:val="00B3081D"/>
    <w:rsid w:val="00B30851"/>
    <w:rsid w:val="00B31BE8"/>
    <w:rsid w:val="00B31C70"/>
    <w:rsid w:val="00B31CA3"/>
    <w:rsid w:val="00B32B0E"/>
    <w:rsid w:val="00B32C24"/>
    <w:rsid w:val="00B32D92"/>
    <w:rsid w:val="00B33276"/>
    <w:rsid w:val="00B33407"/>
    <w:rsid w:val="00B339BD"/>
    <w:rsid w:val="00B34285"/>
    <w:rsid w:val="00B34408"/>
    <w:rsid w:val="00B344EF"/>
    <w:rsid w:val="00B34838"/>
    <w:rsid w:val="00B366DC"/>
    <w:rsid w:val="00B36B2C"/>
    <w:rsid w:val="00B36B6A"/>
    <w:rsid w:val="00B36D08"/>
    <w:rsid w:val="00B3738F"/>
    <w:rsid w:val="00B3771F"/>
    <w:rsid w:val="00B37DD4"/>
    <w:rsid w:val="00B403FB"/>
    <w:rsid w:val="00B42A23"/>
    <w:rsid w:val="00B42A2F"/>
    <w:rsid w:val="00B438A3"/>
    <w:rsid w:val="00B43EA6"/>
    <w:rsid w:val="00B46763"/>
    <w:rsid w:val="00B46FB5"/>
    <w:rsid w:val="00B476D2"/>
    <w:rsid w:val="00B510A5"/>
    <w:rsid w:val="00B51FC5"/>
    <w:rsid w:val="00B520AE"/>
    <w:rsid w:val="00B52CD8"/>
    <w:rsid w:val="00B530EE"/>
    <w:rsid w:val="00B54175"/>
    <w:rsid w:val="00B54E1E"/>
    <w:rsid w:val="00B558FD"/>
    <w:rsid w:val="00B55C47"/>
    <w:rsid w:val="00B55E81"/>
    <w:rsid w:val="00B56E03"/>
    <w:rsid w:val="00B56EAB"/>
    <w:rsid w:val="00B57260"/>
    <w:rsid w:val="00B57511"/>
    <w:rsid w:val="00B57F32"/>
    <w:rsid w:val="00B6000B"/>
    <w:rsid w:val="00B60454"/>
    <w:rsid w:val="00B60FC0"/>
    <w:rsid w:val="00B611C9"/>
    <w:rsid w:val="00B61CD1"/>
    <w:rsid w:val="00B61D06"/>
    <w:rsid w:val="00B61FE3"/>
    <w:rsid w:val="00B62227"/>
    <w:rsid w:val="00B6244B"/>
    <w:rsid w:val="00B62930"/>
    <w:rsid w:val="00B62DFC"/>
    <w:rsid w:val="00B6500F"/>
    <w:rsid w:val="00B65189"/>
    <w:rsid w:val="00B651A6"/>
    <w:rsid w:val="00B652A0"/>
    <w:rsid w:val="00B65B75"/>
    <w:rsid w:val="00B66161"/>
    <w:rsid w:val="00B6655F"/>
    <w:rsid w:val="00B66E2A"/>
    <w:rsid w:val="00B66F79"/>
    <w:rsid w:val="00B67756"/>
    <w:rsid w:val="00B701F0"/>
    <w:rsid w:val="00B70345"/>
    <w:rsid w:val="00B707D4"/>
    <w:rsid w:val="00B714B7"/>
    <w:rsid w:val="00B72641"/>
    <w:rsid w:val="00B729B1"/>
    <w:rsid w:val="00B72A1C"/>
    <w:rsid w:val="00B73D80"/>
    <w:rsid w:val="00B742C6"/>
    <w:rsid w:val="00B74321"/>
    <w:rsid w:val="00B74B84"/>
    <w:rsid w:val="00B74F08"/>
    <w:rsid w:val="00B75FB6"/>
    <w:rsid w:val="00B76070"/>
    <w:rsid w:val="00B7628D"/>
    <w:rsid w:val="00B76EED"/>
    <w:rsid w:val="00B7725A"/>
    <w:rsid w:val="00B7758C"/>
    <w:rsid w:val="00B77B3B"/>
    <w:rsid w:val="00B80010"/>
    <w:rsid w:val="00B8049E"/>
    <w:rsid w:val="00B80798"/>
    <w:rsid w:val="00B81208"/>
    <w:rsid w:val="00B8146B"/>
    <w:rsid w:val="00B81590"/>
    <w:rsid w:val="00B81813"/>
    <w:rsid w:val="00B82DF7"/>
    <w:rsid w:val="00B83179"/>
    <w:rsid w:val="00B84475"/>
    <w:rsid w:val="00B8534D"/>
    <w:rsid w:val="00B85725"/>
    <w:rsid w:val="00B85E81"/>
    <w:rsid w:val="00B86661"/>
    <w:rsid w:val="00B86EA2"/>
    <w:rsid w:val="00B8748D"/>
    <w:rsid w:val="00B876F8"/>
    <w:rsid w:val="00B87940"/>
    <w:rsid w:val="00B87AB9"/>
    <w:rsid w:val="00B9175A"/>
    <w:rsid w:val="00B91942"/>
    <w:rsid w:val="00B920F5"/>
    <w:rsid w:val="00B92966"/>
    <w:rsid w:val="00B92A01"/>
    <w:rsid w:val="00B93375"/>
    <w:rsid w:val="00B936B5"/>
    <w:rsid w:val="00B939BB"/>
    <w:rsid w:val="00B94058"/>
    <w:rsid w:val="00B944F6"/>
    <w:rsid w:val="00B94B2D"/>
    <w:rsid w:val="00B9670A"/>
    <w:rsid w:val="00BA0080"/>
    <w:rsid w:val="00BA009B"/>
    <w:rsid w:val="00BA0917"/>
    <w:rsid w:val="00BA0DA1"/>
    <w:rsid w:val="00BA0FF6"/>
    <w:rsid w:val="00BA3C25"/>
    <w:rsid w:val="00BA40CC"/>
    <w:rsid w:val="00BA50B1"/>
    <w:rsid w:val="00BA67E0"/>
    <w:rsid w:val="00BA6AA2"/>
    <w:rsid w:val="00BA6E99"/>
    <w:rsid w:val="00BA6FF6"/>
    <w:rsid w:val="00BA7D44"/>
    <w:rsid w:val="00BA7ECB"/>
    <w:rsid w:val="00BA7F09"/>
    <w:rsid w:val="00BB0E38"/>
    <w:rsid w:val="00BB129F"/>
    <w:rsid w:val="00BB1534"/>
    <w:rsid w:val="00BB18B1"/>
    <w:rsid w:val="00BB1946"/>
    <w:rsid w:val="00BB1F51"/>
    <w:rsid w:val="00BB2489"/>
    <w:rsid w:val="00BB290E"/>
    <w:rsid w:val="00BB350D"/>
    <w:rsid w:val="00BB3557"/>
    <w:rsid w:val="00BB35E4"/>
    <w:rsid w:val="00BB3C33"/>
    <w:rsid w:val="00BB42C8"/>
    <w:rsid w:val="00BB4CB9"/>
    <w:rsid w:val="00BB4D38"/>
    <w:rsid w:val="00BB5257"/>
    <w:rsid w:val="00BB52D4"/>
    <w:rsid w:val="00BB5446"/>
    <w:rsid w:val="00BB5755"/>
    <w:rsid w:val="00BB5974"/>
    <w:rsid w:val="00BB5E21"/>
    <w:rsid w:val="00BB6FD0"/>
    <w:rsid w:val="00BC1E70"/>
    <w:rsid w:val="00BC207D"/>
    <w:rsid w:val="00BC3054"/>
    <w:rsid w:val="00BC3C5F"/>
    <w:rsid w:val="00BC4B3F"/>
    <w:rsid w:val="00BC50AE"/>
    <w:rsid w:val="00BC5437"/>
    <w:rsid w:val="00BC62CB"/>
    <w:rsid w:val="00BC7ACF"/>
    <w:rsid w:val="00BC7E8D"/>
    <w:rsid w:val="00BD08D3"/>
    <w:rsid w:val="00BD1C53"/>
    <w:rsid w:val="00BD28BE"/>
    <w:rsid w:val="00BD35B5"/>
    <w:rsid w:val="00BD51ED"/>
    <w:rsid w:val="00BD6154"/>
    <w:rsid w:val="00BD65EE"/>
    <w:rsid w:val="00BD68FE"/>
    <w:rsid w:val="00BD6B8B"/>
    <w:rsid w:val="00BD72C2"/>
    <w:rsid w:val="00BD7A05"/>
    <w:rsid w:val="00BD7D70"/>
    <w:rsid w:val="00BE023A"/>
    <w:rsid w:val="00BE04CF"/>
    <w:rsid w:val="00BE0C73"/>
    <w:rsid w:val="00BE18D5"/>
    <w:rsid w:val="00BE2339"/>
    <w:rsid w:val="00BE236A"/>
    <w:rsid w:val="00BE27BB"/>
    <w:rsid w:val="00BE2A23"/>
    <w:rsid w:val="00BE30D5"/>
    <w:rsid w:val="00BE395A"/>
    <w:rsid w:val="00BE3D32"/>
    <w:rsid w:val="00BE41BB"/>
    <w:rsid w:val="00BE468A"/>
    <w:rsid w:val="00BE48D4"/>
    <w:rsid w:val="00BE4C8B"/>
    <w:rsid w:val="00BE4E7F"/>
    <w:rsid w:val="00BE5074"/>
    <w:rsid w:val="00BE50EC"/>
    <w:rsid w:val="00BE51B1"/>
    <w:rsid w:val="00BE51EB"/>
    <w:rsid w:val="00BE5628"/>
    <w:rsid w:val="00BE6691"/>
    <w:rsid w:val="00BE693C"/>
    <w:rsid w:val="00BE6CCE"/>
    <w:rsid w:val="00BE75ED"/>
    <w:rsid w:val="00BE7A41"/>
    <w:rsid w:val="00BE7A96"/>
    <w:rsid w:val="00BF031C"/>
    <w:rsid w:val="00BF06FF"/>
    <w:rsid w:val="00BF15E9"/>
    <w:rsid w:val="00BF17F2"/>
    <w:rsid w:val="00BF21AB"/>
    <w:rsid w:val="00BF22AD"/>
    <w:rsid w:val="00BF254E"/>
    <w:rsid w:val="00BF3F5C"/>
    <w:rsid w:val="00BF4F33"/>
    <w:rsid w:val="00BF4F4D"/>
    <w:rsid w:val="00BF55ED"/>
    <w:rsid w:val="00BF5C2D"/>
    <w:rsid w:val="00BF6BF0"/>
    <w:rsid w:val="00BF6D92"/>
    <w:rsid w:val="00BF7100"/>
    <w:rsid w:val="00C00904"/>
    <w:rsid w:val="00C015B7"/>
    <w:rsid w:val="00C01F91"/>
    <w:rsid w:val="00C020BE"/>
    <w:rsid w:val="00C024C1"/>
    <w:rsid w:val="00C02904"/>
    <w:rsid w:val="00C02CCE"/>
    <w:rsid w:val="00C02FF0"/>
    <w:rsid w:val="00C03002"/>
    <w:rsid w:val="00C036D4"/>
    <w:rsid w:val="00C03835"/>
    <w:rsid w:val="00C03CB9"/>
    <w:rsid w:val="00C041A5"/>
    <w:rsid w:val="00C04609"/>
    <w:rsid w:val="00C04612"/>
    <w:rsid w:val="00C04EAE"/>
    <w:rsid w:val="00C04F94"/>
    <w:rsid w:val="00C054A2"/>
    <w:rsid w:val="00C05983"/>
    <w:rsid w:val="00C05C4F"/>
    <w:rsid w:val="00C0737E"/>
    <w:rsid w:val="00C07538"/>
    <w:rsid w:val="00C07EF2"/>
    <w:rsid w:val="00C10324"/>
    <w:rsid w:val="00C10666"/>
    <w:rsid w:val="00C107F2"/>
    <w:rsid w:val="00C11114"/>
    <w:rsid w:val="00C11325"/>
    <w:rsid w:val="00C12343"/>
    <w:rsid w:val="00C124BF"/>
    <w:rsid w:val="00C14ADB"/>
    <w:rsid w:val="00C15D8D"/>
    <w:rsid w:val="00C15EFC"/>
    <w:rsid w:val="00C17829"/>
    <w:rsid w:val="00C17967"/>
    <w:rsid w:val="00C17B0C"/>
    <w:rsid w:val="00C21084"/>
    <w:rsid w:val="00C21BFD"/>
    <w:rsid w:val="00C21C4B"/>
    <w:rsid w:val="00C2274D"/>
    <w:rsid w:val="00C22A4B"/>
    <w:rsid w:val="00C2358B"/>
    <w:rsid w:val="00C240CD"/>
    <w:rsid w:val="00C241BA"/>
    <w:rsid w:val="00C2479F"/>
    <w:rsid w:val="00C25055"/>
    <w:rsid w:val="00C26662"/>
    <w:rsid w:val="00C26897"/>
    <w:rsid w:val="00C26A00"/>
    <w:rsid w:val="00C26D4A"/>
    <w:rsid w:val="00C27FE3"/>
    <w:rsid w:val="00C3023D"/>
    <w:rsid w:val="00C31BED"/>
    <w:rsid w:val="00C31C80"/>
    <w:rsid w:val="00C31E1F"/>
    <w:rsid w:val="00C31FCF"/>
    <w:rsid w:val="00C32512"/>
    <w:rsid w:val="00C32624"/>
    <w:rsid w:val="00C32844"/>
    <w:rsid w:val="00C329F2"/>
    <w:rsid w:val="00C32A5E"/>
    <w:rsid w:val="00C32F4E"/>
    <w:rsid w:val="00C33BE3"/>
    <w:rsid w:val="00C33D39"/>
    <w:rsid w:val="00C341B7"/>
    <w:rsid w:val="00C34D65"/>
    <w:rsid w:val="00C35DB7"/>
    <w:rsid w:val="00C35FE0"/>
    <w:rsid w:val="00C367A3"/>
    <w:rsid w:val="00C36907"/>
    <w:rsid w:val="00C369E9"/>
    <w:rsid w:val="00C36AA1"/>
    <w:rsid w:val="00C36B60"/>
    <w:rsid w:val="00C37737"/>
    <w:rsid w:val="00C37945"/>
    <w:rsid w:val="00C37C81"/>
    <w:rsid w:val="00C37D01"/>
    <w:rsid w:val="00C4075A"/>
    <w:rsid w:val="00C41034"/>
    <w:rsid w:val="00C416F2"/>
    <w:rsid w:val="00C41B3F"/>
    <w:rsid w:val="00C41D72"/>
    <w:rsid w:val="00C42F5E"/>
    <w:rsid w:val="00C432A8"/>
    <w:rsid w:val="00C43F9E"/>
    <w:rsid w:val="00C44107"/>
    <w:rsid w:val="00C44896"/>
    <w:rsid w:val="00C44D2B"/>
    <w:rsid w:val="00C45066"/>
    <w:rsid w:val="00C45157"/>
    <w:rsid w:val="00C458DD"/>
    <w:rsid w:val="00C45947"/>
    <w:rsid w:val="00C461BD"/>
    <w:rsid w:val="00C46288"/>
    <w:rsid w:val="00C46FB2"/>
    <w:rsid w:val="00C47A1D"/>
    <w:rsid w:val="00C47A52"/>
    <w:rsid w:val="00C5022C"/>
    <w:rsid w:val="00C50DD9"/>
    <w:rsid w:val="00C51177"/>
    <w:rsid w:val="00C5207E"/>
    <w:rsid w:val="00C52180"/>
    <w:rsid w:val="00C5221F"/>
    <w:rsid w:val="00C52DBC"/>
    <w:rsid w:val="00C53B22"/>
    <w:rsid w:val="00C5469F"/>
    <w:rsid w:val="00C54D6D"/>
    <w:rsid w:val="00C55280"/>
    <w:rsid w:val="00C56713"/>
    <w:rsid w:val="00C576D3"/>
    <w:rsid w:val="00C57CDF"/>
    <w:rsid w:val="00C57E5A"/>
    <w:rsid w:val="00C603A3"/>
    <w:rsid w:val="00C6053E"/>
    <w:rsid w:val="00C60AD3"/>
    <w:rsid w:val="00C61CE1"/>
    <w:rsid w:val="00C61E55"/>
    <w:rsid w:val="00C62022"/>
    <w:rsid w:val="00C646F4"/>
    <w:rsid w:val="00C64CCB"/>
    <w:rsid w:val="00C65432"/>
    <w:rsid w:val="00C65587"/>
    <w:rsid w:val="00C655B6"/>
    <w:rsid w:val="00C668CE"/>
    <w:rsid w:val="00C6725D"/>
    <w:rsid w:val="00C67E81"/>
    <w:rsid w:val="00C67E96"/>
    <w:rsid w:val="00C70DCA"/>
    <w:rsid w:val="00C720E3"/>
    <w:rsid w:val="00C72402"/>
    <w:rsid w:val="00C73957"/>
    <w:rsid w:val="00C73F1B"/>
    <w:rsid w:val="00C740E1"/>
    <w:rsid w:val="00C76051"/>
    <w:rsid w:val="00C763F2"/>
    <w:rsid w:val="00C76466"/>
    <w:rsid w:val="00C770AF"/>
    <w:rsid w:val="00C7718C"/>
    <w:rsid w:val="00C77553"/>
    <w:rsid w:val="00C77B82"/>
    <w:rsid w:val="00C801F3"/>
    <w:rsid w:val="00C807B7"/>
    <w:rsid w:val="00C80C2A"/>
    <w:rsid w:val="00C81440"/>
    <w:rsid w:val="00C81794"/>
    <w:rsid w:val="00C81D10"/>
    <w:rsid w:val="00C81E43"/>
    <w:rsid w:val="00C81F9D"/>
    <w:rsid w:val="00C824B1"/>
    <w:rsid w:val="00C826E0"/>
    <w:rsid w:val="00C82960"/>
    <w:rsid w:val="00C8299F"/>
    <w:rsid w:val="00C82CE9"/>
    <w:rsid w:val="00C83472"/>
    <w:rsid w:val="00C8376B"/>
    <w:rsid w:val="00C83C23"/>
    <w:rsid w:val="00C83DD0"/>
    <w:rsid w:val="00C83EEC"/>
    <w:rsid w:val="00C84AD3"/>
    <w:rsid w:val="00C84D68"/>
    <w:rsid w:val="00C8588D"/>
    <w:rsid w:val="00C865A4"/>
    <w:rsid w:val="00C91511"/>
    <w:rsid w:val="00C9206C"/>
    <w:rsid w:val="00C92D78"/>
    <w:rsid w:val="00C92FD3"/>
    <w:rsid w:val="00C939F8"/>
    <w:rsid w:val="00C941CB"/>
    <w:rsid w:val="00C947D0"/>
    <w:rsid w:val="00C95F26"/>
    <w:rsid w:val="00C9668C"/>
    <w:rsid w:val="00C97012"/>
    <w:rsid w:val="00C9721C"/>
    <w:rsid w:val="00C97796"/>
    <w:rsid w:val="00C977FB"/>
    <w:rsid w:val="00CA063C"/>
    <w:rsid w:val="00CA06F7"/>
    <w:rsid w:val="00CA0B04"/>
    <w:rsid w:val="00CA2B40"/>
    <w:rsid w:val="00CA3B02"/>
    <w:rsid w:val="00CA4578"/>
    <w:rsid w:val="00CA4735"/>
    <w:rsid w:val="00CA4A66"/>
    <w:rsid w:val="00CA4FB0"/>
    <w:rsid w:val="00CA4FE4"/>
    <w:rsid w:val="00CA5255"/>
    <w:rsid w:val="00CA6148"/>
    <w:rsid w:val="00CA63C1"/>
    <w:rsid w:val="00CA65DC"/>
    <w:rsid w:val="00CA7605"/>
    <w:rsid w:val="00CA7986"/>
    <w:rsid w:val="00CA7A9E"/>
    <w:rsid w:val="00CA7DA0"/>
    <w:rsid w:val="00CA7E3E"/>
    <w:rsid w:val="00CB02E8"/>
    <w:rsid w:val="00CB1718"/>
    <w:rsid w:val="00CB1C43"/>
    <w:rsid w:val="00CB33D3"/>
    <w:rsid w:val="00CB4F2F"/>
    <w:rsid w:val="00CB5173"/>
    <w:rsid w:val="00CB5963"/>
    <w:rsid w:val="00CB59F6"/>
    <w:rsid w:val="00CB5C69"/>
    <w:rsid w:val="00CB606F"/>
    <w:rsid w:val="00CB76D3"/>
    <w:rsid w:val="00CB798F"/>
    <w:rsid w:val="00CC024E"/>
    <w:rsid w:val="00CC057E"/>
    <w:rsid w:val="00CC07E0"/>
    <w:rsid w:val="00CC07F8"/>
    <w:rsid w:val="00CC0949"/>
    <w:rsid w:val="00CC111A"/>
    <w:rsid w:val="00CC1E06"/>
    <w:rsid w:val="00CC25E8"/>
    <w:rsid w:val="00CC2845"/>
    <w:rsid w:val="00CC2A8B"/>
    <w:rsid w:val="00CC2D3D"/>
    <w:rsid w:val="00CC402D"/>
    <w:rsid w:val="00CC4389"/>
    <w:rsid w:val="00CC62D7"/>
    <w:rsid w:val="00CC6539"/>
    <w:rsid w:val="00CC6E85"/>
    <w:rsid w:val="00CC7A92"/>
    <w:rsid w:val="00CC7D37"/>
    <w:rsid w:val="00CD011F"/>
    <w:rsid w:val="00CD10BB"/>
    <w:rsid w:val="00CD13CB"/>
    <w:rsid w:val="00CD2A21"/>
    <w:rsid w:val="00CD3490"/>
    <w:rsid w:val="00CD3D93"/>
    <w:rsid w:val="00CD40E5"/>
    <w:rsid w:val="00CD58DA"/>
    <w:rsid w:val="00CD5B17"/>
    <w:rsid w:val="00CD617C"/>
    <w:rsid w:val="00CD61A4"/>
    <w:rsid w:val="00CD6477"/>
    <w:rsid w:val="00CD651A"/>
    <w:rsid w:val="00CD7BF4"/>
    <w:rsid w:val="00CE0B4A"/>
    <w:rsid w:val="00CE0C24"/>
    <w:rsid w:val="00CE2066"/>
    <w:rsid w:val="00CE2263"/>
    <w:rsid w:val="00CE2FE7"/>
    <w:rsid w:val="00CE3347"/>
    <w:rsid w:val="00CE3A8A"/>
    <w:rsid w:val="00CE3C72"/>
    <w:rsid w:val="00CE3DB7"/>
    <w:rsid w:val="00CE457F"/>
    <w:rsid w:val="00CE4A31"/>
    <w:rsid w:val="00CE4C2B"/>
    <w:rsid w:val="00CE5A5A"/>
    <w:rsid w:val="00CE663F"/>
    <w:rsid w:val="00CE68F2"/>
    <w:rsid w:val="00CE6AB1"/>
    <w:rsid w:val="00CE7215"/>
    <w:rsid w:val="00CE763B"/>
    <w:rsid w:val="00CE7D60"/>
    <w:rsid w:val="00CE7E5A"/>
    <w:rsid w:val="00CE7F2B"/>
    <w:rsid w:val="00CF05A5"/>
    <w:rsid w:val="00CF05B9"/>
    <w:rsid w:val="00CF25AA"/>
    <w:rsid w:val="00CF2A8A"/>
    <w:rsid w:val="00CF34B7"/>
    <w:rsid w:val="00CF37FD"/>
    <w:rsid w:val="00CF3868"/>
    <w:rsid w:val="00CF3C46"/>
    <w:rsid w:val="00CF40F2"/>
    <w:rsid w:val="00CF4AA5"/>
    <w:rsid w:val="00CF50E2"/>
    <w:rsid w:val="00CF694F"/>
    <w:rsid w:val="00CF6A45"/>
    <w:rsid w:val="00CF7158"/>
    <w:rsid w:val="00CF7724"/>
    <w:rsid w:val="00CF7791"/>
    <w:rsid w:val="00D00524"/>
    <w:rsid w:val="00D01325"/>
    <w:rsid w:val="00D013A1"/>
    <w:rsid w:val="00D01431"/>
    <w:rsid w:val="00D018BD"/>
    <w:rsid w:val="00D01B6B"/>
    <w:rsid w:val="00D02232"/>
    <w:rsid w:val="00D024B4"/>
    <w:rsid w:val="00D04116"/>
    <w:rsid w:val="00D0565B"/>
    <w:rsid w:val="00D0620E"/>
    <w:rsid w:val="00D06553"/>
    <w:rsid w:val="00D06789"/>
    <w:rsid w:val="00D06C17"/>
    <w:rsid w:val="00D06C59"/>
    <w:rsid w:val="00D07069"/>
    <w:rsid w:val="00D074F7"/>
    <w:rsid w:val="00D07D34"/>
    <w:rsid w:val="00D1055D"/>
    <w:rsid w:val="00D10679"/>
    <w:rsid w:val="00D11C86"/>
    <w:rsid w:val="00D11FA5"/>
    <w:rsid w:val="00D12256"/>
    <w:rsid w:val="00D1231B"/>
    <w:rsid w:val="00D124BA"/>
    <w:rsid w:val="00D12ADA"/>
    <w:rsid w:val="00D12AE3"/>
    <w:rsid w:val="00D12C48"/>
    <w:rsid w:val="00D12CFF"/>
    <w:rsid w:val="00D12E33"/>
    <w:rsid w:val="00D1310F"/>
    <w:rsid w:val="00D132F6"/>
    <w:rsid w:val="00D137AA"/>
    <w:rsid w:val="00D13A71"/>
    <w:rsid w:val="00D13B3A"/>
    <w:rsid w:val="00D1477D"/>
    <w:rsid w:val="00D14F66"/>
    <w:rsid w:val="00D15157"/>
    <w:rsid w:val="00D151F8"/>
    <w:rsid w:val="00D1528F"/>
    <w:rsid w:val="00D15530"/>
    <w:rsid w:val="00D16F4F"/>
    <w:rsid w:val="00D208A0"/>
    <w:rsid w:val="00D209CA"/>
    <w:rsid w:val="00D2109F"/>
    <w:rsid w:val="00D2223C"/>
    <w:rsid w:val="00D230A5"/>
    <w:rsid w:val="00D231D8"/>
    <w:rsid w:val="00D23E29"/>
    <w:rsid w:val="00D24BE9"/>
    <w:rsid w:val="00D24C26"/>
    <w:rsid w:val="00D2528D"/>
    <w:rsid w:val="00D25458"/>
    <w:rsid w:val="00D25772"/>
    <w:rsid w:val="00D25A16"/>
    <w:rsid w:val="00D25B69"/>
    <w:rsid w:val="00D25B77"/>
    <w:rsid w:val="00D25E17"/>
    <w:rsid w:val="00D264C2"/>
    <w:rsid w:val="00D26866"/>
    <w:rsid w:val="00D27943"/>
    <w:rsid w:val="00D300E9"/>
    <w:rsid w:val="00D30419"/>
    <w:rsid w:val="00D30CE7"/>
    <w:rsid w:val="00D31E53"/>
    <w:rsid w:val="00D31E8A"/>
    <w:rsid w:val="00D31EE7"/>
    <w:rsid w:val="00D3210E"/>
    <w:rsid w:val="00D33A09"/>
    <w:rsid w:val="00D3481B"/>
    <w:rsid w:val="00D3513E"/>
    <w:rsid w:val="00D35C06"/>
    <w:rsid w:val="00D37184"/>
    <w:rsid w:val="00D372C4"/>
    <w:rsid w:val="00D37963"/>
    <w:rsid w:val="00D37A43"/>
    <w:rsid w:val="00D37B31"/>
    <w:rsid w:val="00D402F0"/>
    <w:rsid w:val="00D40CAE"/>
    <w:rsid w:val="00D40F65"/>
    <w:rsid w:val="00D40F75"/>
    <w:rsid w:val="00D419F7"/>
    <w:rsid w:val="00D43208"/>
    <w:rsid w:val="00D44D7A"/>
    <w:rsid w:val="00D44F19"/>
    <w:rsid w:val="00D45110"/>
    <w:rsid w:val="00D454E0"/>
    <w:rsid w:val="00D462E5"/>
    <w:rsid w:val="00D474A2"/>
    <w:rsid w:val="00D51418"/>
    <w:rsid w:val="00D518D7"/>
    <w:rsid w:val="00D52313"/>
    <w:rsid w:val="00D523E8"/>
    <w:rsid w:val="00D52A1D"/>
    <w:rsid w:val="00D53100"/>
    <w:rsid w:val="00D5412B"/>
    <w:rsid w:val="00D54630"/>
    <w:rsid w:val="00D547A4"/>
    <w:rsid w:val="00D54C4C"/>
    <w:rsid w:val="00D5548A"/>
    <w:rsid w:val="00D556FF"/>
    <w:rsid w:val="00D55D9B"/>
    <w:rsid w:val="00D5658F"/>
    <w:rsid w:val="00D565A2"/>
    <w:rsid w:val="00D56888"/>
    <w:rsid w:val="00D5793B"/>
    <w:rsid w:val="00D57C39"/>
    <w:rsid w:val="00D60068"/>
    <w:rsid w:val="00D60DCA"/>
    <w:rsid w:val="00D6155A"/>
    <w:rsid w:val="00D616F9"/>
    <w:rsid w:val="00D61758"/>
    <w:rsid w:val="00D61A07"/>
    <w:rsid w:val="00D61DB7"/>
    <w:rsid w:val="00D62131"/>
    <w:rsid w:val="00D63431"/>
    <w:rsid w:val="00D635D3"/>
    <w:rsid w:val="00D63969"/>
    <w:rsid w:val="00D6422C"/>
    <w:rsid w:val="00D6454E"/>
    <w:rsid w:val="00D650B4"/>
    <w:rsid w:val="00D65D74"/>
    <w:rsid w:val="00D67795"/>
    <w:rsid w:val="00D67BC4"/>
    <w:rsid w:val="00D67E9B"/>
    <w:rsid w:val="00D70210"/>
    <w:rsid w:val="00D70299"/>
    <w:rsid w:val="00D70994"/>
    <w:rsid w:val="00D70B01"/>
    <w:rsid w:val="00D70D55"/>
    <w:rsid w:val="00D71083"/>
    <w:rsid w:val="00D71FF5"/>
    <w:rsid w:val="00D724EC"/>
    <w:rsid w:val="00D725BE"/>
    <w:rsid w:val="00D725C3"/>
    <w:rsid w:val="00D72700"/>
    <w:rsid w:val="00D72980"/>
    <w:rsid w:val="00D72A87"/>
    <w:rsid w:val="00D72A92"/>
    <w:rsid w:val="00D73313"/>
    <w:rsid w:val="00D73CAC"/>
    <w:rsid w:val="00D73E30"/>
    <w:rsid w:val="00D73FFE"/>
    <w:rsid w:val="00D7476F"/>
    <w:rsid w:val="00D747EB"/>
    <w:rsid w:val="00D74B13"/>
    <w:rsid w:val="00D74B37"/>
    <w:rsid w:val="00D74C9E"/>
    <w:rsid w:val="00D757EE"/>
    <w:rsid w:val="00D762DB"/>
    <w:rsid w:val="00D7641C"/>
    <w:rsid w:val="00D76F8F"/>
    <w:rsid w:val="00D77E45"/>
    <w:rsid w:val="00D80F4C"/>
    <w:rsid w:val="00D811EC"/>
    <w:rsid w:val="00D81507"/>
    <w:rsid w:val="00D815FC"/>
    <w:rsid w:val="00D82684"/>
    <w:rsid w:val="00D82844"/>
    <w:rsid w:val="00D8444A"/>
    <w:rsid w:val="00D847ED"/>
    <w:rsid w:val="00D849E6"/>
    <w:rsid w:val="00D8531E"/>
    <w:rsid w:val="00D854A9"/>
    <w:rsid w:val="00D86E71"/>
    <w:rsid w:val="00D87124"/>
    <w:rsid w:val="00D87156"/>
    <w:rsid w:val="00D87C7B"/>
    <w:rsid w:val="00D9018D"/>
    <w:rsid w:val="00D90609"/>
    <w:rsid w:val="00D9098D"/>
    <w:rsid w:val="00D911C8"/>
    <w:rsid w:val="00D9145A"/>
    <w:rsid w:val="00D91683"/>
    <w:rsid w:val="00D91B8D"/>
    <w:rsid w:val="00D91CBC"/>
    <w:rsid w:val="00D91EB2"/>
    <w:rsid w:val="00D91FD1"/>
    <w:rsid w:val="00D92636"/>
    <w:rsid w:val="00D927E5"/>
    <w:rsid w:val="00D92F26"/>
    <w:rsid w:val="00D93838"/>
    <w:rsid w:val="00D9463A"/>
    <w:rsid w:val="00D94DBD"/>
    <w:rsid w:val="00D9577C"/>
    <w:rsid w:val="00D95837"/>
    <w:rsid w:val="00D95CD2"/>
    <w:rsid w:val="00D95DB4"/>
    <w:rsid w:val="00D96AF2"/>
    <w:rsid w:val="00D97229"/>
    <w:rsid w:val="00D97390"/>
    <w:rsid w:val="00D97A28"/>
    <w:rsid w:val="00D97CF9"/>
    <w:rsid w:val="00DA0494"/>
    <w:rsid w:val="00DA06E7"/>
    <w:rsid w:val="00DA0E10"/>
    <w:rsid w:val="00DA139C"/>
    <w:rsid w:val="00DA15C8"/>
    <w:rsid w:val="00DA1F86"/>
    <w:rsid w:val="00DA21E6"/>
    <w:rsid w:val="00DA2C45"/>
    <w:rsid w:val="00DA3303"/>
    <w:rsid w:val="00DA4D60"/>
    <w:rsid w:val="00DA59BD"/>
    <w:rsid w:val="00DA5E45"/>
    <w:rsid w:val="00DA7040"/>
    <w:rsid w:val="00DA73B7"/>
    <w:rsid w:val="00DA7596"/>
    <w:rsid w:val="00DA769B"/>
    <w:rsid w:val="00DA773D"/>
    <w:rsid w:val="00DB0188"/>
    <w:rsid w:val="00DB0624"/>
    <w:rsid w:val="00DB0695"/>
    <w:rsid w:val="00DB118F"/>
    <w:rsid w:val="00DB1789"/>
    <w:rsid w:val="00DB1C59"/>
    <w:rsid w:val="00DB2D93"/>
    <w:rsid w:val="00DB3DD1"/>
    <w:rsid w:val="00DB4212"/>
    <w:rsid w:val="00DB425C"/>
    <w:rsid w:val="00DB4AE4"/>
    <w:rsid w:val="00DB5288"/>
    <w:rsid w:val="00DB57A6"/>
    <w:rsid w:val="00DB709A"/>
    <w:rsid w:val="00DB7E38"/>
    <w:rsid w:val="00DB7F49"/>
    <w:rsid w:val="00DC1576"/>
    <w:rsid w:val="00DC161F"/>
    <w:rsid w:val="00DC2C56"/>
    <w:rsid w:val="00DC3692"/>
    <w:rsid w:val="00DC43E6"/>
    <w:rsid w:val="00DC4418"/>
    <w:rsid w:val="00DC522F"/>
    <w:rsid w:val="00DC5982"/>
    <w:rsid w:val="00DC64AE"/>
    <w:rsid w:val="00DC6BCF"/>
    <w:rsid w:val="00DC6C19"/>
    <w:rsid w:val="00DC72B1"/>
    <w:rsid w:val="00DC7992"/>
    <w:rsid w:val="00DC7C93"/>
    <w:rsid w:val="00DC7DBF"/>
    <w:rsid w:val="00DD0174"/>
    <w:rsid w:val="00DD0BB8"/>
    <w:rsid w:val="00DD0E10"/>
    <w:rsid w:val="00DD110D"/>
    <w:rsid w:val="00DD238D"/>
    <w:rsid w:val="00DD2E1C"/>
    <w:rsid w:val="00DD3DB1"/>
    <w:rsid w:val="00DD4D69"/>
    <w:rsid w:val="00DD571F"/>
    <w:rsid w:val="00DD59A0"/>
    <w:rsid w:val="00DD5B25"/>
    <w:rsid w:val="00DD5F28"/>
    <w:rsid w:val="00DD606F"/>
    <w:rsid w:val="00DD68E9"/>
    <w:rsid w:val="00DD7673"/>
    <w:rsid w:val="00DD77B5"/>
    <w:rsid w:val="00DD7AA6"/>
    <w:rsid w:val="00DE00E0"/>
    <w:rsid w:val="00DE0A2C"/>
    <w:rsid w:val="00DE1D10"/>
    <w:rsid w:val="00DE2548"/>
    <w:rsid w:val="00DE275E"/>
    <w:rsid w:val="00DE2C35"/>
    <w:rsid w:val="00DE2D24"/>
    <w:rsid w:val="00DE3179"/>
    <w:rsid w:val="00DE35DC"/>
    <w:rsid w:val="00DE3B19"/>
    <w:rsid w:val="00DE4233"/>
    <w:rsid w:val="00DE4DD9"/>
    <w:rsid w:val="00DE6371"/>
    <w:rsid w:val="00DE6A9C"/>
    <w:rsid w:val="00DE7C56"/>
    <w:rsid w:val="00DF180B"/>
    <w:rsid w:val="00DF1CB8"/>
    <w:rsid w:val="00DF1D92"/>
    <w:rsid w:val="00DF2252"/>
    <w:rsid w:val="00DF2F8F"/>
    <w:rsid w:val="00DF33BA"/>
    <w:rsid w:val="00DF3848"/>
    <w:rsid w:val="00DF3EF3"/>
    <w:rsid w:val="00DF4C1F"/>
    <w:rsid w:val="00DF5823"/>
    <w:rsid w:val="00DF59F3"/>
    <w:rsid w:val="00DF5A2E"/>
    <w:rsid w:val="00DF5D9B"/>
    <w:rsid w:val="00DF5FC2"/>
    <w:rsid w:val="00DF62A7"/>
    <w:rsid w:val="00DF62D7"/>
    <w:rsid w:val="00DF67E4"/>
    <w:rsid w:val="00DF6B60"/>
    <w:rsid w:val="00DF6E79"/>
    <w:rsid w:val="00DF72DA"/>
    <w:rsid w:val="00DF736B"/>
    <w:rsid w:val="00DF7704"/>
    <w:rsid w:val="00DF772D"/>
    <w:rsid w:val="00DF7802"/>
    <w:rsid w:val="00DF7AB2"/>
    <w:rsid w:val="00E00158"/>
    <w:rsid w:val="00E00429"/>
    <w:rsid w:val="00E00E8D"/>
    <w:rsid w:val="00E01967"/>
    <w:rsid w:val="00E0199A"/>
    <w:rsid w:val="00E01E54"/>
    <w:rsid w:val="00E01F6D"/>
    <w:rsid w:val="00E02309"/>
    <w:rsid w:val="00E031A5"/>
    <w:rsid w:val="00E03FD3"/>
    <w:rsid w:val="00E0411B"/>
    <w:rsid w:val="00E043BD"/>
    <w:rsid w:val="00E0449A"/>
    <w:rsid w:val="00E045DA"/>
    <w:rsid w:val="00E0572D"/>
    <w:rsid w:val="00E05765"/>
    <w:rsid w:val="00E0598E"/>
    <w:rsid w:val="00E07F44"/>
    <w:rsid w:val="00E1125C"/>
    <w:rsid w:val="00E11AF8"/>
    <w:rsid w:val="00E12180"/>
    <w:rsid w:val="00E12DCC"/>
    <w:rsid w:val="00E12E59"/>
    <w:rsid w:val="00E1338E"/>
    <w:rsid w:val="00E13422"/>
    <w:rsid w:val="00E13DC3"/>
    <w:rsid w:val="00E13E4A"/>
    <w:rsid w:val="00E14462"/>
    <w:rsid w:val="00E1448F"/>
    <w:rsid w:val="00E14503"/>
    <w:rsid w:val="00E1480C"/>
    <w:rsid w:val="00E14E64"/>
    <w:rsid w:val="00E14FD0"/>
    <w:rsid w:val="00E1545B"/>
    <w:rsid w:val="00E15B35"/>
    <w:rsid w:val="00E15C25"/>
    <w:rsid w:val="00E16C98"/>
    <w:rsid w:val="00E16D73"/>
    <w:rsid w:val="00E16DAC"/>
    <w:rsid w:val="00E1753A"/>
    <w:rsid w:val="00E178C0"/>
    <w:rsid w:val="00E179D7"/>
    <w:rsid w:val="00E17B95"/>
    <w:rsid w:val="00E203DA"/>
    <w:rsid w:val="00E2066F"/>
    <w:rsid w:val="00E212AB"/>
    <w:rsid w:val="00E21811"/>
    <w:rsid w:val="00E218B4"/>
    <w:rsid w:val="00E22188"/>
    <w:rsid w:val="00E22243"/>
    <w:rsid w:val="00E2226D"/>
    <w:rsid w:val="00E222D4"/>
    <w:rsid w:val="00E2282C"/>
    <w:rsid w:val="00E237D0"/>
    <w:rsid w:val="00E237F3"/>
    <w:rsid w:val="00E23E28"/>
    <w:rsid w:val="00E24925"/>
    <w:rsid w:val="00E24CD4"/>
    <w:rsid w:val="00E24DCD"/>
    <w:rsid w:val="00E2528A"/>
    <w:rsid w:val="00E2549E"/>
    <w:rsid w:val="00E25D02"/>
    <w:rsid w:val="00E26D53"/>
    <w:rsid w:val="00E27AB4"/>
    <w:rsid w:val="00E27E75"/>
    <w:rsid w:val="00E30322"/>
    <w:rsid w:val="00E30392"/>
    <w:rsid w:val="00E30D1D"/>
    <w:rsid w:val="00E32323"/>
    <w:rsid w:val="00E326BE"/>
    <w:rsid w:val="00E32D28"/>
    <w:rsid w:val="00E32F4E"/>
    <w:rsid w:val="00E34BC6"/>
    <w:rsid w:val="00E34EDA"/>
    <w:rsid w:val="00E352D3"/>
    <w:rsid w:val="00E35843"/>
    <w:rsid w:val="00E35A9A"/>
    <w:rsid w:val="00E36880"/>
    <w:rsid w:val="00E36B97"/>
    <w:rsid w:val="00E36E0C"/>
    <w:rsid w:val="00E37038"/>
    <w:rsid w:val="00E370C3"/>
    <w:rsid w:val="00E372BB"/>
    <w:rsid w:val="00E37F81"/>
    <w:rsid w:val="00E402E8"/>
    <w:rsid w:val="00E40CAD"/>
    <w:rsid w:val="00E40D82"/>
    <w:rsid w:val="00E411A9"/>
    <w:rsid w:val="00E41EF0"/>
    <w:rsid w:val="00E422A8"/>
    <w:rsid w:val="00E42B92"/>
    <w:rsid w:val="00E42C6F"/>
    <w:rsid w:val="00E4362A"/>
    <w:rsid w:val="00E438DD"/>
    <w:rsid w:val="00E44217"/>
    <w:rsid w:val="00E444F0"/>
    <w:rsid w:val="00E45500"/>
    <w:rsid w:val="00E462B7"/>
    <w:rsid w:val="00E46474"/>
    <w:rsid w:val="00E46688"/>
    <w:rsid w:val="00E470EE"/>
    <w:rsid w:val="00E4737F"/>
    <w:rsid w:val="00E47E5C"/>
    <w:rsid w:val="00E47F79"/>
    <w:rsid w:val="00E47FD3"/>
    <w:rsid w:val="00E51A1D"/>
    <w:rsid w:val="00E51E3D"/>
    <w:rsid w:val="00E51E69"/>
    <w:rsid w:val="00E53CA1"/>
    <w:rsid w:val="00E53EB5"/>
    <w:rsid w:val="00E547E5"/>
    <w:rsid w:val="00E54CEE"/>
    <w:rsid w:val="00E55604"/>
    <w:rsid w:val="00E561AE"/>
    <w:rsid w:val="00E57F97"/>
    <w:rsid w:val="00E6033D"/>
    <w:rsid w:val="00E60AAD"/>
    <w:rsid w:val="00E60D00"/>
    <w:rsid w:val="00E60FCF"/>
    <w:rsid w:val="00E61208"/>
    <w:rsid w:val="00E6129C"/>
    <w:rsid w:val="00E612D3"/>
    <w:rsid w:val="00E61553"/>
    <w:rsid w:val="00E616A3"/>
    <w:rsid w:val="00E61A28"/>
    <w:rsid w:val="00E61FE8"/>
    <w:rsid w:val="00E6277F"/>
    <w:rsid w:val="00E6287D"/>
    <w:rsid w:val="00E62DE6"/>
    <w:rsid w:val="00E63DBC"/>
    <w:rsid w:val="00E642D4"/>
    <w:rsid w:val="00E6465B"/>
    <w:rsid w:val="00E649CA"/>
    <w:rsid w:val="00E64A46"/>
    <w:rsid w:val="00E65466"/>
    <w:rsid w:val="00E665F1"/>
    <w:rsid w:val="00E67061"/>
    <w:rsid w:val="00E7002F"/>
    <w:rsid w:val="00E70ACE"/>
    <w:rsid w:val="00E70D45"/>
    <w:rsid w:val="00E71935"/>
    <w:rsid w:val="00E71E57"/>
    <w:rsid w:val="00E7294B"/>
    <w:rsid w:val="00E72DDD"/>
    <w:rsid w:val="00E73222"/>
    <w:rsid w:val="00E7372B"/>
    <w:rsid w:val="00E73833"/>
    <w:rsid w:val="00E73FDF"/>
    <w:rsid w:val="00E7499A"/>
    <w:rsid w:val="00E75348"/>
    <w:rsid w:val="00E75524"/>
    <w:rsid w:val="00E7582D"/>
    <w:rsid w:val="00E76025"/>
    <w:rsid w:val="00E7692C"/>
    <w:rsid w:val="00E77003"/>
    <w:rsid w:val="00E773BD"/>
    <w:rsid w:val="00E8003C"/>
    <w:rsid w:val="00E802F5"/>
    <w:rsid w:val="00E8067B"/>
    <w:rsid w:val="00E807B0"/>
    <w:rsid w:val="00E80B23"/>
    <w:rsid w:val="00E80E2E"/>
    <w:rsid w:val="00E8123A"/>
    <w:rsid w:val="00E8182B"/>
    <w:rsid w:val="00E81D05"/>
    <w:rsid w:val="00E825A4"/>
    <w:rsid w:val="00E8276A"/>
    <w:rsid w:val="00E83EDA"/>
    <w:rsid w:val="00E845F0"/>
    <w:rsid w:val="00E852C5"/>
    <w:rsid w:val="00E861C5"/>
    <w:rsid w:val="00E86451"/>
    <w:rsid w:val="00E87545"/>
    <w:rsid w:val="00E87DD2"/>
    <w:rsid w:val="00E9026A"/>
    <w:rsid w:val="00E90595"/>
    <w:rsid w:val="00E90A11"/>
    <w:rsid w:val="00E90D83"/>
    <w:rsid w:val="00E91A93"/>
    <w:rsid w:val="00E925AA"/>
    <w:rsid w:val="00E92800"/>
    <w:rsid w:val="00E9340D"/>
    <w:rsid w:val="00E93452"/>
    <w:rsid w:val="00E9385E"/>
    <w:rsid w:val="00E9444E"/>
    <w:rsid w:val="00E950EA"/>
    <w:rsid w:val="00E964AE"/>
    <w:rsid w:val="00E96B26"/>
    <w:rsid w:val="00E9710B"/>
    <w:rsid w:val="00E972F1"/>
    <w:rsid w:val="00E9745B"/>
    <w:rsid w:val="00E9746B"/>
    <w:rsid w:val="00E974AA"/>
    <w:rsid w:val="00E97648"/>
    <w:rsid w:val="00EA0119"/>
    <w:rsid w:val="00EA06C6"/>
    <w:rsid w:val="00EA0E20"/>
    <w:rsid w:val="00EA113F"/>
    <w:rsid w:val="00EA22E0"/>
    <w:rsid w:val="00EA2307"/>
    <w:rsid w:val="00EA2902"/>
    <w:rsid w:val="00EA2B64"/>
    <w:rsid w:val="00EA2B8E"/>
    <w:rsid w:val="00EA2D3B"/>
    <w:rsid w:val="00EA3240"/>
    <w:rsid w:val="00EA3A6E"/>
    <w:rsid w:val="00EA3E91"/>
    <w:rsid w:val="00EA460C"/>
    <w:rsid w:val="00EA4C5D"/>
    <w:rsid w:val="00EA4EEA"/>
    <w:rsid w:val="00EA5169"/>
    <w:rsid w:val="00EA542E"/>
    <w:rsid w:val="00EA5946"/>
    <w:rsid w:val="00EA61FF"/>
    <w:rsid w:val="00EA73E7"/>
    <w:rsid w:val="00EB126A"/>
    <w:rsid w:val="00EB14F7"/>
    <w:rsid w:val="00EB14FC"/>
    <w:rsid w:val="00EB210C"/>
    <w:rsid w:val="00EB2909"/>
    <w:rsid w:val="00EB2A29"/>
    <w:rsid w:val="00EB4B5E"/>
    <w:rsid w:val="00EB5017"/>
    <w:rsid w:val="00EB50EA"/>
    <w:rsid w:val="00EB5D36"/>
    <w:rsid w:val="00EB6551"/>
    <w:rsid w:val="00EB6945"/>
    <w:rsid w:val="00EB7A27"/>
    <w:rsid w:val="00EC0056"/>
    <w:rsid w:val="00EC0743"/>
    <w:rsid w:val="00EC10B7"/>
    <w:rsid w:val="00EC1F9D"/>
    <w:rsid w:val="00EC2C5C"/>
    <w:rsid w:val="00EC2F4E"/>
    <w:rsid w:val="00EC3B83"/>
    <w:rsid w:val="00EC3BAB"/>
    <w:rsid w:val="00EC501F"/>
    <w:rsid w:val="00EC5AF2"/>
    <w:rsid w:val="00EC5B81"/>
    <w:rsid w:val="00EC7373"/>
    <w:rsid w:val="00EC7431"/>
    <w:rsid w:val="00EC7FEE"/>
    <w:rsid w:val="00ED032F"/>
    <w:rsid w:val="00ED0E68"/>
    <w:rsid w:val="00ED15D0"/>
    <w:rsid w:val="00ED174C"/>
    <w:rsid w:val="00ED1BE7"/>
    <w:rsid w:val="00ED1FB1"/>
    <w:rsid w:val="00ED2282"/>
    <w:rsid w:val="00ED2AB0"/>
    <w:rsid w:val="00ED2CE5"/>
    <w:rsid w:val="00ED30DF"/>
    <w:rsid w:val="00ED3F5B"/>
    <w:rsid w:val="00ED404E"/>
    <w:rsid w:val="00ED4167"/>
    <w:rsid w:val="00ED4216"/>
    <w:rsid w:val="00ED449C"/>
    <w:rsid w:val="00ED4695"/>
    <w:rsid w:val="00ED4E70"/>
    <w:rsid w:val="00ED5100"/>
    <w:rsid w:val="00ED5D2D"/>
    <w:rsid w:val="00ED63D3"/>
    <w:rsid w:val="00ED75FC"/>
    <w:rsid w:val="00EE02FC"/>
    <w:rsid w:val="00EE0438"/>
    <w:rsid w:val="00EE0A95"/>
    <w:rsid w:val="00EE1952"/>
    <w:rsid w:val="00EE3060"/>
    <w:rsid w:val="00EE37C6"/>
    <w:rsid w:val="00EE41F9"/>
    <w:rsid w:val="00EE4C5F"/>
    <w:rsid w:val="00EE4EAB"/>
    <w:rsid w:val="00EE5347"/>
    <w:rsid w:val="00EE57BC"/>
    <w:rsid w:val="00EE5974"/>
    <w:rsid w:val="00EE6D86"/>
    <w:rsid w:val="00EE7BB0"/>
    <w:rsid w:val="00EF01AA"/>
    <w:rsid w:val="00EF0647"/>
    <w:rsid w:val="00EF1D27"/>
    <w:rsid w:val="00EF1E77"/>
    <w:rsid w:val="00EF24E1"/>
    <w:rsid w:val="00EF3523"/>
    <w:rsid w:val="00EF37A4"/>
    <w:rsid w:val="00EF41A1"/>
    <w:rsid w:val="00EF463B"/>
    <w:rsid w:val="00EF46F8"/>
    <w:rsid w:val="00EF4C96"/>
    <w:rsid w:val="00EF50B0"/>
    <w:rsid w:val="00EF5F86"/>
    <w:rsid w:val="00EF62A4"/>
    <w:rsid w:val="00EF6416"/>
    <w:rsid w:val="00EF6BCF"/>
    <w:rsid w:val="00EF72A4"/>
    <w:rsid w:val="00EF7521"/>
    <w:rsid w:val="00F00366"/>
    <w:rsid w:val="00F00682"/>
    <w:rsid w:val="00F01E64"/>
    <w:rsid w:val="00F01EB5"/>
    <w:rsid w:val="00F020E6"/>
    <w:rsid w:val="00F022B0"/>
    <w:rsid w:val="00F029DC"/>
    <w:rsid w:val="00F0473F"/>
    <w:rsid w:val="00F04C5A"/>
    <w:rsid w:val="00F051D4"/>
    <w:rsid w:val="00F053D2"/>
    <w:rsid w:val="00F053D9"/>
    <w:rsid w:val="00F05B24"/>
    <w:rsid w:val="00F06245"/>
    <w:rsid w:val="00F06DB6"/>
    <w:rsid w:val="00F0701D"/>
    <w:rsid w:val="00F070DE"/>
    <w:rsid w:val="00F0754C"/>
    <w:rsid w:val="00F07670"/>
    <w:rsid w:val="00F100CD"/>
    <w:rsid w:val="00F1077D"/>
    <w:rsid w:val="00F10EAC"/>
    <w:rsid w:val="00F1115F"/>
    <w:rsid w:val="00F11814"/>
    <w:rsid w:val="00F1193B"/>
    <w:rsid w:val="00F11C7E"/>
    <w:rsid w:val="00F11E0D"/>
    <w:rsid w:val="00F123E4"/>
    <w:rsid w:val="00F133CF"/>
    <w:rsid w:val="00F13480"/>
    <w:rsid w:val="00F13BAB"/>
    <w:rsid w:val="00F14FA7"/>
    <w:rsid w:val="00F15A2B"/>
    <w:rsid w:val="00F15E17"/>
    <w:rsid w:val="00F160E3"/>
    <w:rsid w:val="00F17C1F"/>
    <w:rsid w:val="00F20141"/>
    <w:rsid w:val="00F20A60"/>
    <w:rsid w:val="00F20ADD"/>
    <w:rsid w:val="00F21546"/>
    <w:rsid w:val="00F22C45"/>
    <w:rsid w:val="00F23496"/>
    <w:rsid w:val="00F24E0D"/>
    <w:rsid w:val="00F256AA"/>
    <w:rsid w:val="00F25AA6"/>
    <w:rsid w:val="00F2676F"/>
    <w:rsid w:val="00F26C57"/>
    <w:rsid w:val="00F26DC5"/>
    <w:rsid w:val="00F26DF1"/>
    <w:rsid w:val="00F270A8"/>
    <w:rsid w:val="00F27B04"/>
    <w:rsid w:val="00F27FD4"/>
    <w:rsid w:val="00F30515"/>
    <w:rsid w:val="00F307F3"/>
    <w:rsid w:val="00F30A71"/>
    <w:rsid w:val="00F31597"/>
    <w:rsid w:val="00F31D84"/>
    <w:rsid w:val="00F320F5"/>
    <w:rsid w:val="00F349F4"/>
    <w:rsid w:val="00F350CB"/>
    <w:rsid w:val="00F35326"/>
    <w:rsid w:val="00F3541C"/>
    <w:rsid w:val="00F35A95"/>
    <w:rsid w:val="00F36255"/>
    <w:rsid w:val="00F36874"/>
    <w:rsid w:val="00F36FDF"/>
    <w:rsid w:val="00F37088"/>
    <w:rsid w:val="00F37126"/>
    <w:rsid w:val="00F374D3"/>
    <w:rsid w:val="00F37B3E"/>
    <w:rsid w:val="00F40138"/>
    <w:rsid w:val="00F40B36"/>
    <w:rsid w:val="00F40E24"/>
    <w:rsid w:val="00F41300"/>
    <w:rsid w:val="00F41933"/>
    <w:rsid w:val="00F41D63"/>
    <w:rsid w:val="00F43C47"/>
    <w:rsid w:val="00F43E2B"/>
    <w:rsid w:val="00F43EF7"/>
    <w:rsid w:val="00F441DC"/>
    <w:rsid w:val="00F4439E"/>
    <w:rsid w:val="00F44714"/>
    <w:rsid w:val="00F44E5D"/>
    <w:rsid w:val="00F45B94"/>
    <w:rsid w:val="00F45D5D"/>
    <w:rsid w:val="00F46727"/>
    <w:rsid w:val="00F469B9"/>
    <w:rsid w:val="00F472B7"/>
    <w:rsid w:val="00F50216"/>
    <w:rsid w:val="00F50A5A"/>
    <w:rsid w:val="00F50BA9"/>
    <w:rsid w:val="00F5147F"/>
    <w:rsid w:val="00F51488"/>
    <w:rsid w:val="00F51E3C"/>
    <w:rsid w:val="00F532C8"/>
    <w:rsid w:val="00F53ED0"/>
    <w:rsid w:val="00F54935"/>
    <w:rsid w:val="00F54A7C"/>
    <w:rsid w:val="00F55C96"/>
    <w:rsid w:val="00F56759"/>
    <w:rsid w:val="00F56E37"/>
    <w:rsid w:val="00F56F2E"/>
    <w:rsid w:val="00F603CF"/>
    <w:rsid w:val="00F615B5"/>
    <w:rsid w:val="00F6160C"/>
    <w:rsid w:val="00F617F7"/>
    <w:rsid w:val="00F6216C"/>
    <w:rsid w:val="00F62F20"/>
    <w:rsid w:val="00F62F8C"/>
    <w:rsid w:val="00F638CE"/>
    <w:rsid w:val="00F63ADF"/>
    <w:rsid w:val="00F641C2"/>
    <w:rsid w:val="00F6547A"/>
    <w:rsid w:val="00F65B77"/>
    <w:rsid w:val="00F65E63"/>
    <w:rsid w:val="00F6637B"/>
    <w:rsid w:val="00F663FD"/>
    <w:rsid w:val="00F669A4"/>
    <w:rsid w:val="00F66A23"/>
    <w:rsid w:val="00F66A6A"/>
    <w:rsid w:val="00F70370"/>
    <w:rsid w:val="00F70A62"/>
    <w:rsid w:val="00F71CB5"/>
    <w:rsid w:val="00F71E25"/>
    <w:rsid w:val="00F72777"/>
    <w:rsid w:val="00F729A7"/>
    <w:rsid w:val="00F72CC3"/>
    <w:rsid w:val="00F735A9"/>
    <w:rsid w:val="00F73627"/>
    <w:rsid w:val="00F737A8"/>
    <w:rsid w:val="00F73870"/>
    <w:rsid w:val="00F73C8B"/>
    <w:rsid w:val="00F7437D"/>
    <w:rsid w:val="00F74764"/>
    <w:rsid w:val="00F75DA2"/>
    <w:rsid w:val="00F761A4"/>
    <w:rsid w:val="00F76F22"/>
    <w:rsid w:val="00F77484"/>
    <w:rsid w:val="00F77A15"/>
    <w:rsid w:val="00F77E19"/>
    <w:rsid w:val="00F8004C"/>
    <w:rsid w:val="00F80113"/>
    <w:rsid w:val="00F8042A"/>
    <w:rsid w:val="00F80EB9"/>
    <w:rsid w:val="00F8248C"/>
    <w:rsid w:val="00F82A46"/>
    <w:rsid w:val="00F82E6F"/>
    <w:rsid w:val="00F832AE"/>
    <w:rsid w:val="00F83837"/>
    <w:rsid w:val="00F83BA2"/>
    <w:rsid w:val="00F84BCF"/>
    <w:rsid w:val="00F852EF"/>
    <w:rsid w:val="00F85C60"/>
    <w:rsid w:val="00F85D13"/>
    <w:rsid w:val="00F86197"/>
    <w:rsid w:val="00F86249"/>
    <w:rsid w:val="00F87711"/>
    <w:rsid w:val="00F9032B"/>
    <w:rsid w:val="00F90352"/>
    <w:rsid w:val="00F90635"/>
    <w:rsid w:val="00F90AB4"/>
    <w:rsid w:val="00F90DA2"/>
    <w:rsid w:val="00F90DFA"/>
    <w:rsid w:val="00F912CD"/>
    <w:rsid w:val="00F916FE"/>
    <w:rsid w:val="00F92713"/>
    <w:rsid w:val="00F93FDA"/>
    <w:rsid w:val="00F94E28"/>
    <w:rsid w:val="00F9581F"/>
    <w:rsid w:val="00F9634A"/>
    <w:rsid w:val="00F964C8"/>
    <w:rsid w:val="00F967DE"/>
    <w:rsid w:val="00F96AAD"/>
    <w:rsid w:val="00F96CDD"/>
    <w:rsid w:val="00F96FF5"/>
    <w:rsid w:val="00F97F6F"/>
    <w:rsid w:val="00FA0302"/>
    <w:rsid w:val="00FA0448"/>
    <w:rsid w:val="00FA077C"/>
    <w:rsid w:val="00FA1491"/>
    <w:rsid w:val="00FA1840"/>
    <w:rsid w:val="00FA1D19"/>
    <w:rsid w:val="00FA2BE5"/>
    <w:rsid w:val="00FA4760"/>
    <w:rsid w:val="00FA5116"/>
    <w:rsid w:val="00FA5994"/>
    <w:rsid w:val="00FA683D"/>
    <w:rsid w:val="00FA69ED"/>
    <w:rsid w:val="00FA6DEF"/>
    <w:rsid w:val="00FA6E15"/>
    <w:rsid w:val="00FA6EA8"/>
    <w:rsid w:val="00FA7386"/>
    <w:rsid w:val="00FA7EA1"/>
    <w:rsid w:val="00FB0002"/>
    <w:rsid w:val="00FB04D5"/>
    <w:rsid w:val="00FB063C"/>
    <w:rsid w:val="00FB0C4D"/>
    <w:rsid w:val="00FB0DAE"/>
    <w:rsid w:val="00FB0E60"/>
    <w:rsid w:val="00FB1335"/>
    <w:rsid w:val="00FB159C"/>
    <w:rsid w:val="00FB165D"/>
    <w:rsid w:val="00FB19D0"/>
    <w:rsid w:val="00FB1C0D"/>
    <w:rsid w:val="00FB23B8"/>
    <w:rsid w:val="00FB2D7F"/>
    <w:rsid w:val="00FB3299"/>
    <w:rsid w:val="00FB32BE"/>
    <w:rsid w:val="00FB3C44"/>
    <w:rsid w:val="00FB44E8"/>
    <w:rsid w:val="00FB4603"/>
    <w:rsid w:val="00FB6DA4"/>
    <w:rsid w:val="00FB6F20"/>
    <w:rsid w:val="00FB6FDA"/>
    <w:rsid w:val="00FB7829"/>
    <w:rsid w:val="00FB7A46"/>
    <w:rsid w:val="00FB7E14"/>
    <w:rsid w:val="00FC0838"/>
    <w:rsid w:val="00FC1259"/>
    <w:rsid w:val="00FC21A5"/>
    <w:rsid w:val="00FC23FF"/>
    <w:rsid w:val="00FC30AD"/>
    <w:rsid w:val="00FC3BA0"/>
    <w:rsid w:val="00FC43AA"/>
    <w:rsid w:val="00FC4656"/>
    <w:rsid w:val="00FC4951"/>
    <w:rsid w:val="00FC5B38"/>
    <w:rsid w:val="00FC5B6B"/>
    <w:rsid w:val="00FC60EE"/>
    <w:rsid w:val="00FC61C3"/>
    <w:rsid w:val="00FC6384"/>
    <w:rsid w:val="00FC63B6"/>
    <w:rsid w:val="00FC65B1"/>
    <w:rsid w:val="00FC7864"/>
    <w:rsid w:val="00FD0857"/>
    <w:rsid w:val="00FD0A85"/>
    <w:rsid w:val="00FD0FE6"/>
    <w:rsid w:val="00FD1F7A"/>
    <w:rsid w:val="00FD299C"/>
    <w:rsid w:val="00FD37F7"/>
    <w:rsid w:val="00FD4487"/>
    <w:rsid w:val="00FD52F8"/>
    <w:rsid w:val="00FD595E"/>
    <w:rsid w:val="00FD5DD1"/>
    <w:rsid w:val="00FD6774"/>
    <w:rsid w:val="00FD6953"/>
    <w:rsid w:val="00FD6E3C"/>
    <w:rsid w:val="00FD77FA"/>
    <w:rsid w:val="00FD7B85"/>
    <w:rsid w:val="00FD7EEE"/>
    <w:rsid w:val="00FE0760"/>
    <w:rsid w:val="00FE0C5D"/>
    <w:rsid w:val="00FE16D8"/>
    <w:rsid w:val="00FE1AF6"/>
    <w:rsid w:val="00FE1CB5"/>
    <w:rsid w:val="00FE210E"/>
    <w:rsid w:val="00FE23EB"/>
    <w:rsid w:val="00FE28EC"/>
    <w:rsid w:val="00FE356E"/>
    <w:rsid w:val="00FE39EE"/>
    <w:rsid w:val="00FE3F2F"/>
    <w:rsid w:val="00FE43F1"/>
    <w:rsid w:val="00FE47A9"/>
    <w:rsid w:val="00FE5C24"/>
    <w:rsid w:val="00FE64DA"/>
    <w:rsid w:val="00FE6889"/>
    <w:rsid w:val="00FE695E"/>
    <w:rsid w:val="00FE6BA0"/>
    <w:rsid w:val="00FE761C"/>
    <w:rsid w:val="00FF07DC"/>
    <w:rsid w:val="00FF0EB8"/>
    <w:rsid w:val="00FF1818"/>
    <w:rsid w:val="00FF1CE9"/>
    <w:rsid w:val="00FF2568"/>
    <w:rsid w:val="00FF2D99"/>
    <w:rsid w:val="00FF2E08"/>
    <w:rsid w:val="00FF36BD"/>
    <w:rsid w:val="00FF378B"/>
    <w:rsid w:val="00FF3E8B"/>
    <w:rsid w:val="00FF41E5"/>
    <w:rsid w:val="00FF4603"/>
    <w:rsid w:val="00FF487E"/>
    <w:rsid w:val="00FF5389"/>
    <w:rsid w:val="00FF5808"/>
    <w:rsid w:val="00FF6196"/>
    <w:rsid w:val="00FF7119"/>
    <w:rsid w:val="00FF7A5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6E2"/>
    <w:rPr>
      <w:sz w:val="28"/>
      <w:szCs w:val="28"/>
      <w:lang w:val="en-US" w:eastAsia="en-US"/>
    </w:rPr>
  </w:style>
  <w:style w:type="paragraph" w:styleId="Heading1">
    <w:name w:val="heading 1"/>
    <w:basedOn w:val="Normal"/>
    <w:next w:val="Normal"/>
    <w:link w:val="Heading1Char"/>
    <w:uiPriority w:val="99"/>
    <w:qFormat/>
    <w:rsid w:val="00EF01AA"/>
    <w:pPr>
      <w:keepNext/>
      <w:spacing w:before="240" w:after="60"/>
      <w:outlineLvl w:val="0"/>
    </w:pPr>
    <w:rPr>
      <w:b/>
      <w:kern w:val="32"/>
      <w:sz w:val="32"/>
      <w:szCs w:val="20"/>
    </w:rPr>
  </w:style>
  <w:style w:type="paragraph" w:styleId="Heading2">
    <w:name w:val="heading 2"/>
    <w:basedOn w:val="Normal"/>
    <w:next w:val="Normal"/>
    <w:link w:val="Heading2Char"/>
    <w:uiPriority w:val="99"/>
    <w:qFormat/>
    <w:rsid w:val="00EF01AA"/>
    <w:pPr>
      <w:keepNext/>
      <w:spacing w:before="240" w:after="60"/>
      <w:outlineLvl w:val="1"/>
    </w:pPr>
    <w:rPr>
      <w:b/>
      <w:i/>
      <w:szCs w:val="20"/>
    </w:rPr>
  </w:style>
  <w:style w:type="paragraph" w:styleId="Heading3">
    <w:name w:val="heading 3"/>
    <w:aliases w:val="Heading 3 Char,Char Char Char Char,Char Char Char Char Char"/>
    <w:basedOn w:val="Normal"/>
    <w:link w:val="Heading3Char1"/>
    <w:uiPriority w:val="99"/>
    <w:qFormat/>
    <w:rsid w:val="00E61A28"/>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uiPriority w:val="99"/>
    <w:qFormat/>
    <w:rsid w:val="00EF01AA"/>
    <w:pPr>
      <w:keepNext/>
      <w:spacing w:before="240" w:after="60"/>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01AA"/>
    <w:rPr>
      <w:rFonts w:ascii="Times New Roman" w:hAnsi="Times New Roman" w:cs="Times New Roman"/>
      <w:b/>
      <w:kern w:val="32"/>
      <w:sz w:val="32"/>
      <w:lang w:val="en-US" w:eastAsia="en-US"/>
    </w:rPr>
  </w:style>
  <w:style w:type="character" w:customStyle="1" w:styleId="Heading2Char">
    <w:name w:val="Heading 2 Char"/>
    <w:link w:val="Heading2"/>
    <w:uiPriority w:val="99"/>
    <w:locked/>
    <w:rsid w:val="00EF01AA"/>
    <w:rPr>
      <w:rFonts w:ascii="Times New Roman" w:hAnsi="Times New Roman" w:cs="Times New Roman"/>
      <w:b/>
      <w:i/>
      <w:sz w:val="28"/>
      <w:lang w:val="en-US" w:eastAsia="en-US"/>
    </w:rPr>
  </w:style>
  <w:style w:type="character" w:customStyle="1" w:styleId="Heading3Char1">
    <w:name w:val="Heading 3 Char1"/>
    <w:aliases w:val="Heading 3 Char Char,Char Char Char Char Char1,Char Char Char Char Char Char"/>
    <w:link w:val="Heading3"/>
    <w:uiPriority w:val="99"/>
    <w:semiHidden/>
    <w:locked/>
    <w:rsid w:val="00694C46"/>
    <w:rPr>
      <w:rFonts w:ascii="Cambria" w:hAnsi="Cambria" w:cs="Times New Roman"/>
      <w:b/>
      <w:bCs/>
      <w:sz w:val="26"/>
      <w:szCs w:val="26"/>
    </w:rPr>
  </w:style>
  <w:style w:type="character" w:customStyle="1" w:styleId="Heading4Char">
    <w:name w:val="Heading 4 Char"/>
    <w:link w:val="Heading4"/>
    <w:uiPriority w:val="99"/>
    <w:locked/>
    <w:rsid w:val="00EF01AA"/>
    <w:rPr>
      <w:rFonts w:ascii="Arial" w:hAnsi="Arial" w:cs="Times New Roman"/>
      <w:b/>
      <w:sz w:val="28"/>
      <w:lang w:val="en-US" w:eastAsia="en-US"/>
    </w:rPr>
  </w:style>
  <w:style w:type="paragraph" w:styleId="BalloonText">
    <w:name w:val="Balloon Text"/>
    <w:basedOn w:val="Normal"/>
    <w:link w:val="BalloonTextChar"/>
    <w:uiPriority w:val="99"/>
    <w:semiHidden/>
    <w:rsid w:val="0067047C"/>
    <w:rPr>
      <w:rFonts w:ascii="Tahoma" w:hAnsi="Tahoma"/>
      <w:sz w:val="16"/>
      <w:szCs w:val="20"/>
    </w:rPr>
  </w:style>
  <w:style w:type="character" w:customStyle="1" w:styleId="BalloonTextChar">
    <w:name w:val="Balloon Text Char"/>
    <w:link w:val="BalloonText"/>
    <w:uiPriority w:val="99"/>
    <w:semiHidden/>
    <w:locked/>
    <w:rsid w:val="00EF01AA"/>
    <w:rPr>
      <w:rFonts w:ascii="Tahoma" w:hAnsi="Tahoma" w:cs="Times New Roman"/>
      <w:sz w:val="16"/>
      <w:lang w:val="en-US" w:eastAsia="en-US"/>
    </w:rPr>
  </w:style>
  <w:style w:type="paragraph" w:styleId="Footer">
    <w:name w:val="footer"/>
    <w:basedOn w:val="Normal"/>
    <w:link w:val="FooterChar"/>
    <w:uiPriority w:val="99"/>
    <w:rsid w:val="00AD2C04"/>
    <w:pPr>
      <w:tabs>
        <w:tab w:val="center" w:pos="4320"/>
        <w:tab w:val="right" w:pos="8640"/>
      </w:tabs>
    </w:pPr>
    <w:rPr>
      <w:szCs w:val="20"/>
    </w:rPr>
  </w:style>
  <w:style w:type="character" w:customStyle="1" w:styleId="FooterChar">
    <w:name w:val="Footer Char"/>
    <w:link w:val="Footer"/>
    <w:uiPriority w:val="99"/>
    <w:locked/>
    <w:rsid w:val="00864E1A"/>
    <w:rPr>
      <w:rFonts w:cs="Times New Roman"/>
      <w:sz w:val="28"/>
      <w:lang w:val="en-US" w:eastAsia="en-US"/>
    </w:rPr>
  </w:style>
  <w:style w:type="character" w:styleId="PageNumber">
    <w:name w:val="page number"/>
    <w:uiPriority w:val="99"/>
    <w:rsid w:val="00AD2C04"/>
    <w:rPr>
      <w:rFonts w:cs="Times New Roman"/>
    </w:rPr>
  </w:style>
  <w:style w:type="character" w:styleId="Strong">
    <w:name w:val="Strong"/>
    <w:uiPriority w:val="99"/>
    <w:qFormat/>
    <w:rsid w:val="00C25055"/>
    <w:rPr>
      <w:rFonts w:cs="Times New Roman"/>
      <w:b/>
    </w:rPr>
  </w:style>
  <w:style w:type="paragraph" w:styleId="Header">
    <w:name w:val="header"/>
    <w:basedOn w:val="Normal"/>
    <w:link w:val="HeaderChar"/>
    <w:uiPriority w:val="99"/>
    <w:rsid w:val="00AE138C"/>
    <w:pPr>
      <w:tabs>
        <w:tab w:val="center" w:pos="4320"/>
        <w:tab w:val="right" w:pos="8640"/>
      </w:tabs>
    </w:pPr>
    <w:rPr>
      <w:szCs w:val="20"/>
    </w:rPr>
  </w:style>
  <w:style w:type="character" w:customStyle="1" w:styleId="HeaderChar">
    <w:name w:val="Header Char"/>
    <w:link w:val="Header"/>
    <w:uiPriority w:val="99"/>
    <w:locked/>
    <w:rsid w:val="00C041A5"/>
    <w:rPr>
      <w:rFonts w:cs="Times New Roman"/>
      <w:sz w:val="28"/>
      <w:lang w:val="en-US" w:eastAsia="en-US"/>
    </w:rPr>
  </w:style>
  <w:style w:type="paragraph" w:styleId="NormalWeb">
    <w:name w:val="Normal (Web)"/>
    <w:basedOn w:val="Normal"/>
    <w:uiPriority w:val="99"/>
    <w:rsid w:val="00854D41"/>
    <w:pPr>
      <w:spacing w:before="100" w:beforeAutospacing="1" w:after="100" w:afterAutospacing="1"/>
    </w:pPr>
    <w:rPr>
      <w:sz w:val="24"/>
      <w:szCs w:val="24"/>
    </w:rPr>
  </w:style>
  <w:style w:type="character" w:styleId="Emphasis">
    <w:name w:val="Emphasis"/>
    <w:uiPriority w:val="99"/>
    <w:qFormat/>
    <w:rsid w:val="00E61A28"/>
    <w:rPr>
      <w:rFonts w:cs="Times New Roman"/>
      <w:i/>
    </w:rPr>
  </w:style>
  <w:style w:type="paragraph" w:customStyle="1" w:styleId="Thanbai">
    <w:name w:val="Than bai"/>
    <w:basedOn w:val="Normal"/>
    <w:uiPriority w:val="99"/>
    <w:rsid w:val="00AA12CC"/>
    <w:pPr>
      <w:spacing w:after="240" w:line="312" w:lineRule="auto"/>
      <w:ind w:firstLine="720"/>
      <w:jc w:val="both"/>
    </w:pPr>
    <w:rPr>
      <w:szCs w:val="20"/>
    </w:rPr>
  </w:style>
  <w:style w:type="table" w:styleId="TableGrid">
    <w:name w:val="Table Grid"/>
    <w:basedOn w:val="TableNormal"/>
    <w:uiPriority w:val="99"/>
    <w:rsid w:val="00D64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qFormat/>
    <w:rsid w:val="00AA249D"/>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locked/>
    <w:rsid w:val="00AA249D"/>
    <w:rPr>
      <w:rFonts w:cs="Times New Roman"/>
      <w:lang w:val="en-US" w:eastAsia="en-US"/>
    </w:rPr>
  </w:style>
  <w:style w:type="character" w:styleId="FootnoteReference">
    <w:name w:val="footnote reference"/>
    <w:aliases w:val="Footnote,Footnote text,SUPERS,Footnote dich,ftref,(NECG) Footnote Reference,16 Point,Superscript 6 Point,Footnote + Arial,10 pt,Black,fr, BVI fnr,footnote ref,BVI fnr,BearingPoint,Footnote Text1,Ref,de nota al pie,Footnote Text11"/>
    <w:link w:val="4GCharCharChar"/>
    <w:uiPriority w:val="99"/>
    <w:qFormat/>
    <w:rsid w:val="00AA249D"/>
    <w:rPr>
      <w:rFonts w:cs="Times New Roman"/>
      <w:vertAlign w:val="superscript"/>
    </w:rPr>
  </w:style>
  <w:style w:type="paragraph" w:styleId="BodyText">
    <w:name w:val="Body Text"/>
    <w:basedOn w:val="Normal"/>
    <w:link w:val="BodyTextChar"/>
    <w:uiPriority w:val="99"/>
    <w:rsid w:val="000413B2"/>
    <w:pPr>
      <w:spacing w:after="120"/>
    </w:pPr>
  </w:style>
  <w:style w:type="character" w:customStyle="1" w:styleId="BodyTextChar">
    <w:name w:val="Body Text Char"/>
    <w:link w:val="BodyText"/>
    <w:uiPriority w:val="99"/>
    <w:semiHidden/>
    <w:locked/>
    <w:rsid w:val="00694C46"/>
    <w:rPr>
      <w:rFonts w:cs="Times New Roman"/>
      <w:sz w:val="28"/>
      <w:szCs w:val="28"/>
    </w:rPr>
  </w:style>
  <w:style w:type="paragraph" w:styleId="BodyTextFirstIndent">
    <w:name w:val="Body Text First Indent"/>
    <w:basedOn w:val="BodyText"/>
    <w:link w:val="BodyTextFirstIndentChar"/>
    <w:uiPriority w:val="99"/>
    <w:rsid w:val="000413B2"/>
    <w:pPr>
      <w:spacing w:line="276" w:lineRule="auto"/>
      <w:ind w:firstLine="210"/>
    </w:pPr>
  </w:style>
  <w:style w:type="character" w:customStyle="1" w:styleId="BodyTextFirstIndentChar">
    <w:name w:val="Body Text First Indent Char"/>
    <w:link w:val="BodyTextFirstIndent"/>
    <w:uiPriority w:val="99"/>
    <w:semiHidden/>
    <w:locked/>
    <w:rsid w:val="00694C46"/>
    <w:rPr>
      <w:rFonts w:cs="Times New Roman"/>
      <w:sz w:val="28"/>
      <w:szCs w:val="28"/>
    </w:rPr>
  </w:style>
  <w:style w:type="paragraph" w:styleId="DocumentMap">
    <w:name w:val="Document Map"/>
    <w:basedOn w:val="Normal"/>
    <w:link w:val="DocumentMapChar"/>
    <w:uiPriority w:val="99"/>
    <w:rsid w:val="001E01A4"/>
    <w:rPr>
      <w:rFonts w:ascii="Tahoma" w:hAnsi="Tahoma"/>
      <w:sz w:val="16"/>
      <w:szCs w:val="20"/>
    </w:rPr>
  </w:style>
  <w:style w:type="character" w:customStyle="1" w:styleId="DocumentMapChar">
    <w:name w:val="Document Map Char"/>
    <w:link w:val="DocumentMap"/>
    <w:uiPriority w:val="99"/>
    <w:locked/>
    <w:rsid w:val="001E01A4"/>
    <w:rPr>
      <w:rFonts w:ascii="Tahoma" w:hAnsi="Tahoma" w:cs="Times New Roman"/>
      <w:sz w:val="16"/>
      <w:lang w:val="en-US" w:eastAsia="en-US"/>
    </w:rPr>
  </w:style>
  <w:style w:type="paragraph" w:customStyle="1" w:styleId="oncaDanhsch">
    <w:name w:val="Đoạn của Danh sách"/>
    <w:basedOn w:val="Normal"/>
    <w:uiPriority w:val="99"/>
    <w:qFormat/>
    <w:rsid w:val="00EF01AA"/>
    <w:pPr>
      <w:spacing w:after="240" w:line="360" w:lineRule="exact"/>
      <w:ind w:left="720"/>
      <w:contextualSpacing/>
      <w:jc w:val="both"/>
    </w:pPr>
    <w:rPr>
      <w:szCs w:val="24"/>
    </w:rPr>
  </w:style>
  <w:style w:type="paragraph" w:customStyle="1" w:styleId="mcMclc">
    <w:name w:val="Đề mục Mục lục"/>
    <w:basedOn w:val="Heading1"/>
    <w:next w:val="Normal"/>
    <w:uiPriority w:val="99"/>
    <w:qFormat/>
    <w:rsid w:val="00EF01AA"/>
    <w:pPr>
      <w:keepLines/>
      <w:pageBreakBefore/>
      <w:pBdr>
        <w:left w:val="single" w:sz="4" w:space="4" w:color="auto"/>
        <w:bottom w:val="double" w:sz="6" w:space="1" w:color="auto"/>
      </w:pBdr>
      <w:spacing w:before="0" w:after="0" w:line="276" w:lineRule="auto"/>
      <w:jc w:val="both"/>
      <w:outlineLvl w:val="9"/>
    </w:pPr>
    <w:rPr>
      <w:color w:val="365F91"/>
      <w:kern w:val="0"/>
      <w:sz w:val="28"/>
      <w:szCs w:val="28"/>
    </w:rPr>
  </w:style>
  <w:style w:type="paragraph" w:styleId="TOC1">
    <w:name w:val="toc 1"/>
    <w:basedOn w:val="Normal"/>
    <w:next w:val="Normal"/>
    <w:autoRedefine/>
    <w:uiPriority w:val="99"/>
    <w:rsid w:val="00EF01AA"/>
    <w:pPr>
      <w:spacing w:after="100" w:line="360" w:lineRule="exact"/>
      <w:jc w:val="both"/>
    </w:pPr>
    <w:rPr>
      <w:szCs w:val="24"/>
    </w:rPr>
  </w:style>
  <w:style w:type="paragraph" w:styleId="TOC2">
    <w:name w:val="toc 2"/>
    <w:basedOn w:val="Normal"/>
    <w:next w:val="Normal"/>
    <w:autoRedefine/>
    <w:uiPriority w:val="99"/>
    <w:rsid w:val="00EF01AA"/>
    <w:pPr>
      <w:spacing w:after="100" w:line="360" w:lineRule="exact"/>
      <w:ind w:left="240"/>
      <w:jc w:val="both"/>
    </w:pPr>
    <w:rPr>
      <w:szCs w:val="24"/>
    </w:rPr>
  </w:style>
  <w:style w:type="paragraph" w:styleId="TOC3">
    <w:name w:val="toc 3"/>
    <w:basedOn w:val="Normal"/>
    <w:next w:val="Normal"/>
    <w:autoRedefine/>
    <w:uiPriority w:val="99"/>
    <w:rsid w:val="00EF01AA"/>
    <w:pPr>
      <w:spacing w:after="100" w:line="360" w:lineRule="exact"/>
      <w:ind w:left="480"/>
      <w:jc w:val="both"/>
    </w:pPr>
    <w:rPr>
      <w:szCs w:val="24"/>
    </w:rPr>
  </w:style>
  <w:style w:type="character" w:styleId="Hyperlink">
    <w:name w:val="Hyperlink"/>
    <w:uiPriority w:val="99"/>
    <w:rsid w:val="00EF01AA"/>
    <w:rPr>
      <w:rFonts w:cs="Times New Roman"/>
      <w:color w:val="0000FF"/>
      <w:u w:val="single"/>
    </w:rPr>
  </w:style>
  <w:style w:type="paragraph" w:customStyle="1" w:styleId="Normal1">
    <w:name w:val="Normal1"/>
    <w:uiPriority w:val="99"/>
    <w:rsid w:val="00EF01AA"/>
    <w:pPr>
      <w:spacing w:line="276" w:lineRule="auto"/>
    </w:pPr>
    <w:rPr>
      <w:rFonts w:ascii="Arial" w:hAnsi="Arial" w:cs="Arial"/>
      <w:color w:val="000000"/>
      <w:sz w:val="22"/>
    </w:rPr>
  </w:style>
  <w:style w:type="paragraph" w:customStyle="1" w:styleId="KhngGincch">
    <w:name w:val="Không Giãn cách"/>
    <w:uiPriority w:val="99"/>
    <w:qFormat/>
    <w:rsid w:val="00EF01AA"/>
    <w:rPr>
      <w:sz w:val="28"/>
      <w:szCs w:val="24"/>
      <w:lang w:val="en-US" w:eastAsia="en-US"/>
    </w:rPr>
  </w:style>
  <w:style w:type="paragraph" w:styleId="ListParagraph">
    <w:name w:val="List Paragraph"/>
    <w:basedOn w:val="Normal"/>
    <w:uiPriority w:val="34"/>
    <w:qFormat/>
    <w:rsid w:val="00E974AA"/>
    <w:pPr>
      <w:ind w:left="720"/>
      <w:contextualSpacing/>
    </w:pPr>
  </w:style>
  <w:style w:type="character" w:styleId="CommentReference">
    <w:name w:val="annotation reference"/>
    <w:uiPriority w:val="99"/>
    <w:semiHidden/>
    <w:unhideWhenUsed/>
    <w:locked/>
    <w:rsid w:val="0079294D"/>
    <w:rPr>
      <w:sz w:val="16"/>
      <w:szCs w:val="16"/>
    </w:rPr>
  </w:style>
  <w:style w:type="paragraph" w:styleId="CommentText">
    <w:name w:val="annotation text"/>
    <w:basedOn w:val="Normal"/>
    <w:link w:val="CommentTextChar"/>
    <w:uiPriority w:val="99"/>
    <w:unhideWhenUsed/>
    <w:locked/>
    <w:rsid w:val="0079294D"/>
    <w:rPr>
      <w:sz w:val="20"/>
      <w:szCs w:val="20"/>
    </w:rPr>
  </w:style>
  <w:style w:type="character" w:customStyle="1" w:styleId="CommentTextChar">
    <w:name w:val="Comment Text Char"/>
    <w:link w:val="CommentText"/>
    <w:uiPriority w:val="99"/>
    <w:rsid w:val="0079294D"/>
    <w:rPr>
      <w:lang w:val="en-US" w:eastAsia="en-US"/>
    </w:rPr>
  </w:style>
  <w:style w:type="paragraph" w:styleId="CommentSubject">
    <w:name w:val="annotation subject"/>
    <w:basedOn w:val="CommentText"/>
    <w:next w:val="CommentText"/>
    <w:link w:val="CommentSubjectChar"/>
    <w:uiPriority w:val="99"/>
    <w:semiHidden/>
    <w:unhideWhenUsed/>
    <w:locked/>
    <w:rsid w:val="0079294D"/>
    <w:rPr>
      <w:b/>
      <w:bCs/>
    </w:rPr>
  </w:style>
  <w:style w:type="character" w:customStyle="1" w:styleId="CommentSubjectChar">
    <w:name w:val="Comment Subject Char"/>
    <w:link w:val="CommentSubject"/>
    <w:uiPriority w:val="99"/>
    <w:semiHidden/>
    <w:rsid w:val="0079294D"/>
    <w:rPr>
      <w:b/>
      <w:bCs/>
      <w:lang w:val="en-US" w:eastAsia="en-US"/>
    </w:rPr>
  </w:style>
  <w:style w:type="paragraph" w:styleId="Title">
    <w:name w:val="Title"/>
    <w:basedOn w:val="Normal"/>
    <w:next w:val="Normal"/>
    <w:link w:val="TitleChar"/>
    <w:qFormat/>
    <w:rsid w:val="00C947D0"/>
    <w:pPr>
      <w:spacing w:before="240" w:after="60"/>
      <w:jc w:val="center"/>
      <w:outlineLvl w:val="0"/>
    </w:pPr>
    <w:rPr>
      <w:rFonts w:ascii="Cambria" w:hAnsi="Cambria"/>
      <w:b/>
      <w:bCs/>
      <w:kern w:val="28"/>
      <w:sz w:val="32"/>
      <w:szCs w:val="32"/>
    </w:rPr>
  </w:style>
  <w:style w:type="character" w:customStyle="1" w:styleId="TitleChar">
    <w:name w:val="Title Char"/>
    <w:link w:val="Title"/>
    <w:rsid w:val="00C947D0"/>
    <w:rPr>
      <w:rFonts w:ascii="Cambria" w:eastAsia="Times New Roman" w:hAnsi="Cambria" w:cs="Times New Roman"/>
      <w:b/>
      <w:bCs/>
      <w:kern w:val="28"/>
      <w:sz w:val="32"/>
      <w:szCs w:val="32"/>
    </w:rPr>
  </w:style>
  <w:style w:type="paragraph" w:styleId="Revision">
    <w:name w:val="Revision"/>
    <w:hidden/>
    <w:uiPriority w:val="99"/>
    <w:semiHidden/>
    <w:rsid w:val="000C2F90"/>
    <w:rPr>
      <w:sz w:val="28"/>
      <w:szCs w:val="28"/>
      <w:lang w:val="en-US"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471EFB"/>
    <w:pPr>
      <w:spacing w:before="100" w:line="240" w:lineRule="exact"/>
    </w:pPr>
    <w:rPr>
      <w:sz w:val="20"/>
      <w:szCs w:val="20"/>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335288"/>
    <w:pPr>
      <w:spacing w:after="160" w:line="240" w:lineRule="exact"/>
    </w:pPr>
    <w:rPr>
      <w:rFonts w:eastAsia="Calibri"/>
      <w:vertAlign w:val="superscript"/>
    </w:rPr>
  </w:style>
</w:styles>
</file>

<file path=word/webSettings.xml><?xml version="1.0" encoding="utf-8"?>
<w:webSettings xmlns:r="http://schemas.openxmlformats.org/officeDocument/2006/relationships" xmlns:w="http://schemas.openxmlformats.org/wordprocessingml/2006/main">
  <w:divs>
    <w:div w:id="85729958">
      <w:bodyDiv w:val="1"/>
      <w:marLeft w:val="0"/>
      <w:marRight w:val="0"/>
      <w:marTop w:val="0"/>
      <w:marBottom w:val="0"/>
      <w:divBdr>
        <w:top w:val="none" w:sz="0" w:space="0" w:color="auto"/>
        <w:left w:val="none" w:sz="0" w:space="0" w:color="auto"/>
        <w:bottom w:val="none" w:sz="0" w:space="0" w:color="auto"/>
        <w:right w:val="none" w:sz="0" w:space="0" w:color="auto"/>
      </w:divBdr>
    </w:div>
    <w:div w:id="115951758">
      <w:bodyDiv w:val="1"/>
      <w:marLeft w:val="0"/>
      <w:marRight w:val="0"/>
      <w:marTop w:val="0"/>
      <w:marBottom w:val="0"/>
      <w:divBdr>
        <w:top w:val="none" w:sz="0" w:space="0" w:color="auto"/>
        <w:left w:val="none" w:sz="0" w:space="0" w:color="auto"/>
        <w:bottom w:val="none" w:sz="0" w:space="0" w:color="auto"/>
        <w:right w:val="none" w:sz="0" w:space="0" w:color="auto"/>
      </w:divBdr>
    </w:div>
    <w:div w:id="277685825">
      <w:marLeft w:val="0"/>
      <w:marRight w:val="0"/>
      <w:marTop w:val="0"/>
      <w:marBottom w:val="0"/>
      <w:divBdr>
        <w:top w:val="none" w:sz="0" w:space="0" w:color="auto"/>
        <w:left w:val="none" w:sz="0" w:space="0" w:color="auto"/>
        <w:bottom w:val="none" w:sz="0" w:space="0" w:color="auto"/>
        <w:right w:val="none" w:sz="0" w:space="0" w:color="auto"/>
      </w:divBdr>
    </w:div>
    <w:div w:id="277685826">
      <w:marLeft w:val="0"/>
      <w:marRight w:val="0"/>
      <w:marTop w:val="0"/>
      <w:marBottom w:val="0"/>
      <w:divBdr>
        <w:top w:val="none" w:sz="0" w:space="0" w:color="auto"/>
        <w:left w:val="none" w:sz="0" w:space="0" w:color="auto"/>
        <w:bottom w:val="none" w:sz="0" w:space="0" w:color="auto"/>
        <w:right w:val="none" w:sz="0" w:space="0" w:color="auto"/>
      </w:divBdr>
    </w:div>
    <w:div w:id="277685827">
      <w:marLeft w:val="0"/>
      <w:marRight w:val="0"/>
      <w:marTop w:val="0"/>
      <w:marBottom w:val="0"/>
      <w:divBdr>
        <w:top w:val="none" w:sz="0" w:space="0" w:color="auto"/>
        <w:left w:val="none" w:sz="0" w:space="0" w:color="auto"/>
        <w:bottom w:val="none" w:sz="0" w:space="0" w:color="auto"/>
        <w:right w:val="none" w:sz="0" w:space="0" w:color="auto"/>
      </w:divBdr>
    </w:div>
    <w:div w:id="277685828">
      <w:marLeft w:val="0"/>
      <w:marRight w:val="0"/>
      <w:marTop w:val="0"/>
      <w:marBottom w:val="0"/>
      <w:divBdr>
        <w:top w:val="none" w:sz="0" w:space="0" w:color="auto"/>
        <w:left w:val="none" w:sz="0" w:space="0" w:color="auto"/>
        <w:bottom w:val="none" w:sz="0" w:space="0" w:color="auto"/>
        <w:right w:val="none" w:sz="0" w:space="0" w:color="auto"/>
      </w:divBdr>
    </w:div>
    <w:div w:id="277685829">
      <w:marLeft w:val="0"/>
      <w:marRight w:val="0"/>
      <w:marTop w:val="0"/>
      <w:marBottom w:val="0"/>
      <w:divBdr>
        <w:top w:val="none" w:sz="0" w:space="0" w:color="auto"/>
        <w:left w:val="none" w:sz="0" w:space="0" w:color="auto"/>
        <w:bottom w:val="none" w:sz="0" w:space="0" w:color="auto"/>
        <w:right w:val="none" w:sz="0" w:space="0" w:color="auto"/>
      </w:divBdr>
    </w:div>
    <w:div w:id="367878288">
      <w:bodyDiv w:val="1"/>
      <w:marLeft w:val="0"/>
      <w:marRight w:val="0"/>
      <w:marTop w:val="0"/>
      <w:marBottom w:val="0"/>
      <w:divBdr>
        <w:top w:val="none" w:sz="0" w:space="0" w:color="auto"/>
        <w:left w:val="none" w:sz="0" w:space="0" w:color="auto"/>
        <w:bottom w:val="none" w:sz="0" w:space="0" w:color="auto"/>
        <w:right w:val="none" w:sz="0" w:space="0" w:color="auto"/>
      </w:divBdr>
    </w:div>
    <w:div w:id="461584120">
      <w:bodyDiv w:val="1"/>
      <w:marLeft w:val="0"/>
      <w:marRight w:val="0"/>
      <w:marTop w:val="0"/>
      <w:marBottom w:val="0"/>
      <w:divBdr>
        <w:top w:val="none" w:sz="0" w:space="0" w:color="auto"/>
        <w:left w:val="none" w:sz="0" w:space="0" w:color="auto"/>
        <w:bottom w:val="none" w:sz="0" w:space="0" w:color="auto"/>
        <w:right w:val="none" w:sz="0" w:space="0" w:color="auto"/>
      </w:divBdr>
    </w:div>
    <w:div w:id="505361481">
      <w:bodyDiv w:val="1"/>
      <w:marLeft w:val="0"/>
      <w:marRight w:val="0"/>
      <w:marTop w:val="0"/>
      <w:marBottom w:val="0"/>
      <w:divBdr>
        <w:top w:val="none" w:sz="0" w:space="0" w:color="auto"/>
        <w:left w:val="none" w:sz="0" w:space="0" w:color="auto"/>
        <w:bottom w:val="none" w:sz="0" w:space="0" w:color="auto"/>
        <w:right w:val="none" w:sz="0" w:space="0" w:color="auto"/>
      </w:divBdr>
    </w:div>
    <w:div w:id="572930822">
      <w:bodyDiv w:val="1"/>
      <w:marLeft w:val="0"/>
      <w:marRight w:val="0"/>
      <w:marTop w:val="0"/>
      <w:marBottom w:val="0"/>
      <w:divBdr>
        <w:top w:val="none" w:sz="0" w:space="0" w:color="auto"/>
        <w:left w:val="none" w:sz="0" w:space="0" w:color="auto"/>
        <w:bottom w:val="none" w:sz="0" w:space="0" w:color="auto"/>
        <w:right w:val="none" w:sz="0" w:space="0" w:color="auto"/>
      </w:divBdr>
    </w:div>
    <w:div w:id="630088980">
      <w:bodyDiv w:val="1"/>
      <w:marLeft w:val="0"/>
      <w:marRight w:val="0"/>
      <w:marTop w:val="0"/>
      <w:marBottom w:val="0"/>
      <w:divBdr>
        <w:top w:val="none" w:sz="0" w:space="0" w:color="auto"/>
        <w:left w:val="none" w:sz="0" w:space="0" w:color="auto"/>
        <w:bottom w:val="none" w:sz="0" w:space="0" w:color="auto"/>
        <w:right w:val="none" w:sz="0" w:space="0" w:color="auto"/>
      </w:divBdr>
    </w:div>
    <w:div w:id="962543181">
      <w:bodyDiv w:val="1"/>
      <w:marLeft w:val="0"/>
      <w:marRight w:val="0"/>
      <w:marTop w:val="0"/>
      <w:marBottom w:val="0"/>
      <w:divBdr>
        <w:top w:val="none" w:sz="0" w:space="0" w:color="auto"/>
        <w:left w:val="none" w:sz="0" w:space="0" w:color="auto"/>
        <w:bottom w:val="none" w:sz="0" w:space="0" w:color="auto"/>
        <w:right w:val="none" w:sz="0" w:space="0" w:color="auto"/>
      </w:divBdr>
    </w:div>
    <w:div w:id="966593605">
      <w:bodyDiv w:val="1"/>
      <w:marLeft w:val="20"/>
      <w:marRight w:val="20"/>
      <w:marTop w:val="0"/>
      <w:marBottom w:val="0"/>
      <w:divBdr>
        <w:top w:val="none" w:sz="0" w:space="0" w:color="auto"/>
        <w:left w:val="none" w:sz="0" w:space="0" w:color="auto"/>
        <w:bottom w:val="none" w:sz="0" w:space="0" w:color="auto"/>
        <w:right w:val="none" w:sz="0" w:space="0" w:color="auto"/>
      </w:divBdr>
      <w:divsChild>
        <w:div w:id="1962563911">
          <w:marLeft w:val="0"/>
          <w:marRight w:val="0"/>
          <w:marTop w:val="0"/>
          <w:marBottom w:val="0"/>
          <w:divBdr>
            <w:top w:val="none" w:sz="0" w:space="0" w:color="auto"/>
            <w:left w:val="none" w:sz="0" w:space="0" w:color="auto"/>
            <w:bottom w:val="none" w:sz="0" w:space="0" w:color="auto"/>
            <w:right w:val="none" w:sz="0" w:space="0" w:color="auto"/>
          </w:divBdr>
          <w:divsChild>
            <w:div w:id="414403469">
              <w:marLeft w:val="0"/>
              <w:marRight w:val="0"/>
              <w:marTop w:val="0"/>
              <w:marBottom w:val="0"/>
              <w:divBdr>
                <w:top w:val="none" w:sz="0" w:space="0" w:color="auto"/>
                <w:left w:val="none" w:sz="0" w:space="0" w:color="auto"/>
                <w:bottom w:val="none" w:sz="0" w:space="0" w:color="auto"/>
                <w:right w:val="none" w:sz="0" w:space="0" w:color="auto"/>
              </w:divBdr>
              <w:divsChild>
                <w:div w:id="1776056142">
                  <w:marLeft w:val="120"/>
                  <w:marRight w:val="0"/>
                  <w:marTop w:val="0"/>
                  <w:marBottom w:val="0"/>
                  <w:divBdr>
                    <w:top w:val="none" w:sz="0" w:space="0" w:color="auto"/>
                    <w:left w:val="none" w:sz="0" w:space="0" w:color="auto"/>
                    <w:bottom w:val="none" w:sz="0" w:space="0" w:color="auto"/>
                    <w:right w:val="none" w:sz="0" w:space="0" w:color="auto"/>
                  </w:divBdr>
                  <w:divsChild>
                    <w:div w:id="5288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5488">
          <w:marLeft w:val="0"/>
          <w:marRight w:val="0"/>
          <w:marTop w:val="0"/>
          <w:marBottom w:val="0"/>
          <w:divBdr>
            <w:top w:val="none" w:sz="0" w:space="0" w:color="auto"/>
            <w:left w:val="none" w:sz="0" w:space="0" w:color="auto"/>
            <w:bottom w:val="none" w:sz="0" w:space="0" w:color="auto"/>
            <w:right w:val="none" w:sz="0" w:space="0" w:color="auto"/>
          </w:divBdr>
          <w:divsChild>
            <w:div w:id="1230462018">
              <w:marLeft w:val="0"/>
              <w:marRight w:val="0"/>
              <w:marTop w:val="0"/>
              <w:marBottom w:val="0"/>
              <w:divBdr>
                <w:top w:val="none" w:sz="0" w:space="0" w:color="auto"/>
                <w:left w:val="none" w:sz="0" w:space="0" w:color="auto"/>
                <w:bottom w:val="none" w:sz="0" w:space="0" w:color="auto"/>
                <w:right w:val="none" w:sz="0" w:space="0" w:color="auto"/>
              </w:divBdr>
              <w:divsChild>
                <w:div w:id="515651963">
                  <w:marLeft w:val="120"/>
                  <w:marRight w:val="0"/>
                  <w:marTop w:val="0"/>
                  <w:marBottom w:val="0"/>
                  <w:divBdr>
                    <w:top w:val="none" w:sz="0" w:space="0" w:color="auto"/>
                    <w:left w:val="none" w:sz="0" w:space="0" w:color="auto"/>
                    <w:bottom w:val="none" w:sz="0" w:space="0" w:color="auto"/>
                    <w:right w:val="none" w:sz="0" w:space="0" w:color="auto"/>
                  </w:divBdr>
                  <w:divsChild>
                    <w:div w:id="6220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23258">
      <w:bodyDiv w:val="1"/>
      <w:marLeft w:val="0"/>
      <w:marRight w:val="0"/>
      <w:marTop w:val="0"/>
      <w:marBottom w:val="0"/>
      <w:divBdr>
        <w:top w:val="none" w:sz="0" w:space="0" w:color="auto"/>
        <w:left w:val="none" w:sz="0" w:space="0" w:color="auto"/>
        <w:bottom w:val="none" w:sz="0" w:space="0" w:color="auto"/>
        <w:right w:val="none" w:sz="0" w:space="0" w:color="auto"/>
      </w:divBdr>
    </w:div>
    <w:div w:id="1312639564">
      <w:bodyDiv w:val="1"/>
      <w:marLeft w:val="0"/>
      <w:marRight w:val="0"/>
      <w:marTop w:val="0"/>
      <w:marBottom w:val="0"/>
      <w:divBdr>
        <w:top w:val="none" w:sz="0" w:space="0" w:color="auto"/>
        <w:left w:val="none" w:sz="0" w:space="0" w:color="auto"/>
        <w:bottom w:val="none" w:sz="0" w:space="0" w:color="auto"/>
        <w:right w:val="none" w:sz="0" w:space="0" w:color="auto"/>
      </w:divBdr>
    </w:div>
    <w:div w:id="1446267085">
      <w:bodyDiv w:val="1"/>
      <w:marLeft w:val="0"/>
      <w:marRight w:val="0"/>
      <w:marTop w:val="0"/>
      <w:marBottom w:val="0"/>
      <w:divBdr>
        <w:top w:val="none" w:sz="0" w:space="0" w:color="auto"/>
        <w:left w:val="none" w:sz="0" w:space="0" w:color="auto"/>
        <w:bottom w:val="none" w:sz="0" w:space="0" w:color="auto"/>
        <w:right w:val="none" w:sz="0" w:space="0" w:color="auto"/>
      </w:divBdr>
    </w:div>
    <w:div w:id="1551116123">
      <w:bodyDiv w:val="1"/>
      <w:marLeft w:val="0"/>
      <w:marRight w:val="0"/>
      <w:marTop w:val="0"/>
      <w:marBottom w:val="0"/>
      <w:divBdr>
        <w:top w:val="none" w:sz="0" w:space="0" w:color="auto"/>
        <w:left w:val="none" w:sz="0" w:space="0" w:color="auto"/>
        <w:bottom w:val="none" w:sz="0" w:space="0" w:color="auto"/>
        <w:right w:val="none" w:sz="0" w:space="0" w:color="auto"/>
      </w:divBdr>
    </w:div>
    <w:div w:id="1565723202">
      <w:bodyDiv w:val="1"/>
      <w:marLeft w:val="0"/>
      <w:marRight w:val="0"/>
      <w:marTop w:val="0"/>
      <w:marBottom w:val="0"/>
      <w:divBdr>
        <w:top w:val="none" w:sz="0" w:space="0" w:color="auto"/>
        <w:left w:val="none" w:sz="0" w:space="0" w:color="auto"/>
        <w:bottom w:val="none" w:sz="0" w:space="0" w:color="auto"/>
        <w:right w:val="none" w:sz="0" w:space="0" w:color="auto"/>
      </w:divBdr>
    </w:div>
    <w:div w:id="1824201553">
      <w:bodyDiv w:val="1"/>
      <w:marLeft w:val="0"/>
      <w:marRight w:val="0"/>
      <w:marTop w:val="0"/>
      <w:marBottom w:val="0"/>
      <w:divBdr>
        <w:top w:val="none" w:sz="0" w:space="0" w:color="auto"/>
        <w:left w:val="none" w:sz="0" w:space="0" w:color="auto"/>
        <w:bottom w:val="none" w:sz="0" w:space="0" w:color="auto"/>
        <w:right w:val="none" w:sz="0" w:space="0" w:color="auto"/>
      </w:divBdr>
    </w:div>
    <w:div w:id="1941913623">
      <w:bodyDiv w:val="1"/>
      <w:marLeft w:val="0"/>
      <w:marRight w:val="0"/>
      <w:marTop w:val="0"/>
      <w:marBottom w:val="0"/>
      <w:divBdr>
        <w:top w:val="none" w:sz="0" w:space="0" w:color="auto"/>
        <w:left w:val="none" w:sz="0" w:space="0" w:color="auto"/>
        <w:bottom w:val="none" w:sz="0" w:space="0" w:color="auto"/>
        <w:right w:val="none" w:sz="0" w:space="0" w:color="auto"/>
      </w:divBdr>
    </w:div>
    <w:div w:id="2017225084">
      <w:bodyDiv w:val="1"/>
      <w:marLeft w:val="0"/>
      <w:marRight w:val="0"/>
      <w:marTop w:val="0"/>
      <w:marBottom w:val="0"/>
      <w:divBdr>
        <w:top w:val="none" w:sz="0" w:space="0" w:color="auto"/>
        <w:left w:val="none" w:sz="0" w:space="0" w:color="auto"/>
        <w:bottom w:val="none" w:sz="0" w:space="0" w:color="auto"/>
        <w:right w:val="none" w:sz="0" w:space="0" w:color="auto"/>
      </w:divBdr>
    </w:div>
    <w:div w:id="2026128506">
      <w:bodyDiv w:val="1"/>
      <w:marLeft w:val="0"/>
      <w:marRight w:val="0"/>
      <w:marTop w:val="0"/>
      <w:marBottom w:val="0"/>
      <w:divBdr>
        <w:top w:val="none" w:sz="0" w:space="0" w:color="auto"/>
        <w:left w:val="none" w:sz="0" w:space="0" w:color="auto"/>
        <w:bottom w:val="none" w:sz="0" w:space="0" w:color="auto"/>
        <w:right w:val="none" w:sz="0" w:space="0" w:color="auto"/>
      </w:divBdr>
    </w:div>
    <w:div w:id="20353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4C37-BAC1-4DAC-8983-207FB223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9476</Words>
  <Characters>33451</Characters>
  <Application>Microsoft Office Word</Application>
  <DocSecurity>0</DocSecurity>
  <Lines>278</Lines>
  <Paragraphs>85</Paragraphs>
  <ScaleCrop>false</ScaleCrop>
  <HeadingPairs>
    <vt:vector size="2" baseType="variant">
      <vt:variant>
        <vt:lpstr>Title</vt:lpstr>
      </vt:variant>
      <vt:variant>
        <vt:i4>1</vt:i4>
      </vt:variant>
    </vt:vector>
  </HeadingPairs>
  <TitlesOfParts>
    <vt:vector size="1" baseType="lpstr">
      <vt:lpstr>BÁO CÁO TÌNH HÌNH PHÁT HÀNH TRÁI PHIẾU DOANH NGHIỆP THEO NGHỊ ĐỊNH 52/2006/NĐ-CP NGÀY 19/5/2006 CỦA CHÍNH PHỦ</vt:lpstr>
    </vt:vector>
  </TitlesOfParts>
  <Company>VPBTC</Company>
  <LinksUpToDate>false</LinksUpToDate>
  <CharactersWithSpaces>42842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TÌNH HÌNH PHÁT HÀNH TRÁI PHIẾU DOANH NGHIỆP THEO NGHỊ ĐỊNH 52/2006/NĐ-CP NGÀY 19/5/2006 CỦA CHÍNH PHỦ</dc:title>
  <dc:creator>Vo Le Phuong</dc:creator>
  <cp:lastModifiedBy>Vo Le Phuong</cp:lastModifiedBy>
  <cp:revision>3</cp:revision>
  <cp:lastPrinted>2025-11-19T07:00:00Z</cp:lastPrinted>
  <dcterms:created xsi:type="dcterms:W3CDTF">2025-12-01T10:05:00Z</dcterms:created>
  <dcterms:modified xsi:type="dcterms:W3CDTF">2025-12-01T10:06:00Z</dcterms:modified>
</cp:coreProperties>
</file>