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262" w:type="pct"/>
        <w:jc w:val="center"/>
        <w:tblBorders>
          <w:insideH w:val="nil"/>
          <w:insideV w:val="nil"/>
        </w:tblBorders>
        <w:tblCellMar>
          <w:left w:w="0" w:type="dxa"/>
          <w:right w:w="0" w:type="dxa"/>
        </w:tblCellMar>
        <w:tblLook w:val="04A0" w:firstRow="1" w:lastRow="0" w:firstColumn="1" w:lastColumn="0" w:noHBand="0" w:noVBand="1"/>
      </w:tblPr>
      <w:tblGrid>
        <w:gridCol w:w="5194"/>
        <w:gridCol w:w="6159"/>
      </w:tblGrid>
      <w:tr w:rsidR="00976CE7" w:rsidRPr="00976CE7" w14:paraId="76D6D24D" w14:textId="77777777" w:rsidTr="00E665CC">
        <w:trPr>
          <w:trHeight w:val="920"/>
          <w:jc w:val="center"/>
        </w:trPr>
        <w:tc>
          <w:tcPr>
            <w:tcW w:w="5194" w:type="dxa"/>
            <w:tcMar>
              <w:top w:w="0" w:type="dxa"/>
              <w:left w:w="108" w:type="dxa"/>
              <w:bottom w:w="0" w:type="dxa"/>
              <w:right w:w="108" w:type="dxa"/>
            </w:tcMar>
            <w:hideMark/>
          </w:tcPr>
          <w:p w14:paraId="7D6A1E26" w14:textId="583F96CD" w:rsidR="00E665CC" w:rsidRPr="00976CE7" w:rsidRDefault="00E665CC" w:rsidP="00E665CC">
            <w:pPr>
              <w:spacing w:before="120" w:line="360" w:lineRule="exact"/>
              <w:jc w:val="center"/>
              <w:rPr>
                <w:rFonts w:ascii="Times New Roman" w:hAnsi="Times New Roman" w:cs="Times New Roman"/>
                <w:b/>
                <w:color w:val="auto"/>
                <w:sz w:val="28"/>
                <w:szCs w:val="28"/>
              </w:rPr>
            </w:pPr>
            <w:r w:rsidRPr="00976CE7">
              <w:rPr>
                <w:rFonts w:ascii="Times New Roman" w:hAnsi="Times New Roman" w:cs="Times New Roman"/>
                <w:b/>
                <w:color w:val="auto"/>
                <w:sz w:val="28"/>
                <w:szCs w:val="28"/>
              </w:rPr>
              <w:t>BỘ NÔNG NGHIỆP VÀ MÔI TRƯỜNG</w:t>
            </w:r>
          </w:p>
          <w:p w14:paraId="461C0C09" w14:textId="52016640" w:rsidR="00E665CC" w:rsidRPr="00976CE7" w:rsidRDefault="00E665CC" w:rsidP="002D03A4">
            <w:pPr>
              <w:spacing w:before="120" w:line="360" w:lineRule="exact"/>
              <w:jc w:val="center"/>
              <w:rPr>
                <w:rFonts w:ascii="Times New Roman" w:hAnsi="Times New Roman" w:cs="Times New Roman"/>
                <w:b/>
                <w:i/>
                <w:iCs/>
                <w:color w:val="auto"/>
                <w:sz w:val="28"/>
                <w:szCs w:val="28"/>
                <w:lang w:val="en-US"/>
              </w:rPr>
            </w:pPr>
            <w:r w:rsidRPr="00976CE7">
              <w:rPr>
                <w:rFonts w:ascii="Times New Roman" w:hAnsi="Times New Roman" w:cs="Times New Roman"/>
                <w:b/>
                <w:i/>
                <w:iCs/>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69187183" wp14:editId="6D712CC8">
                      <wp:simplePos x="0" y="0"/>
                      <wp:positionH relativeFrom="margin">
                        <wp:align>center</wp:align>
                      </wp:positionH>
                      <wp:positionV relativeFrom="paragraph">
                        <wp:posOffset>5888</wp:posOffset>
                      </wp:positionV>
                      <wp:extent cx="1596043"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1596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11D8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125.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" strokecolor="black [3200]" strokeweight=".5pt">
                      <v:stroke joinstyle="miter"/>
                      <w10:wrap anchorx="margin"/>
                    </v:line>
                  </w:pict>
                </mc:Fallback>
              </mc:AlternateContent>
            </w:r>
          </w:p>
        </w:tc>
        <w:tc>
          <w:tcPr>
            <w:tcW w:w="6159" w:type="dxa"/>
            <w:tcMar>
              <w:top w:w="0" w:type="dxa"/>
              <w:left w:w="108" w:type="dxa"/>
              <w:bottom w:w="0" w:type="dxa"/>
              <w:right w:w="108" w:type="dxa"/>
            </w:tcMar>
            <w:hideMark/>
          </w:tcPr>
          <w:p w14:paraId="42815641" w14:textId="127019E6" w:rsidR="00E665CC" w:rsidRPr="00976CE7" w:rsidRDefault="00E665CC" w:rsidP="002D03A4">
            <w:pPr>
              <w:spacing w:before="120" w:line="360" w:lineRule="exact"/>
              <w:jc w:val="center"/>
              <w:rPr>
                <w:rFonts w:ascii="Times New Roman" w:hAnsi="Times New Roman" w:cs="Times New Roman"/>
                <w:i/>
                <w:iCs/>
                <w:color w:val="auto"/>
                <w:sz w:val="28"/>
                <w:szCs w:val="28"/>
                <w:lang w:val="en-US"/>
              </w:rPr>
            </w:pPr>
            <w:r w:rsidRPr="00976CE7">
              <w:rPr>
                <w:rFonts w:ascii="Times New Roman" w:hAnsi="Times New Roman" w:cs="Times New Roman"/>
                <w:b/>
                <w:bCs/>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33FBFFE3" wp14:editId="27FD503B">
                      <wp:simplePos x="0" y="0"/>
                      <wp:positionH relativeFrom="margin">
                        <wp:align>center</wp:align>
                      </wp:positionH>
                      <wp:positionV relativeFrom="paragraph">
                        <wp:posOffset>576695</wp:posOffset>
                      </wp:positionV>
                      <wp:extent cx="2028305"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2028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5A0DF"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5.4pt" to="159.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uetgEAALcDAAAOAAAAZHJzL2Uyb0RvYy54bWysU02P0zAQvSPxHyzfadIg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" strokecolor="black [3200]" strokeweight=".5pt">
                      <v:stroke joinstyle="miter"/>
                      <w10:wrap anchorx="margin"/>
                    </v:line>
                  </w:pict>
                </mc:Fallback>
              </mc:AlternateContent>
            </w:r>
            <w:r w:rsidRPr="00976CE7">
              <w:rPr>
                <w:rFonts w:ascii="Times New Roman" w:hAnsi="Times New Roman" w:cs="Times New Roman"/>
                <w:b/>
                <w:bCs/>
                <w:color w:val="auto"/>
                <w:sz w:val="26"/>
                <w:szCs w:val="26"/>
              </w:rPr>
              <w:t>CỘNG HÒA XÃ HỘI CHỦ NGHĨA VIỆT NAM</w:t>
            </w:r>
            <w:r w:rsidRPr="00976CE7">
              <w:rPr>
                <w:rFonts w:ascii="Times New Roman" w:hAnsi="Times New Roman" w:cs="Times New Roman"/>
                <w:b/>
                <w:bCs/>
                <w:color w:val="auto"/>
                <w:sz w:val="28"/>
                <w:szCs w:val="28"/>
              </w:rPr>
              <w:br/>
              <w:t xml:space="preserve">Độc lập - Tự do - Hạnh phúc </w:t>
            </w:r>
            <w:r w:rsidRPr="00976CE7">
              <w:rPr>
                <w:rFonts w:ascii="Times New Roman" w:hAnsi="Times New Roman" w:cs="Times New Roman"/>
                <w:b/>
                <w:bCs/>
                <w:color w:val="auto"/>
                <w:sz w:val="28"/>
                <w:szCs w:val="28"/>
              </w:rPr>
              <w:br/>
            </w:r>
          </w:p>
        </w:tc>
      </w:tr>
      <w:tr w:rsidR="00976CE7" w:rsidRPr="00976CE7" w14:paraId="6BF28BC9" w14:textId="77777777" w:rsidTr="002D03A4">
        <w:trPr>
          <w:trHeight w:val="447"/>
          <w:jc w:val="center"/>
        </w:trPr>
        <w:tc>
          <w:tcPr>
            <w:tcW w:w="5194" w:type="dxa"/>
            <w:tcMar>
              <w:top w:w="0" w:type="dxa"/>
              <w:left w:w="108" w:type="dxa"/>
              <w:bottom w:w="0" w:type="dxa"/>
              <w:right w:w="108" w:type="dxa"/>
            </w:tcMar>
          </w:tcPr>
          <w:p w14:paraId="20AA8E04" w14:textId="0A5FF836" w:rsidR="002D03A4" w:rsidRPr="00976CE7" w:rsidRDefault="002D03A4" w:rsidP="00E665CC">
            <w:pPr>
              <w:spacing w:before="120" w:line="360" w:lineRule="exact"/>
              <w:jc w:val="center"/>
              <w:rPr>
                <w:rFonts w:ascii="Times New Roman" w:hAnsi="Times New Roman" w:cs="Times New Roman"/>
                <w:b/>
                <w:color w:val="auto"/>
                <w:sz w:val="28"/>
                <w:szCs w:val="28"/>
              </w:rPr>
            </w:pPr>
            <w:r w:rsidRPr="00976CE7">
              <w:rPr>
                <w:rFonts w:ascii="Times New Roman" w:hAnsi="Times New Roman" w:cs="Times New Roman"/>
                <w:bCs/>
                <w:color w:val="auto"/>
                <w:sz w:val="28"/>
                <w:szCs w:val="28"/>
              </w:rPr>
              <w:t xml:space="preserve">Số:  </w:t>
            </w:r>
            <w:r w:rsidR="00D62C2E" w:rsidRPr="00976CE7">
              <w:rPr>
                <w:rFonts w:ascii="Times New Roman" w:hAnsi="Times New Roman" w:cs="Times New Roman"/>
                <w:bCs/>
                <w:color w:val="auto"/>
                <w:sz w:val="28"/>
                <w:szCs w:val="28"/>
                <w:lang w:val="en-US"/>
              </w:rPr>
              <w:t xml:space="preserve">        </w:t>
            </w:r>
            <w:r w:rsidRPr="00976CE7">
              <w:rPr>
                <w:rFonts w:ascii="Times New Roman" w:hAnsi="Times New Roman" w:cs="Times New Roman"/>
                <w:bCs/>
                <w:color w:val="auto"/>
                <w:sz w:val="28"/>
                <w:szCs w:val="28"/>
              </w:rPr>
              <w:t xml:space="preserve">  /</w:t>
            </w:r>
            <w:r w:rsidRPr="00976CE7">
              <w:rPr>
                <w:rFonts w:ascii="Times New Roman" w:hAnsi="Times New Roman" w:cs="Times New Roman"/>
                <w:bCs/>
                <w:color w:val="auto"/>
                <w:sz w:val="28"/>
                <w:szCs w:val="28"/>
                <w:lang w:val="en-US"/>
              </w:rPr>
              <w:t>BC</w:t>
            </w:r>
            <w:r w:rsidRPr="00976CE7">
              <w:rPr>
                <w:rFonts w:ascii="Times New Roman" w:hAnsi="Times New Roman" w:cs="Times New Roman"/>
                <w:color w:val="auto"/>
                <w:sz w:val="28"/>
                <w:szCs w:val="28"/>
              </w:rPr>
              <w:t>-BNNMT</w:t>
            </w:r>
          </w:p>
        </w:tc>
        <w:tc>
          <w:tcPr>
            <w:tcW w:w="6159" w:type="dxa"/>
            <w:tcMar>
              <w:top w:w="0" w:type="dxa"/>
              <w:left w:w="108" w:type="dxa"/>
              <w:bottom w:w="0" w:type="dxa"/>
              <w:right w:w="108" w:type="dxa"/>
            </w:tcMar>
          </w:tcPr>
          <w:p w14:paraId="4A16E8EC" w14:textId="230A2EEC" w:rsidR="002D03A4" w:rsidRPr="00976CE7" w:rsidRDefault="002D03A4" w:rsidP="00E665CC">
            <w:pPr>
              <w:spacing w:before="120" w:line="360" w:lineRule="exact"/>
              <w:jc w:val="center"/>
              <w:rPr>
                <w:rFonts w:ascii="Times New Roman" w:hAnsi="Times New Roman" w:cs="Times New Roman"/>
                <w:b/>
                <w:bCs/>
                <w:noProof/>
                <w:color w:val="auto"/>
                <w:sz w:val="28"/>
                <w:szCs w:val="28"/>
              </w:rPr>
            </w:pPr>
            <w:r w:rsidRPr="00976CE7">
              <w:rPr>
                <w:rFonts w:ascii="Times New Roman" w:hAnsi="Times New Roman" w:cs="Times New Roman"/>
                <w:i/>
                <w:iCs/>
                <w:color w:val="auto"/>
                <w:sz w:val="28"/>
                <w:szCs w:val="28"/>
              </w:rPr>
              <w:t xml:space="preserve">Hà Nội, ngày </w:t>
            </w:r>
            <w:r w:rsidR="00D62C2E" w:rsidRPr="00976CE7">
              <w:rPr>
                <w:rFonts w:ascii="Times New Roman" w:hAnsi="Times New Roman" w:cs="Times New Roman"/>
                <w:i/>
                <w:iCs/>
                <w:color w:val="auto"/>
                <w:sz w:val="28"/>
                <w:szCs w:val="28"/>
                <w:lang w:val="en-US"/>
              </w:rPr>
              <w:t xml:space="preserve">   </w:t>
            </w:r>
            <w:r w:rsidRPr="00976CE7">
              <w:rPr>
                <w:rFonts w:ascii="Times New Roman" w:hAnsi="Times New Roman" w:cs="Times New Roman"/>
                <w:i/>
                <w:iCs/>
                <w:color w:val="auto"/>
                <w:sz w:val="28"/>
                <w:szCs w:val="28"/>
              </w:rPr>
              <w:t xml:space="preserve">  tháng </w:t>
            </w:r>
            <w:r w:rsidR="006C3205" w:rsidRPr="00976CE7">
              <w:rPr>
                <w:rFonts w:ascii="Times New Roman" w:hAnsi="Times New Roman" w:cs="Times New Roman"/>
                <w:i/>
                <w:iCs/>
                <w:color w:val="auto"/>
                <w:sz w:val="28"/>
                <w:szCs w:val="28"/>
              </w:rPr>
              <w:t xml:space="preserve"> </w:t>
            </w:r>
            <w:r w:rsidR="004C479F">
              <w:rPr>
                <w:rFonts w:ascii="Times New Roman" w:hAnsi="Times New Roman" w:cs="Times New Roman"/>
                <w:i/>
                <w:iCs/>
                <w:color w:val="auto"/>
                <w:sz w:val="28"/>
                <w:szCs w:val="28"/>
                <w:lang w:val="en-US"/>
              </w:rPr>
              <w:t xml:space="preserve"> </w:t>
            </w:r>
            <w:r w:rsidR="006C3205" w:rsidRPr="00976CE7">
              <w:rPr>
                <w:rFonts w:ascii="Times New Roman" w:hAnsi="Times New Roman" w:cs="Times New Roman"/>
                <w:i/>
                <w:iCs/>
                <w:color w:val="auto"/>
                <w:sz w:val="28"/>
                <w:szCs w:val="28"/>
              </w:rPr>
              <w:t xml:space="preserve"> </w:t>
            </w:r>
            <w:r w:rsidRPr="00976CE7">
              <w:rPr>
                <w:rFonts w:ascii="Times New Roman" w:hAnsi="Times New Roman" w:cs="Times New Roman"/>
                <w:i/>
                <w:iCs/>
                <w:color w:val="auto"/>
                <w:sz w:val="28"/>
                <w:szCs w:val="28"/>
              </w:rPr>
              <w:t xml:space="preserve"> năm 2025</w:t>
            </w:r>
          </w:p>
        </w:tc>
      </w:tr>
    </w:tbl>
    <w:p w14:paraId="0A631B16" w14:textId="77777777" w:rsidR="004C479F" w:rsidRDefault="004C479F" w:rsidP="00E665CC">
      <w:pPr>
        <w:spacing w:before="360" w:line="360" w:lineRule="exact"/>
        <w:jc w:val="center"/>
        <w:rPr>
          <w:rFonts w:ascii="Times New Roman" w:hAnsi="Times New Roman" w:cs="Times New Roman"/>
          <w:b/>
          <w:bCs/>
          <w:color w:val="auto"/>
          <w:sz w:val="28"/>
          <w:szCs w:val="28"/>
          <w:lang w:val="en-US"/>
        </w:rPr>
      </w:pPr>
    </w:p>
    <w:p w14:paraId="5338DE59" w14:textId="347512E8" w:rsidR="00E665CC" w:rsidRPr="00976CE7" w:rsidRDefault="00E665CC" w:rsidP="00E665CC">
      <w:pPr>
        <w:spacing w:before="360" w:line="360" w:lineRule="exact"/>
        <w:jc w:val="center"/>
        <w:rPr>
          <w:rFonts w:ascii="Times New Roman" w:hAnsi="Times New Roman" w:cs="Times New Roman"/>
          <w:b/>
          <w:bCs/>
          <w:color w:val="auto"/>
          <w:sz w:val="28"/>
          <w:szCs w:val="28"/>
        </w:rPr>
      </w:pPr>
      <w:r w:rsidRPr="00976CE7">
        <w:rPr>
          <w:rFonts w:ascii="Times New Roman" w:hAnsi="Times New Roman" w:cs="Times New Roman"/>
          <w:b/>
          <w:bCs/>
          <w:color w:val="auto"/>
          <w:sz w:val="28"/>
          <w:szCs w:val="28"/>
        </w:rPr>
        <w:t>BÁO CÁO</w:t>
      </w:r>
    </w:p>
    <w:p w14:paraId="78189A15" w14:textId="52CEF520" w:rsidR="00E665CC" w:rsidRPr="00976CE7" w:rsidRDefault="00AA0A54" w:rsidP="00AA0A54">
      <w:pPr>
        <w:spacing w:before="120" w:after="120" w:line="340" w:lineRule="exact"/>
        <w:jc w:val="center"/>
        <w:rPr>
          <w:rFonts w:ascii="Times New Roman" w:hAnsi="Times New Roman" w:cs="Times New Roman"/>
          <w:b/>
          <w:bCs/>
          <w:color w:val="auto"/>
          <w:spacing w:val="4"/>
          <w:sz w:val="28"/>
          <w:szCs w:val="28"/>
        </w:rPr>
      </w:pPr>
      <w:r w:rsidRPr="00976CE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336BBF36" wp14:editId="1D10E665">
                <wp:simplePos x="0" y="0"/>
                <wp:positionH relativeFrom="page">
                  <wp:posOffset>3311525</wp:posOffset>
                </wp:positionH>
                <wp:positionV relativeFrom="paragraph">
                  <wp:posOffset>1201420</wp:posOffset>
                </wp:positionV>
                <wp:extent cx="1180407"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180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DCEA8" id="Straight Connector 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260.75pt,94.6pt" to="353.7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" strokecolor="black [3200]" strokeweight=".5pt">
                <v:stroke joinstyle="miter"/>
                <w10:wrap anchorx="page"/>
              </v:line>
            </w:pict>
          </mc:Fallback>
        </mc:AlternateContent>
      </w:r>
      <w:r w:rsidR="00DC5AE2" w:rsidRPr="00976CE7">
        <w:rPr>
          <w:rFonts w:ascii="Times New Roman" w:hAnsi="Times New Roman" w:cs="Times New Roman"/>
          <w:b/>
          <w:bCs/>
          <w:color w:val="auto"/>
          <w:spacing w:val="4"/>
          <w:sz w:val="28"/>
          <w:szCs w:val="28"/>
        </w:rPr>
        <w:t xml:space="preserve">Về rà soát các chủ trương, đường lối của Đảng, văn bản quy phạm pháp luật, điều ước quốc tế có liên quan đến </w:t>
      </w:r>
      <w:r w:rsidR="00E665CC" w:rsidRPr="00976CE7">
        <w:rPr>
          <w:rFonts w:ascii="Times New Roman" w:hAnsi="Times New Roman" w:cs="Times New Roman"/>
          <w:b/>
          <w:bCs/>
          <w:color w:val="auto"/>
          <w:spacing w:val="4"/>
          <w:sz w:val="28"/>
          <w:szCs w:val="28"/>
        </w:rPr>
        <w:t xml:space="preserve">dự thảo </w:t>
      </w:r>
      <w:r w:rsidRPr="00976CE7">
        <w:rPr>
          <w:rFonts w:ascii="Times New Roman" w:hAnsi="Times New Roman" w:cs="Times New Roman"/>
          <w:b/>
          <w:bCs/>
          <w:color w:val="auto"/>
          <w:spacing w:val="4"/>
          <w:sz w:val="28"/>
          <w:szCs w:val="28"/>
        </w:rPr>
        <w:t>Nghị định sửa đổi, bổ sung một số điều của Nghị định số 193/2025/NĐ-CP ngày 02</w:t>
      </w:r>
      <w:r w:rsidRPr="00976CE7">
        <w:rPr>
          <w:rFonts w:ascii="Times New Roman" w:hAnsi="Times New Roman" w:cs="Times New Roman"/>
          <w:b/>
          <w:bCs/>
          <w:color w:val="auto"/>
          <w:spacing w:val="4"/>
          <w:sz w:val="28"/>
          <w:szCs w:val="28"/>
          <w:lang w:val="en-US"/>
        </w:rPr>
        <w:t xml:space="preserve"> tháng </w:t>
      </w:r>
      <w:r w:rsidRPr="00976CE7">
        <w:rPr>
          <w:rFonts w:ascii="Times New Roman" w:hAnsi="Times New Roman" w:cs="Times New Roman"/>
          <w:b/>
          <w:bCs/>
          <w:color w:val="auto"/>
          <w:spacing w:val="4"/>
          <w:sz w:val="28"/>
          <w:szCs w:val="28"/>
        </w:rPr>
        <w:t>7</w:t>
      </w:r>
      <w:r w:rsidRPr="00976CE7">
        <w:rPr>
          <w:rFonts w:ascii="Times New Roman" w:hAnsi="Times New Roman" w:cs="Times New Roman"/>
          <w:b/>
          <w:bCs/>
          <w:color w:val="auto"/>
          <w:spacing w:val="4"/>
          <w:sz w:val="28"/>
          <w:szCs w:val="28"/>
          <w:lang w:val="en-US"/>
        </w:rPr>
        <w:t xml:space="preserve"> năm </w:t>
      </w:r>
      <w:r w:rsidRPr="00976CE7">
        <w:rPr>
          <w:rFonts w:ascii="Times New Roman" w:hAnsi="Times New Roman" w:cs="Times New Roman"/>
          <w:b/>
          <w:bCs/>
          <w:color w:val="auto"/>
          <w:spacing w:val="4"/>
          <w:sz w:val="28"/>
          <w:szCs w:val="28"/>
        </w:rPr>
        <w:t xml:space="preserve">2025 của Chính phủ quy định chi tiết một số điều và biện pháp thi hành Luật Địa chất và khoáng sản </w:t>
      </w:r>
    </w:p>
    <w:p w14:paraId="40BBDA80" w14:textId="4CCDA9BC" w:rsidR="00AA0A54" w:rsidRPr="004C479F" w:rsidRDefault="00AA0A54" w:rsidP="00310556">
      <w:pPr>
        <w:spacing w:before="120" w:line="360" w:lineRule="exact"/>
        <w:ind w:firstLine="720"/>
        <w:jc w:val="both"/>
        <w:rPr>
          <w:rFonts w:ascii="Times New Roman" w:hAnsi="Times New Roman" w:cs="Times New Roman"/>
          <w:color w:val="auto"/>
          <w:spacing w:val="-4"/>
          <w:sz w:val="28"/>
          <w:szCs w:val="28"/>
          <w:lang w:val="en-US"/>
        </w:rPr>
      </w:pPr>
    </w:p>
    <w:p w14:paraId="62DC1D26" w14:textId="0549B7F3" w:rsidR="00E665CC" w:rsidRPr="00976CE7" w:rsidRDefault="00E665CC" w:rsidP="002D2910">
      <w:pPr>
        <w:spacing w:after="120" w:line="340" w:lineRule="exact"/>
        <w:ind w:firstLine="720"/>
        <w:jc w:val="both"/>
        <w:rPr>
          <w:rFonts w:ascii="Times New Roman" w:hAnsi="Times New Roman" w:cs="Times New Roman"/>
          <w:color w:val="auto"/>
          <w:spacing w:val="-4"/>
          <w:sz w:val="28"/>
          <w:szCs w:val="28"/>
        </w:rPr>
      </w:pPr>
      <w:r w:rsidRPr="00976CE7">
        <w:rPr>
          <w:rFonts w:ascii="Times New Roman" w:hAnsi="Times New Roman" w:cs="Times New Roman"/>
          <w:color w:val="auto"/>
          <w:spacing w:val="-4"/>
          <w:sz w:val="28"/>
          <w:szCs w:val="28"/>
        </w:rPr>
        <w:t xml:space="preserve">Thực hiện quy định của Luật Ban hành văn bản quy phạm pháp luật, Bộ Nông nghiệp và Môi trường đã </w:t>
      </w:r>
      <w:r w:rsidR="00DC5AE2" w:rsidRPr="00976CE7">
        <w:rPr>
          <w:rFonts w:ascii="Times New Roman" w:hAnsi="Times New Roman" w:cs="Times New Roman"/>
          <w:color w:val="auto"/>
          <w:spacing w:val="-4"/>
          <w:sz w:val="28"/>
          <w:szCs w:val="28"/>
        </w:rPr>
        <w:t xml:space="preserve">tiến hành rà soát các chủ trương, đường lối của Đảng, văn bản quy phạm pháp luật, điều ước quốc tế </w:t>
      </w:r>
      <w:r w:rsidRPr="00976CE7">
        <w:rPr>
          <w:rFonts w:ascii="Times New Roman" w:hAnsi="Times New Roman" w:cs="Times New Roman"/>
          <w:color w:val="auto"/>
          <w:spacing w:val="-4"/>
          <w:sz w:val="28"/>
          <w:szCs w:val="28"/>
        </w:rPr>
        <w:t xml:space="preserve">có liên quan đến dự thảo </w:t>
      </w:r>
      <w:r w:rsidR="00AA0A54" w:rsidRPr="00976CE7">
        <w:rPr>
          <w:rFonts w:ascii="Times New Roman" w:hAnsi="Times New Roman" w:cs="Times New Roman"/>
          <w:color w:val="auto"/>
          <w:spacing w:val="-4"/>
          <w:sz w:val="28"/>
          <w:szCs w:val="28"/>
        </w:rPr>
        <w:t>Nghị định sửa đổi, bổ sung một số điều của Nghị định số 193/2025/NĐ-CP ngày 02 tháng 7 năm 2025 của Chính phủ quy định chi tiết một số điều và biện pháp thi hành Luật Địa chất và khoáng sản</w:t>
      </w:r>
      <w:r w:rsidR="00AA0A54" w:rsidRPr="00976CE7">
        <w:rPr>
          <w:rFonts w:ascii="Times New Roman" w:hAnsi="Times New Roman" w:cs="Times New Roman"/>
          <w:color w:val="auto"/>
          <w:spacing w:val="-4"/>
          <w:sz w:val="28"/>
          <w:szCs w:val="28"/>
          <w:lang w:val="en-US"/>
        </w:rPr>
        <w:t>,</w:t>
      </w:r>
      <w:r w:rsidR="00AA0A54" w:rsidRPr="00976CE7">
        <w:rPr>
          <w:rFonts w:ascii="Times New Roman" w:hAnsi="Times New Roman" w:cs="Times New Roman"/>
          <w:color w:val="auto"/>
          <w:spacing w:val="-4"/>
          <w:sz w:val="28"/>
          <w:szCs w:val="28"/>
        </w:rPr>
        <w:t xml:space="preserve"> </w:t>
      </w:r>
      <w:r w:rsidR="00AA0A54" w:rsidRPr="00976CE7">
        <w:rPr>
          <w:rFonts w:ascii="Times New Roman" w:hAnsi="Times New Roman" w:cs="Times New Roman"/>
          <w:color w:val="auto"/>
          <w:spacing w:val="-4"/>
          <w:sz w:val="28"/>
          <w:szCs w:val="28"/>
          <w:lang w:val="en-US"/>
        </w:rPr>
        <w:t>k</w:t>
      </w:r>
      <w:r w:rsidRPr="00976CE7">
        <w:rPr>
          <w:rFonts w:ascii="Times New Roman" w:hAnsi="Times New Roman" w:cs="Times New Roman"/>
          <w:color w:val="auto"/>
          <w:spacing w:val="-4"/>
          <w:sz w:val="28"/>
          <w:szCs w:val="28"/>
        </w:rPr>
        <w:t xml:space="preserve">ết quả </w:t>
      </w:r>
      <w:r w:rsidR="00AA0A54" w:rsidRPr="00976CE7">
        <w:rPr>
          <w:rFonts w:ascii="Times New Roman" w:hAnsi="Times New Roman" w:cs="Times New Roman"/>
          <w:color w:val="auto"/>
          <w:spacing w:val="-4"/>
          <w:sz w:val="28"/>
          <w:szCs w:val="28"/>
          <w:lang w:val="en-US"/>
        </w:rPr>
        <w:t xml:space="preserve">cụ thể </w:t>
      </w:r>
      <w:r w:rsidRPr="00976CE7">
        <w:rPr>
          <w:rFonts w:ascii="Times New Roman" w:hAnsi="Times New Roman" w:cs="Times New Roman"/>
          <w:color w:val="auto"/>
          <w:spacing w:val="-4"/>
          <w:sz w:val="28"/>
          <w:szCs w:val="28"/>
        </w:rPr>
        <w:t>như sau:</w:t>
      </w:r>
    </w:p>
    <w:p w14:paraId="2B75C994" w14:textId="77777777" w:rsidR="00DC5AE2" w:rsidRPr="00976CE7" w:rsidRDefault="00DC5AE2" w:rsidP="002D2910">
      <w:pPr>
        <w:spacing w:after="120" w:line="340" w:lineRule="exact"/>
        <w:ind w:firstLine="720"/>
        <w:jc w:val="both"/>
        <w:outlineLvl w:val="0"/>
        <w:rPr>
          <w:rFonts w:ascii="Times New Roman" w:hAnsi="Times New Roman" w:cs="Times New Roman"/>
          <w:b/>
          <w:color w:val="auto"/>
          <w:sz w:val="28"/>
          <w:szCs w:val="28"/>
        </w:rPr>
      </w:pPr>
      <w:r w:rsidRPr="00976CE7">
        <w:rPr>
          <w:rFonts w:ascii="Times New Roman" w:hAnsi="Times New Roman" w:cs="Times New Roman"/>
          <w:b/>
          <w:color w:val="auto"/>
          <w:sz w:val="28"/>
          <w:szCs w:val="28"/>
        </w:rPr>
        <w:t>I. TỔ CHỨC THỰC HIỆN RÀ SOÁT</w:t>
      </w:r>
    </w:p>
    <w:p w14:paraId="60C2F5E6" w14:textId="72074A32" w:rsidR="00DC5AE2" w:rsidRPr="00976CE7" w:rsidRDefault="00DC5AE2" w:rsidP="002D2910">
      <w:pPr>
        <w:spacing w:after="120" w:line="340" w:lineRule="exact"/>
        <w:ind w:firstLine="720"/>
        <w:jc w:val="both"/>
        <w:outlineLvl w:val="1"/>
        <w:rPr>
          <w:rFonts w:ascii="Times New Roman" w:hAnsi="Times New Roman" w:cs="Times New Roman"/>
          <w:b/>
          <w:color w:val="auto"/>
          <w:sz w:val="28"/>
          <w:szCs w:val="28"/>
        </w:rPr>
      </w:pPr>
      <w:r w:rsidRPr="00976CE7">
        <w:rPr>
          <w:rFonts w:ascii="Times New Roman" w:hAnsi="Times New Roman" w:cs="Times New Roman"/>
          <w:b/>
          <w:color w:val="auto"/>
          <w:sz w:val="28"/>
          <w:szCs w:val="28"/>
        </w:rPr>
        <w:t>1. Mục đích, yêu cầu rà soát</w:t>
      </w:r>
    </w:p>
    <w:p w14:paraId="1CB65CC6" w14:textId="055951E6" w:rsidR="00DC5AE2" w:rsidRPr="00976CE7" w:rsidRDefault="00DC5AE2"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 xml:space="preserve">Việc rà soát nhằm bảo đảm dự thảo </w:t>
      </w:r>
      <w:r w:rsidR="00AA0A54" w:rsidRPr="00976CE7">
        <w:rPr>
          <w:rFonts w:ascii="Times New Roman" w:hAnsi="Times New Roman" w:cs="Times New Roman"/>
          <w:color w:val="auto"/>
          <w:sz w:val="28"/>
          <w:szCs w:val="28"/>
        </w:rPr>
        <w:t>Nghị định sửa đổi, bổ sung một số điều của Nghị định số 193/2025/NĐ-CP ngày 02 tháng 7 năm 2025 của Chính phủ quy định chi tiết một số điều và biện pháp thi hành Luật Địa chất và khoáng sản</w:t>
      </w:r>
      <w:r w:rsidRPr="00976CE7">
        <w:rPr>
          <w:rFonts w:ascii="Times New Roman" w:hAnsi="Times New Roman" w:cs="Times New Roman"/>
          <w:color w:val="auto"/>
          <w:sz w:val="28"/>
          <w:szCs w:val="28"/>
        </w:rPr>
        <w:t xml:space="preserve"> </w:t>
      </w:r>
      <w:r w:rsidR="00780CA4" w:rsidRPr="00976CE7">
        <w:rPr>
          <w:rFonts w:ascii="Times New Roman" w:hAnsi="Times New Roman" w:cs="Times New Roman"/>
          <w:color w:val="auto"/>
          <w:sz w:val="28"/>
          <w:szCs w:val="28"/>
        </w:rPr>
        <w:t xml:space="preserve">(sau đây viết tắt là Nghị định) </w:t>
      </w:r>
      <w:r w:rsidRPr="00976CE7">
        <w:rPr>
          <w:rFonts w:ascii="Times New Roman" w:hAnsi="Times New Roman" w:cs="Times New Roman"/>
          <w:color w:val="auto"/>
          <w:sz w:val="28"/>
          <w:szCs w:val="28"/>
        </w:rPr>
        <w:t>phù hợp với đường lối, chủ trương của Đảng; thống nhất, đồng bộ với hệ thống pháp luật hiện hành và các điều ước quốc tế mà Việt Nam là thành viên. Đồng thời, phát hiện những quy định còn chồng chéo, mâu thuẫn, không còn phù hợp để đề xuất sửa đổi, bổ sung hoặc bãi bỏ nhằm bảo đảm tính hợp hiến, hợp pháp, khả thi và thống nhất trong thi hành.</w:t>
      </w:r>
    </w:p>
    <w:p w14:paraId="32606F2B" w14:textId="21C76AF7" w:rsidR="00DC5AE2" w:rsidRPr="00976CE7" w:rsidRDefault="00DC5AE2" w:rsidP="002D2910">
      <w:pPr>
        <w:spacing w:after="120" w:line="340" w:lineRule="exact"/>
        <w:ind w:firstLine="720"/>
        <w:jc w:val="both"/>
        <w:outlineLvl w:val="1"/>
        <w:rPr>
          <w:rFonts w:ascii="Times New Roman" w:hAnsi="Times New Roman" w:cs="Times New Roman"/>
          <w:b/>
          <w:color w:val="auto"/>
          <w:sz w:val="28"/>
          <w:szCs w:val="28"/>
        </w:rPr>
      </w:pPr>
      <w:r w:rsidRPr="00976CE7">
        <w:rPr>
          <w:rFonts w:ascii="Times New Roman" w:hAnsi="Times New Roman" w:cs="Times New Roman"/>
          <w:b/>
          <w:color w:val="auto"/>
          <w:sz w:val="28"/>
          <w:szCs w:val="28"/>
        </w:rPr>
        <w:t>2. Phạm vi, nội dung, đối tượng rà soát</w:t>
      </w:r>
    </w:p>
    <w:p w14:paraId="0F3A3A66" w14:textId="2B639BAB" w:rsidR="00DC5AE2" w:rsidRPr="00976CE7" w:rsidRDefault="00DC5AE2" w:rsidP="002D2910">
      <w:pPr>
        <w:spacing w:after="120" w:line="340" w:lineRule="exact"/>
        <w:ind w:firstLine="720"/>
        <w:jc w:val="both"/>
        <w:rPr>
          <w:rFonts w:ascii="Times New Roman" w:hAnsi="Times New Roman" w:cs="Times New Roman"/>
          <w:color w:val="auto"/>
          <w:spacing w:val="-2"/>
          <w:sz w:val="28"/>
          <w:szCs w:val="28"/>
          <w:lang w:val="en-US"/>
        </w:rPr>
      </w:pPr>
      <w:r w:rsidRPr="0007290D">
        <w:rPr>
          <w:rFonts w:ascii="Times New Roman" w:hAnsi="Times New Roman" w:cs="Times New Roman"/>
          <w:color w:val="auto"/>
          <w:spacing w:val="-4"/>
          <w:sz w:val="28"/>
          <w:szCs w:val="28"/>
        </w:rPr>
        <w:t xml:space="preserve">Phạm vi rà soát bao gồm các chủ trương, đường lối của Đảng liên quan trực tiếp đến lĩnh vực địa chất, khoáng sản; các </w:t>
      </w:r>
      <w:r w:rsidR="0007290D" w:rsidRPr="0007290D">
        <w:rPr>
          <w:rFonts w:ascii="Times New Roman" w:hAnsi="Times New Roman" w:cs="Times New Roman"/>
          <w:color w:val="auto"/>
          <w:spacing w:val="-4"/>
          <w:sz w:val="28"/>
          <w:szCs w:val="28"/>
          <w:lang w:val="en-US"/>
        </w:rPr>
        <w:t>L</w:t>
      </w:r>
      <w:r w:rsidRPr="0007290D">
        <w:rPr>
          <w:rFonts w:ascii="Times New Roman" w:hAnsi="Times New Roman" w:cs="Times New Roman"/>
          <w:color w:val="auto"/>
          <w:spacing w:val="-4"/>
          <w:sz w:val="28"/>
          <w:szCs w:val="28"/>
        </w:rPr>
        <w:t xml:space="preserve">uật, </w:t>
      </w:r>
      <w:r w:rsidR="0007290D" w:rsidRPr="0007290D">
        <w:rPr>
          <w:rFonts w:ascii="Times New Roman" w:hAnsi="Times New Roman" w:cs="Times New Roman"/>
          <w:color w:val="auto"/>
          <w:spacing w:val="-4"/>
          <w:sz w:val="28"/>
          <w:szCs w:val="28"/>
          <w:lang w:val="en-US"/>
        </w:rPr>
        <w:t>N</w:t>
      </w:r>
      <w:r w:rsidRPr="0007290D">
        <w:rPr>
          <w:rFonts w:ascii="Times New Roman" w:hAnsi="Times New Roman" w:cs="Times New Roman"/>
          <w:color w:val="auto"/>
          <w:spacing w:val="-4"/>
          <w:sz w:val="28"/>
          <w:szCs w:val="28"/>
        </w:rPr>
        <w:t xml:space="preserve">ghị quyết, </w:t>
      </w:r>
      <w:r w:rsidR="0007290D" w:rsidRPr="0007290D">
        <w:rPr>
          <w:rFonts w:ascii="Times New Roman" w:hAnsi="Times New Roman" w:cs="Times New Roman"/>
          <w:color w:val="auto"/>
          <w:spacing w:val="-4"/>
          <w:sz w:val="28"/>
          <w:szCs w:val="28"/>
          <w:lang w:val="en-US"/>
        </w:rPr>
        <w:t>N</w:t>
      </w:r>
      <w:r w:rsidRPr="0007290D">
        <w:rPr>
          <w:rFonts w:ascii="Times New Roman" w:hAnsi="Times New Roman" w:cs="Times New Roman"/>
          <w:color w:val="auto"/>
          <w:spacing w:val="-4"/>
          <w:sz w:val="28"/>
          <w:szCs w:val="28"/>
        </w:rPr>
        <w:t xml:space="preserve">ghị định, </w:t>
      </w:r>
      <w:r w:rsidR="0007290D" w:rsidRPr="0007290D">
        <w:rPr>
          <w:rFonts w:ascii="Times New Roman" w:hAnsi="Times New Roman" w:cs="Times New Roman"/>
          <w:color w:val="auto"/>
          <w:spacing w:val="-4"/>
          <w:sz w:val="28"/>
          <w:szCs w:val="28"/>
          <w:lang w:val="en-US"/>
        </w:rPr>
        <w:t>T</w:t>
      </w:r>
      <w:r w:rsidRPr="0007290D">
        <w:rPr>
          <w:rFonts w:ascii="Times New Roman" w:hAnsi="Times New Roman" w:cs="Times New Roman"/>
          <w:color w:val="auto"/>
          <w:spacing w:val="-4"/>
          <w:sz w:val="28"/>
          <w:szCs w:val="28"/>
        </w:rPr>
        <w:t xml:space="preserve">hông tư hiện hành điều chỉnh hoạt động điều tra địa chất, quản lý, khai thác khoáng sản; các điều ước quốc tế mà Việt Nam là thành viên có điều chỉnh hoặc tác động đến chính sách về tài nguyên khoáng sản. Nội dung rà soát tập trung vào tính tương thích, mâu thuẫn, chồng chéo và sự cần thiết sửa đổi so với quy định tại dự thảo </w:t>
      </w:r>
      <w:r w:rsidR="00AA0A54" w:rsidRPr="0007290D">
        <w:rPr>
          <w:rFonts w:ascii="Times New Roman" w:hAnsi="Times New Roman" w:cs="Times New Roman"/>
          <w:color w:val="auto"/>
          <w:spacing w:val="-4"/>
          <w:sz w:val="28"/>
          <w:szCs w:val="28"/>
          <w:lang w:val="en-US"/>
        </w:rPr>
        <w:t>Nghị định</w:t>
      </w:r>
      <w:r w:rsidR="00AA0A54" w:rsidRPr="00976CE7">
        <w:rPr>
          <w:rFonts w:ascii="Times New Roman" w:hAnsi="Times New Roman" w:cs="Times New Roman"/>
          <w:color w:val="auto"/>
          <w:spacing w:val="-2"/>
          <w:sz w:val="28"/>
          <w:szCs w:val="28"/>
          <w:lang w:val="en-US"/>
        </w:rPr>
        <w:t>.</w:t>
      </w:r>
    </w:p>
    <w:p w14:paraId="38958CB4" w14:textId="77777777" w:rsidR="00DC5AE2" w:rsidRPr="00976CE7" w:rsidRDefault="00DC5AE2" w:rsidP="002D2910">
      <w:pPr>
        <w:spacing w:after="120" w:line="340" w:lineRule="exact"/>
        <w:ind w:firstLine="720"/>
        <w:jc w:val="both"/>
        <w:outlineLvl w:val="0"/>
        <w:rPr>
          <w:rFonts w:ascii="Times New Roman" w:hAnsi="Times New Roman" w:cs="Times New Roman"/>
          <w:b/>
          <w:color w:val="auto"/>
          <w:sz w:val="28"/>
          <w:szCs w:val="28"/>
        </w:rPr>
      </w:pPr>
      <w:r w:rsidRPr="00976CE7">
        <w:rPr>
          <w:rFonts w:ascii="Times New Roman" w:hAnsi="Times New Roman" w:cs="Times New Roman"/>
          <w:b/>
          <w:color w:val="auto"/>
          <w:sz w:val="28"/>
          <w:szCs w:val="28"/>
        </w:rPr>
        <w:t>II. KẾT QUẢ RÀ SOÁT</w:t>
      </w:r>
    </w:p>
    <w:p w14:paraId="5C43A530" w14:textId="5385A3E9" w:rsidR="00DC5AE2" w:rsidRPr="00976CE7" w:rsidRDefault="00DC5AE2" w:rsidP="002D2910">
      <w:pPr>
        <w:spacing w:after="120" w:line="340" w:lineRule="exact"/>
        <w:ind w:firstLine="720"/>
        <w:jc w:val="both"/>
        <w:outlineLvl w:val="1"/>
        <w:rPr>
          <w:rFonts w:ascii="Times New Roman" w:hAnsi="Times New Roman" w:cs="Times New Roman"/>
          <w:b/>
          <w:color w:val="auto"/>
          <w:sz w:val="28"/>
          <w:szCs w:val="28"/>
        </w:rPr>
      </w:pPr>
      <w:r w:rsidRPr="00976CE7">
        <w:rPr>
          <w:rFonts w:ascii="Times New Roman" w:hAnsi="Times New Roman" w:cs="Times New Roman"/>
          <w:b/>
          <w:color w:val="auto"/>
          <w:sz w:val="28"/>
          <w:szCs w:val="28"/>
        </w:rPr>
        <w:t xml:space="preserve">1. Chủ trương, đường lối của Đảng có liên quan đến </w:t>
      </w:r>
      <w:r w:rsidR="0096029D" w:rsidRPr="00976CE7">
        <w:rPr>
          <w:rFonts w:ascii="Times New Roman" w:hAnsi="Times New Roman" w:cs="Times New Roman"/>
          <w:b/>
          <w:color w:val="auto"/>
          <w:sz w:val="28"/>
          <w:szCs w:val="28"/>
        </w:rPr>
        <w:t>dự thảo</w:t>
      </w:r>
    </w:p>
    <w:p w14:paraId="580CD7B6" w14:textId="77777777" w:rsidR="0096029D" w:rsidRPr="00976CE7" w:rsidRDefault="0096029D" w:rsidP="002D2910">
      <w:pPr>
        <w:spacing w:after="120" w:line="340" w:lineRule="exact"/>
        <w:ind w:firstLine="720"/>
        <w:jc w:val="both"/>
        <w:rPr>
          <w:rFonts w:ascii="Times New Roman" w:hAnsi="Times New Roman" w:cs="Times New Roman"/>
          <w:color w:val="auto"/>
          <w:spacing w:val="-2"/>
          <w:sz w:val="28"/>
          <w:szCs w:val="28"/>
        </w:rPr>
      </w:pPr>
      <w:r w:rsidRPr="00976CE7">
        <w:rPr>
          <w:rFonts w:ascii="Times New Roman" w:hAnsi="Times New Roman" w:cs="Times New Roman"/>
          <w:color w:val="auto"/>
          <w:spacing w:val="-2"/>
          <w:sz w:val="28"/>
          <w:szCs w:val="28"/>
        </w:rPr>
        <w:lastRenderedPageBreak/>
        <w:t>Trong Văn kiện Đại hội đại biểu toàn quốc lần thứ XIII, Đảng đã đưa ra nhiều chủ trương có tính định hướng lâu dài và nền tảng đối với lĩnh vực địa chất, khoáng sản. Mặc dù không được tách thành một nội dung riêng, nhưng các vấn đề về địa chất, khoáng sản được lồng ghép thể hiện rõ trong các định hướng phát triển kinh tế, quản lý tài nguyên, bảo vệ môi trường và hoàn thiện thể chế pháp luật. Văn kiện nhấn mạnh rằng tài nguyên thiên nhiên, trong đó có khoáng sản, là tài sản quốc gia, là nguồn lực đặc biệt quan trọng cho phát triển đất nước, cần được điều tra, đánh giá đầy đủ, quản lý chặt chẽ và sử dụng hiệu quả, tiết kiệm, gắn với bảo vệ môi trường và lợi ích lâu dài của quốc gia, dân tộc. Đảng yêu cầu hoàn thiện thể chế quản lý tài nguyên phù hợp với cơ chế thị trường định hướng xã hội chủ nghĩa, trong đó tài nguyên phải được phân bổ thông qua cơ chế công khai, minh bạch, có cạnh tranh và có sự điều tiết hợp lý giữa Trung ương và địa phương.</w:t>
      </w:r>
    </w:p>
    <w:p w14:paraId="7FBC45AB" w14:textId="77777777" w:rsidR="0096029D" w:rsidRPr="00976CE7" w:rsidRDefault="0096029D"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Văn kiện xác định phát triển công nghiệp khai khoáng theo hướng hiện đại, công nghệ cao, tiết kiệm tài nguyên, giảm ô nhiễm môi trường là một trụ cột quan trọng trong phát triển công nghiệp quốc gia. Khai thác khoáng sản cần gắn liền với chế biến sâu, hạn chế xuất khẩu thô, tăng cường nội địa hóa và hình thành các trung tâm chế biến quy mô lớn theo vùng nguyên liệu. Đồng thời, yêu cầu đổi mới mô hình quản lý nhà nước, đẩy mạnh phân cấp, phân quyền trong lĩnh vực tài nguyên, khoáng sản, tăng cường trách nhiệm của chính quyền địa phương, nâng cao hiệu lực, hiệu quả của hệ thống pháp luật, cải cách thủ tục hành chính, ứng dụng mạnh mẽ công nghệ số trong quản lý, giám sát. Văn kiện cũng nhấn mạnh nhiệm vụ bảo đảm đủ nguồn vật liệu xây dựng phục vụ phát triển hạ tầng chiến lược, coi đây là một trong những điều kiện tiên quyết để thúc đẩy tăng trưởng kinh tế nhanh và bền vững.</w:t>
      </w:r>
    </w:p>
    <w:p w14:paraId="74C9A82E" w14:textId="77777777" w:rsidR="0096029D" w:rsidRPr="00976CE7" w:rsidRDefault="0096029D"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Tiếp nối những định hướng đó, Nghị quyết số 10-NQ/TW ngày 10/02/2022 của Bộ Chính trị về định hướng chiến lược địa chất, khoáng sản và công nghiệp khai khoáng đến năm 2030, tầm nhìn đến năm 2045 là nghị quyết chuyên đề đầu tiên, có tính toàn diện về lĩnh vực này. Nghị quyết xác định rõ rằng tài nguyên địa chất, khoáng sản là tài sản đặc biệt của quốc gia, có vai trò quan trọng trong bảo đảm an ninh tài nguyên, là nguồn lực không thể tái tạo, cần được quản lý chặt chẽ, sử dụng tiết kiệm, hiệu quả và gắn với bảo vệ môi trường. Tư duy quản lý được chuyển từ khai thác đơn thuần sang quản lý tổng hợp, tuần hoàn, phát triển kinh tế tài nguyên. Việc điều tra cơ bản địa chất được đặt ở vị trí trung tâm nhằm thiết lập cơ sở dữ liệu số hóa, hiện đại, thống nhất phục vụ hoạch định chính sách, quy hoạch và điều hành phát triển. Nghị quyết đặt ra mục tiêu phát triển ngành công nghiệp khai khoáng trở thành ngành kinh tế kỹ thuật quan trọng, ứng dụng công nghệ cao, thân thiện với môi trường, có năng lực cạnh tranh khu vực và quốc tế.</w:t>
      </w:r>
    </w:p>
    <w:p w14:paraId="40AB4265" w14:textId="1483FE4D" w:rsidR="001D6789" w:rsidRPr="00976CE7" w:rsidRDefault="0096029D" w:rsidP="002D2910">
      <w:pPr>
        <w:spacing w:after="120" w:line="340" w:lineRule="exact"/>
        <w:ind w:firstLine="720"/>
        <w:jc w:val="both"/>
        <w:rPr>
          <w:rFonts w:ascii="Times New Roman" w:hAnsi="Times New Roman" w:cs="Times New Roman"/>
          <w:color w:val="auto"/>
          <w:spacing w:val="-2"/>
          <w:sz w:val="28"/>
          <w:szCs w:val="28"/>
          <w:lang w:val="en-US"/>
        </w:rPr>
      </w:pPr>
      <w:r w:rsidRPr="00976CE7">
        <w:rPr>
          <w:rFonts w:ascii="Times New Roman" w:hAnsi="Times New Roman" w:cs="Times New Roman"/>
          <w:color w:val="auto"/>
          <w:spacing w:val="-2"/>
          <w:sz w:val="28"/>
          <w:szCs w:val="28"/>
        </w:rPr>
        <w:t>Để đạt được mục tiêu đó, Đảng</w:t>
      </w:r>
      <w:r w:rsidR="0007290D">
        <w:rPr>
          <w:rFonts w:ascii="Times New Roman" w:hAnsi="Times New Roman" w:cs="Times New Roman"/>
          <w:color w:val="auto"/>
          <w:spacing w:val="-2"/>
          <w:sz w:val="28"/>
          <w:szCs w:val="28"/>
          <w:lang w:val="en-US"/>
        </w:rPr>
        <w:t>, Chính phủ</w:t>
      </w:r>
      <w:r w:rsidRPr="00976CE7">
        <w:rPr>
          <w:rFonts w:ascii="Times New Roman" w:hAnsi="Times New Roman" w:cs="Times New Roman"/>
          <w:color w:val="auto"/>
          <w:spacing w:val="-2"/>
          <w:sz w:val="28"/>
          <w:szCs w:val="28"/>
        </w:rPr>
        <w:t xml:space="preserve"> yêu cầu sửa đổi toàn diện </w:t>
      </w:r>
      <w:r w:rsidR="00AA0A54" w:rsidRPr="00976CE7">
        <w:rPr>
          <w:rFonts w:ascii="Times New Roman" w:hAnsi="Times New Roman" w:cs="Times New Roman"/>
          <w:color w:val="auto"/>
          <w:spacing w:val="-2"/>
          <w:sz w:val="28"/>
          <w:szCs w:val="28"/>
          <w:lang w:val="en-US"/>
        </w:rPr>
        <w:t>Nghị định số 193/2025/NĐ-CP ngày 02/7/2025</w:t>
      </w:r>
      <w:r w:rsidR="0007290D">
        <w:rPr>
          <w:color w:val="auto"/>
          <w:lang w:val="en-US"/>
        </w:rPr>
        <w:t xml:space="preserve"> </w:t>
      </w:r>
      <w:r w:rsidR="00AA0A54" w:rsidRPr="00976CE7">
        <w:rPr>
          <w:rFonts w:ascii="Times New Roman" w:hAnsi="Times New Roman" w:cs="Times New Roman"/>
          <w:color w:val="auto"/>
          <w:spacing w:val="-2"/>
          <w:sz w:val="28"/>
          <w:szCs w:val="28"/>
          <w:lang w:val="en-US"/>
        </w:rPr>
        <w:t>của Chính phủ quy định chi tiết một số điều và biện pháp thi hành Luật Địa chất và khoáng sản</w:t>
      </w:r>
      <w:r w:rsidRPr="00976CE7">
        <w:rPr>
          <w:rFonts w:ascii="Times New Roman" w:hAnsi="Times New Roman" w:cs="Times New Roman"/>
          <w:color w:val="auto"/>
          <w:spacing w:val="-2"/>
          <w:sz w:val="28"/>
          <w:szCs w:val="28"/>
        </w:rPr>
        <w:t xml:space="preserve">, </w:t>
      </w:r>
      <w:r w:rsidR="00AA0A54" w:rsidRPr="00976CE7">
        <w:rPr>
          <w:rFonts w:ascii="Times New Roman" w:hAnsi="Times New Roman" w:cs="Times New Roman"/>
          <w:color w:val="auto"/>
          <w:spacing w:val="-2"/>
          <w:sz w:val="28"/>
          <w:szCs w:val="28"/>
        </w:rPr>
        <w:t xml:space="preserve">hoàn thiện đồng bộ thể chế quản lý, bảo đảm minh bạch, khả thi, có khả năng thúc đẩy khai thác hiệu quả </w:t>
      </w:r>
      <w:r w:rsidR="00AA0A54" w:rsidRPr="00976CE7">
        <w:rPr>
          <w:rFonts w:ascii="Times New Roman" w:hAnsi="Times New Roman" w:cs="Times New Roman"/>
          <w:color w:val="auto"/>
          <w:spacing w:val="-2"/>
          <w:sz w:val="28"/>
          <w:szCs w:val="28"/>
        </w:rPr>
        <w:lastRenderedPageBreak/>
        <w:t>tài nguyên gắn với bảo vệ môi trường</w:t>
      </w:r>
      <w:r w:rsidR="00AA0A54" w:rsidRPr="00976CE7">
        <w:rPr>
          <w:rFonts w:ascii="Times New Roman" w:hAnsi="Times New Roman" w:cs="Times New Roman"/>
          <w:color w:val="auto"/>
          <w:spacing w:val="-2"/>
          <w:sz w:val="28"/>
          <w:szCs w:val="28"/>
          <w:lang w:val="en-US"/>
        </w:rPr>
        <w:t xml:space="preserve">. </w:t>
      </w:r>
      <w:r w:rsidR="008A03E6" w:rsidRPr="00976CE7">
        <w:rPr>
          <w:rFonts w:ascii="Times New Roman" w:hAnsi="Times New Roman" w:cs="Times New Roman"/>
          <w:color w:val="auto"/>
          <w:spacing w:val="-2"/>
          <w:sz w:val="28"/>
          <w:szCs w:val="28"/>
          <w:lang w:val="en-US"/>
        </w:rPr>
        <w:t xml:space="preserve">Để </w:t>
      </w:r>
      <w:r w:rsidRPr="00976CE7">
        <w:rPr>
          <w:rFonts w:ascii="Times New Roman" w:hAnsi="Times New Roman" w:cs="Times New Roman"/>
          <w:color w:val="auto"/>
          <w:spacing w:val="-2"/>
          <w:sz w:val="28"/>
          <w:szCs w:val="28"/>
        </w:rPr>
        <w:t xml:space="preserve">hoàn thiện đồng bộ thể chế quản lý, bảo đảm minh bạch, khả thi, có khả năng thúc đẩy khai thác hiệu quả tài nguyên gắn với bảo vệ môi trường. </w:t>
      </w:r>
      <w:r w:rsidR="008A03E6" w:rsidRPr="00976CE7">
        <w:rPr>
          <w:rFonts w:ascii="Times New Roman" w:hAnsi="Times New Roman" w:cs="Times New Roman"/>
          <w:color w:val="auto"/>
          <w:spacing w:val="-2"/>
          <w:sz w:val="28"/>
          <w:szCs w:val="28"/>
          <w:lang w:val="en-US"/>
        </w:rPr>
        <w:t>Cơ chế đặc thù và khu vực không đấu giá quyền khai thác khoáng sản được đẩy mạnh</w:t>
      </w:r>
      <w:r w:rsidRPr="00976CE7">
        <w:rPr>
          <w:rFonts w:ascii="Times New Roman" w:hAnsi="Times New Roman" w:cs="Times New Roman"/>
          <w:color w:val="auto"/>
          <w:spacing w:val="-2"/>
          <w:sz w:val="28"/>
          <w:szCs w:val="28"/>
        </w:rPr>
        <w:t xml:space="preserve">, đồng thời có cơ chế linh hoạt cho các dự án đặc thù. Nghị quyết cũng yêu cầu phân định rõ vai trò giữa Trung ương và địa phương trong quản lý tài nguyên, tăng cường kiểm tra, giám sát và trách nhiệm giải trình. Cùng với đó là </w:t>
      </w:r>
      <w:r w:rsidR="006B11FF" w:rsidRPr="00976CE7">
        <w:rPr>
          <w:rFonts w:ascii="Times New Roman" w:hAnsi="Times New Roman" w:cs="Times New Roman"/>
          <w:color w:val="auto"/>
          <w:spacing w:val="-2"/>
          <w:sz w:val="28"/>
          <w:szCs w:val="28"/>
          <w:lang w:val="en-US"/>
        </w:rPr>
        <w:t>phân cấp thẩm quyền tài chính</w:t>
      </w:r>
      <w:r w:rsidRPr="00976CE7">
        <w:rPr>
          <w:rFonts w:ascii="Times New Roman" w:hAnsi="Times New Roman" w:cs="Times New Roman"/>
          <w:color w:val="auto"/>
          <w:spacing w:val="-2"/>
          <w:sz w:val="28"/>
          <w:szCs w:val="28"/>
        </w:rPr>
        <w:t xml:space="preserve"> hợ</w:t>
      </w:r>
      <w:r w:rsidR="006B11FF" w:rsidRPr="00976CE7">
        <w:rPr>
          <w:rFonts w:ascii="Times New Roman" w:hAnsi="Times New Roman" w:cs="Times New Roman"/>
          <w:color w:val="auto"/>
          <w:spacing w:val="-2"/>
          <w:sz w:val="28"/>
          <w:szCs w:val="28"/>
        </w:rPr>
        <w:t>p lý</w:t>
      </w:r>
      <w:r w:rsidR="006B11FF" w:rsidRPr="00976CE7">
        <w:rPr>
          <w:rFonts w:ascii="Times New Roman" w:hAnsi="Times New Roman" w:cs="Times New Roman"/>
          <w:color w:val="auto"/>
          <w:spacing w:val="-2"/>
          <w:sz w:val="28"/>
          <w:szCs w:val="28"/>
          <w:lang w:val="en-US"/>
        </w:rPr>
        <w:t xml:space="preserve"> theo hướng cơ quan có thẩm quyền cấp giấy phép (bao gồm Chủ tịch Ủy ban nhân dân cấp tỉnh) có trách nhiệm </w:t>
      </w:r>
      <w:r w:rsidR="007A22A9">
        <w:rPr>
          <w:rFonts w:ascii="Times New Roman" w:hAnsi="Times New Roman" w:cs="Times New Roman"/>
          <w:color w:val="auto"/>
          <w:spacing w:val="-2"/>
          <w:sz w:val="28"/>
          <w:szCs w:val="28"/>
          <w:lang w:val="en-US"/>
        </w:rPr>
        <w:t>xác</w:t>
      </w:r>
      <w:r w:rsidR="000D0EE8">
        <w:rPr>
          <w:rFonts w:ascii="Times New Roman" w:hAnsi="Times New Roman" w:cs="Times New Roman"/>
          <w:color w:val="auto"/>
          <w:spacing w:val="-2"/>
          <w:sz w:val="28"/>
          <w:szCs w:val="28"/>
          <w:lang w:val="en-US"/>
        </w:rPr>
        <w:t xml:space="preserve"> </w:t>
      </w:r>
      <w:r w:rsidR="006B11FF" w:rsidRPr="00976CE7">
        <w:rPr>
          <w:rFonts w:ascii="Times New Roman" w:hAnsi="Times New Roman" w:cs="Times New Roman"/>
          <w:color w:val="auto"/>
          <w:spacing w:val="-2"/>
          <w:sz w:val="28"/>
          <w:szCs w:val="28"/>
          <w:lang w:val="en-US"/>
        </w:rPr>
        <w:t>định</w:t>
      </w:r>
      <w:r w:rsidR="007A22A9">
        <w:rPr>
          <w:rFonts w:ascii="Times New Roman" w:hAnsi="Times New Roman" w:cs="Times New Roman"/>
          <w:color w:val="auto"/>
          <w:spacing w:val="-2"/>
          <w:sz w:val="28"/>
          <w:szCs w:val="28"/>
          <w:lang w:val="en-US"/>
        </w:rPr>
        <w:t>,</w:t>
      </w:r>
      <w:r w:rsidR="006B11FF" w:rsidRPr="00976CE7">
        <w:rPr>
          <w:rFonts w:ascii="Times New Roman" w:hAnsi="Times New Roman" w:cs="Times New Roman"/>
          <w:color w:val="auto"/>
          <w:spacing w:val="-2"/>
          <w:sz w:val="28"/>
          <w:szCs w:val="28"/>
          <w:lang w:val="en-US"/>
        </w:rPr>
        <w:t xml:space="preserve"> phê duyệt, quyết toán tiền cấp quyền khai thác khoáng sản đối với giấy phép do mình cấp, đảm bảo đồng bộ với Nghị định số 136/2025/NĐ-CP. Ngoài ra, để đồng bộ với Luật sửa đổi, bổ sung một số điều của Luật Địa </w:t>
      </w:r>
      <w:r w:rsidR="007A22A9">
        <w:rPr>
          <w:rFonts w:ascii="Times New Roman" w:hAnsi="Times New Roman" w:cs="Times New Roman"/>
          <w:color w:val="auto"/>
          <w:spacing w:val="-2"/>
          <w:sz w:val="28"/>
          <w:szCs w:val="28"/>
          <w:lang w:val="en-US"/>
        </w:rPr>
        <w:t xml:space="preserve">chất </w:t>
      </w:r>
      <w:r w:rsidR="006B11FF" w:rsidRPr="00976CE7">
        <w:rPr>
          <w:rFonts w:ascii="Times New Roman" w:hAnsi="Times New Roman" w:cs="Times New Roman"/>
          <w:color w:val="auto"/>
          <w:spacing w:val="-2"/>
          <w:sz w:val="28"/>
          <w:szCs w:val="28"/>
          <w:lang w:val="en-US"/>
        </w:rPr>
        <w:t xml:space="preserve">và khoáng sản năm 2024, dự thảo Nghị định bổ sung quy định chi tiết việc quản lý đất hiếm là tài nguyên chiến lược </w:t>
      </w:r>
      <w:r w:rsidR="000D0EE8">
        <w:rPr>
          <w:rFonts w:ascii="Times New Roman" w:hAnsi="Times New Roman" w:cs="Times New Roman"/>
          <w:color w:val="auto"/>
          <w:spacing w:val="-2"/>
          <w:sz w:val="28"/>
          <w:szCs w:val="28"/>
          <w:lang w:val="en-US"/>
        </w:rPr>
        <w:t>quan trọng</w:t>
      </w:r>
      <w:r w:rsidR="006B11FF" w:rsidRPr="00976CE7">
        <w:rPr>
          <w:rFonts w:ascii="Times New Roman" w:hAnsi="Times New Roman" w:cs="Times New Roman"/>
          <w:color w:val="auto"/>
          <w:spacing w:val="-2"/>
          <w:sz w:val="28"/>
          <w:szCs w:val="28"/>
          <w:lang w:val="en-US"/>
        </w:rPr>
        <w:t xml:space="preserve">, trong đó, có quy định về nguyên tắc như </w:t>
      </w:r>
      <w:r w:rsidR="00341672">
        <w:rPr>
          <w:rFonts w:ascii="Times New Roman" w:hAnsi="Times New Roman" w:cs="Times New Roman"/>
          <w:color w:val="auto"/>
          <w:spacing w:val="-2"/>
          <w:sz w:val="28"/>
          <w:szCs w:val="28"/>
          <w:lang w:val="en-US"/>
        </w:rPr>
        <w:t>h</w:t>
      </w:r>
      <w:r w:rsidR="006B11FF" w:rsidRPr="00976CE7">
        <w:rPr>
          <w:rFonts w:ascii="Times New Roman" w:hAnsi="Times New Roman" w:cs="Times New Roman"/>
          <w:color w:val="auto"/>
          <w:spacing w:val="-2"/>
          <w:sz w:val="28"/>
          <w:szCs w:val="28"/>
          <w:lang w:val="en-US"/>
        </w:rPr>
        <w:t xml:space="preserve">oạt động phải tuân thủ Chiến lược quốc gia về đất hiếm và bảo đảm an ninh, quốc phòng, đồng thời nghiêm cấm xuất khẩu thô đất hiếm. </w:t>
      </w:r>
    </w:p>
    <w:p w14:paraId="4E7C7753" w14:textId="77777777" w:rsidR="0096029D" w:rsidRPr="00976CE7" w:rsidRDefault="0096029D"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Bổ sung cho các định hướng về nội dung quản lý tài nguyên, Nghị quyết số 66-NQ/TW ngày 30/4/2025 của Bộ Chính trị về đổi mới công tác xây dựng và thi hành pháp luật đưa ra định hướng phương pháp luận quan trọng trong quá trình hoàn thiện pháp luật về khoáng sản. Nghị quyết xác định rằng pháp luật không chỉ là công cụ kiểm soát mà cần trở thành công cụ kiến tạo phát triển, tháo gỡ điểm nghẽn, giải phóng nguồn lực, khuyến khích đổi mới sáng tạo và nâng cao năng lực cạnh tranh quốc gia. Công tác xây dựng pháp luật phải chuyển từ tư duy quản lý sang tư duy phát triển, với yêu cầu rút ngắn quy trình, nâng cao tính linh hoạt và phản ứng chính sách kịp thời. Nghị quyết yêu cầu tập trung rà soát, sửa đổi các luật đang là rào cản đối với đầu tư, sản xuất, kinh doanh, trong đó có các luật liên quan đến tài nguyên, khoáng sản, đầu tư công và môi trường. Đồng thời, khuyến khích thiết kế cơ chế đặc thù, thí điểm, có thời hạn để kịp thời xử lý các vấn đề cấp bách trong thực tiễn, nhất là trong các lĩnh vực động lực.</w:t>
      </w:r>
    </w:p>
    <w:p w14:paraId="17FA9B53" w14:textId="08F552A2" w:rsidR="0096029D" w:rsidRPr="00976CE7" w:rsidRDefault="0096029D"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 xml:space="preserve">Một nội dung quan trọng của </w:t>
      </w:r>
      <w:r w:rsidR="00310556" w:rsidRPr="00976CE7">
        <w:rPr>
          <w:rFonts w:ascii="Times New Roman" w:hAnsi="Times New Roman" w:cs="Times New Roman"/>
          <w:color w:val="auto"/>
          <w:sz w:val="28"/>
          <w:szCs w:val="28"/>
        </w:rPr>
        <w:t>Nghị quyết số 66-NQ/TW</w:t>
      </w:r>
      <w:r w:rsidRPr="00976CE7">
        <w:rPr>
          <w:rFonts w:ascii="Times New Roman" w:hAnsi="Times New Roman" w:cs="Times New Roman"/>
          <w:color w:val="auto"/>
          <w:sz w:val="28"/>
          <w:szCs w:val="28"/>
        </w:rPr>
        <w:t xml:space="preserve"> là đẩy mạnh phân cấp, phân quyền gắn với kiểm soát quyền lực, minh bạch hóa thông tin và trách nhiệm giải trình. Các bộ, ngành và địa phương được yêu cầu phân định rõ ràng chức năng, nhiệm vụ, đồng thời tăng cường thanh tra, kiểm tra, giám sát, tránh chồng chéo, đùn đẩy trách nhiệm. Việc xây dựng và thi hành pháp luật phải bảo đảm tính đồng bộ, liên thông, có hệ thống dữ liệu dùng chung, tăng cường ứng dụng công nghệ số và thúc đẩy cải cách hành chính sâu rộng.</w:t>
      </w:r>
    </w:p>
    <w:p w14:paraId="50F63559" w14:textId="6D809364" w:rsidR="0096029D" w:rsidRPr="00976CE7" w:rsidRDefault="0096029D" w:rsidP="002D2910">
      <w:pPr>
        <w:spacing w:after="120" w:line="340" w:lineRule="exact"/>
        <w:ind w:firstLine="720"/>
        <w:jc w:val="both"/>
        <w:rPr>
          <w:rFonts w:ascii="Times New Roman" w:hAnsi="Times New Roman" w:cs="Times New Roman"/>
          <w:color w:val="auto"/>
          <w:sz w:val="28"/>
          <w:szCs w:val="28"/>
        </w:rPr>
      </w:pPr>
      <w:r w:rsidRPr="00976CE7">
        <w:rPr>
          <w:rFonts w:ascii="Times New Roman" w:hAnsi="Times New Roman" w:cs="Times New Roman"/>
          <w:color w:val="auto"/>
          <w:sz w:val="28"/>
          <w:szCs w:val="28"/>
        </w:rPr>
        <w:t xml:space="preserve">Như vậy, ba văn kiện quan trọng nêu trên </w:t>
      </w:r>
      <w:r w:rsidR="00310556" w:rsidRPr="00976CE7">
        <w:rPr>
          <w:rFonts w:ascii="Times New Roman" w:hAnsi="Times New Roman" w:cs="Times New Roman"/>
          <w:color w:val="auto"/>
          <w:sz w:val="28"/>
          <w:szCs w:val="28"/>
        </w:rPr>
        <w:t>(</w:t>
      </w:r>
      <w:r w:rsidRPr="00976CE7">
        <w:rPr>
          <w:rFonts w:ascii="Times New Roman" w:hAnsi="Times New Roman" w:cs="Times New Roman"/>
          <w:color w:val="auto"/>
          <w:sz w:val="28"/>
          <w:szCs w:val="28"/>
        </w:rPr>
        <w:t>Văn kiện Đại hội XIII, Nghị quyết số 10-NQ/TW và Nghị quyết số 66-NQ/TW</w:t>
      </w:r>
      <w:r w:rsidR="00310556" w:rsidRPr="00976CE7">
        <w:rPr>
          <w:rFonts w:ascii="Times New Roman" w:hAnsi="Times New Roman" w:cs="Times New Roman"/>
          <w:color w:val="auto"/>
          <w:sz w:val="28"/>
          <w:szCs w:val="28"/>
        </w:rPr>
        <w:t xml:space="preserve">) </w:t>
      </w:r>
      <w:r w:rsidRPr="00976CE7">
        <w:rPr>
          <w:rFonts w:ascii="Times New Roman" w:hAnsi="Times New Roman" w:cs="Times New Roman"/>
          <w:color w:val="auto"/>
          <w:sz w:val="28"/>
          <w:szCs w:val="28"/>
        </w:rPr>
        <w:t xml:space="preserve">đã đặt nền móng chiến lược và định hướng rõ ràng cả về nội dung chính sách và phương pháp hoàn thiện thể chế địa chất, khoáng sản. Đây là cơ sở chính trị - pháp lý vững chắc, có tính nhất quán và xuyên suốt để việc sửa đổi, bổ sung </w:t>
      </w:r>
      <w:r w:rsidR="006C2289" w:rsidRPr="00976CE7">
        <w:rPr>
          <w:rFonts w:ascii="Times New Roman" w:hAnsi="Times New Roman" w:cs="Times New Roman"/>
          <w:color w:val="auto"/>
          <w:sz w:val="28"/>
          <w:szCs w:val="28"/>
          <w:lang w:val="en-US"/>
        </w:rPr>
        <w:t>Nghị định số 193/2025/NĐ-CP</w:t>
      </w:r>
      <w:r w:rsidRPr="00976CE7">
        <w:rPr>
          <w:rFonts w:ascii="Times New Roman" w:hAnsi="Times New Roman" w:cs="Times New Roman"/>
          <w:color w:val="auto"/>
          <w:sz w:val="28"/>
          <w:szCs w:val="28"/>
        </w:rPr>
        <w:t xml:space="preserve"> không chỉ khắc phục bất cập hiện hành mà còn đáp ứng được yêu cầu phát triển đất nước </w:t>
      </w:r>
      <w:r w:rsidRPr="00976CE7">
        <w:rPr>
          <w:rFonts w:ascii="Times New Roman" w:hAnsi="Times New Roman" w:cs="Times New Roman"/>
          <w:color w:val="auto"/>
          <w:sz w:val="28"/>
          <w:szCs w:val="28"/>
        </w:rPr>
        <w:lastRenderedPageBreak/>
        <w:t>nhanh và bền vững trong kỷ nguyên mới.</w:t>
      </w:r>
    </w:p>
    <w:p w14:paraId="7B67981A" w14:textId="475E4136" w:rsidR="001B4F10" w:rsidRPr="00976CE7" w:rsidRDefault="00A87AFF"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Bên cạnh đó, </w:t>
      </w:r>
      <w:r w:rsidR="001B4F10" w:rsidRPr="00976CE7">
        <w:rPr>
          <w:rFonts w:ascii="Times New Roman" w:hAnsi="Times New Roman" w:cs="Times New Roman"/>
          <w:color w:val="auto"/>
          <w:sz w:val="28"/>
          <w:szCs w:val="28"/>
          <w:lang w:val="en-US"/>
        </w:rPr>
        <w:t xml:space="preserve">thực hiện Kết luận số 119-KL/TW ngày 20/01/2025 của Bộ Chính trị về định hướng đổi mới, hoàn thiện quy định pháp luật yêu cầu: </w:t>
      </w:r>
      <w:r w:rsidR="001B4F10" w:rsidRPr="00976CE7">
        <w:rPr>
          <w:rFonts w:ascii="Times New Roman" w:hAnsi="Times New Roman" w:cs="Times New Roman"/>
          <w:i/>
          <w:color w:val="auto"/>
          <w:sz w:val="28"/>
          <w:szCs w:val="28"/>
          <w:lang w:val="en-US"/>
        </w:rPr>
        <w:t>“Đổi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w:t>
      </w:r>
      <w:r w:rsidR="001B4F10" w:rsidRPr="00976CE7">
        <w:rPr>
          <w:rFonts w:ascii="Times New Roman" w:hAnsi="Times New Roman" w:cs="Times New Roman"/>
          <w:color w:val="auto"/>
          <w:sz w:val="28"/>
          <w:szCs w:val="28"/>
          <w:lang w:val="en-US"/>
        </w:rPr>
        <w:t>, không đẩy khó khăn cho người dân, doanh nghiệp trong ban hành và tổ chức thi hành pháp luật. Các quy định của luật phải mang tính ổn định, có giá trị lâu dài”.</w:t>
      </w:r>
    </w:p>
    <w:p w14:paraId="504318ED" w14:textId="19B53BF1" w:rsidR="001B4F10" w:rsidRPr="00976CE7" w:rsidRDefault="001B4F10" w:rsidP="002D2910">
      <w:pPr>
        <w:spacing w:after="120" w:line="340" w:lineRule="exact"/>
        <w:ind w:firstLine="720"/>
        <w:jc w:val="both"/>
        <w:rPr>
          <w:rFonts w:ascii="Times New Roman" w:hAnsi="Times New Roman" w:cs="Times New Roman"/>
          <w:i/>
          <w:color w:val="auto"/>
          <w:sz w:val="28"/>
          <w:szCs w:val="28"/>
          <w:lang w:val="en-US"/>
        </w:rPr>
      </w:pPr>
      <w:r w:rsidRPr="00976CE7">
        <w:rPr>
          <w:rFonts w:ascii="Times New Roman" w:hAnsi="Times New Roman" w:cs="Times New Roman"/>
          <w:color w:val="auto"/>
          <w:sz w:val="28"/>
          <w:szCs w:val="28"/>
          <w:lang w:val="en-US"/>
        </w:rPr>
        <w:t>Ngày 24/01/2025, Ban Chấp hành Trung ương Đảng Khóa XIII đã có Kết luận số 121-KL/TW về tổng kết Nghị quyết số 18-NQ/TW ngày 25/10/2017 của Ban Chấp hành Trung ương Đảng Khóa XII, trong đó đề ra nhiều nhiệm vụ, giải pháp như: “</w:t>
      </w:r>
      <w:r w:rsidRPr="00976CE7">
        <w:rPr>
          <w:rFonts w:ascii="Times New Roman" w:hAnsi="Times New Roman" w:cs="Times New Roman"/>
          <w:i/>
          <w:color w:val="auto"/>
          <w:sz w:val="28"/>
          <w:szCs w:val="28"/>
          <w:lang w:val="en-US"/>
        </w:rPr>
        <w:t>Rà soát, sửa đổi, bổ sung các văn bản còn chồng chéo, bất cập cản trở sự phát triển, khơi thông các điểm nghẽn, tạo ra động lực mới cho phát triển”</w:t>
      </w:r>
      <w:r w:rsidRPr="00976CE7">
        <w:rPr>
          <w:rFonts w:ascii="Times New Roman" w:hAnsi="Times New Roman" w:cs="Times New Roman"/>
          <w:color w:val="auto"/>
          <w:sz w:val="28"/>
          <w:szCs w:val="28"/>
          <w:lang w:val="en-US"/>
        </w:rPr>
        <w:t xml:space="preserve"> và “</w:t>
      </w:r>
      <w:r w:rsidRPr="00976CE7">
        <w:rPr>
          <w:rFonts w:ascii="Times New Roman" w:hAnsi="Times New Roman" w:cs="Times New Roman"/>
          <w:i/>
          <w:color w:val="auto"/>
          <w:sz w:val="28"/>
          <w:szCs w:val="28"/>
          <w:lang w:val="en-US"/>
        </w:rPr>
        <w:t>Ứng dụng mạnh mẽ công nghệ thông tin, chuyển đổi số trong hoạt động để cải cách tổ chức bộ máy của các cơ quan, đơn vị, tổ chức trong hệ thống chính trị”</w:t>
      </w:r>
      <w:r w:rsidRPr="00976CE7">
        <w:rPr>
          <w:rFonts w:ascii="Times New Roman" w:hAnsi="Times New Roman" w:cs="Times New Roman"/>
          <w:color w:val="auto"/>
          <w:sz w:val="28"/>
          <w:szCs w:val="28"/>
          <w:lang w:val="en-US"/>
        </w:rPr>
        <w:t xml:space="preserve">. Trên cơ sở tình hình triển khai thực hiện Kết luận số 121-KL/TW, các cấp có thẩm quyền đã ban hành nhiều văn bản chỉ đạo, trong đó, tại Kết luận số 126-KL/TW ngày 14/02/2025 về một số nội dung, nhiệm vụ tiếp tục sắp xếp, tinh gọn tổ chức bộ máy của hệ thống chính trị năm 2025, Kết luận số 127-KL/TW ngày 28/02/2025 về triển khai nghiên cứu, đề xuất tiếp tục sắp xếp tổ chức bộ máy của hệ thống chính trị và Kết luận số 134-KL/TW ngày 28/3/2025 về đề án sắp xếp hệ thống cơ quan thanh tra tinh, gọn, mạnh, hiệu năng, hiệu lực, hiệu quả, Bộ Chính trị, Ban Bí thư đã yêu cầu: </w:t>
      </w:r>
      <w:r w:rsidRPr="00976CE7">
        <w:rPr>
          <w:rFonts w:ascii="Times New Roman" w:hAnsi="Times New Roman" w:cs="Times New Roman"/>
          <w:i/>
          <w:color w:val="auto"/>
          <w:sz w:val="28"/>
          <w:szCs w:val="28"/>
          <w:lang w:val="en-US"/>
        </w:rPr>
        <w:t>“rà soát, sửa đổi, bổ sung các quy định của Đảng, Hiến pháp, pháp luật của Nhà nước,… các luật liên quan... sau sắp xếp tổ chức bộ máy ở địa phương, báo cáo Bộ Chính trị theo tiến độ chung và hoàn thành sửa đổi, bổ sung pháp luật chậm nhất ngày 30/6/2025”</w:t>
      </w:r>
      <w:r w:rsidRPr="00976CE7">
        <w:rPr>
          <w:rFonts w:ascii="Times New Roman" w:hAnsi="Times New Roman" w:cs="Times New Roman"/>
          <w:color w:val="auto"/>
          <w:sz w:val="28"/>
          <w:szCs w:val="28"/>
          <w:lang w:val="en-US"/>
        </w:rPr>
        <w:t xml:space="preserve"> và </w:t>
      </w:r>
      <w:r w:rsidRPr="00976CE7">
        <w:rPr>
          <w:rFonts w:ascii="Times New Roman" w:hAnsi="Times New Roman" w:cs="Times New Roman"/>
          <w:i/>
          <w:color w:val="auto"/>
          <w:sz w:val="28"/>
          <w:szCs w:val="28"/>
          <w:lang w:val="en-US"/>
        </w:rPr>
        <w:t>“đồng ý chủ trương sắp xếp, tinh gọn tổ chức bộ máy hệ thống cơ quan thanh tra theo 2 cấp ở Trung ương và địa phương”.</w:t>
      </w:r>
    </w:p>
    <w:p w14:paraId="39202320" w14:textId="77777777" w:rsidR="001B4F10" w:rsidRPr="00976CE7" w:rsidRDefault="001B4F10"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Từ các chủ trương, định hướng của Đảng cho thấy bộ máy nhà nước có sự thay đổi, sắp xếp, tổ chức lại để phù hợp với yêu cầu mới đòi hỏi phải khẩn trương rà soát, sửa đổi, bổ sung các quy định pháp luật có liên quan, trong đó có các quy định, hướng dẫn thi hành pháp luật về địa chất và khoáng sản để đảm bảo tính đồng bộ, thống nhất. </w:t>
      </w:r>
    </w:p>
    <w:p w14:paraId="20F0531A" w14:textId="447F4A64" w:rsidR="001B4F10" w:rsidRPr="00976CE7" w:rsidRDefault="001B4F10"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Sau khi Luật Địa chất và khoáng sản năm 2024 được thông qua và có hiệu lực, công tác xây dựng, ban hành các văn bản quy định chi tiết, hướng dẫn thi hành Luật đã được các cơ quan nhà nước có thẩm quyền khẩn trương thực hiện. </w:t>
      </w:r>
      <w:r w:rsidRPr="00976CE7">
        <w:rPr>
          <w:rFonts w:ascii="Times New Roman" w:hAnsi="Times New Roman" w:cs="Times New Roman"/>
          <w:color w:val="auto"/>
          <w:sz w:val="28"/>
          <w:szCs w:val="28"/>
          <w:lang w:val="en-US"/>
        </w:rPr>
        <w:lastRenderedPageBreak/>
        <w:t>Chính phủ đã ban hành Nghị định số 193/2025/NĐ-CP ngày 02/7/2025 quy định chi tiết một số điều và biện pháp thi hành Luật Địa chất và khoáng sản</w:t>
      </w:r>
      <w:r w:rsidR="003E0237">
        <w:rPr>
          <w:rFonts w:ascii="Times New Roman" w:hAnsi="Times New Roman" w:cs="Times New Roman"/>
          <w:color w:val="auto"/>
          <w:sz w:val="28"/>
          <w:szCs w:val="28"/>
          <w:lang w:val="en-US"/>
        </w:rPr>
        <w:t xml:space="preserve"> và </w:t>
      </w:r>
      <w:r w:rsidR="003E0237" w:rsidRPr="003E0237">
        <w:rPr>
          <w:rFonts w:ascii="Times New Roman" w:hAnsi="Times New Roman" w:cs="Times New Roman"/>
          <w:color w:val="auto"/>
          <w:sz w:val="28"/>
          <w:szCs w:val="28"/>
          <w:lang w:val="en-US"/>
        </w:rPr>
        <w:t>Nghị quyết số 66.4/2025/NQ-CP ngày 21/9/2025 của Chính phủ ban hành các cơ chế, chính sách đặc thù nhằm tháo gỡ khó khăn trong triển khai Luật Địa chất và khoáng sản năm 2024.</w:t>
      </w:r>
      <w:r w:rsidR="003E0237">
        <w:rPr>
          <w:rFonts w:ascii="Times New Roman" w:hAnsi="Times New Roman" w:cs="Times New Roman"/>
          <w:color w:val="auto"/>
          <w:sz w:val="28"/>
          <w:szCs w:val="28"/>
          <w:lang w:val="en-US"/>
        </w:rPr>
        <w:t xml:space="preserve"> Hiện</w:t>
      </w:r>
      <w:r w:rsidR="003E0237" w:rsidRPr="00976CE7">
        <w:rPr>
          <w:rFonts w:ascii="Times New Roman" w:hAnsi="Times New Roman" w:cs="Times New Roman"/>
          <w:color w:val="auto"/>
          <w:sz w:val="28"/>
          <w:szCs w:val="28"/>
          <w:lang w:val="en-US"/>
        </w:rPr>
        <w:t>, Chính phủ đã xây dựng và trình Ủy ban Thường vụ Quốc hội về Luật sửa đổi, bổ sung một số điều của Luật Địa chất và khoáng sản.</w:t>
      </w:r>
      <w:r w:rsidRPr="00976CE7">
        <w:rPr>
          <w:rFonts w:ascii="Times New Roman" w:hAnsi="Times New Roman" w:cs="Times New Roman"/>
          <w:color w:val="auto"/>
          <w:sz w:val="28"/>
          <w:szCs w:val="28"/>
          <w:lang w:val="en-US"/>
        </w:rPr>
        <w:t xml:space="preserve"> Nhìn chung, hệ thống văn bản quy phạm pháp luật quy định chi tiết, hướng dẫn thi hành Luật Địa chất và khoáng sản được ban hành đồng bộ, thống nhất, tạo cơ sở pháp lý để nâng cao hiệu lực, hiệu quả quản lý nhà nước về khoáng sản.</w:t>
      </w:r>
    </w:p>
    <w:p w14:paraId="3EB0C312" w14:textId="77777777" w:rsidR="001B4F10" w:rsidRPr="00976CE7" w:rsidRDefault="001B4F10"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Ngay sau khi Thủ tướng Chính phủ ban hành Quyết định số 571/QĐ-TTg ngày 12/3/2025 về việc thành lập Ban Chỉ đạo thực hiện sắp xếp, tổ chức lại đơn vị hành chính các cấp và xây dựng mô hình tổ chức chính quyền địa phương 02 cấp và Quyết định số 608/QĐ-TTg ngày 15/3/2025 về Kế hoạch triển khai các nhiệm vụ, giải pháp đẩy mạnh phân cấp, phân quyền. Bộ trưởng Bộ Nông nghiệp và Môi trường đã ban hành Quyết định số 387/QĐ-BNNMT ngày 12/3/2025 của thành lập Ban Chỉ đạo rà soát và đề xuất xử lý vướng mắc trong hệ thống pháp luật về nông nghiệp và môi trường.</w:t>
      </w:r>
    </w:p>
    <w:p w14:paraId="133BC98F" w14:textId="0720B453" w:rsidR="006B11FF" w:rsidRPr="00976CE7" w:rsidRDefault="001B4F10"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Cùng với quá trình triển khai và đánh giá thi hành Luật Địa chất và khoáng sản năm 2024; Nghị định số 193/2025/NĐ-CP ngày 02/7/2025 quy định chi tiết một số điều và biện pháp thi hành Luật Địa chất và khoáng sản; Nghị định số 136/2025/NĐ-CP ngày 12/6/2025 của Chính phủ quy định phân quyền, phân cấp trong lĩnh vực nông nghiệp và môi trường; Nghị quyết số 66.4/2025/NQ-CP ngày 21/9/2025 của Chính phủ ban hành các cơ chế, chính sách đặc thù nhằm tháo gỡ khó khăn trong triển khai Luật Địa chất và khoáng sản. Dự thảo Luật sửa đổi, bổ sung một số điều của Luật Địa chất và khoáng sản </w:t>
      </w:r>
      <w:r w:rsidRPr="00976CE7">
        <w:rPr>
          <w:rFonts w:ascii="Times New Roman" w:hAnsi="Times New Roman" w:cs="Times New Roman"/>
          <w:i/>
          <w:color w:val="auto"/>
          <w:sz w:val="28"/>
          <w:szCs w:val="28"/>
          <w:lang w:val="en-US"/>
        </w:rPr>
        <w:t>(đã được Chính phủ trình Ủy ban Khoa học Công nghệ và Môi trường thẩm định, báo cáo Ủy ban Thường vụ Quốc hội)</w:t>
      </w:r>
      <w:r w:rsidRPr="00976CE7">
        <w:rPr>
          <w:rFonts w:ascii="Times New Roman" w:hAnsi="Times New Roman" w:cs="Times New Roman"/>
          <w:color w:val="auto"/>
          <w:sz w:val="28"/>
          <w:szCs w:val="28"/>
          <w:lang w:val="en-US"/>
        </w:rPr>
        <w:t>, Bộ Nông nghiệp và Môi trường nhận thấy một số yêu cầu mới về pháp lý và thực tiễn cần thiết phải sửa đổi, bổ sung ngay Nghị định số 193/2025/NĐ-CP ngày 02/7/2025 quy định chi tiết một số điều và biện pháp thi hành Luật Địa chất và khoáng sản này.</w:t>
      </w:r>
    </w:p>
    <w:p w14:paraId="1F1BD5AF" w14:textId="199E5B3D" w:rsidR="006B11FF" w:rsidRPr="00976CE7" w:rsidRDefault="001B4F10"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Ngày 08/9/2025, Bộ trưởng Bộ Nông nghiệp và Môi trường đã ban hành Quyết định số 3670/QĐ-BNNMT </w:t>
      </w:r>
      <w:r w:rsidR="00EF3A2D" w:rsidRPr="00976CE7">
        <w:rPr>
          <w:rFonts w:ascii="Times New Roman" w:hAnsi="Times New Roman" w:cs="Times New Roman"/>
          <w:color w:val="auto"/>
          <w:sz w:val="28"/>
          <w:szCs w:val="28"/>
          <w:lang w:val="en-US"/>
        </w:rPr>
        <w:t>ban hành Kế hoạch sửa đổi, bổ sung các văn bản quy phạm pháp luật để xử lý, tháo gỡ khó khăn, vướng mắc do quy định của pháp luật và cắt giảm, đơn giản h</w:t>
      </w:r>
      <w:r w:rsidR="000D0EE8">
        <w:rPr>
          <w:rFonts w:ascii="Times New Roman" w:hAnsi="Times New Roman" w:cs="Times New Roman"/>
          <w:color w:val="auto"/>
          <w:sz w:val="28"/>
          <w:szCs w:val="28"/>
          <w:lang w:val="en-US"/>
        </w:rPr>
        <w:t>óa</w:t>
      </w:r>
      <w:r w:rsidR="00EF3A2D" w:rsidRPr="00976CE7">
        <w:rPr>
          <w:rFonts w:ascii="Times New Roman" w:hAnsi="Times New Roman" w:cs="Times New Roman"/>
          <w:color w:val="auto"/>
          <w:sz w:val="28"/>
          <w:szCs w:val="28"/>
          <w:lang w:val="en-US"/>
        </w:rPr>
        <w:t xml:space="preserve"> quy định, thủ tục hành chính liên quan đến hoạt động sản xuất, kinh doanh trong lĩnh vực nông nghiệp và môi trường và Thông báo số 687/TB-BNNMT ngày 22/10/2025 của Quyền Bộ trưởng Bộ Nông nghiệp và Môi trường yêu cầu khẩn trương xây dựng, hoàn thiện dự thảo văn bản quy định chi tiết Dự thảo Luật sửa đổi, bổ sung một số điều của Luật Địa chất và khoáng sản để đảm bảo ban hành, có hiệu lực đồng thời (dự kiến 01/01/2026).</w:t>
      </w:r>
    </w:p>
    <w:p w14:paraId="57242318" w14:textId="3F416C6B" w:rsidR="006B11FF" w:rsidRPr="00976CE7" w:rsidRDefault="00541ADC"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 xml:space="preserve">Về thực tiễn triển khai Nghị định số 193/2025/NĐ-CP ngày 02/7/2025 đã phát sinh một số khó khăn cần kịp thời sửa đổi, bổ sung một số điều để đồng bộ </w:t>
      </w:r>
      <w:r w:rsidRPr="00976CE7">
        <w:rPr>
          <w:rFonts w:ascii="Times New Roman" w:hAnsi="Times New Roman" w:cs="Times New Roman"/>
          <w:color w:val="auto"/>
          <w:sz w:val="28"/>
          <w:szCs w:val="28"/>
          <w:lang w:val="en-US"/>
        </w:rPr>
        <w:lastRenderedPageBreak/>
        <w:t xml:space="preserve">với một số Luật có liên quan đang sửa; tránh ảnh hưởng tiêu cực đến môi trường đầu tư kinh doanh, tiến độ các dự án đầu tư công và hiệu quả quản lý tài nguyên. </w:t>
      </w:r>
      <w:r w:rsidR="0010115D" w:rsidRPr="00976CE7">
        <w:rPr>
          <w:rFonts w:ascii="Times New Roman" w:hAnsi="Times New Roman" w:cs="Times New Roman"/>
          <w:color w:val="auto"/>
          <w:sz w:val="28"/>
          <w:szCs w:val="28"/>
          <w:lang w:val="en-US"/>
        </w:rPr>
        <w:t>Nghị định cần tập trung sửa đổi, bổ sung vào các nhóm chính sách sau:</w:t>
      </w:r>
    </w:p>
    <w:p w14:paraId="4D73DB1C" w14:textId="58E183C8" w:rsidR="0010115D" w:rsidRPr="00976CE7" w:rsidRDefault="00047651" w:rsidP="002D2910">
      <w:pPr>
        <w:spacing w:after="120" w:line="340" w:lineRule="exact"/>
        <w:ind w:firstLine="720"/>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w:t>
      </w:r>
      <w:r w:rsidR="0010115D" w:rsidRPr="00976CE7">
        <w:rPr>
          <w:rFonts w:ascii="Times New Roman" w:hAnsi="Times New Roman" w:cs="Times New Roman"/>
          <w:color w:val="auto"/>
          <w:sz w:val="28"/>
          <w:szCs w:val="28"/>
          <w:lang w:val="en-US"/>
        </w:rPr>
        <w:t xml:space="preserve"> Về thủ tục hành chính không cần thiết:</w:t>
      </w:r>
      <w:r w:rsidRPr="00976CE7">
        <w:rPr>
          <w:rFonts w:ascii="Times New Roman" w:hAnsi="Times New Roman" w:cs="Times New Roman"/>
          <w:color w:val="auto"/>
          <w:sz w:val="28"/>
          <w:szCs w:val="28"/>
          <w:lang w:val="en-US"/>
        </w:rPr>
        <w:t xml:space="preserve"> </w:t>
      </w:r>
      <w:r w:rsidR="0010115D" w:rsidRPr="00976CE7">
        <w:rPr>
          <w:rFonts w:ascii="Times New Roman" w:hAnsi="Times New Roman" w:cs="Times New Roman"/>
          <w:color w:val="auto"/>
          <w:sz w:val="28"/>
          <w:szCs w:val="28"/>
          <w:lang w:val="en-US"/>
        </w:rPr>
        <w:t>Một số thành phần hồ sơ thay đổi khi các Luật có liên quan thay đổi (ví dụ như Luật đầu tư, Luật Quy hoạch,…), do vậy việc yêu cầu tổ chức, cá nhân trúng đấu giá quyền khai thác khoáng sản phải thực hiện thêm thủ tục "Quyết định chấp thuận chủ trương đầu tư" là không cần thiết, gây kéo dài thời gian và chi phí.</w:t>
      </w:r>
    </w:p>
    <w:p w14:paraId="2E15DA91" w14:textId="77777777" w:rsidR="007448AE" w:rsidRPr="009C4C61" w:rsidRDefault="00047651" w:rsidP="002D2910">
      <w:pPr>
        <w:spacing w:after="120" w:line="340" w:lineRule="exact"/>
        <w:ind w:firstLine="567"/>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w:t>
      </w:r>
      <w:r w:rsidR="0010115D" w:rsidRPr="00976CE7">
        <w:rPr>
          <w:rFonts w:ascii="Times New Roman" w:hAnsi="Times New Roman" w:cs="Times New Roman"/>
          <w:color w:val="auto"/>
          <w:sz w:val="28"/>
          <w:szCs w:val="28"/>
          <w:lang w:val="en-US"/>
        </w:rPr>
        <w:t xml:space="preserve"> Về cơ chế đặc thù cho vật liệu xây dựng (VLXD):</w:t>
      </w:r>
      <w:r w:rsidRPr="00976CE7">
        <w:rPr>
          <w:rFonts w:ascii="Times New Roman" w:hAnsi="Times New Roman" w:cs="Times New Roman"/>
          <w:color w:val="auto"/>
          <w:sz w:val="28"/>
          <w:szCs w:val="28"/>
          <w:lang w:val="en-US"/>
        </w:rPr>
        <w:t xml:space="preserve"> </w:t>
      </w:r>
      <w:r w:rsidR="0010115D" w:rsidRPr="00976CE7">
        <w:rPr>
          <w:rFonts w:ascii="Times New Roman" w:hAnsi="Times New Roman" w:cs="Times New Roman"/>
          <w:color w:val="auto"/>
          <w:sz w:val="28"/>
          <w:szCs w:val="28"/>
          <w:lang w:val="en-US"/>
        </w:rPr>
        <w:t xml:space="preserve">Nhu cầu về VLXD thông thường như cát, đá, đất san lấp cho các dự án đầu tư công, dự án trọng điểm là rất lớn. Nghị quyết số 66.4/2025/NQ-CP ngày 21/9/2025 đã cho phép cơ chế đặc thù cho khai thác khoáng sản nhóm III làm VLXD phục vụ các công trình, dự án đặc thù không phải thực hiện thủ tục quyết định/chấp thuận chủ trương đầu tư, thủ tục đất đai (trừ chuyển mục đích đất quốc phòng, an ninh), và thủ tục môi trường. Cần thể chế hóa rõ ràng việc mở rộng tiêu chí khu vực không đấu giá (Điều 143 Nghị định số 193/2025/NĐ-CP) để bao gồm các khoáng sản nhóm III làm VLXD phục vụ các công trình, </w:t>
      </w:r>
      <w:r w:rsidR="007448AE" w:rsidRPr="009C4C61">
        <w:rPr>
          <w:rFonts w:ascii="Times New Roman" w:hAnsi="Times New Roman" w:cs="Times New Roman"/>
          <w:color w:val="auto"/>
          <w:sz w:val="28"/>
          <w:szCs w:val="28"/>
          <w:lang w:val="en-US"/>
        </w:rPr>
        <w:t>dự án, nhiệm vụ đặc thù quy định tại khoản 1a Điều 55 của Dự thảo Luật sửa đổi.</w:t>
      </w:r>
    </w:p>
    <w:p w14:paraId="3A13D90E" w14:textId="77777777" w:rsidR="00002ADF" w:rsidRPr="009C4C61" w:rsidRDefault="00047651" w:rsidP="002D2910">
      <w:pPr>
        <w:spacing w:after="120" w:line="340" w:lineRule="exact"/>
        <w:ind w:firstLine="567"/>
        <w:jc w:val="both"/>
        <w:rPr>
          <w:rFonts w:ascii="Times New Roman" w:hAnsi="Times New Roman" w:cs="Times New Roman"/>
          <w:color w:val="auto"/>
          <w:sz w:val="28"/>
          <w:szCs w:val="28"/>
          <w:lang w:val="en-US"/>
        </w:rPr>
      </w:pPr>
      <w:r w:rsidRPr="00976CE7">
        <w:rPr>
          <w:rFonts w:ascii="Times New Roman" w:hAnsi="Times New Roman" w:cs="Times New Roman"/>
          <w:color w:val="auto"/>
          <w:sz w:val="28"/>
          <w:szCs w:val="28"/>
          <w:lang w:val="en-US"/>
        </w:rPr>
        <w:t>-</w:t>
      </w:r>
      <w:r w:rsidR="0010115D" w:rsidRPr="00976CE7">
        <w:rPr>
          <w:rFonts w:ascii="Times New Roman" w:hAnsi="Times New Roman" w:cs="Times New Roman"/>
          <w:color w:val="auto"/>
          <w:sz w:val="28"/>
          <w:szCs w:val="28"/>
          <w:lang w:val="en-US"/>
        </w:rPr>
        <w:t xml:space="preserve"> Về tiền cấp quyền khai thác khoáng sản: </w:t>
      </w:r>
      <w:r w:rsidR="00002ADF" w:rsidRPr="009C4C61">
        <w:rPr>
          <w:rFonts w:ascii="Times New Roman" w:hAnsi="Times New Roman" w:cs="Times New Roman"/>
          <w:color w:val="auto"/>
          <w:sz w:val="28"/>
          <w:szCs w:val="28"/>
          <w:lang w:val="en-US"/>
        </w:rPr>
        <w:t>Bổ sung quy định quyết toán tiền cấp quyền khai thác khoáng sản lần đầu đối với các trường hợp đã nộp tiền trước ngày 01/7/2025. Thời điểm chốt sản lượng quyết toán lần đầu là ngày 30 tháng 6 năm 2025.</w:t>
      </w:r>
    </w:p>
    <w:p w14:paraId="5211C3FA" w14:textId="3728F114" w:rsidR="00734481" w:rsidRPr="00734481" w:rsidRDefault="00047651" w:rsidP="002D2910">
      <w:pPr>
        <w:spacing w:after="120" w:line="340" w:lineRule="exact"/>
        <w:ind w:firstLine="567"/>
        <w:jc w:val="both"/>
        <w:rPr>
          <w:rFonts w:asciiTheme="majorHAnsi" w:hAnsiTheme="majorHAnsi" w:cstheme="majorHAnsi"/>
          <w:color w:val="auto"/>
          <w:sz w:val="28"/>
          <w:szCs w:val="28"/>
          <w:lang w:val="en-US"/>
        </w:rPr>
      </w:pPr>
      <w:r w:rsidRPr="00976CE7">
        <w:rPr>
          <w:rFonts w:ascii="Times New Roman" w:hAnsi="Times New Roman" w:cs="Times New Roman"/>
          <w:color w:val="auto"/>
          <w:sz w:val="28"/>
          <w:szCs w:val="28"/>
          <w:lang w:val="en-US"/>
        </w:rPr>
        <w:t>-</w:t>
      </w:r>
      <w:r w:rsidR="0010115D" w:rsidRPr="00976CE7">
        <w:rPr>
          <w:rFonts w:ascii="Times New Roman" w:hAnsi="Times New Roman" w:cs="Times New Roman"/>
          <w:color w:val="auto"/>
          <w:sz w:val="28"/>
          <w:szCs w:val="28"/>
          <w:lang w:val="en-US"/>
        </w:rPr>
        <w:t xml:space="preserve"> Về thu hồi và xử lý khoáng sản dôi dư:</w:t>
      </w:r>
      <w:r w:rsidRPr="00976CE7">
        <w:rPr>
          <w:rFonts w:ascii="Times New Roman" w:hAnsi="Times New Roman" w:cs="Times New Roman"/>
          <w:color w:val="auto"/>
          <w:sz w:val="28"/>
          <w:szCs w:val="28"/>
          <w:lang w:val="en-US"/>
        </w:rPr>
        <w:t xml:space="preserve"> </w:t>
      </w:r>
      <w:r w:rsidR="00734481" w:rsidRPr="009C4C61">
        <w:rPr>
          <w:rFonts w:ascii="Times New Roman" w:hAnsi="Times New Roman" w:cs="Times New Roman"/>
          <w:color w:val="auto"/>
          <w:sz w:val="28"/>
          <w:szCs w:val="28"/>
          <w:lang w:val="en-US"/>
        </w:rPr>
        <w:t>Bổ sung quy định về xử lý khoáng sản nhóm II, III, IV dôi dư đã tập kết tại bãi thải từ các dự án đầu tư xây dựng.</w:t>
      </w:r>
      <w:r w:rsidR="00734481" w:rsidRPr="00734481">
        <w:rPr>
          <w:rFonts w:ascii="Times New Roman" w:hAnsi="Times New Roman" w:cs="Times New Roman"/>
          <w:color w:val="auto"/>
          <w:sz w:val="28"/>
          <w:szCs w:val="28"/>
          <w:lang w:val="en-US"/>
        </w:rPr>
        <w:t xml:space="preserve"> </w:t>
      </w:r>
      <w:r w:rsidR="00734481" w:rsidRPr="009C4C61">
        <w:rPr>
          <w:rFonts w:ascii="Times New Roman" w:hAnsi="Times New Roman" w:cs="Times New Roman"/>
          <w:color w:val="auto"/>
          <w:sz w:val="28"/>
          <w:szCs w:val="28"/>
          <w:lang w:val="en-US"/>
        </w:rPr>
        <w:t>Chủ tịch Ủy ban nhân dân cấp tỉnh quyết định cho phép nhà thầu thi công, chủ đầu tư các công trình, dự án, nhiệm vụ đặc thù (khoản 1a Điều 55 LĐCKS); tổ chức, cá nhân thực hiện nhiệm vụ ứng phó với tình trạng khẩn cấp</w:t>
      </w:r>
      <w:r w:rsidR="00734481" w:rsidRPr="00734481">
        <w:rPr>
          <w:rFonts w:ascii="Times New Roman" w:hAnsi="Times New Roman" w:cs="Times New Roman"/>
          <w:color w:val="auto"/>
          <w:sz w:val="28"/>
          <w:szCs w:val="28"/>
          <w:lang w:val="en-US"/>
        </w:rPr>
        <w:t xml:space="preserve"> </w:t>
      </w:r>
      <w:r w:rsidR="00734481" w:rsidRPr="009C4C61">
        <w:rPr>
          <w:rFonts w:ascii="Times New Roman" w:hAnsi="Times New Roman" w:cs="Times New Roman"/>
          <w:color w:val="auto"/>
          <w:sz w:val="28"/>
          <w:szCs w:val="28"/>
          <w:lang w:val="en-US"/>
        </w:rPr>
        <w:t>sử dụng khoáng sản đã tập kết tại bãi thải, bãi chứa mà không phải đấu giá tài sản</w:t>
      </w:r>
      <w:r w:rsidR="00734481">
        <w:rPr>
          <w:rFonts w:ascii="Times New Roman" w:hAnsi="Times New Roman" w:cs="Times New Roman"/>
          <w:color w:val="auto"/>
          <w:sz w:val="28"/>
          <w:szCs w:val="28"/>
          <w:lang w:val="en-US"/>
        </w:rPr>
        <w:t>.</w:t>
      </w:r>
    </w:p>
    <w:p w14:paraId="29725231" w14:textId="0EDDEEDE" w:rsidR="006E70E1" w:rsidRPr="00976CE7" w:rsidRDefault="00734481" w:rsidP="002D2910">
      <w:pPr>
        <w:spacing w:after="120" w:line="340" w:lineRule="exact"/>
        <w:ind w:firstLine="567"/>
        <w:jc w:val="both"/>
        <w:rPr>
          <w:rFonts w:ascii="Times New Roman" w:hAnsi="Times New Roman" w:cs="Times New Roman"/>
          <w:color w:val="auto"/>
          <w:sz w:val="28"/>
          <w:szCs w:val="28"/>
          <w:lang w:val="en-US"/>
        </w:rPr>
      </w:pPr>
      <w:r w:rsidRPr="009C4C61">
        <w:rPr>
          <w:rFonts w:ascii="Times New Roman" w:hAnsi="Times New Roman" w:cs="Times New Roman"/>
          <w:color w:val="auto"/>
          <w:sz w:val="28"/>
          <w:szCs w:val="28"/>
          <w:lang w:val="en-US"/>
        </w:rPr>
        <w:t xml:space="preserve"> </w:t>
      </w:r>
      <w:r w:rsidR="006E70E1" w:rsidRPr="00976CE7">
        <w:rPr>
          <w:rFonts w:ascii="Times New Roman" w:hAnsi="Times New Roman" w:cs="Times New Roman"/>
          <w:color w:val="auto"/>
          <w:sz w:val="28"/>
          <w:szCs w:val="28"/>
          <w:lang w:val="en-US"/>
        </w:rPr>
        <w:t>- Về bổ sung quy định chi tiết việc quản lý đất hiếm là tài nguyên khoáng sản đặc biệt, trong đó có các quy định cụ thể như: (i) Hoạt động phải tuân thủ Chiến lược quốc gia về đất hiếm và bảo đảm an ninh, quốc phòng; (ii)</w:t>
      </w:r>
      <w:r w:rsidR="006E70E1" w:rsidRPr="00976CE7">
        <w:rPr>
          <w:color w:val="auto"/>
        </w:rPr>
        <w:t xml:space="preserve"> </w:t>
      </w:r>
      <w:r w:rsidR="006E70E1" w:rsidRPr="00976CE7">
        <w:rPr>
          <w:rFonts w:ascii="Times New Roman" w:hAnsi="Times New Roman" w:cs="Times New Roman"/>
          <w:color w:val="auto"/>
          <w:sz w:val="28"/>
          <w:szCs w:val="28"/>
          <w:lang w:val="en-US"/>
        </w:rPr>
        <w:t>Nghiêm cấm xuất khẩu thô khoáng sản đất hiếm; (iii)  Điều kiện thăm dò/khai thác: Hồ sơ phải có Phương án đảm bảo an toàn bức xạ, môi trường và phòng ngừa sự cố; (iv) Về thẩm quyền: Bộ Nông nghiệp và Môi trường cấp giấy phép khai thác đất hiếm sau khi có chấp thuận của Thủ tướng Chính phủ; (v) Đối với khoáng sản đi kèm là đất hiếm, việc khai thác, chế biến phải tuân thủ các quy định nghiêm ngặt về quản lý đất hiếm (bao gồm an toàn bức xạ) và tuyệt đối không được phép xuất khẩu đất hiếm thô.</w:t>
      </w:r>
    </w:p>
    <w:p w14:paraId="4BE924A1" w14:textId="2751CB62" w:rsidR="0010115D" w:rsidRPr="00976CE7" w:rsidRDefault="00047651" w:rsidP="002D2910">
      <w:pPr>
        <w:spacing w:after="120" w:line="340" w:lineRule="exact"/>
        <w:ind w:firstLine="720"/>
        <w:jc w:val="both"/>
        <w:rPr>
          <w:rFonts w:ascii="Times New Roman" w:hAnsi="Times New Roman" w:cs="Times New Roman"/>
          <w:color w:val="auto"/>
          <w:spacing w:val="-4"/>
          <w:sz w:val="28"/>
          <w:szCs w:val="28"/>
          <w:lang w:val="en-US"/>
        </w:rPr>
      </w:pPr>
      <w:r w:rsidRPr="00976CE7">
        <w:rPr>
          <w:rFonts w:ascii="Times New Roman" w:hAnsi="Times New Roman" w:cs="Times New Roman"/>
          <w:color w:val="auto"/>
          <w:spacing w:val="-4"/>
          <w:sz w:val="28"/>
          <w:szCs w:val="28"/>
          <w:lang w:val="en-US"/>
        </w:rPr>
        <w:t>-</w:t>
      </w:r>
      <w:r w:rsidR="0010115D" w:rsidRPr="00976CE7">
        <w:rPr>
          <w:rFonts w:ascii="Times New Roman" w:hAnsi="Times New Roman" w:cs="Times New Roman"/>
          <w:color w:val="auto"/>
          <w:spacing w:val="-4"/>
          <w:sz w:val="28"/>
          <w:szCs w:val="28"/>
          <w:lang w:val="en-US"/>
        </w:rPr>
        <w:t xml:space="preserve"> Bên cạnh đó, Dự thảo Nghị định cụ thể hóa một số nội dung đã được Luật Địa chất và khoáng sản quy định sửa đổi, bổ sung toàn diện Nghị định số </w:t>
      </w:r>
      <w:r w:rsidR="0010115D" w:rsidRPr="00976CE7">
        <w:rPr>
          <w:rFonts w:ascii="Times New Roman" w:hAnsi="Times New Roman" w:cs="Times New Roman"/>
          <w:color w:val="auto"/>
          <w:spacing w:val="-4"/>
          <w:sz w:val="28"/>
          <w:szCs w:val="28"/>
          <w:lang w:val="en-US"/>
        </w:rPr>
        <w:lastRenderedPageBreak/>
        <w:t xml:space="preserve">193/2025/NĐ-CP ngày 02/7/2025 của Chính phủ trên cơ sở kiến nghị của các địa phương và các tổ chức, cá nhân hoạt động khoáng sản về những khó khăn, vướng mắc trong quá trình tổ chức thực hiện Nghị định và sửa đổi, bổ sung những nội dung được giao tại </w:t>
      </w:r>
      <w:r w:rsidR="00552458" w:rsidRPr="00976CE7">
        <w:rPr>
          <w:rFonts w:ascii="Times New Roman" w:hAnsi="Times New Roman" w:cs="Times New Roman"/>
          <w:color w:val="auto"/>
          <w:spacing w:val="-4"/>
          <w:sz w:val="28"/>
          <w:szCs w:val="28"/>
          <w:lang w:val="en-US"/>
        </w:rPr>
        <w:t xml:space="preserve">Luật Địa chất và khoáng sản năm 2024 và </w:t>
      </w:r>
      <w:r w:rsidR="0010115D" w:rsidRPr="00976CE7">
        <w:rPr>
          <w:rFonts w:ascii="Times New Roman" w:hAnsi="Times New Roman" w:cs="Times New Roman"/>
          <w:color w:val="auto"/>
          <w:spacing w:val="-4"/>
          <w:sz w:val="28"/>
          <w:szCs w:val="28"/>
          <w:lang w:val="en-US"/>
        </w:rPr>
        <w:t>Luật sửa đổi, bổ sung một số điều của Luật Địa chất và khoáng sản.</w:t>
      </w:r>
    </w:p>
    <w:p w14:paraId="5392B01F" w14:textId="45DDFB81" w:rsidR="009E130E" w:rsidRPr="00976CE7" w:rsidRDefault="009E130E"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Thực hiện quy định của</w:t>
      </w:r>
      <w:r w:rsidRPr="00976CE7">
        <w:rPr>
          <w:rFonts w:ascii="Times New Roman" w:eastAsia="Calibri" w:hAnsi="Times New Roman" w:cs="Times New Roman"/>
          <w:color w:val="auto"/>
          <w:kern w:val="2"/>
          <w:sz w:val="28"/>
          <w:szCs w:val="28"/>
          <w:lang w:eastAsia="en-US" w:bidi="ar-SA"/>
          <w14:ligatures w14:val="standardContextual"/>
        </w:rPr>
        <w:t xml:space="preserve"> </w:t>
      </w:r>
      <w:r w:rsidRPr="00976CE7">
        <w:rPr>
          <w:rFonts w:ascii="Times New Roman" w:eastAsia="Calibri" w:hAnsi="Times New Roman" w:cs="Times New Roman"/>
          <w:color w:val="auto"/>
          <w:kern w:val="2"/>
          <w:sz w:val="28"/>
          <w:szCs w:val="28"/>
          <w:lang w:val="nl-NL" w:eastAsia="en-US" w:bidi="ar-SA"/>
          <w14:ligatures w14:val="standardContextual"/>
        </w:rPr>
        <w:t xml:space="preserve">Luật Ban hành văn bản quy phạm pháp luật, Bộ Nông nghiệp và Môi trường đã tiến hành rà soát, đối chiếu dự thảo </w:t>
      </w:r>
      <w:r w:rsidR="006E70E1" w:rsidRPr="00976CE7">
        <w:rPr>
          <w:rFonts w:ascii="Times New Roman" w:eastAsia="Calibri" w:hAnsi="Times New Roman" w:cs="Times New Roman"/>
          <w:color w:val="auto"/>
          <w:kern w:val="2"/>
          <w:sz w:val="28"/>
          <w:szCs w:val="28"/>
          <w:lang w:val="nl-NL" w:eastAsia="en-US" w:bidi="ar-SA"/>
          <w14:ligatures w14:val="standardContextual"/>
        </w:rPr>
        <w:t xml:space="preserve">Nghị định </w:t>
      </w:r>
      <w:r w:rsidRPr="00976CE7">
        <w:rPr>
          <w:rFonts w:ascii="Times New Roman" w:eastAsia="Calibri" w:hAnsi="Times New Roman" w:cs="Times New Roman"/>
          <w:color w:val="auto"/>
          <w:kern w:val="2"/>
          <w:sz w:val="28"/>
          <w:szCs w:val="28"/>
          <w:lang w:val="nl-NL" w:eastAsia="en-US" w:bidi="ar-SA"/>
          <w14:ligatures w14:val="standardContextual"/>
        </w:rPr>
        <w:t>với các luật, nghị quyết hiện hành do Quốc hộ</w:t>
      </w:r>
      <w:r w:rsidR="006E70E1" w:rsidRPr="00976CE7">
        <w:rPr>
          <w:rFonts w:ascii="Times New Roman" w:eastAsia="Calibri" w:hAnsi="Times New Roman" w:cs="Times New Roman"/>
          <w:color w:val="auto"/>
          <w:kern w:val="2"/>
          <w:sz w:val="28"/>
          <w:szCs w:val="28"/>
          <w:lang w:val="nl-NL" w:eastAsia="en-US" w:bidi="ar-SA"/>
          <w14:ligatures w14:val="standardContextual"/>
        </w:rPr>
        <w:t xml:space="preserve">i ban hành, </w:t>
      </w:r>
      <w:r w:rsidR="00976CE7" w:rsidRPr="00976CE7">
        <w:rPr>
          <w:rFonts w:ascii="Times New Roman" w:eastAsia="Calibri" w:hAnsi="Times New Roman" w:cs="Times New Roman"/>
          <w:color w:val="auto"/>
          <w:kern w:val="2"/>
          <w:sz w:val="28"/>
          <w:szCs w:val="28"/>
          <w:lang w:val="nl-NL" w:eastAsia="en-US" w:bidi="ar-SA"/>
          <w14:ligatures w14:val="standardContextual"/>
        </w:rPr>
        <w:t xml:space="preserve">Nghị quyết của Chính phủ, </w:t>
      </w:r>
      <w:r w:rsidR="006E70E1" w:rsidRPr="00976CE7">
        <w:rPr>
          <w:rFonts w:ascii="Times New Roman" w:eastAsia="Calibri" w:hAnsi="Times New Roman" w:cs="Times New Roman"/>
          <w:color w:val="auto"/>
          <w:kern w:val="2"/>
          <w:sz w:val="28"/>
          <w:szCs w:val="28"/>
          <w:lang w:val="nl-NL" w:eastAsia="en-US" w:bidi="ar-SA"/>
          <w14:ligatures w14:val="standardContextual"/>
        </w:rPr>
        <w:t>Nghị định do Chính phủ ban hành.</w:t>
      </w:r>
      <w:r w:rsidRPr="00976CE7">
        <w:rPr>
          <w:rFonts w:ascii="Times New Roman" w:eastAsia="Calibri" w:hAnsi="Times New Roman" w:cs="Times New Roman"/>
          <w:color w:val="auto"/>
          <w:kern w:val="2"/>
          <w:sz w:val="28"/>
          <w:szCs w:val="28"/>
          <w:lang w:val="nl-NL" w:eastAsia="en-US" w:bidi="ar-SA"/>
          <w14:ligatures w14:val="standardContextual"/>
        </w:rPr>
        <w:t xml:space="preserve"> Kết quả có </w:t>
      </w:r>
      <w:r w:rsidR="00882477" w:rsidRPr="00976CE7">
        <w:rPr>
          <w:rFonts w:ascii="Times New Roman" w:eastAsia="Calibri" w:hAnsi="Times New Roman" w:cs="Times New Roman"/>
          <w:color w:val="auto"/>
          <w:kern w:val="2"/>
          <w:sz w:val="28"/>
          <w:szCs w:val="28"/>
          <w:lang w:val="nl-NL" w:eastAsia="en-US" w:bidi="ar-SA"/>
          <w14:ligatures w14:val="standardContextual"/>
        </w:rPr>
        <w:t xml:space="preserve">các </w:t>
      </w:r>
      <w:r w:rsidRPr="00976CE7">
        <w:rPr>
          <w:rFonts w:ascii="Times New Roman" w:eastAsia="Calibri" w:hAnsi="Times New Roman" w:cs="Times New Roman"/>
          <w:color w:val="auto"/>
          <w:kern w:val="2"/>
          <w:sz w:val="28"/>
          <w:szCs w:val="28"/>
          <w:lang w:val="nl-NL" w:eastAsia="en-US" w:bidi="ar-SA"/>
          <w14:ligatures w14:val="standardContextual"/>
        </w:rPr>
        <w:t>luậ</w:t>
      </w:r>
      <w:r w:rsidR="00882477" w:rsidRPr="00976CE7">
        <w:rPr>
          <w:rFonts w:ascii="Times New Roman" w:eastAsia="Calibri" w:hAnsi="Times New Roman" w:cs="Times New Roman"/>
          <w:color w:val="auto"/>
          <w:kern w:val="2"/>
          <w:sz w:val="28"/>
          <w:szCs w:val="28"/>
          <w:lang w:val="nl-NL" w:eastAsia="en-US" w:bidi="ar-SA"/>
          <w14:ligatures w14:val="standardContextual"/>
        </w:rPr>
        <w:t xml:space="preserve">t và các </w:t>
      </w:r>
      <w:r w:rsidRPr="00976CE7">
        <w:rPr>
          <w:rFonts w:ascii="Times New Roman" w:eastAsia="Calibri" w:hAnsi="Times New Roman" w:cs="Times New Roman"/>
          <w:color w:val="auto"/>
          <w:kern w:val="2"/>
          <w:sz w:val="28"/>
          <w:szCs w:val="28"/>
          <w:lang w:val="nl-NL" w:eastAsia="en-US" w:bidi="ar-SA"/>
          <w14:ligatures w14:val="standardContextual"/>
        </w:rPr>
        <w:t>nghị quyết của Quốc hội</w:t>
      </w:r>
      <w:r w:rsidR="00976CE7" w:rsidRPr="00976CE7">
        <w:rPr>
          <w:rFonts w:ascii="Times New Roman" w:eastAsia="Calibri" w:hAnsi="Times New Roman" w:cs="Times New Roman"/>
          <w:color w:val="auto"/>
          <w:kern w:val="2"/>
          <w:sz w:val="28"/>
          <w:szCs w:val="28"/>
          <w:lang w:val="nl-NL" w:eastAsia="en-US" w:bidi="ar-SA"/>
          <w14:ligatures w14:val="standardContextual"/>
        </w:rPr>
        <w:t>, Nghị quyết của Chính phủ, 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còn hiệu lực có nội dung liên quan trực tiếp đến dự thảo, cụ thể như sau:</w:t>
      </w:r>
    </w:p>
    <w:p w14:paraId="3D7B8581" w14:textId="26C9CE49" w:rsidR="009E130E" w:rsidRPr="00976CE7" w:rsidRDefault="009E130E"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eastAsia="en-US" w:bidi="ar-SA"/>
          <w14:ligatures w14:val="standardContextual"/>
        </w:rPr>
        <w:t xml:space="preserve">2.1. </w:t>
      </w:r>
      <w:r w:rsidRPr="00976CE7">
        <w:rPr>
          <w:rFonts w:ascii="Times New Roman" w:eastAsia="Calibri" w:hAnsi="Times New Roman" w:cs="Times New Roman"/>
          <w:b/>
          <w:i/>
          <w:color w:val="auto"/>
          <w:kern w:val="2"/>
          <w:sz w:val="28"/>
          <w:szCs w:val="28"/>
          <w:lang w:val="nl-NL" w:eastAsia="en-US" w:bidi="ar-SA"/>
          <w14:ligatures w14:val="standardContextual"/>
        </w:rPr>
        <w:t>Luật Địa chất và khoáng sản số 54/2024/QH15:</w:t>
      </w:r>
      <w:r w:rsidRPr="00976CE7">
        <w:rPr>
          <w:rFonts w:ascii="Times New Roman" w:eastAsia="Calibri" w:hAnsi="Times New Roman" w:cs="Times New Roman"/>
          <w:color w:val="auto"/>
          <w:kern w:val="2"/>
          <w:sz w:val="28"/>
          <w:szCs w:val="28"/>
          <w:lang w:val="nl-NL" w:eastAsia="en-US" w:bidi="ar-SA"/>
          <w14:ligatures w14:val="standardContextual"/>
        </w:rPr>
        <w:t xml:space="preserve"> là văn bản chính được sửa đổi, bổ sung tại dự thảo</w:t>
      </w:r>
      <w:r w:rsidR="00976CE7" w:rsidRPr="00976CE7">
        <w:rPr>
          <w:rFonts w:ascii="Times New Roman" w:eastAsia="Calibri" w:hAnsi="Times New Roman" w:cs="Times New Roman"/>
          <w:color w:val="auto"/>
          <w:kern w:val="2"/>
          <w:sz w:val="28"/>
          <w:szCs w:val="28"/>
          <w:lang w:val="nl-NL" w:eastAsia="en-US" w:bidi="ar-SA"/>
          <w14:ligatures w14:val="standardContextual"/>
        </w:rPr>
        <w:t xml:space="preserve"> Nghị định</w:t>
      </w:r>
      <w:r w:rsidRPr="00976CE7">
        <w:rPr>
          <w:rFonts w:ascii="Times New Roman" w:eastAsia="Calibri" w:hAnsi="Times New Roman" w:cs="Times New Roman"/>
          <w:color w:val="auto"/>
          <w:kern w:val="2"/>
          <w:sz w:val="28"/>
          <w:szCs w:val="28"/>
          <w:lang w:val="nl-NL" w:eastAsia="en-US" w:bidi="ar-SA"/>
          <w14:ligatures w14:val="standardContextual"/>
        </w:rPr>
        <w:t>. Các nội dung được điều chỉnh gồm khái niệm</w:t>
      </w:r>
      <w:r w:rsidR="00793758" w:rsidRPr="00976CE7">
        <w:rPr>
          <w:rFonts w:ascii="Times New Roman" w:eastAsia="Calibri" w:hAnsi="Times New Roman" w:cs="Times New Roman"/>
          <w:color w:val="auto"/>
          <w:kern w:val="2"/>
          <w:sz w:val="28"/>
          <w:szCs w:val="28"/>
          <w:lang w:val="nl-NL" w:eastAsia="en-US" w:bidi="ar-SA"/>
          <w14:ligatures w14:val="standardContextual"/>
        </w:rPr>
        <w:t xml:space="preserve"> như: Trữ lượng khoáng sản được phép khai thác, đáy đọng tụ, sự kiện bất khả kháng trong hoạt động khoáng sản; </w:t>
      </w:r>
      <w:r w:rsidRPr="00976CE7">
        <w:rPr>
          <w:rFonts w:ascii="Times New Roman" w:eastAsia="Calibri" w:hAnsi="Times New Roman" w:cs="Times New Roman"/>
          <w:color w:val="auto"/>
          <w:kern w:val="2"/>
          <w:sz w:val="28"/>
          <w:szCs w:val="28"/>
          <w:lang w:val="nl-NL" w:eastAsia="en-US" w:bidi="ar-SA"/>
          <w14:ligatures w14:val="standardContextual"/>
        </w:rPr>
        <w:t xml:space="preserve">quy định về </w:t>
      </w:r>
      <w:r w:rsidR="003E1573" w:rsidRPr="00976CE7">
        <w:rPr>
          <w:rFonts w:ascii="Times New Roman" w:eastAsia="Calibri" w:hAnsi="Times New Roman" w:cs="Times New Roman"/>
          <w:color w:val="auto"/>
          <w:kern w:val="2"/>
          <w:sz w:val="28"/>
          <w:szCs w:val="28"/>
          <w:lang w:val="nl-NL" w:eastAsia="en-US" w:bidi="ar-SA"/>
          <w14:ligatures w14:val="standardContextual"/>
        </w:rPr>
        <w:t>miễn thủ tục lựa chọn nhà đầu tư (theo pháp luật về đầu tư) đối với các trường hợp tổ chức, cá nhân đã trúng đấu giá quyền khai thác khoáng sản, cơ chế đặc thù và khu vực không đấu giá quyền khai thác khoáng sản</w:t>
      </w:r>
      <w:r w:rsidR="00793758"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 xml:space="preserve"> phân quyền cấp phép, thời hạn giấy phép, khai thác phục vụ công trình trọng điểm và điều kiện miễn thủ tục</w:t>
      </w:r>
      <w:r w:rsidR="003E1573" w:rsidRPr="00976CE7">
        <w:rPr>
          <w:rFonts w:ascii="Times New Roman" w:eastAsia="Calibri" w:hAnsi="Times New Roman" w:cs="Times New Roman"/>
          <w:color w:val="auto"/>
          <w:kern w:val="2"/>
          <w:sz w:val="28"/>
          <w:szCs w:val="28"/>
          <w:lang w:val="nl-NL" w:eastAsia="en-US" w:bidi="ar-SA"/>
          <w14:ligatures w14:val="standardContextual"/>
        </w:rPr>
        <w:t>, chấp nhận chủ trương đầu tư,</w:t>
      </w:r>
      <w:r w:rsidRPr="00976CE7">
        <w:rPr>
          <w:rFonts w:ascii="Times New Roman" w:eastAsia="Calibri" w:hAnsi="Times New Roman" w:cs="Times New Roman"/>
          <w:color w:val="auto"/>
          <w:kern w:val="2"/>
          <w:sz w:val="28"/>
          <w:szCs w:val="28"/>
          <w:lang w:val="nl-NL" w:eastAsia="en-US" w:bidi="ar-SA"/>
          <w14:ligatures w14:val="standardContextual"/>
        </w:rPr>
        <w:t xml:space="preserve"> môi trường</w:t>
      </w:r>
      <w:r w:rsidR="003E1573"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w:t>
      </w:r>
    </w:p>
    <w:p w14:paraId="6F68A798" w14:textId="7E739867" w:rsidR="009E130E" w:rsidRPr="00976CE7" w:rsidRDefault="009E130E"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eastAsia="en-US" w:bidi="ar-SA"/>
          <w14:ligatures w14:val="standardContextual"/>
        </w:rPr>
        <w:t>2.</w:t>
      </w:r>
      <w:r w:rsidR="00594D2D" w:rsidRPr="00976CE7">
        <w:rPr>
          <w:rFonts w:ascii="Times New Roman" w:eastAsia="Calibri" w:hAnsi="Times New Roman" w:cs="Times New Roman"/>
          <w:b/>
          <w:i/>
          <w:color w:val="auto"/>
          <w:kern w:val="2"/>
          <w:sz w:val="28"/>
          <w:szCs w:val="28"/>
          <w:lang w:val="en-US" w:eastAsia="en-US" w:bidi="ar-SA"/>
          <w14:ligatures w14:val="standardContextual"/>
        </w:rPr>
        <w:t>2</w:t>
      </w:r>
      <w:r w:rsidRPr="00976CE7">
        <w:rPr>
          <w:rFonts w:ascii="Times New Roman" w:eastAsia="Calibri" w:hAnsi="Times New Roman" w:cs="Times New Roman"/>
          <w:b/>
          <w:i/>
          <w:color w:val="auto"/>
          <w:kern w:val="2"/>
          <w:sz w:val="28"/>
          <w:szCs w:val="28"/>
          <w:lang w:eastAsia="en-US" w:bidi="ar-SA"/>
          <w14:ligatures w14:val="standardContextual"/>
        </w:rPr>
        <w:t>. Luật Quy hoạch số 21/2017/QH14:</w:t>
      </w:r>
      <w:r w:rsidRPr="00976CE7">
        <w:rPr>
          <w:rFonts w:ascii="Times New Roman" w:eastAsia="Calibri" w:hAnsi="Times New Roman" w:cs="Times New Roman"/>
          <w:color w:val="auto"/>
          <w:kern w:val="2"/>
          <w:sz w:val="28"/>
          <w:szCs w:val="28"/>
          <w:lang w:val="nl-NL" w:eastAsia="en-US" w:bidi="ar-SA"/>
          <w14:ligatures w14:val="standardContextual"/>
        </w:rPr>
        <w:t xml:space="preserve"> </w:t>
      </w:r>
      <w:r w:rsidR="00976CE7" w:rsidRPr="00976CE7">
        <w:rPr>
          <w:rFonts w:ascii="Times New Roman" w:eastAsia="Calibri" w:hAnsi="Times New Roman" w:cs="Times New Roman"/>
          <w:color w:val="auto"/>
          <w:kern w:val="2"/>
          <w:sz w:val="28"/>
          <w:szCs w:val="28"/>
          <w:lang w:val="nl-NL" w:eastAsia="en-US" w:bidi="ar-SA"/>
          <w14:ligatures w14:val="standardContextual"/>
        </w:rPr>
        <w:t>l</w:t>
      </w:r>
      <w:r w:rsidRPr="00976CE7">
        <w:rPr>
          <w:rFonts w:ascii="Times New Roman" w:eastAsia="Calibri" w:hAnsi="Times New Roman" w:cs="Times New Roman"/>
          <w:color w:val="auto"/>
          <w:kern w:val="2"/>
          <w:sz w:val="28"/>
          <w:szCs w:val="28"/>
          <w:lang w:val="nl-NL" w:eastAsia="en-US" w:bidi="ar-SA"/>
          <w14:ligatures w14:val="standardContextual"/>
        </w:rPr>
        <w:t xml:space="preserve">iên quan đến yêu cầu quy hoạch khoáng sản làm căn cứ cấp phép thăm dò; dự thảo </w:t>
      </w:r>
      <w:r w:rsidR="003E1573"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có bổ sung </w:t>
      </w:r>
      <w:r w:rsidR="00793758" w:rsidRPr="00976CE7">
        <w:rPr>
          <w:rFonts w:ascii="Times New Roman" w:eastAsia="Calibri" w:hAnsi="Times New Roman" w:cs="Times New Roman"/>
          <w:color w:val="auto"/>
          <w:kern w:val="2"/>
          <w:sz w:val="28"/>
          <w:szCs w:val="28"/>
          <w:lang w:val="nl-NL" w:eastAsia="en-US" w:bidi="ar-SA"/>
          <w14:ligatures w14:val="standardContextual"/>
        </w:rPr>
        <w:t>cơ quan quản lý quy hoạch khoáng sản, cơ quan quản lý phương án quản lý về địa chất, khoáng sản có trách nhiệm cập nhật thông tin, dữ liệu về khu vực thăm dò xuống sâu và mở rộng vào trong quy hoạch khoáng sản, phương án quản lý về địa chất, khoáng sản tại kỳ điều chỉnh quy hoạch gần nhất.</w:t>
      </w:r>
    </w:p>
    <w:p w14:paraId="1B57ECF9" w14:textId="20D7916F" w:rsidR="009E130E" w:rsidRPr="00976CE7" w:rsidRDefault="009E130E"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eastAsia="en-US" w:bidi="ar-SA"/>
          <w14:ligatures w14:val="standardContextual"/>
        </w:rPr>
        <w:t>2.</w:t>
      </w:r>
      <w:r w:rsidR="00594D2D" w:rsidRPr="00976CE7">
        <w:rPr>
          <w:rFonts w:ascii="Times New Roman" w:eastAsia="Calibri" w:hAnsi="Times New Roman" w:cs="Times New Roman"/>
          <w:b/>
          <w:i/>
          <w:color w:val="auto"/>
          <w:kern w:val="2"/>
          <w:sz w:val="28"/>
          <w:szCs w:val="28"/>
          <w:lang w:val="en-US" w:eastAsia="en-US" w:bidi="ar-SA"/>
          <w14:ligatures w14:val="standardContextual"/>
        </w:rPr>
        <w:t>3</w:t>
      </w:r>
      <w:r w:rsidRPr="00976CE7">
        <w:rPr>
          <w:rFonts w:ascii="Times New Roman" w:eastAsia="Calibri" w:hAnsi="Times New Roman" w:cs="Times New Roman"/>
          <w:b/>
          <w:i/>
          <w:color w:val="auto"/>
          <w:kern w:val="2"/>
          <w:sz w:val="28"/>
          <w:szCs w:val="28"/>
          <w:lang w:eastAsia="en-US" w:bidi="ar-SA"/>
          <w14:ligatures w14:val="standardContextual"/>
        </w:rPr>
        <w:t>. Luật Tổ chức chính quyền địa phương:</w:t>
      </w:r>
      <w:r w:rsidRPr="00976CE7">
        <w:rPr>
          <w:rFonts w:ascii="Times New Roman" w:eastAsia="Calibri" w:hAnsi="Times New Roman" w:cs="Times New Roman"/>
          <w:color w:val="auto"/>
          <w:kern w:val="2"/>
          <w:sz w:val="28"/>
          <w:szCs w:val="28"/>
          <w:lang w:val="nl-NL" w:eastAsia="en-US" w:bidi="ar-SA"/>
          <w14:ligatures w14:val="standardContextual"/>
        </w:rPr>
        <w:t xml:space="preserve"> </w:t>
      </w:r>
      <w:r w:rsidR="00976CE7" w:rsidRPr="00976CE7">
        <w:rPr>
          <w:rFonts w:ascii="Times New Roman" w:eastAsia="Calibri" w:hAnsi="Times New Roman" w:cs="Times New Roman"/>
          <w:color w:val="auto"/>
          <w:kern w:val="2"/>
          <w:sz w:val="28"/>
          <w:szCs w:val="28"/>
          <w:lang w:val="nl-NL" w:eastAsia="en-US" w:bidi="ar-SA"/>
          <w14:ligatures w14:val="standardContextual"/>
        </w:rPr>
        <w:t>l</w:t>
      </w:r>
      <w:r w:rsidRPr="00976CE7">
        <w:rPr>
          <w:rFonts w:ascii="Times New Roman" w:eastAsia="Calibri" w:hAnsi="Times New Roman" w:cs="Times New Roman"/>
          <w:color w:val="auto"/>
          <w:kern w:val="2"/>
          <w:sz w:val="28"/>
          <w:szCs w:val="28"/>
          <w:lang w:val="nl-NL" w:eastAsia="en-US" w:bidi="ar-SA"/>
          <w14:ligatures w14:val="standardContextual"/>
        </w:rPr>
        <w:t>iên quan đến phân quyền giữa Trung ương và địa phương</w:t>
      </w:r>
      <w:r w:rsidR="00976CE7" w:rsidRPr="00976CE7">
        <w:rPr>
          <w:rFonts w:ascii="Times New Roman" w:eastAsia="Calibri" w:hAnsi="Times New Roman" w:cs="Times New Roman"/>
          <w:color w:val="auto"/>
          <w:kern w:val="2"/>
          <w:sz w:val="28"/>
          <w:szCs w:val="28"/>
          <w:lang w:val="nl-NL" w:eastAsia="en-US" w:bidi="ar-SA"/>
          <w14:ligatures w14:val="standardContextual"/>
        </w:rPr>
        <w:t>, d</w:t>
      </w:r>
      <w:r w:rsidRPr="00976CE7">
        <w:rPr>
          <w:rFonts w:ascii="Times New Roman" w:eastAsia="Calibri" w:hAnsi="Times New Roman" w:cs="Times New Roman"/>
          <w:color w:val="auto"/>
          <w:kern w:val="2"/>
          <w:sz w:val="28"/>
          <w:szCs w:val="28"/>
          <w:lang w:val="nl-NL" w:eastAsia="en-US" w:bidi="ar-SA"/>
          <w14:ligatures w14:val="standardContextual"/>
        </w:rPr>
        <w:t xml:space="preserve">ự thảo </w:t>
      </w:r>
      <w:r w:rsidR="007A5F5C" w:rsidRPr="00976CE7">
        <w:rPr>
          <w:rFonts w:ascii="Times New Roman" w:eastAsia="Calibri" w:hAnsi="Times New Roman" w:cs="Times New Roman"/>
          <w:color w:val="auto"/>
          <w:kern w:val="2"/>
          <w:sz w:val="28"/>
          <w:szCs w:val="28"/>
          <w:lang w:val="nl-NL" w:eastAsia="en-US" w:bidi="ar-SA"/>
          <w14:ligatures w14:val="standardContextual"/>
        </w:rPr>
        <w:t xml:space="preserve">Nghị định </w:t>
      </w:r>
      <w:r w:rsidRPr="00976CE7">
        <w:rPr>
          <w:rFonts w:ascii="Times New Roman" w:eastAsia="Calibri" w:hAnsi="Times New Roman" w:cs="Times New Roman"/>
          <w:color w:val="auto"/>
          <w:kern w:val="2"/>
          <w:sz w:val="28"/>
          <w:szCs w:val="28"/>
          <w:lang w:val="nl-NL" w:eastAsia="en-US" w:bidi="ar-SA"/>
          <w14:ligatures w14:val="standardContextual"/>
        </w:rPr>
        <w:t xml:space="preserve">đã phân định lại thẩm quyền rõ ràng giữa Bộ Nông nghiệp và Môi trường và </w:t>
      </w:r>
      <w:r w:rsidR="00976CE7" w:rsidRPr="00976CE7">
        <w:rPr>
          <w:rFonts w:ascii="Times New Roman" w:eastAsia="Calibri" w:hAnsi="Times New Roman" w:cs="Times New Roman"/>
          <w:color w:val="auto"/>
          <w:kern w:val="2"/>
          <w:sz w:val="28"/>
          <w:szCs w:val="28"/>
          <w:lang w:val="nl-NL" w:eastAsia="en-US" w:bidi="ar-SA"/>
          <w14:ligatures w14:val="standardContextual"/>
        </w:rPr>
        <w:t>Chủ tịch Ủy ban nhân dân</w:t>
      </w:r>
      <w:r w:rsidRPr="00976CE7">
        <w:rPr>
          <w:rFonts w:ascii="Times New Roman" w:eastAsia="Calibri" w:hAnsi="Times New Roman" w:cs="Times New Roman"/>
          <w:color w:val="auto"/>
          <w:kern w:val="2"/>
          <w:sz w:val="28"/>
          <w:szCs w:val="28"/>
          <w:lang w:val="nl-NL" w:eastAsia="en-US" w:bidi="ar-SA"/>
          <w14:ligatures w14:val="standardContextual"/>
        </w:rPr>
        <w:t xml:space="preserve"> cấp tỉnh trong việc cấp phép, đóng cửa mỏ, phê duyệt khoanh định các khu vực quản lý khoáng sản.</w:t>
      </w:r>
    </w:p>
    <w:p w14:paraId="61F498BF" w14:textId="7EAF6123" w:rsidR="009E130E" w:rsidRPr="00976CE7" w:rsidRDefault="009E130E"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eastAsia="en-US" w:bidi="ar-SA"/>
          <w14:ligatures w14:val="standardContextual"/>
        </w:rPr>
        <w:t>2.</w:t>
      </w:r>
      <w:r w:rsidR="00976CE7">
        <w:rPr>
          <w:rFonts w:ascii="Times New Roman" w:eastAsia="Calibri" w:hAnsi="Times New Roman" w:cs="Times New Roman"/>
          <w:b/>
          <w:i/>
          <w:color w:val="auto"/>
          <w:kern w:val="2"/>
          <w:sz w:val="28"/>
          <w:szCs w:val="28"/>
          <w:lang w:val="en-US" w:eastAsia="en-US" w:bidi="ar-SA"/>
          <w14:ligatures w14:val="standardContextual"/>
        </w:rPr>
        <w:t>4</w:t>
      </w:r>
      <w:r w:rsidRPr="00976CE7">
        <w:rPr>
          <w:rFonts w:ascii="Times New Roman" w:eastAsia="Calibri" w:hAnsi="Times New Roman" w:cs="Times New Roman"/>
          <w:b/>
          <w:i/>
          <w:color w:val="auto"/>
          <w:kern w:val="2"/>
          <w:sz w:val="28"/>
          <w:szCs w:val="28"/>
          <w:lang w:eastAsia="en-US" w:bidi="ar-SA"/>
          <w14:ligatures w14:val="standardContextual"/>
        </w:rPr>
        <w:t>. Nghị quyết số 206/2025/QH15</w:t>
      </w:r>
      <w:r w:rsidR="006E70E1" w:rsidRPr="00976CE7">
        <w:rPr>
          <w:rFonts w:ascii="Times New Roman" w:eastAsia="Calibri" w:hAnsi="Times New Roman" w:cs="Times New Roman"/>
          <w:b/>
          <w:i/>
          <w:color w:val="auto"/>
          <w:kern w:val="2"/>
          <w:sz w:val="28"/>
          <w:szCs w:val="28"/>
          <w:lang w:val="en-US" w:eastAsia="en-US" w:bidi="ar-SA"/>
          <w14:ligatures w14:val="standardContextual"/>
        </w:rPr>
        <w:t xml:space="preserve"> ngày 24/6/2025</w:t>
      </w:r>
      <w:r w:rsidRPr="00976CE7">
        <w:rPr>
          <w:rFonts w:ascii="Times New Roman" w:eastAsia="Calibri" w:hAnsi="Times New Roman" w:cs="Times New Roman"/>
          <w:b/>
          <w:i/>
          <w:color w:val="auto"/>
          <w:kern w:val="2"/>
          <w:sz w:val="28"/>
          <w:szCs w:val="28"/>
          <w:lang w:eastAsia="en-US" w:bidi="ar-SA"/>
          <w14:ligatures w14:val="standardContextual"/>
        </w:rPr>
        <w:t xml:space="preserve"> </w:t>
      </w:r>
      <w:r w:rsidRPr="00976CE7">
        <w:rPr>
          <w:rFonts w:ascii="Times New Roman" w:eastAsia="Calibri" w:hAnsi="Times New Roman" w:cs="Times New Roman"/>
          <w:color w:val="auto"/>
          <w:kern w:val="2"/>
          <w:sz w:val="28"/>
          <w:szCs w:val="28"/>
          <w:lang w:val="nl-NL" w:eastAsia="en-US" w:bidi="ar-SA"/>
          <w14:ligatures w14:val="standardContextual"/>
        </w:rPr>
        <w:t>về cơ chế đặc biệt xử lý khó khăn, vướng mắc do quy định pháp luật; là cơ sở chính trị - pháp lý cho việc ban hành quy định đặc thù trong lĩnh vực khoáng sản, đặc biệt là miễn một số thủ tục đầ</w:t>
      </w:r>
      <w:r w:rsidR="006E70E1" w:rsidRPr="00976CE7">
        <w:rPr>
          <w:rFonts w:ascii="Times New Roman" w:eastAsia="Calibri" w:hAnsi="Times New Roman" w:cs="Times New Roman"/>
          <w:color w:val="auto"/>
          <w:kern w:val="2"/>
          <w:sz w:val="28"/>
          <w:szCs w:val="28"/>
          <w:lang w:val="nl-NL" w:eastAsia="en-US" w:bidi="ar-SA"/>
          <w14:ligatures w14:val="standardContextual"/>
        </w:rPr>
        <w:t>u tư -</w:t>
      </w:r>
      <w:r w:rsidRPr="00976CE7">
        <w:rPr>
          <w:rFonts w:ascii="Times New Roman" w:eastAsia="Calibri" w:hAnsi="Times New Roman" w:cs="Times New Roman"/>
          <w:color w:val="auto"/>
          <w:kern w:val="2"/>
          <w:sz w:val="28"/>
          <w:szCs w:val="28"/>
          <w:lang w:val="nl-NL" w:eastAsia="en-US" w:bidi="ar-SA"/>
          <w14:ligatures w14:val="standardContextual"/>
        </w:rPr>
        <w:t xml:space="preserve"> môi trường để đẩy nhanh tiến độ dự án động lực.</w:t>
      </w:r>
    </w:p>
    <w:p w14:paraId="7F94D0B1" w14:textId="2C143124" w:rsidR="009E130E" w:rsidRPr="00976CE7" w:rsidRDefault="009E130E" w:rsidP="002D2910">
      <w:pPr>
        <w:spacing w:after="120" w:line="340" w:lineRule="exact"/>
        <w:ind w:firstLine="720"/>
        <w:jc w:val="both"/>
        <w:rPr>
          <w:rFonts w:ascii="Times New Roman" w:eastAsia="Calibri" w:hAnsi="Times New Roman" w:cs="Times New Roman"/>
          <w:color w:val="auto"/>
          <w:spacing w:val="4"/>
          <w:kern w:val="2"/>
          <w:sz w:val="28"/>
          <w:szCs w:val="28"/>
          <w:lang w:val="nl-NL" w:eastAsia="en-US" w:bidi="ar-SA"/>
          <w14:ligatures w14:val="standardContextual"/>
        </w:rPr>
      </w:pPr>
      <w:r w:rsidRPr="00976CE7">
        <w:rPr>
          <w:rFonts w:ascii="Times New Roman" w:eastAsia="Calibri" w:hAnsi="Times New Roman" w:cs="Times New Roman"/>
          <w:b/>
          <w:i/>
          <w:color w:val="auto"/>
          <w:spacing w:val="4"/>
          <w:kern w:val="2"/>
          <w:sz w:val="28"/>
          <w:szCs w:val="28"/>
          <w:lang w:eastAsia="en-US" w:bidi="ar-SA"/>
          <w14:ligatures w14:val="standardContextual"/>
        </w:rPr>
        <w:t>2.</w:t>
      </w:r>
      <w:r w:rsidR="00976CE7">
        <w:rPr>
          <w:rFonts w:ascii="Times New Roman" w:eastAsia="Calibri" w:hAnsi="Times New Roman" w:cs="Times New Roman"/>
          <w:b/>
          <w:i/>
          <w:color w:val="auto"/>
          <w:spacing w:val="4"/>
          <w:kern w:val="2"/>
          <w:sz w:val="28"/>
          <w:szCs w:val="28"/>
          <w:lang w:val="en-US" w:eastAsia="en-US" w:bidi="ar-SA"/>
          <w14:ligatures w14:val="standardContextual"/>
        </w:rPr>
        <w:t>5</w:t>
      </w:r>
      <w:r w:rsidRPr="00976CE7">
        <w:rPr>
          <w:rFonts w:ascii="Times New Roman" w:eastAsia="Calibri" w:hAnsi="Times New Roman" w:cs="Times New Roman"/>
          <w:b/>
          <w:i/>
          <w:color w:val="auto"/>
          <w:spacing w:val="4"/>
          <w:kern w:val="2"/>
          <w:sz w:val="28"/>
          <w:szCs w:val="28"/>
          <w:lang w:eastAsia="en-US" w:bidi="ar-SA"/>
          <w14:ligatures w14:val="standardContextual"/>
        </w:rPr>
        <w:t>. Nghị quyết số 61/2022/QH15</w:t>
      </w:r>
      <w:r w:rsidRPr="00976CE7">
        <w:rPr>
          <w:rFonts w:ascii="Times New Roman" w:eastAsia="Calibri" w:hAnsi="Times New Roman" w:cs="Times New Roman"/>
          <w:color w:val="auto"/>
          <w:spacing w:val="4"/>
          <w:kern w:val="2"/>
          <w:sz w:val="28"/>
          <w:szCs w:val="28"/>
          <w:lang w:val="nl-NL" w:eastAsia="en-US" w:bidi="ar-SA"/>
          <w14:ligatures w14:val="standardContextual"/>
        </w:rPr>
        <w:t xml:space="preserve"> </w:t>
      </w:r>
      <w:r w:rsidR="00BB2D91" w:rsidRPr="00976CE7">
        <w:rPr>
          <w:rFonts w:ascii="Times New Roman" w:eastAsia="Calibri" w:hAnsi="Times New Roman" w:cs="Times New Roman"/>
          <w:b/>
          <w:i/>
          <w:color w:val="auto"/>
          <w:spacing w:val="4"/>
          <w:kern w:val="2"/>
          <w:sz w:val="28"/>
          <w:szCs w:val="28"/>
          <w:lang w:val="nl-NL" w:eastAsia="en-US" w:bidi="ar-SA"/>
          <w14:ligatures w14:val="standardContextual"/>
        </w:rPr>
        <w:t>ngày 16/6/2022</w:t>
      </w:r>
      <w:r w:rsidR="00BB2D91" w:rsidRPr="00976CE7">
        <w:rPr>
          <w:rFonts w:ascii="Times New Roman" w:eastAsia="Calibri" w:hAnsi="Times New Roman" w:cs="Times New Roman"/>
          <w:color w:val="auto"/>
          <w:spacing w:val="4"/>
          <w:kern w:val="2"/>
          <w:sz w:val="28"/>
          <w:szCs w:val="28"/>
          <w:lang w:val="nl-NL" w:eastAsia="en-US" w:bidi="ar-SA"/>
          <w14:ligatures w14:val="standardContextual"/>
        </w:rPr>
        <w:t xml:space="preserve"> </w:t>
      </w:r>
      <w:r w:rsidRPr="00976CE7">
        <w:rPr>
          <w:rFonts w:ascii="Times New Roman" w:eastAsia="Calibri" w:hAnsi="Times New Roman" w:cs="Times New Roman"/>
          <w:color w:val="auto"/>
          <w:spacing w:val="4"/>
          <w:kern w:val="2"/>
          <w:sz w:val="28"/>
          <w:szCs w:val="28"/>
          <w:lang w:val="nl-NL" w:eastAsia="en-US" w:bidi="ar-SA"/>
          <w14:ligatures w14:val="standardContextual"/>
        </w:rPr>
        <w:t xml:space="preserve">và các nghị quyết phê duyệt quy hoạch tổng thể quốc gia, quy hoạch khoáng sản: là căn cứ để xác định tính thống nhất của các điều chỉnh trong dự thảo </w:t>
      </w:r>
      <w:r w:rsidR="007A5F5C" w:rsidRPr="00976CE7">
        <w:rPr>
          <w:rFonts w:ascii="Times New Roman" w:eastAsia="Calibri" w:hAnsi="Times New Roman" w:cs="Times New Roman"/>
          <w:color w:val="auto"/>
          <w:spacing w:val="4"/>
          <w:kern w:val="2"/>
          <w:sz w:val="28"/>
          <w:szCs w:val="28"/>
          <w:lang w:val="nl-NL" w:eastAsia="en-US" w:bidi="ar-SA"/>
          <w14:ligatures w14:val="standardContextual"/>
        </w:rPr>
        <w:t>Nghị định</w:t>
      </w:r>
      <w:r w:rsidRPr="00976CE7">
        <w:rPr>
          <w:rFonts w:ascii="Times New Roman" w:eastAsia="Calibri" w:hAnsi="Times New Roman" w:cs="Times New Roman"/>
          <w:color w:val="auto"/>
          <w:spacing w:val="4"/>
          <w:kern w:val="2"/>
          <w:sz w:val="28"/>
          <w:szCs w:val="28"/>
          <w:lang w:val="nl-NL" w:eastAsia="en-US" w:bidi="ar-SA"/>
          <w14:ligatures w14:val="standardContextual"/>
        </w:rPr>
        <w:t xml:space="preserve"> về nguyên tắc phù hợp quy hoạch.</w:t>
      </w:r>
    </w:p>
    <w:p w14:paraId="7B53D3C0" w14:textId="4B101A0C" w:rsidR="006E70E1" w:rsidRPr="00976CE7" w:rsidRDefault="006E70E1"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val="nl-NL" w:eastAsia="en-US" w:bidi="ar-SA"/>
          <w14:ligatures w14:val="standardContextual"/>
        </w:rPr>
        <w:t>2.</w:t>
      </w:r>
      <w:r w:rsidR="00976CE7">
        <w:rPr>
          <w:rFonts w:ascii="Times New Roman" w:eastAsia="Calibri" w:hAnsi="Times New Roman" w:cs="Times New Roman"/>
          <w:b/>
          <w:i/>
          <w:color w:val="auto"/>
          <w:kern w:val="2"/>
          <w:sz w:val="28"/>
          <w:szCs w:val="28"/>
          <w:lang w:val="nl-NL" w:eastAsia="en-US" w:bidi="ar-SA"/>
          <w14:ligatures w14:val="standardContextual"/>
        </w:rPr>
        <w:t>6</w:t>
      </w:r>
      <w:r w:rsidRPr="00976CE7">
        <w:rPr>
          <w:rFonts w:ascii="Times New Roman" w:eastAsia="Calibri" w:hAnsi="Times New Roman" w:cs="Times New Roman"/>
          <w:b/>
          <w:i/>
          <w:color w:val="auto"/>
          <w:kern w:val="2"/>
          <w:sz w:val="28"/>
          <w:szCs w:val="28"/>
          <w:lang w:val="nl-NL" w:eastAsia="en-US" w:bidi="ar-SA"/>
          <w14:ligatures w14:val="standardContextual"/>
        </w:rPr>
        <w:t>. Nghị quyết số 66.4/2025/NQ-CP ngày 21/9/2025</w:t>
      </w:r>
      <w:r w:rsidRPr="00976CE7">
        <w:rPr>
          <w:rFonts w:ascii="Times New Roman" w:eastAsia="Calibri" w:hAnsi="Times New Roman" w:cs="Times New Roman"/>
          <w:color w:val="auto"/>
          <w:kern w:val="2"/>
          <w:sz w:val="28"/>
          <w:szCs w:val="28"/>
          <w:lang w:val="nl-NL" w:eastAsia="en-US" w:bidi="ar-SA"/>
          <w14:ligatures w14:val="standardContextual"/>
        </w:rPr>
        <w:t xml:space="preserve"> của Chính phủ ban </w:t>
      </w:r>
      <w:r w:rsidRPr="00976CE7">
        <w:rPr>
          <w:rFonts w:ascii="Times New Roman" w:eastAsia="Calibri" w:hAnsi="Times New Roman" w:cs="Times New Roman"/>
          <w:color w:val="auto"/>
          <w:kern w:val="2"/>
          <w:sz w:val="28"/>
          <w:szCs w:val="28"/>
          <w:lang w:val="nl-NL" w:eastAsia="en-US" w:bidi="ar-SA"/>
          <w14:ligatures w14:val="standardContextual"/>
        </w:rPr>
        <w:lastRenderedPageBreak/>
        <w:t>hành các cơ chế, chính sách đặc thù nhằm tháo gỡ khó khăn trong triển khai Luật Địa chất và khoáng sản</w:t>
      </w:r>
      <w:r w:rsidR="00BB2D91" w:rsidRPr="00976CE7">
        <w:rPr>
          <w:rFonts w:ascii="Times New Roman" w:eastAsia="Calibri" w:hAnsi="Times New Roman" w:cs="Times New Roman"/>
          <w:color w:val="auto"/>
          <w:kern w:val="2"/>
          <w:sz w:val="28"/>
          <w:szCs w:val="28"/>
          <w:lang w:val="nl-NL" w:eastAsia="en-US" w:bidi="ar-SA"/>
          <w14:ligatures w14:val="standardContextual"/>
        </w:rPr>
        <w:t>.</w:t>
      </w:r>
    </w:p>
    <w:p w14:paraId="2E425590" w14:textId="16CD4746" w:rsidR="00BB2D91" w:rsidRPr="00976CE7" w:rsidRDefault="00BB2D91"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val="nl-NL" w:eastAsia="en-US" w:bidi="ar-SA"/>
          <w14:ligatures w14:val="standardContextual"/>
        </w:rPr>
        <w:t>2.</w:t>
      </w:r>
      <w:r w:rsidR="00976CE7">
        <w:rPr>
          <w:rFonts w:ascii="Times New Roman" w:eastAsia="Calibri" w:hAnsi="Times New Roman" w:cs="Times New Roman"/>
          <w:b/>
          <w:i/>
          <w:color w:val="auto"/>
          <w:kern w:val="2"/>
          <w:sz w:val="28"/>
          <w:szCs w:val="28"/>
          <w:lang w:val="nl-NL" w:eastAsia="en-US" w:bidi="ar-SA"/>
          <w14:ligatures w14:val="standardContextual"/>
        </w:rPr>
        <w:t>7</w:t>
      </w:r>
      <w:r w:rsidRPr="00976CE7">
        <w:rPr>
          <w:rFonts w:ascii="Times New Roman" w:eastAsia="Calibri" w:hAnsi="Times New Roman" w:cs="Times New Roman"/>
          <w:b/>
          <w:i/>
          <w:color w:val="auto"/>
          <w:kern w:val="2"/>
          <w:sz w:val="28"/>
          <w:szCs w:val="28"/>
          <w:lang w:val="nl-NL" w:eastAsia="en-US" w:bidi="ar-SA"/>
          <w14:ligatures w14:val="standardContextual"/>
        </w:rPr>
        <w:t xml:space="preserve">. Nghị định số 136/2025/NĐ-CP ngày 12/6/2025 </w:t>
      </w:r>
      <w:r w:rsidRPr="00976CE7">
        <w:rPr>
          <w:rFonts w:ascii="Times New Roman" w:eastAsia="Calibri" w:hAnsi="Times New Roman" w:cs="Times New Roman"/>
          <w:color w:val="auto"/>
          <w:kern w:val="2"/>
          <w:sz w:val="28"/>
          <w:szCs w:val="28"/>
          <w:lang w:val="nl-NL" w:eastAsia="en-US" w:bidi="ar-SA"/>
          <w14:ligatures w14:val="standardContextual"/>
        </w:rPr>
        <w:t>của Chính phủ quy định phân quyền, phân cấp trong lĩnh vực nông nghiệp và môi trường.</w:t>
      </w:r>
    </w:p>
    <w:p w14:paraId="5A96D4C0" w14:textId="6DA0F528" w:rsidR="00BB2D91" w:rsidRPr="00976CE7" w:rsidRDefault="00BB2D91"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b/>
          <w:i/>
          <w:color w:val="auto"/>
          <w:kern w:val="2"/>
          <w:sz w:val="28"/>
          <w:szCs w:val="28"/>
          <w:lang w:val="nl-NL" w:eastAsia="en-US" w:bidi="ar-SA"/>
          <w14:ligatures w14:val="standardContextual"/>
        </w:rPr>
        <w:t>2.</w:t>
      </w:r>
      <w:r w:rsidR="00976CE7">
        <w:rPr>
          <w:rFonts w:ascii="Times New Roman" w:eastAsia="Calibri" w:hAnsi="Times New Roman" w:cs="Times New Roman"/>
          <w:b/>
          <w:i/>
          <w:color w:val="auto"/>
          <w:kern w:val="2"/>
          <w:sz w:val="28"/>
          <w:szCs w:val="28"/>
          <w:lang w:val="nl-NL" w:eastAsia="en-US" w:bidi="ar-SA"/>
          <w14:ligatures w14:val="standardContextual"/>
        </w:rPr>
        <w:t>8</w:t>
      </w:r>
      <w:r w:rsidRPr="00976CE7">
        <w:rPr>
          <w:rFonts w:ascii="Times New Roman" w:eastAsia="Calibri" w:hAnsi="Times New Roman" w:cs="Times New Roman"/>
          <w:b/>
          <w:i/>
          <w:color w:val="auto"/>
          <w:kern w:val="2"/>
          <w:sz w:val="28"/>
          <w:szCs w:val="28"/>
          <w:lang w:val="nl-NL" w:eastAsia="en-US" w:bidi="ar-SA"/>
          <w14:ligatures w14:val="standardContextual"/>
        </w:rPr>
        <w:t>. Nghị định số 193/2025/NĐ-CP ngày 02/7/2025</w:t>
      </w:r>
      <w:r w:rsidRPr="00976CE7">
        <w:rPr>
          <w:rFonts w:ascii="Times New Roman" w:eastAsia="Calibri" w:hAnsi="Times New Roman" w:cs="Times New Roman"/>
          <w:color w:val="auto"/>
          <w:kern w:val="2"/>
          <w:sz w:val="28"/>
          <w:szCs w:val="28"/>
          <w:lang w:val="nl-NL" w:eastAsia="en-US" w:bidi="ar-SA"/>
          <w14:ligatures w14:val="standardContextual"/>
        </w:rPr>
        <w:t xml:space="preserve"> của Chính phủ quy định chi tiết một số điều và biện pháp thi hành Luật Địa chất và khoáng sản.</w:t>
      </w:r>
    </w:p>
    <w:p w14:paraId="1963329C" w14:textId="2CE5EC53" w:rsidR="009E130E" w:rsidRPr="00976CE7" w:rsidRDefault="009E130E" w:rsidP="002D2910">
      <w:pPr>
        <w:spacing w:after="120" w:line="340" w:lineRule="exact"/>
        <w:ind w:firstLine="720"/>
        <w:jc w:val="both"/>
        <w:rPr>
          <w:rFonts w:ascii="Times New Roman" w:hAnsi="Times New Roman" w:cs="Times New Roman"/>
          <w:color w:val="auto"/>
          <w:sz w:val="28"/>
          <w:szCs w:val="28"/>
        </w:rPr>
      </w:pPr>
      <w:r w:rsidRPr="00976CE7">
        <w:rPr>
          <w:rFonts w:ascii="Times New Roman" w:eastAsia="Calibri" w:hAnsi="Times New Roman" w:cs="Times New Roman"/>
          <w:color w:val="auto"/>
          <w:kern w:val="2"/>
          <w:sz w:val="28"/>
          <w:szCs w:val="28"/>
          <w:lang w:val="nl-NL" w:eastAsia="en-US" w:bidi="ar-SA"/>
          <w14:ligatures w14:val="standardContextual"/>
        </w:rPr>
        <w:t xml:space="preserve">Đánh giá chung, các nội dung sửa đổi, bổ sung tại dự thảo </w:t>
      </w:r>
      <w:r w:rsidR="007A5F5C"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cơ bản phù hợp với tinh thần, nội dung của các Luậ</w:t>
      </w:r>
      <w:r w:rsidR="007A5F5C" w:rsidRPr="00976CE7">
        <w:rPr>
          <w:rFonts w:ascii="Times New Roman" w:eastAsia="Calibri" w:hAnsi="Times New Roman" w:cs="Times New Roman"/>
          <w:color w:val="auto"/>
          <w:kern w:val="2"/>
          <w:sz w:val="28"/>
          <w:szCs w:val="28"/>
          <w:lang w:val="nl-NL" w:eastAsia="en-US" w:bidi="ar-SA"/>
          <w14:ligatures w14:val="standardContextual"/>
        </w:rPr>
        <w:t xml:space="preserve">t, </w:t>
      </w:r>
      <w:r w:rsidRPr="00976CE7">
        <w:rPr>
          <w:rFonts w:ascii="Times New Roman" w:eastAsia="Calibri" w:hAnsi="Times New Roman" w:cs="Times New Roman"/>
          <w:color w:val="auto"/>
          <w:kern w:val="2"/>
          <w:sz w:val="28"/>
          <w:szCs w:val="28"/>
          <w:lang w:val="nl-NL" w:eastAsia="en-US" w:bidi="ar-SA"/>
          <w14:ligatures w14:val="standardContextual"/>
        </w:rPr>
        <w:t>Nghị quyết</w:t>
      </w:r>
      <w:r w:rsidR="007A5F5C" w:rsidRPr="00976CE7">
        <w:rPr>
          <w:rFonts w:ascii="Times New Roman" w:eastAsia="Calibri" w:hAnsi="Times New Roman" w:cs="Times New Roman"/>
          <w:color w:val="auto"/>
          <w:kern w:val="2"/>
          <w:sz w:val="28"/>
          <w:szCs w:val="28"/>
          <w:lang w:val="nl-NL" w:eastAsia="en-US" w:bidi="ar-SA"/>
          <w14:ligatures w14:val="standardContextual"/>
        </w:rPr>
        <w:t xml:space="preserve"> và Nghị định hiện hành</w:t>
      </w:r>
      <w:r w:rsidRPr="00976CE7">
        <w:rPr>
          <w:rFonts w:ascii="Times New Roman" w:eastAsia="Calibri" w:hAnsi="Times New Roman" w:cs="Times New Roman"/>
          <w:color w:val="auto"/>
          <w:kern w:val="2"/>
          <w:sz w:val="28"/>
          <w:szCs w:val="28"/>
          <w:lang w:val="nl-NL" w:eastAsia="en-US" w:bidi="ar-SA"/>
          <w14:ligatures w14:val="standardContextual"/>
        </w:rPr>
        <w:t>, không mâu thuẫn, chồng chéo; đồng thời, là cơ sở pháp lý để tháo gỡ vướng mắc, thúc đẩy đầu tư, phát triển kinh tế gắn với quản lý tài nguyên hiệu quả, bền vững. Những nội dung có khác biệt so với luật hiện hành (như miễn thủ tục đầu tư, môi trường trong trường hợp đặc biệt) đều có căn cứ tại Nghị quyết của Quốc hội và được thiết kế có điều kiện chặt chẽ, bảo đảm phù hợp với yêu cầu thực tiễn và nguyên tắc pháp chế.</w:t>
      </w:r>
    </w:p>
    <w:p w14:paraId="43C65F6C" w14:textId="262C9863" w:rsidR="00DC5AE2" w:rsidRPr="00976CE7" w:rsidRDefault="00DC5AE2" w:rsidP="002D2910">
      <w:pPr>
        <w:spacing w:after="120" w:line="340" w:lineRule="exact"/>
        <w:ind w:firstLine="720"/>
        <w:jc w:val="both"/>
        <w:outlineLvl w:val="1"/>
        <w:rPr>
          <w:rFonts w:ascii="Times New Roman" w:hAnsi="Times New Roman" w:cs="Times New Roman"/>
          <w:b/>
          <w:color w:val="auto"/>
          <w:sz w:val="28"/>
          <w:szCs w:val="28"/>
        </w:rPr>
      </w:pPr>
      <w:r w:rsidRPr="00976CE7">
        <w:rPr>
          <w:rFonts w:ascii="Times New Roman" w:hAnsi="Times New Roman" w:cs="Times New Roman"/>
          <w:b/>
          <w:color w:val="auto"/>
          <w:sz w:val="28"/>
          <w:szCs w:val="28"/>
        </w:rPr>
        <w:t xml:space="preserve">3. Điều ước quốc tế có liên quan đến </w:t>
      </w:r>
      <w:r w:rsidR="0096029D" w:rsidRPr="00976CE7">
        <w:rPr>
          <w:rFonts w:ascii="Times New Roman" w:hAnsi="Times New Roman" w:cs="Times New Roman"/>
          <w:b/>
          <w:color w:val="auto"/>
          <w:sz w:val="28"/>
          <w:szCs w:val="28"/>
        </w:rPr>
        <w:t>dự thảo</w:t>
      </w:r>
    </w:p>
    <w:p w14:paraId="3E65461A" w14:textId="4E310573"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Tổng số điều ước quốc tế được rà soát liên quan đến dự thảo</w:t>
      </w:r>
      <w:r w:rsidR="007A5F5C" w:rsidRPr="00976CE7">
        <w:rPr>
          <w:rFonts w:ascii="Times New Roman" w:eastAsia="Calibri" w:hAnsi="Times New Roman" w:cs="Times New Roman"/>
          <w:color w:val="auto"/>
          <w:kern w:val="2"/>
          <w:sz w:val="28"/>
          <w:szCs w:val="28"/>
          <w:lang w:val="nl-NL" w:eastAsia="en-US" w:bidi="ar-SA"/>
          <w14:ligatures w14:val="standardContextual"/>
        </w:rPr>
        <w:t xml:space="preserve"> 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Qua rà soát, đã xác định được 06 điều ước, thỏa thuận quốc tế có nội dung liên quan trực tiếp hoặc gián tiếp đến </w:t>
      </w:r>
      <w:r w:rsidR="009E130E" w:rsidRPr="00976CE7">
        <w:rPr>
          <w:rFonts w:ascii="Times New Roman" w:eastAsia="Calibri" w:hAnsi="Times New Roman" w:cs="Times New Roman"/>
          <w:color w:val="auto"/>
          <w:kern w:val="2"/>
          <w:sz w:val="28"/>
          <w:szCs w:val="28"/>
          <w:lang w:val="nl-NL" w:eastAsia="en-US" w:bidi="ar-SA"/>
          <w14:ligatures w14:val="standardContextual"/>
        </w:rPr>
        <w:t>lĩnh</w:t>
      </w:r>
      <w:r w:rsidR="009E130E" w:rsidRPr="00976CE7">
        <w:rPr>
          <w:rFonts w:ascii="Times New Roman" w:eastAsia="Calibri" w:hAnsi="Times New Roman" w:cs="Times New Roman"/>
          <w:color w:val="auto"/>
          <w:kern w:val="2"/>
          <w:sz w:val="28"/>
          <w:szCs w:val="28"/>
          <w:lang w:eastAsia="en-US" w:bidi="ar-SA"/>
          <w14:ligatures w14:val="standardContextual"/>
        </w:rPr>
        <w:t xml:space="preserve"> vực đ</w:t>
      </w:r>
      <w:r w:rsidRPr="00976CE7">
        <w:rPr>
          <w:rFonts w:ascii="Times New Roman" w:eastAsia="Calibri" w:hAnsi="Times New Roman" w:cs="Times New Roman"/>
          <w:color w:val="auto"/>
          <w:kern w:val="2"/>
          <w:sz w:val="28"/>
          <w:szCs w:val="28"/>
          <w:lang w:val="nl-NL" w:eastAsia="en-US" w:bidi="ar-SA"/>
          <w14:ligatures w14:val="standardContextual"/>
        </w:rPr>
        <w:t>ịa chất và khoáng sản, trong đó bao gồm 03 điều ước quốc tế song phương và 03 điều ước quốc tế đa phương. Các điều ước này chủ yếu được ký kết nhân danh Chính phủ (05 văn bản) và nhân danh Nhà nước (01 văn bản, trong khuôn khổ ASEAN).</w:t>
      </w:r>
    </w:p>
    <w:p w14:paraId="4E3F1ADA" w14:textId="198A9045"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 xml:space="preserve">Các điều ước, thỏa thuận quốc tế liên quan đến lĩnh vực địa chất và khoáng sản được rà soát đều phản ánh định hướng tăng cường hợp tác kỹ thuật, thúc đẩy khai thác khoáng sản bền vững, minh bạch, phù hợp với thông lệ quốc tế. Dự thảo </w:t>
      </w:r>
      <w:r w:rsidR="00FB5BB9"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hiện hành bảo đảm tính tương thích cao với các điều ước quốc tế này, đồng thời là cơ sở nội luật hóa một số cam kết quốc tế trong thời gian tới.</w:t>
      </w:r>
    </w:p>
    <w:p w14:paraId="65F5FB01" w14:textId="1386D646"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 xml:space="preserve">Đáng chú ý, Thỏa thuận hợp tác ba bên Việt Nam </w:t>
      </w:r>
      <w:r w:rsidR="009E130E"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 xml:space="preserve"> Cục Địa chất và Mỏ quốc gia Pháp (BRGM) </w:t>
      </w:r>
      <w:r w:rsidR="009E130E"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 xml:space="preserve"> Cơ quan Phát triển Pháp (AFD) ký năm 2024 là một văn kiện hợp tác kỹ thuật có tính định hướng dài hạn, nhấn mạnh mục tiêu hỗ trợ Việt Nam xây dựng hệ thống thể chế và năng lực thực thi trong điều tra địa chất, bảo vệ tài nguyên, chuyển đổi mô hình khai thác khoáng sản theo hướng bền vững, tiết kiệm, thân thiện môi trường và phù hợp với các nguyên tắc kinh tế tuần hoàn. Thỏa thuận này có nội dung đồng nhất với một số chính sách tại dự thảo </w:t>
      </w:r>
      <w:r w:rsidR="00FB5BB9"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như quy định khuyến khích xã hội hóa điều tra địa chất, thúc đẩy công khai, minh bạch trong cấp phép khai thác, xây dựng cơ sở dữ liệu địa chất, khoáng sản hiện đại, và phát triển công nghiệp khai khoáng xanh.</w:t>
      </w:r>
    </w:p>
    <w:p w14:paraId="28AB3F17" w14:textId="35E70389"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Trong khuôn khổ khu vực, Việt Nam là thành viên của Kế hoạch Hành động Hợp tác Khoáng sản ASEAN (AMCAP-III) giai đoạn 2021</w:t>
      </w:r>
      <w:r w:rsidR="009E130E"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 xml:space="preserve">2025, hướng tới xây dựng ngành công nghiệp khai khoáng bền vững, có trách nhiệm và hội nhập. AMCAP-III nhấn mạnh các nguyên tắc về minh bạch hóa thông tin, chia sẻ dữ </w:t>
      </w:r>
      <w:r w:rsidRPr="00976CE7">
        <w:rPr>
          <w:rFonts w:ascii="Times New Roman" w:eastAsia="Calibri" w:hAnsi="Times New Roman" w:cs="Times New Roman"/>
          <w:color w:val="auto"/>
          <w:kern w:val="2"/>
          <w:sz w:val="28"/>
          <w:szCs w:val="28"/>
          <w:lang w:val="nl-NL" w:eastAsia="en-US" w:bidi="ar-SA"/>
          <w14:ligatures w14:val="standardContextual"/>
        </w:rPr>
        <w:lastRenderedPageBreak/>
        <w:t>liệu địa chất số, khuyến khích đầu tư vào công nghệ khai khoáng sạch và tăng cường năng lực quản trị tài nguyên khoáng sản. Các nội dung này đã được thể hiện trong dự thả</w:t>
      </w:r>
      <w:r w:rsidR="00FB5BB9" w:rsidRPr="00976CE7">
        <w:rPr>
          <w:rFonts w:ascii="Times New Roman" w:eastAsia="Calibri" w:hAnsi="Times New Roman" w:cs="Times New Roman"/>
          <w:color w:val="auto"/>
          <w:kern w:val="2"/>
          <w:sz w:val="28"/>
          <w:szCs w:val="28"/>
          <w:lang w:val="nl-NL" w:eastAsia="en-US" w:bidi="ar-SA"/>
          <w14:ligatures w14:val="standardContextual"/>
        </w:rPr>
        <w:t>o 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thông qua việc: bổ sung các quy định về công khai quy hoạch khoáng sản, quy trình đấu giá quyền khai thác; cho phép xã hội hóa hoạt động điều tra; phân định rõ thẩm quyền và tăng cường giám sát sau cấp phép. Như vậy, dự thảo cơ bản phù hợp với yêu cầu hội nhập của khu vực ASEAN trong lĩnh vực khoáng sản.</w:t>
      </w:r>
    </w:p>
    <w:p w14:paraId="4CA01425" w14:textId="01AA1234"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 xml:space="preserve">Ngoài ra, Việt Nam là thành viên của một số hiệp định thương mại tự do thế hệ mới như CPTPP và EVFTA, trong đó có các cam kết về tiếp cận thị trường, bảo hộ đầu tư, áp dụng quy trình cấp phép minh bạch, không phân biệt đối xử trong các lĩnh vực bao gồm cả tài nguyên khoáng sản. Dự thảo </w:t>
      </w:r>
      <w:r w:rsidR="00FB5BB9"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được xây dựng trên cơ sở cải cách thể chế mạnh mẽ, tăng cường công khai, minh bạch, rút ngắn thủ tục hành chính và thúc đẩy đấu giá, đấu thầu trong khai thác khoáng sản </w:t>
      </w:r>
      <w:r w:rsidR="009E130E" w:rsidRPr="00976CE7">
        <w:rPr>
          <w:rFonts w:ascii="Times New Roman" w:eastAsia="Calibri" w:hAnsi="Times New Roman" w:cs="Times New Roman"/>
          <w:color w:val="auto"/>
          <w:kern w:val="2"/>
          <w:sz w:val="28"/>
          <w:szCs w:val="28"/>
          <w:lang w:val="nl-NL" w:eastAsia="en-US" w:bidi="ar-SA"/>
          <w14:ligatures w14:val="standardContextual"/>
        </w:rPr>
        <w:t>-</w:t>
      </w:r>
      <w:r w:rsidRPr="00976CE7">
        <w:rPr>
          <w:rFonts w:ascii="Times New Roman" w:eastAsia="Calibri" w:hAnsi="Times New Roman" w:cs="Times New Roman"/>
          <w:color w:val="auto"/>
          <w:kern w:val="2"/>
          <w:sz w:val="28"/>
          <w:szCs w:val="28"/>
          <w:lang w:val="nl-NL" w:eastAsia="en-US" w:bidi="ar-SA"/>
          <w14:ligatures w14:val="standardContextual"/>
        </w:rPr>
        <w:t xml:space="preserve"> hoàn toàn phù hợp với tinh thần và cam kết của các FTA này.</w:t>
      </w:r>
    </w:p>
    <w:p w14:paraId="3431B186" w14:textId="7B18543F" w:rsidR="00310556" w:rsidRPr="00976CE7" w:rsidRDefault="00310556" w:rsidP="002D2910">
      <w:pPr>
        <w:spacing w:after="120" w:line="34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976CE7">
        <w:rPr>
          <w:rFonts w:ascii="Times New Roman" w:eastAsia="Calibri" w:hAnsi="Times New Roman" w:cs="Times New Roman"/>
          <w:color w:val="auto"/>
          <w:kern w:val="2"/>
          <w:sz w:val="28"/>
          <w:szCs w:val="28"/>
          <w:lang w:val="nl-NL" w:eastAsia="en-US" w:bidi="ar-SA"/>
          <w14:ligatures w14:val="standardContextual"/>
        </w:rPr>
        <w:t xml:space="preserve">Tổng thể, dự thảo </w:t>
      </w:r>
      <w:r w:rsidR="00FB5BB9" w:rsidRPr="00976CE7">
        <w:rPr>
          <w:rFonts w:ascii="Times New Roman" w:eastAsia="Calibri" w:hAnsi="Times New Roman" w:cs="Times New Roman"/>
          <w:color w:val="auto"/>
          <w:kern w:val="2"/>
          <w:sz w:val="28"/>
          <w:szCs w:val="28"/>
          <w:lang w:val="nl-NL" w:eastAsia="en-US" w:bidi="ar-SA"/>
          <w14:ligatures w14:val="standardContextual"/>
        </w:rPr>
        <w:t xml:space="preserve">Nghị định sửa đổi, bổ sung một số điều của Nghị định số 193/2025/NĐ-CP ngày 02 tháng 7 năm 2025 của Chính phủ quy định chi tiết một số điều và biện pháp thi hành Luật Địa chất và khoáng sản </w:t>
      </w:r>
      <w:r w:rsidRPr="00976CE7">
        <w:rPr>
          <w:rFonts w:ascii="Times New Roman" w:eastAsia="Calibri" w:hAnsi="Times New Roman" w:cs="Times New Roman"/>
          <w:color w:val="auto"/>
          <w:kern w:val="2"/>
          <w:sz w:val="28"/>
          <w:szCs w:val="28"/>
          <w:lang w:val="nl-NL" w:eastAsia="en-US" w:bidi="ar-SA"/>
          <w14:ligatures w14:val="standardContextual"/>
        </w:rPr>
        <w:t xml:space="preserve">không mâu thuẫn với các điều ước quốc tế mà Việt Nam là thành viên, đồng thời có tính tương thích và khả năng nội luật hóa cao. Việc triển khai các quy định mới trong </w:t>
      </w:r>
      <w:r w:rsidR="00FB5BB9" w:rsidRPr="00976CE7">
        <w:rPr>
          <w:rFonts w:ascii="Times New Roman" w:eastAsia="Calibri" w:hAnsi="Times New Roman" w:cs="Times New Roman"/>
          <w:color w:val="auto"/>
          <w:kern w:val="2"/>
          <w:sz w:val="28"/>
          <w:szCs w:val="28"/>
          <w:lang w:val="nl-NL" w:eastAsia="en-US" w:bidi="ar-SA"/>
          <w14:ligatures w14:val="standardContextual"/>
        </w:rPr>
        <w:t>Nghị định</w:t>
      </w:r>
      <w:r w:rsidRPr="00976CE7">
        <w:rPr>
          <w:rFonts w:ascii="Times New Roman" w:eastAsia="Calibri" w:hAnsi="Times New Roman" w:cs="Times New Roman"/>
          <w:color w:val="auto"/>
          <w:kern w:val="2"/>
          <w:sz w:val="28"/>
          <w:szCs w:val="28"/>
          <w:lang w:val="nl-NL" w:eastAsia="en-US" w:bidi="ar-SA"/>
          <w14:ligatures w14:val="standardContextual"/>
        </w:rPr>
        <w:t xml:space="preserve"> sẽ góp phần thực thi hiệu quả các cam kết quốc tế, thúc đẩy hội nhập bền vững và nâng cao vị thế quốc gia trong lĩnh vực khai thác, sử dụng tài nguyên khoáng sản.</w:t>
      </w:r>
    </w:p>
    <w:tbl>
      <w:tblPr>
        <w:tblpPr w:leftFromText="180" w:rightFromText="180" w:vertAnchor="text" w:horzAnchor="margin" w:tblpY="268"/>
        <w:tblW w:w="9356" w:type="dxa"/>
        <w:tblLayout w:type="fixed"/>
        <w:tblLook w:val="04A0" w:firstRow="1" w:lastRow="0" w:firstColumn="1" w:lastColumn="0" w:noHBand="0" w:noVBand="1"/>
      </w:tblPr>
      <w:tblGrid>
        <w:gridCol w:w="5211"/>
        <w:gridCol w:w="4145"/>
      </w:tblGrid>
      <w:tr w:rsidR="00976CE7" w:rsidRPr="00976CE7" w14:paraId="7A57A932" w14:textId="77777777" w:rsidTr="00E7770B">
        <w:trPr>
          <w:trHeight w:val="2492"/>
        </w:trPr>
        <w:tc>
          <w:tcPr>
            <w:tcW w:w="5211" w:type="dxa"/>
            <w:hideMark/>
          </w:tcPr>
          <w:p w14:paraId="438AEF54" w14:textId="77777777" w:rsidR="009E130E" w:rsidRPr="00976CE7" w:rsidRDefault="009E130E" w:rsidP="00E7770B">
            <w:pPr>
              <w:keepNext/>
              <w:widowControl/>
              <w:tabs>
                <w:tab w:val="left" w:pos="993"/>
              </w:tabs>
              <w:jc w:val="both"/>
              <w:rPr>
                <w:rFonts w:ascii="Times New Roman" w:eastAsia="Times New Roman" w:hAnsi="Times New Roman" w:cs="Times New Roman"/>
                <w:b/>
                <w:i/>
                <w:color w:val="auto"/>
                <w:sz w:val="22"/>
                <w:szCs w:val="22"/>
                <w:lang w:eastAsia="en-US" w:bidi="ar-SA"/>
              </w:rPr>
            </w:pPr>
            <w:r w:rsidRPr="00976CE7">
              <w:rPr>
                <w:rFonts w:ascii="Times New Roman" w:eastAsia="Times New Roman" w:hAnsi="Times New Roman" w:cs="Times New Roman"/>
                <w:b/>
                <w:i/>
                <w:color w:val="auto"/>
                <w:sz w:val="22"/>
                <w:szCs w:val="22"/>
                <w:lang w:eastAsia="en-US" w:bidi="ar-SA"/>
              </w:rPr>
              <w:t>Nơi nhận:</w:t>
            </w:r>
          </w:p>
          <w:p w14:paraId="440C3FFC" w14:textId="77777777"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Như trên;</w:t>
            </w:r>
          </w:p>
          <w:p w14:paraId="24FF718D" w14:textId="54B96B3E"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T</w:t>
            </w:r>
            <w:r w:rsidR="007A22A9">
              <w:rPr>
                <w:rFonts w:ascii="Times New Roman" w:eastAsia="Times New Roman" w:hAnsi="Times New Roman" w:cs="Times New Roman"/>
                <w:color w:val="auto"/>
                <w:sz w:val="22"/>
                <w:szCs w:val="22"/>
                <w:lang w:val="en-US" w:eastAsia="en-US" w:bidi="ar-SA"/>
              </w:rPr>
              <w:t>hủ tướng</w:t>
            </w:r>
            <w:r w:rsidR="00576443" w:rsidRPr="00976CE7">
              <w:rPr>
                <w:rFonts w:ascii="Times New Roman" w:eastAsia="Times New Roman" w:hAnsi="Times New Roman" w:cs="Times New Roman"/>
                <w:color w:val="auto"/>
                <w:sz w:val="22"/>
                <w:szCs w:val="22"/>
                <w:lang w:val="en-US" w:eastAsia="en-US" w:bidi="ar-SA"/>
              </w:rPr>
              <w:t xml:space="preserve"> Chính phủ</w:t>
            </w:r>
            <w:r w:rsidRPr="00976CE7">
              <w:rPr>
                <w:rFonts w:ascii="Times New Roman" w:eastAsia="Times New Roman" w:hAnsi="Times New Roman" w:cs="Times New Roman"/>
                <w:color w:val="auto"/>
                <w:sz w:val="22"/>
                <w:szCs w:val="22"/>
                <w:lang w:eastAsia="en-US" w:bidi="ar-SA"/>
              </w:rPr>
              <w:t xml:space="preserve"> Phạm Minh Chính (để báo cáo);</w:t>
            </w:r>
          </w:p>
          <w:p w14:paraId="76B4013D" w14:textId="77777777"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Các Phó Thủ tướng Chính phủ (để báo cáo);</w:t>
            </w:r>
          </w:p>
          <w:p w14:paraId="72A08B40" w14:textId="77777777"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xml:space="preserve">- </w:t>
            </w:r>
            <w:r w:rsidRPr="00976CE7">
              <w:rPr>
                <w:rFonts w:ascii="Times New Roman" w:eastAsia="Times New Roman" w:hAnsi="Times New Roman" w:cs="Times New Roman"/>
                <w:color w:val="auto"/>
                <w:sz w:val="22"/>
                <w:szCs w:val="22"/>
                <w:lang w:val="en-US" w:eastAsia="en-US" w:bidi="ar-SA"/>
              </w:rPr>
              <w:t>Bộ trưởng (để báo cáo);</w:t>
            </w:r>
          </w:p>
          <w:p w14:paraId="140B0D77" w14:textId="77777777"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Văn phòng Chính phủ;</w:t>
            </w:r>
          </w:p>
          <w:p w14:paraId="07104169" w14:textId="77777777" w:rsidR="009E130E" w:rsidRPr="00976CE7" w:rsidRDefault="009E130E" w:rsidP="00E7770B">
            <w:pPr>
              <w:keepNext/>
              <w:widowControl/>
              <w:tabs>
                <w:tab w:val="left" w:pos="993"/>
              </w:tabs>
              <w:jc w:val="both"/>
              <w:rPr>
                <w:rFonts w:ascii="Times New Roman" w:eastAsia="Times New Roman" w:hAnsi="Times New Roman" w:cs="Times New Roman"/>
                <w:color w:val="auto"/>
                <w:sz w:val="22"/>
                <w:szCs w:val="22"/>
                <w:lang w:eastAsia="en-US" w:bidi="ar-SA"/>
              </w:rPr>
            </w:pPr>
            <w:r w:rsidRPr="00976CE7">
              <w:rPr>
                <w:rFonts w:ascii="Times New Roman" w:eastAsia="Times New Roman" w:hAnsi="Times New Roman" w:cs="Times New Roman"/>
                <w:color w:val="auto"/>
                <w:sz w:val="22"/>
                <w:szCs w:val="22"/>
                <w:lang w:eastAsia="en-US" w:bidi="ar-SA"/>
              </w:rPr>
              <w:t>- Bộ Tư pháp;</w:t>
            </w:r>
          </w:p>
          <w:p w14:paraId="15AA0EF2" w14:textId="051A93FA" w:rsidR="009E130E" w:rsidRPr="007B68C5" w:rsidRDefault="009E130E" w:rsidP="00E7770B">
            <w:pPr>
              <w:keepNext/>
              <w:widowControl/>
              <w:tabs>
                <w:tab w:val="left" w:pos="993"/>
              </w:tabs>
              <w:jc w:val="both"/>
              <w:rPr>
                <w:rFonts w:ascii="Times New Roman" w:eastAsia="Times New Roman" w:hAnsi="Times New Roman" w:cs="Times New Roman"/>
                <w:color w:val="auto"/>
                <w:sz w:val="28"/>
                <w:szCs w:val="28"/>
                <w:lang w:val="en-US" w:eastAsia="en-US" w:bidi="ar-SA"/>
              </w:rPr>
            </w:pPr>
            <w:r w:rsidRPr="00976CE7">
              <w:rPr>
                <w:rFonts w:ascii="Times New Roman" w:eastAsia="Calibri" w:hAnsi="Times New Roman" w:cs="Times New Roman"/>
                <w:color w:val="auto"/>
                <w:sz w:val="22"/>
                <w:szCs w:val="22"/>
                <w:lang w:eastAsia="en-US" w:bidi="ar-SA"/>
              </w:rPr>
              <w:t>- Lưu: VT, PC, ĐCKS</w:t>
            </w:r>
            <w:r w:rsidR="007B68C5">
              <w:rPr>
                <w:rFonts w:ascii="Times New Roman" w:eastAsia="Calibri" w:hAnsi="Times New Roman" w:cs="Times New Roman"/>
                <w:color w:val="auto"/>
                <w:sz w:val="22"/>
                <w:szCs w:val="22"/>
                <w:lang w:val="en-US" w:eastAsia="en-US" w:bidi="ar-SA"/>
              </w:rPr>
              <w:t xml:space="preserve"> (15b).</w:t>
            </w:r>
          </w:p>
        </w:tc>
        <w:tc>
          <w:tcPr>
            <w:tcW w:w="4145" w:type="dxa"/>
          </w:tcPr>
          <w:p w14:paraId="380C1D6D" w14:textId="77777777" w:rsidR="009E130E" w:rsidRPr="00976CE7" w:rsidRDefault="009E130E" w:rsidP="00E7770B">
            <w:pPr>
              <w:keepNext/>
              <w:widowControl/>
              <w:tabs>
                <w:tab w:val="left" w:pos="993"/>
              </w:tabs>
              <w:jc w:val="center"/>
              <w:outlineLvl w:val="8"/>
              <w:rPr>
                <w:rFonts w:ascii="Times New Roman" w:eastAsia="Times New Roman" w:hAnsi="Times New Roman" w:cs="Times New Roman"/>
                <w:b/>
                <w:color w:val="auto"/>
                <w:sz w:val="26"/>
                <w:szCs w:val="26"/>
                <w:lang w:eastAsia="en-US" w:bidi="ar-SA"/>
              </w:rPr>
            </w:pPr>
            <w:r w:rsidRPr="00976CE7">
              <w:rPr>
                <w:rFonts w:ascii="Times New Roman" w:eastAsia="Times New Roman" w:hAnsi="Times New Roman" w:cs="Times New Roman"/>
                <w:b/>
                <w:color w:val="auto"/>
                <w:sz w:val="26"/>
                <w:szCs w:val="26"/>
                <w:lang w:val="en-US" w:eastAsia="en-US" w:bidi="ar-SA"/>
              </w:rPr>
              <w:t xml:space="preserve">KT. </w:t>
            </w:r>
            <w:r w:rsidRPr="00976CE7">
              <w:rPr>
                <w:rFonts w:ascii="Times New Roman" w:eastAsia="Times New Roman" w:hAnsi="Times New Roman" w:cs="Times New Roman"/>
                <w:b/>
                <w:color w:val="auto"/>
                <w:sz w:val="26"/>
                <w:szCs w:val="26"/>
                <w:lang w:eastAsia="en-US" w:bidi="ar-SA"/>
              </w:rPr>
              <w:t>BỘ TRƯỞNG</w:t>
            </w:r>
          </w:p>
          <w:p w14:paraId="43D1AB53" w14:textId="77777777" w:rsidR="009E130E" w:rsidRPr="00976CE7" w:rsidRDefault="009E130E" w:rsidP="00E7770B">
            <w:pPr>
              <w:keepNext/>
              <w:widowControl/>
              <w:tabs>
                <w:tab w:val="left" w:pos="993"/>
              </w:tabs>
              <w:jc w:val="center"/>
              <w:outlineLvl w:val="8"/>
              <w:rPr>
                <w:rFonts w:ascii="Times New Roman" w:eastAsia="Times New Roman" w:hAnsi="Times New Roman" w:cs="Times New Roman"/>
                <w:b/>
                <w:color w:val="auto"/>
                <w:sz w:val="26"/>
                <w:szCs w:val="26"/>
                <w:lang w:val="en-US" w:eastAsia="en-US" w:bidi="ar-SA"/>
              </w:rPr>
            </w:pPr>
            <w:r w:rsidRPr="00976CE7">
              <w:rPr>
                <w:rFonts w:ascii="Times New Roman" w:eastAsia="Times New Roman" w:hAnsi="Times New Roman" w:cs="Times New Roman"/>
                <w:b/>
                <w:color w:val="auto"/>
                <w:sz w:val="26"/>
                <w:szCs w:val="26"/>
                <w:lang w:val="en-US" w:eastAsia="en-US" w:bidi="ar-SA"/>
              </w:rPr>
              <w:t>THỨ TRƯỞNG</w:t>
            </w:r>
          </w:p>
          <w:p w14:paraId="5DA668FD" w14:textId="77777777" w:rsidR="009E130E" w:rsidRPr="00976CE7" w:rsidRDefault="009E130E" w:rsidP="00E7770B">
            <w:pPr>
              <w:widowControl/>
              <w:spacing w:after="200"/>
              <w:jc w:val="center"/>
              <w:rPr>
                <w:rFonts w:ascii="Times New Roman" w:eastAsia="Times New Roman" w:hAnsi="Times New Roman" w:cs="Times New Roman"/>
                <w:b/>
                <w:color w:val="auto"/>
                <w:sz w:val="28"/>
                <w:szCs w:val="28"/>
                <w:lang w:eastAsia="en-US" w:bidi="ar-SA"/>
              </w:rPr>
            </w:pPr>
          </w:p>
          <w:p w14:paraId="0482824F" w14:textId="77777777" w:rsidR="009E130E" w:rsidRPr="00976CE7" w:rsidRDefault="009E130E" w:rsidP="00E7770B">
            <w:pPr>
              <w:keepNext/>
              <w:widowControl/>
              <w:tabs>
                <w:tab w:val="left" w:pos="993"/>
              </w:tabs>
              <w:jc w:val="center"/>
              <w:outlineLvl w:val="8"/>
              <w:rPr>
                <w:rFonts w:ascii="Times New Roman" w:eastAsia="Calibri" w:hAnsi="Times New Roman" w:cs="Times New Roman"/>
                <w:b/>
                <w:color w:val="auto"/>
                <w:sz w:val="28"/>
                <w:szCs w:val="28"/>
                <w:lang w:val="en-US" w:eastAsia="en-US" w:bidi="ar-SA"/>
              </w:rPr>
            </w:pPr>
          </w:p>
          <w:p w14:paraId="1DCDB890" w14:textId="77777777" w:rsidR="009E130E" w:rsidRPr="00976CE7" w:rsidRDefault="009E130E" w:rsidP="00E7770B">
            <w:pPr>
              <w:keepNext/>
              <w:widowControl/>
              <w:tabs>
                <w:tab w:val="left" w:pos="993"/>
              </w:tabs>
              <w:jc w:val="center"/>
              <w:outlineLvl w:val="8"/>
              <w:rPr>
                <w:rFonts w:ascii="Times New Roman" w:eastAsia="Calibri" w:hAnsi="Times New Roman" w:cs="Times New Roman"/>
                <w:b/>
                <w:color w:val="auto"/>
                <w:sz w:val="28"/>
                <w:szCs w:val="28"/>
                <w:lang w:val="en-US" w:eastAsia="en-US" w:bidi="ar-SA"/>
              </w:rPr>
            </w:pPr>
          </w:p>
          <w:p w14:paraId="782E3810" w14:textId="77777777" w:rsidR="009E130E" w:rsidRPr="00976CE7" w:rsidRDefault="009E130E" w:rsidP="00E7770B">
            <w:pPr>
              <w:keepNext/>
              <w:widowControl/>
              <w:tabs>
                <w:tab w:val="left" w:pos="993"/>
              </w:tabs>
              <w:jc w:val="center"/>
              <w:outlineLvl w:val="8"/>
              <w:rPr>
                <w:rFonts w:ascii="Times New Roman" w:eastAsia="Calibri" w:hAnsi="Times New Roman" w:cs="Times New Roman"/>
                <w:b/>
                <w:color w:val="auto"/>
                <w:sz w:val="28"/>
                <w:szCs w:val="28"/>
                <w:lang w:val="en-US" w:eastAsia="en-US" w:bidi="ar-SA"/>
              </w:rPr>
            </w:pPr>
          </w:p>
          <w:p w14:paraId="2029B028" w14:textId="77777777" w:rsidR="009E130E" w:rsidRPr="00976CE7" w:rsidRDefault="009E130E" w:rsidP="00E7770B">
            <w:pPr>
              <w:keepNext/>
              <w:widowControl/>
              <w:tabs>
                <w:tab w:val="left" w:pos="993"/>
              </w:tabs>
              <w:jc w:val="center"/>
              <w:outlineLvl w:val="8"/>
              <w:rPr>
                <w:rFonts w:ascii="Times New Roman" w:eastAsia="Times New Roman" w:hAnsi="Times New Roman" w:cs="Times New Roman"/>
                <w:b/>
                <w:color w:val="auto"/>
                <w:sz w:val="28"/>
                <w:szCs w:val="28"/>
                <w:lang w:eastAsia="en-US" w:bidi="ar-SA"/>
              </w:rPr>
            </w:pPr>
            <w:r w:rsidRPr="00976CE7">
              <w:rPr>
                <w:rFonts w:ascii="Times New Roman" w:eastAsia="Times New Roman" w:hAnsi="Times New Roman" w:cs="Times New Roman"/>
                <w:b/>
                <w:color w:val="auto"/>
                <w:sz w:val="28"/>
                <w:szCs w:val="28"/>
                <w:lang w:val="en-US" w:eastAsia="en-US" w:bidi="ar-SA"/>
              </w:rPr>
              <w:t>Trần</w:t>
            </w:r>
            <w:r w:rsidRPr="00976CE7">
              <w:rPr>
                <w:rFonts w:ascii="Times New Roman" w:eastAsia="Times New Roman" w:hAnsi="Times New Roman" w:cs="Times New Roman"/>
                <w:b/>
                <w:color w:val="auto"/>
                <w:sz w:val="28"/>
                <w:szCs w:val="28"/>
                <w:lang w:eastAsia="en-US" w:bidi="ar-SA"/>
              </w:rPr>
              <w:t xml:space="preserve"> Quý Kiên</w:t>
            </w:r>
          </w:p>
        </w:tc>
      </w:tr>
    </w:tbl>
    <w:p w14:paraId="73A86131" w14:textId="21B803C8" w:rsidR="00C34760" w:rsidRPr="00976CE7" w:rsidRDefault="00C34760" w:rsidP="00C34760">
      <w:pPr>
        <w:spacing w:after="120" w:line="370" w:lineRule="exact"/>
        <w:ind w:firstLine="720"/>
        <w:jc w:val="both"/>
        <w:rPr>
          <w:rFonts w:ascii="Times New Roman" w:eastAsia="Calibri" w:hAnsi="Times New Roman" w:cs="Times New Roman"/>
          <w:color w:val="auto"/>
          <w:kern w:val="2"/>
          <w:sz w:val="28"/>
          <w:szCs w:val="28"/>
          <w:lang w:eastAsia="en-US" w:bidi="ar-SA"/>
          <w14:ligatures w14:val="standardContextual"/>
        </w:rPr>
      </w:pPr>
    </w:p>
    <w:p w14:paraId="4125461D" w14:textId="77777777" w:rsidR="00E665CC" w:rsidRPr="00976CE7" w:rsidRDefault="00E665CC" w:rsidP="00E665CC">
      <w:pPr>
        <w:spacing w:before="120" w:line="360" w:lineRule="exact"/>
        <w:rPr>
          <w:rFonts w:ascii="Times New Roman" w:hAnsi="Times New Roman" w:cs="Times New Roman"/>
          <w:b/>
          <w:bCs/>
          <w:color w:val="auto"/>
          <w:sz w:val="28"/>
          <w:szCs w:val="28"/>
        </w:rPr>
      </w:pPr>
    </w:p>
    <w:p w14:paraId="7E2C0A1A" w14:textId="77777777" w:rsidR="0079390E" w:rsidRPr="00976CE7" w:rsidRDefault="0079390E" w:rsidP="00E665CC">
      <w:pPr>
        <w:spacing w:before="120" w:line="360" w:lineRule="exact"/>
        <w:rPr>
          <w:rFonts w:ascii="Times New Roman" w:hAnsi="Times New Roman" w:cs="Times New Roman"/>
          <w:color w:val="auto"/>
          <w:sz w:val="28"/>
          <w:szCs w:val="28"/>
        </w:rPr>
      </w:pPr>
    </w:p>
    <w:sectPr w:rsidR="0079390E" w:rsidRPr="00976CE7" w:rsidSect="00C34760">
      <w:headerReference w:type="even" r:id="rId8"/>
      <w:headerReference w:type="default" r:id="rId9"/>
      <w:pgSz w:w="11900" w:h="16840" w:code="9"/>
      <w:pgMar w:top="1134" w:right="1134" w:bottom="1134" w:left="1701" w:header="567"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1316" w14:textId="77777777" w:rsidR="00B858D6" w:rsidRDefault="00B858D6" w:rsidP="00375FF7">
      <w:r>
        <w:separator/>
      </w:r>
    </w:p>
  </w:endnote>
  <w:endnote w:type="continuationSeparator" w:id="0">
    <w:p w14:paraId="038DCB59" w14:textId="77777777" w:rsidR="00B858D6" w:rsidRDefault="00B858D6" w:rsidP="0037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BF22" w14:textId="77777777" w:rsidR="00B858D6" w:rsidRDefault="00B858D6" w:rsidP="00375FF7">
      <w:r>
        <w:separator/>
      </w:r>
    </w:p>
  </w:footnote>
  <w:footnote w:type="continuationSeparator" w:id="0">
    <w:p w14:paraId="3BD67112" w14:textId="77777777" w:rsidR="00B858D6" w:rsidRDefault="00B858D6" w:rsidP="0037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ang"/>
      </w:rPr>
      <w:id w:val="-1105733324"/>
      <w:docPartObj>
        <w:docPartGallery w:val="Page Numbers (Top of Page)"/>
        <w:docPartUnique/>
      </w:docPartObj>
    </w:sdtPr>
    <w:sdtContent>
      <w:p w14:paraId="07DD09D8" w14:textId="3EEB2C37" w:rsidR="00C34760" w:rsidRDefault="00C34760" w:rsidP="00665D9E">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sdtContent>
  </w:sdt>
  <w:p w14:paraId="2A0B63B6" w14:textId="77777777" w:rsidR="00C34760" w:rsidRDefault="00C3476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ang"/>
        <w:rFonts w:ascii="Times New Roman" w:hAnsi="Times New Roman" w:cs="Times New Roman"/>
        <w:sz w:val="28"/>
        <w:szCs w:val="28"/>
      </w:rPr>
      <w:id w:val="42497862"/>
      <w:docPartObj>
        <w:docPartGallery w:val="Page Numbers (Top of Page)"/>
        <w:docPartUnique/>
      </w:docPartObj>
    </w:sdtPr>
    <w:sdtContent>
      <w:p w14:paraId="0BA59C4E" w14:textId="16361DC9" w:rsidR="00C34760" w:rsidRPr="00C34760" w:rsidRDefault="00C34760" w:rsidP="00665D9E">
        <w:pPr>
          <w:pStyle w:val="utrang"/>
          <w:framePr w:wrap="none" w:vAnchor="text" w:hAnchor="margin" w:xAlign="center" w:y="1"/>
          <w:rPr>
            <w:rStyle w:val="Strang"/>
            <w:rFonts w:ascii="Times New Roman" w:hAnsi="Times New Roman" w:cs="Times New Roman"/>
            <w:sz w:val="28"/>
            <w:szCs w:val="28"/>
          </w:rPr>
        </w:pPr>
        <w:r w:rsidRPr="00C34760">
          <w:rPr>
            <w:rStyle w:val="Strang"/>
            <w:rFonts w:ascii="Times New Roman" w:hAnsi="Times New Roman" w:cs="Times New Roman"/>
            <w:sz w:val="28"/>
            <w:szCs w:val="28"/>
          </w:rPr>
          <w:fldChar w:fldCharType="begin"/>
        </w:r>
        <w:r w:rsidRPr="00C34760">
          <w:rPr>
            <w:rStyle w:val="Strang"/>
            <w:rFonts w:ascii="Times New Roman" w:hAnsi="Times New Roman" w:cs="Times New Roman"/>
            <w:sz w:val="28"/>
            <w:szCs w:val="28"/>
          </w:rPr>
          <w:instrText xml:space="preserve"> PAGE </w:instrText>
        </w:r>
        <w:r w:rsidRPr="00C34760">
          <w:rPr>
            <w:rStyle w:val="Strang"/>
            <w:rFonts w:ascii="Times New Roman" w:hAnsi="Times New Roman" w:cs="Times New Roman"/>
            <w:sz w:val="28"/>
            <w:szCs w:val="28"/>
          </w:rPr>
          <w:fldChar w:fldCharType="separate"/>
        </w:r>
        <w:r w:rsidR="00976CE7">
          <w:rPr>
            <w:rStyle w:val="Strang"/>
            <w:rFonts w:ascii="Times New Roman" w:hAnsi="Times New Roman" w:cs="Times New Roman"/>
            <w:noProof/>
            <w:sz w:val="28"/>
            <w:szCs w:val="28"/>
          </w:rPr>
          <w:t>6</w:t>
        </w:r>
        <w:r w:rsidRPr="00C34760">
          <w:rPr>
            <w:rStyle w:val="Strang"/>
            <w:rFonts w:ascii="Times New Roman" w:hAnsi="Times New Roman" w:cs="Times New Roman"/>
            <w:sz w:val="28"/>
            <w:szCs w:val="28"/>
          </w:rPr>
          <w:fldChar w:fldCharType="end"/>
        </w:r>
      </w:p>
    </w:sdtContent>
  </w:sdt>
  <w:p w14:paraId="32642956" w14:textId="77777777" w:rsidR="00C34760" w:rsidRPr="00C34760" w:rsidRDefault="00C34760">
    <w:pPr>
      <w:pStyle w:val="utrang"/>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F68D5"/>
    <w:multiLevelType w:val="multilevel"/>
    <w:tmpl w:val="E466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57D67"/>
    <w:multiLevelType w:val="multilevel"/>
    <w:tmpl w:val="4564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E78A0"/>
    <w:multiLevelType w:val="multilevel"/>
    <w:tmpl w:val="CDC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912101">
    <w:abstractNumId w:val="2"/>
  </w:num>
  <w:num w:numId="2" w16cid:durableId="1198926559">
    <w:abstractNumId w:val="0"/>
  </w:num>
  <w:num w:numId="3" w16cid:durableId="51446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CC"/>
    <w:rsid w:val="00002ADF"/>
    <w:rsid w:val="000407F5"/>
    <w:rsid w:val="00041AC3"/>
    <w:rsid w:val="00047651"/>
    <w:rsid w:val="00047872"/>
    <w:rsid w:val="0007290D"/>
    <w:rsid w:val="000D0EE8"/>
    <w:rsid w:val="000E6C0C"/>
    <w:rsid w:val="000F304D"/>
    <w:rsid w:val="0010115D"/>
    <w:rsid w:val="00107143"/>
    <w:rsid w:val="00112258"/>
    <w:rsid w:val="00114334"/>
    <w:rsid w:val="00116700"/>
    <w:rsid w:val="00136E27"/>
    <w:rsid w:val="00163757"/>
    <w:rsid w:val="00184A5D"/>
    <w:rsid w:val="001B2335"/>
    <w:rsid w:val="001B4F10"/>
    <w:rsid w:val="001D5CC7"/>
    <w:rsid w:val="001D6789"/>
    <w:rsid w:val="00205E8A"/>
    <w:rsid w:val="00210E11"/>
    <w:rsid w:val="00271842"/>
    <w:rsid w:val="002D03A4"/>
    <w:rsid w:val="002D2910"/>
    <w:rsid w:val="002F02EB"/>
    <w:rsid w:val="00310556"/>
    <w:rsid w:val="003141E9"/>
    <w:rsid w:val="003346F3"/>
    <w:rsid w:val="00341672"/>
    <w:rsid w:val="00375FF7"/>
    <w:rsid w:val="003B62FA"/>
    <w:rsid w:val="003E0237"/>
    <w:rsid w:val="003E1573"/>
    <w:rsid w:val="00407A6C"/>
    <w:rsid w:val="00425575"/>
    <w:rsid w:val="004466EB"/>
    <w:rsid w:val="004702C2"/>
    <w:rsid w:val="00497EAD"/>
    <w:rsid w:val="004C479F"/>
    <w:rsid w:val="004F3A0B"/>
    <w:rsid w:val="00541ADC"/>
    <w:rsid w:val="00550E29"/>
    <w:rsid w:val="00552458"/>
    <w:rsid w:val="00576443"/>
    <w:rsid w:val="005931B8"/>
    <w:rsid w:val="00594D2D"/>
    <w:rsid w:val="006463DE"/>
    <w:rsid w:val="006529BF"/>
    <w:rsid w:val="006739F9"/>
    <w:rsid w:val="006A1FE4"/>
    <w:rsid w:val="006B11FF"/>
    <w:rsid w:val="006C2289"/>
    <w:rsid w:val="006C3205"/>
    <w:rsid w:val="006E70E1"/>
    <w:rsid w:val="00734481"/>
    <w:rsid w:val="007448AE"/>
    <w:rsid w:val="0075493A"/>
    <w:rsid w:val="00780CA4"/>
    <w:rsid w:val="0079140D"/>
    <w:rsid w:val="00793758"/>
    <w:rsid w:val="0079390E"/>
    <w:rsid w:val="007A22A9"/>
    <w:rsid w:val="007A5F5C"/>
    <w:rsid w:val="007B68C5"/>
    <w:rsid w:val="007E1744"/>
    <w:rsid w:val="007E540B"/>
    <w:rsid w:val="007F71DB"/>
    <w:rsid w:val="00882477"/>
    <w:rsid w:val="008A03E6"/>
    <w:rsid w:val="008A657D"/>
    <w:rsid w:val="008D153C"/>
    <w:rsid w:val="0096029D"/>
    <w:rsid w:val="009713FF"/>
    <w:rsid w:val="00976CE7"/>
    <w:rsid w:val="009A57A2"/>
    <w:rsid w:val="009E130E"/>
    <w:rsid w:val="00A410BC"/>
    <w:rsid w:val="00A834EA"/>
    <w:rsid w:val="00A87AFF"/>
    <w:rsid w:val="00AA0A54"/>
    <w:rsid w:val="00AF1AF9"/>
    <w:rsid w:val="00AF2AC1"/>
    <w:rsid w:val="00B11D77"/>
    <w:rsid w:val="00B75E76"/>
    <w:rsid w:val="00B8446D"/>
    <w:rsid w:val="00B858D6"/>
    <w:rsid w:val="00BB2D91"/>
    <w:rsid w:val="00BC20EB"/>
    <w:rsid w:val="00C0790D"/>
    <w:rsid w:val="00C34760"/>
    <w:rsid w:val="00C34A16"/>
    <w:rsid w:val="00C42015"/>
    <w:rsid w:val="00C510E8"/>
    <w:rsid w:val="00C74CC2"/>
    <w:rsid w:val="00CE0DE8"/>
    <w:rsid w:val="00CF028E"/>
    <w:rsid w:val="00CF2A4D"/>
    <w:rsid w:val="00D17097"/>
    <w:rsid w:val="00D3248D"/>
    <w:rsid w:val="00D602D2"/>
    <w:rsid w:val="00D62C2E"/>
    <w:rsid w:val="00D66081"/>
    <w:rsid w:val="00DC5AE2"/>
    <w:rsid w:val="00DE0BF2"/>
    <w:rsid w:val="00DE61B4"/>
    <w:rsid w:val="00E21A69"/>
    <w:rsid w:val="00E665CC"/>
    <w:rsid w:val="00E67A65"/>
    <w:rsid w:val="00E95A37"/>
    <w:rsid w:val="00EA6F64"/>
    <w:rsid w:val="00ED2A6F"/>
    <w:rsid w:val="00EE4997"/>
    <w:rsid w:val="00EF3A2D"/>
    <w:rsid w:val="00F37B4B"/>
    <w:rsid w:val="00F45077"/>
    <w:rsid w:val="00FB5BB9"/>
    <w:rsid w:val="00FE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E47F"/>
  <w15:chartTrackingRefBased/>
  <w15:docId w15:val="{7E884676-A687-4541-A56B-87DED508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8"/>
        <w:szCs w:val="24"/>
        <w:lang w:val="en-US" w:eastAsia="en-US" w:bidi="ar-SA"/>
      </w:rPr>
    </w:rPrDefault>
    <w:pPrDefault>
      <w:pPr>
        <w:spacing w:after="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65CC"/>
    <w:pPr>
      <w:widowControl w:val="0"/>
      <w:spacing w:after="0" w:line="240" w:lineRule="auto"/>
      <w:ind w:firstLine="0"/>
      <w:jc w:val="left"/>
    </w:pPr>
    <w:rPr>
      <w:rFonts w:ascii="Courier New" w:eastAsia="Courier New" w:hAnsi="Courier New" w:cs="Courier New"/>
      <w:color w:val="000000"/>
      <w:sz w:val="24"/>
      <w:lang w:val="vi-VN" w:eastAsia="vi-VN" w:bidi="vi-VN"/>
    </w:rPr>
  </w:style>
  <w:style w:type="paragraph" w:styleId="u1">
    <w:name w:val="heading 1"/>
    <w:aliases w:val="CHUONG"/>
    <w:basedOn w:val="Binhthng"/>
    <w:next w:val="Binhthng"/>
    <w:link w:val="u1Char"/>
    <w:uiPriority w:val="9"/>
    <w:qFormat/>
    <w:rsid w:val="00CE0DE8"/>
    <w:pPr>
      <w:keepNext/>
      <w:keepLines/>
      <w:spacing w:before="120"/>
      <w:jc w:val="center"/>
      <w:outlineLvl w:val="0"/>
    </w:pPr>
    <w:rPr>
      <w:rFonts w:eastAsiaTheme="majorEastAsia" w:cs="Times New Roman (Headings CS)"/>
      <w:b/>
      <w:caps/>
      <w:color w:val="000000" w:themeColor="text1"/>
      <w:szCs w:val="32"/>
    </w:rPr>
  </w:style>
  <w:style w:type="paragraph" w:styleId="u2">
    <w:name w:val="heading 2"/>
    <w:aliases w:val="Muc"/>
    <w:basedOn w:val="Binhthng"/>
    <w:next w:val="Binhthng"/>
    <w:link w:val="u2Char"/>
    <w:uiPriority w:val="9"/>
    <w:unhideWhenUsed/>
    <w:qFormat/>
    <w:rsid w:val="00AF2AC1"/>
    <w:pPr>
      <w:keepNext/>
      <w:keepLines/>
      <w:spacing w:before="120" w:line="312" w:lineRule="auto"/>
      <w:outlineLvl w:val="1"/>
    </w:pPr>
    <w:rPr>
      <w:rFonts w:eastAsiaTheme="majorEastAsia" w:cstheme="majorBidi"/>
      <w:b/>
      <w:color w:val="000000" w:themeColor="text1"/>
      <w:szCs w:val="26"/>
    </w:rPr>
  </w:style>
  <w:style w:type="paragraph" w:styleId="u3">
    <w:name w:val="heading 3"/>
    <w:aliases w:val="Dieu"/>
    <w:basedOn w:val="Binhthng"/>
    <w:next w:val="Binhthng"/>
    <w:link w:val="u3Char"/>
    <w:uiPriority w:val="9"/>
    <w:semiHidden/>
    <w:unhideWhenUsed/>
    <w:qFormat/>
    <w:rsid w:val="00E21A69"/>
    <w:pPr>
      <w:keepNext/>
      <w:keepLines/>
      <w:spacing w:before="120" w:line="360" w:lineRule="auto"/>
      <w:outlineLvl w:val="2"/>
    </w:pPr>
    <w:rPr>
      <w:rFonts w:eastAsiaTheme="majorEastAsia" w:cstheme="majorBidi"/>
      <w:b/>
      <w:color w:val="000000" w:themeColor="tex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aliases w:val="Muc Char"/>
    <w:basedOn w:val="Phngmcinhcuaoanvn"/>
    <w:link w:val="u2"/>
    <w:uiPriority w:val="9"/>
    <w:rsid w:val="00AF2AC1"/>
    <w:rPr>
      <w:rFonts w:eastAsiaTheme="majorEastAsia" w:cstheme="majorBidi"/>
      <w:b/>
      <w:color w:val="000000" w:themeColor="text1"/>
      <w:szCs w:val="26"/>
    </w:rPr>
  </w:style>
  <w:style w:type="character" w:customStyle="1" w:styleId="u1Char">
    <w:name w:val="Đầu đề 1 Char"/>
    <w:aliases w:val="CHUONG Char"/>
    <w:basedOn w:val="Phngmcinhcuaoanvn"/>
    <w:link w:val="u1"/>
    <w:uiPriority w:val="9"/>
    <w:rsid w:val="00CE0DE8"/>
    <w:rPr>
      <w:rFonts w:eastAsiaTheme="majorEastAsia" w:cs="Times New Roman (Headings CS)"/>
      <w:b/>
      <w:caps/>
      <w:color w:val="000000" w:themeColor="text1"/>
      <w:szCs w:val="32"/>
    </w:rPr>
  </w:style>
  <w:style w:type="character" w:customStyle="1" w:styleId="u3Char">
    <w:name w:val="Đầu đề 3 Char"/>
    <w:aliases w:val="Dieu Char"/>
    <w:basedOn w:val="Phngmcinhcuaoanvn"/>
    <w:link w:val="u3"/>
    <w:uiPriority w:val="9"/>
    <w:semiHidden/>
    <w:rsid w:val="00E21A69"/>
    <w:rPr>
      <w:rFonts w:eastAsiaTheme="majorEastAsia" w:cstheme="majorBidi"/>
      <w:b/>
      <w:color w:val="000000" w:themeColor="text1"/>
    </w:rPr>
  </w:style>
  <w:style w:type="table" w:styleId="LiBang">
    <w:name w:val="Table Grid"/>
    <w:basedOn w:val="BangThngthng"/>
    <w:uiPriority w:val="39"/>
    <w:rsid w:val="00E665CC"/>
    <w:pPr>
      <w:widowControl w:val="0"/>
      <w:spacing w:after="0" w:line="240" w:lineRule="auto"/>
      <w:ind w:firstLine="0"/>
      <w:jc w:val="left"/>
    </w:pPr>
    <w:rPr>
      <w:rFonts w:ascii="Courier New" w:eastAsia="Courier New" w:hAnsi="Courier New" w:cs="Courier New"/>
      <w:sz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aliases w:val="Footnote Text Char Char Char Char Char,Footnote Text Char Char Char Char Char Char Ch Char,Footnote Text Char Tegn Char,Footnote Text Char Char Char Char Char Char Ch,Footnote Text Char Char Char Char Char Char Ch Char Char Char,fn,f"/>
    <w:basedOn w:val="Binhthng"/>
    <w:link w:val="VnbanCcchuChar"/>
    <w:uiPriority w:val="99"/>
    <w:unhideWhenUsed/>
    <w:qFormat/>
    <w:rsid w:val="00375FF7"/>
    <w:pPr>
      <w:widowControl/>
    </w:pPr>
    <w:rPr>
      <w:rFonts w:ascii="Times New Roman" w:eastAsia="Calibri" w:hAnsi="Times New Roman" w:cs="Times New Roman"/>
      <w:color w:val="auto"/>
      <w:kern w:val="2"/>
      <w:sz w:val="20"/>
      <w:szCs w:val="20"/>
      <w:lang w:val="en-US" w:eastAsia="en-US" w:bidi="ar-SA"/>
      <w14:ligatures w14:val="standardContextual"/>
    </w:rPr>
  </w:style>
  <w:style w:type="character" w:customStyle="1" w:styleId="VnbanCcchuChar">
    <w:name w:val="Văn bản Cước chú Char"/>
    <w:aliases w:val="Footnote Text Char Char Char Char Char Char,Footnote Text Char Char Char Char Char Char Ch Char Char,Footnote Text Char Tegn Char Char,Footnote Text Char Char Char Char Char Char Ch Char1,fn Char,f Char"/>
    <w:basedOn w:val="Phngmcinhcuaoanvn"/>
    <w:link w:val="VnbanCcchu"/>
    <w:uiPriority w:val="99"/>
    <w:qFormat/>
    <w:rsid w:val="00375FF7"/>
    <w:rPr>
      <w:rFonts w:eastAsia="Calibri" w:cs="Times New Roman"/>
      <w:kern w:val="2"/>
      <w:sz w:val="20"/>
      <w:szCs w:val="20"/>
      <w14:ligatures w14:val="standardContextual"/>
    </w:rPr>
  </w:style>
  <w:style w:type="character" w:styleId="ThamchiuCcchu">
    <w:name w:val="footnote reference"/>
    <w:aliases w:val="Footnote,Footnote text,Ref,de nota al pie,ftref,fr,16 Point,Superscript 6 Point,BearingPoint,Footnote Text1,Footnote + Arial,10 pt,Black,Footnote Text11,Superscript 6 Point + 11 pt,(NECG) Footnote Reference,Fußnotenzeichen DISS,R"/>
    <w:basedOn w:val="Phngmcinhcuaoanvn"/>
    <w:link w:val="4GCharCharChar"/>
    <w:uiPriority w:val="99"/>
    <w:unhideWhenUsed/>
    <w:qFormat/>
    <w:rsid w:val="00375FF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Binhthng"/>
    <w:link w:val="ThamchiuCcchu"/>
    <w:uiPriority w:val="99"/>
    <w:qFormat/>
    <w:rsid w:val="00375FF7"/>
    <w:pPr>
      <w:widowControl/>
      <w:spacing w:before="100" w:line="240" w:lineRule="exact"/>
    </w:pPr>
    <w:rPr>
      <w:rFonts w:ascii="Times New Roman" w:eastAsiaTheme="minorHAnsi" w:hAnsi="Times New Roman" w:cs="Times New Roman (Body CS)"/>
      <w:color w:val="auto"/>
      <w:sz w:val="28"/>
      <w:vertAlign w:val="superscript"/>
      <w:lang w:val="en-US" w:eastAsia="en-US" w:bidi="ar-SA"/>
    </w:rPr>
  </w:style>
  <w:style w:type="paragraph" w:styleId="utrang">
    <w:name w:val="header"/>
    <w:basedOn w:val="Binhthng"/>
    <w:link w:val="utrangChar"/>
    <w:uiPriority w:val="99"/>
    <w:unhideWhenUsed/>
    <w:rsid w:val="00C34760"/>
    <w:pPr>
      <w:tabs>
        <w:tab w:val="center" w:pos="4680"/>
        <w:tab w:val="right" w:pos="9360"/>
      </w:tabs>
    </w:pPr>
  </w:style>
  <w:style w:type="character" w:customStyle="1" w:styleId="utrangChar">
    <w:name w:val="Đầu trang Char"/>
    <w:basedOn w:val="Phngmcinhcuaoanvn"/>
    <w:link w:val="utrang"/>
    <w:uiPriority w:val="99"/>
    <w:rsid w:val="00C34760"/>
    <w:rPr>
      <w:rFonts w:ascii="Courier New" w:eastAsia="Courier New" w:hAnsi="Courier New" w:cs="Courier New"/>
      <w:color w:val="000000"/>
      <w:sz w:val="24"/>
      <w:lang w:val="vi-VN" w:eastAsia="vi-VN" w:bidi="vi-VN"/>
    </w:rPr>
  </w:style>
  <w:style w:type="paragraph" w:styleId="Chntrang">
    <w:name w:val="footer"/>
    <w:basedOn w:val="Binhthng"/>
    <w:link w:val="ChntrangChar"/>
    <w:uiPriority w:val="99"/>
    <w:unhideWhenUsed/>
    <w:rsid w:val="00C34760"/>
    <w:pPr>
      <w:tabs>
        <w:tab w:val="center" w:pos="4680"/>
        <w:tab w:val="right" w:pos="9360"/>
      </w:tabs>
    </w:pPr>
  </w:style>
  <w:style w:type="character" w:customStyle="1" w:styleId="ChntrangChar">
    <w:name w:val="Chân trang Char"/>
    <w:basedOn w:val="Phngmcinhcuaoanvn"/>
    <w:link w:val="Chntrang"/>
    <w:uiPriority w:val="99"/>
    <w:rsid w:val="00C34760"/>
    <w:rPr>
      <w:rFonts w:ascii="Courier New" w:eastAsia="Courier New" w:hAnsi="Courier New" w:cs="Courier New"/>
      <w:color w:val="000000"/>
      <w:sz w:val="24"/>
      <w:lang w:val="vi-VN" w:eastAsia="vi-VN" w:bidi="vi-VN"/>
    </w:rPr>
  </w:style>
  <w:style w:type="character" w:styleId="Strang">
    <w:name w:val="page number"/>
    <w:basedOn w:val="Phngmcinhcuaoanvn"/>
    <w:uiPriority w:val="99"/>
    <w:semiHidden/>
    <w:unhideWhenUsed/>
    <w:rsid w:val="00C34760"/>
  </w:style>
  <w:style w:type="paragraph" w:styleId="ThngthngWeb">
    <w:name w:val="Normal (Web)"/>
    <w:basedOn w:val="Binhthng"/>
    <w:uiPriority w:val="99"/>
    <w:semiHidden/>
    <w:unhideWhenUsed/>
    <w:rsid w:val="0096029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Manh">
    <w:name w:val="Strong"/>
    <w:basedOn w:val="Phngmcinhcuaoanvn"/>
    <w:uiPriority w:val="22"/>
    <w:qFormat/>
    <w:rsid w:val="00960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346">
      <w:bodyDiv w:val="1"/>
      <w:marLeft w:val="0"/>
      <w:marRight w:val="0"/>
      <w:marTop w:val="0"/>
      <w:marBottom w:val="0"/>
      <w:divBdr>
        <w:top w:val="none" w:sz="0" w:space="0" w:color="auto"/>
        <w:left w:val="none" w:sz="0" w:space="0" w:color="auto"/>
        <w:bottom w:val="none" w:sz="0" w:space="0" w:color="auto"/>
        <w:right w:val="none" w:sz="0" w:space="0" w:color="auto"/>
      </w:divBdr>
    </w:div>
    <w:div w:id="483815167">
      <w:bodyDiv w:val="1"/>
      <w:marLeft w:val="0"/>
      <w:marRight w:val="0"/>
      <w:marTop w:val="0"/>
      <w:marBottom w:val="0"/>
      <w:divBdr>
        <w:top w:val="none" w:sz="0" w:space="0" w:color="auto"/>
        <w:left w:val="none" w:sz="0" w:space="0" w:color="auto"/>
        <w:bottom w:val="none" w:sz="0" w:space="0" w:color="auto"/>
        <w:right w:val="none" w:sz="0" w:space="0" w:color="auto"/>
      </w:divBdr>
    </w:div>
    <w:div w:id="800878542">
      <w:bodyDiv w:val="1"/>
      <w:marLeft w:val="0"/>
      <w:marRight w:val="0"/>
      <w:marTop w:val="0"/>
      <w:marBottom w:val="0"/>
      <w:divBdr>
        <w:top w:val="none" w:sz="0" w:space="0" w:color="auto"/>
        <w:left w:val="none" w:sz="0" w:space="0" w:color="auto"/>
        <w:bottom w:val="none" w:sz="0" w:space="0" w:color="auto"/>
        <w:right w:val="none" w:sz="0" w:space="0" w:color="auto"/>
      </w:divBdr>
    </w:div>
    <w:div w:id="1410075019">
      <w:bodyDiv w:val="1"/>
      <w:marLeft w:val="0"/>
      <w:marRight w:val="0"/>
      <w:marTop w:val="0"/>
      <w:marBottom w:val="0"/>
      <w:divBdr>
        <w:top w:val="none" w:sz="0" w:space="0" w:color="auto"/>
        <w:left w:val="none" w:sz="0" w:space="0" w:color="auto"/>
        <w:bottom w:val="none" w:sz="0" w:space="0" w:color="auto"/>
        <w:right w:val="none" w:sz="0" w:space="0" w:color="auto"/>
      </w:divBdr>
    </w:div>
    <w:div w:id="1422293839">
      <w:bodyDiv w:val="1"/>
      <w:marLeft w:val="0"/>
      <w:marRight w:val="0"/>
      <w:marTop w:val="0"/>
      <w:marBottom w:val="0"/>
      <w:divBdr>
        <w:top w:val="none" w:sz="0" w:space="0" w:color="auto"/>
        <w:left w:val="none" w:sz="0" w:space="0" w:color="auto"/>
        <w:bottom w:val="none" w:sz="0" w:space="0" w:color="auto"/>
        <w:right w:val="none" w:sz="0" w:space="0" w:color="auto"/>
      </w:divBdr>
    </w:div>
    <w:div w:id="1454522027">
      <w:bodyDiv w:val="1"/>
      <w:marLeft w:val="0"/>
      <w:marRight w:val="0"/>
      <w:marTop w:val="0"/>
      <w:marBottom w:val="0"/>
      <w:divBdr>
        <w:top w:val="none" w:sz="0" w:space="0" w:color="auto"/>
        <w:left w:val="none" w:sz="0" w:space="0" w:color="auto"/>
        <w:bottom w:val="none" w:sz="0" w:space="0" w:color="auto"/>
        <w:right w:val="none" w:sz="0" w:space="0" w:color="auto"/>
      </w:divBdr>
    </w:div>
    <w:div w:id="1501697213">
      <w:bodyDiv w:val="1"/>
      <w:marLeft w:val="0"/>
      <w:marRight w:val="0"/>
      <w:marTop w:val="0"/>
      <w:marBottom w:val="0"/>
      <w:divBdr>
        <w:top w:val="none" w:sz="0" w:space="0" w:color="auto"/>
        <w:left w:val="none" w:sz="0" w:space="0" w:color="auto"/>
        <w:bottom w:val="none" w:sz="0" w:space="0" w:color="auto"/>
        <w:right w:val="none" w:sz="0" w:space="0" w:color="auto"/>
      </w:divBdr>
    </w:div>
    <w:div w:id="1667442196">
      <w:bodyDiv w:val="1"/>
      <w:marLeft w:val="0"/>
      <w:marRight w:val="0"/>
      <w:marTop w:val="0"/>
      <w:marBottom w:val="0"/>
      <w:divBdr>
        <w:top w:val="none" w:sz="0" w:space="0" w:color="auto"/>
        <w:left w:val="none" w:sz="0" w:space="0" w:color="auto"/>
        <w:bottom w:val="none" w:sz="0" w:space="0" w:color="auto"/>
        <w:right w:val="none" w:sz="0" w:space="0" w:color="auto"/>
      </w:divBdr>
    </w:div>
    <w:div w:id="17143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533D-1FCA-4A71-ADC7-627D148E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Monre</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Hoàng</dc:creator>
  <cp:keywords/>
  <dc:description/>
  <cp:lastModifiedBy>Việt Thắng Trịnh</cp:lastModifiedBy>
  <cp:revision>4</cp:revision>
  <dcterms:created xsi:type="dcterms:W3CDTF">2025-11-14T09:30:00Z</dcterms:created>
  <dcterms:modified xsi:type="dcterms:W3CDTF">2025-11-14T10:53:00Z</dcterms:modified>
</cp:coreProperties>
</file>